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1BE3C5AA" w:rsidR="00ED6047" w:rsidRPr="00673B09" w:rsidRDefault="00F04211" w:rsidP="00A144B2">
      <w:pPr>
        <w:pStyle w:val="Heading1"/>
        <w:spacing w:before="0" w:after="240"/>
        <w:rPr>
          <w:rFonts w:ascii="Griffith Sans Text" w:hAnsi="Griffith Sans Text"/>
          <w:sz w:val="52"/>
          <w:szCs w:val="32"/>
        </w:rPr>
      </w:pPr>
      <w:r>
        <w:rPr>
          <w:rFonts w:ascii="Arial" w:hAnsi="Arial" w:cs="Arial"/>
          <w:szCs w:val="48"/>
        </w:rPr>
        <w:t>Work Location</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3A72F3"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3A72F3"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3E81B5AF" w:rsidR="00732202" w:rsidRPr="00673B09" w:rsidRDefault="00732202" w:rsidP="000A41FB">
      <w:pPr>
        <w:pStyle w:val="Heading2"/>
        <w:spacing w:before="0" w:after="0"/>
        <w:ind w:left="142" w:hanging="142"/>
        <w:rPr>
          <w:rFonts w:ascii="Griffith Sans Text" w:hAnsi="Griffith Sans Text"/>
          <w:b w:val="0"/>
          <w:bCs w:val="0"/>
          <w:sz w:val="24"/>
          <w:szCs w:val="18"/>
        </w:rPr>
      </w:pPr>
      <w:r w:rsidRPr="00673B09">
        <w:rPr>
          <w:rFonts w:ascii="Griffith Sans Text" w:hAnsi="Griffith Sans Text"/>
          <w:b w:val="0"/>
          <w:bCs w:val="0"/>
          <w:sz w:val="24"/>
          <w:szCs w:val="18"/>
        </w:rPr>
        <w:t>3.0 Policy</w:t>
      </w:r>
      <w:r w:rsidR="000A41FB">
        <w:rPr>
          <w:rFonts w:ascii="Griffith Sans Text" w:hAnsi="Griffith Sans Text"/>
          <w:b w:val="0"/>
          <w:bCs w:val="0"/>
          <w:sz w:val="24"/>
          <w:szCs w:val="18"/>
        </w:rPr>
        <w:t xml:space="preserve"> statement</w:t>
      </w:r>
      <w:r w:rsidR="000A41FB">
        <w:rPr>
          <w:rFonts w:ascii="Griffith Sans Text" w:hAnsi="Griffith Sans Text"/>
          <w:b w:val="0"/>
          <w:bCs w:val="0"/>
          <w:sz w:val="24"/>
          <w:szCs w:val="18"/>
        </w:rPr>
        <w:br/>
      </w:r>
      <w:r w:rsidR="00C5132D" w:rsidRPr="00C5132D">
        <w:rPr>
          <w:rFonts w:ascii="Griffith Sans Text" w:hAnsi="Griffith Sans Text"/>
          <w:b w:val="0"/>
          <w:bCs w:val="0"/>
          <w:sz w:val="24"/>
          <w:szCs w:val="18"/>
        </w:rPr>
        <w:t xml:space="preserve">3.1 Health, safety and wellbeing and working from an alternative work location | </w:t>
      </w:r>
      <w:r w:rsidR="00C5132D">
        <w:rPr>
          <w:rFonts w:ascii="Griffith Sans Text" w:hAnsi="Griffith Sans Text"/>
          <w:b w:val="0"/>
          <w:bCs w:val="0"/>
          <w:sz w:val="24"/>
          <w:szCs w:val="18"/>
        </w:rPr>
        <w:br/>
      </w:r>
      <w:r w:rsidR="00C5132D" w:rsidRPr="00C5132D">
        <w:rPr>
          <w:rFonts w:ascii="Griffith Sans Text" w:hAnsi="Griffith Sans Text"/>
          <w:b w:val="0"/>
          <w:bCs w:val="0"/>
          <w:sz w:val="24"/>
          <w:szCs w:val="18"/>
        </w:rPr>
        <w:t xml:space="preserve">3.2 Equipment and working from different locations | 3.3 Reviewing a decision  </w:t>
      </w:r>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3A72F3"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327CE07F" w14:textId="77777777" w:rsidR="00A3011D" w:rsidRPr="00A3011D" w:rsidRDefault="00A3011D" w:rsidP="00A3011D">
      <w:pPr>
        <w:spacing w:before="80" w:after="80"/>
        <w:jc w:val="both"/>
        <w:rPr>
          <w:rFonts w:cs="Arial"/>
          <w:color w:val="000000" w:themeColor="text1"/>
        </w:rPr>
      </w:pPr>
      <w:r w:rsidRPr="00A3011D">
        <w:rPr>
          <w:rFonts w:cs="Arial"/>
          <w:shd w:val="clear" w:color="auto" w:fill="FFFFFF"/>
        </w:rPr>
        <w:t xml:space="preserve">The purpose of this policy is to </w:t>
      </w:r>
      <w:r w:rsidRPr="00A3011D">
        <w:rPr>
          <w:rFonts w:cs="Arial"/>
          <w:color w:val="000000" w:themeColor="text1"/>
        </w:rPr>
        <w:t>outline Griffith’s position on the:</w:t>
      </w:r>
    </w:p>
    <w:p w14:paraId="7BBD3BAE" w14:textId="77777777" w:rsidR="00A3011D" w:rsidRPr="00A3011D" w:rsidRDefault="00A3011D" w:rsidP="00A3011D">
      <w:pPr>
        <w:pStyle w:val="NormalWhite"/>
        <w:numPr>
          <w:ilvl w:val="0"/>
          <w:numId w:val="37"/>
        </w:numPr>
        <w:spacing w:before="80" w:after="80" w:line="276" w:lineRule="auto"/>
        <w:rPr>
          <w:rFonts w:cs="Arial"/>
          <w:color w:val="000000" w:themeColor="text1"/>
          <w:sz w:val="22"/>
        </w:rPr>
      </w:pPr>
      <w:r w:rsidRPr="00A3011D">
        <w:rPr>
          <w:rFonts w:cs="Arial"/>
          <w:color w:val="000000" w:themeColor="text1"/>
          <w:sz w:val="22"/>
        </w:rPr>
        <w:t>location of work</w:t>
      </w:r>
    </w:p>
    <w:p w14:paraId="25A7705C" w14:textId="77777777" w:rsidR="00A3011D" w:rsidRPr="00A3011D" w:rsidRDefault="00A3011D" w:rsidP="00A3011D">
      <w:pPr>
        <w:pStyle w:val="NormalWhite"/>
        <w:numPr>
          <w:ilvl w:val="0"/>
          <w:numId w:val="37"/>
        </w:numPr>
        <w:spacing w:before="80" w:after="80" w:line="276" w:lineRule="auto"/>
        <w:rPr>
          <w:rFonts w:cs="Arial"/>
          <w:color w:val="000000" w:themeColor="text1"/>
          <w:sz w:val="22"/>
        </w:rPr>
      </w:pPr>
      <w:r w:rsidRPr="00A3011D">
        <w:rPr>
          <w:rFonts w:cs="Arial"/>
          <w:color w:val="000000" w:themeColor="text1"/>
          <w:sz w:val="22"/>
        </w:rPr>
        <w:t>w</w:t>
      </w:r>
      <w:r w:rsidRPr="00A3011D">
        <w:rPr>
          <w:rFonts w:cs="Arial"/>
          <w:color w:val="000000"/>
          <w:spacing w:val="2"/>
          <w:sz w:val="22"/>
          <w:shd w:val="clear" w:color="auto" w:fill="FFFFFF"/>
        </w:rPr>
        <w:t xml:space="preserve">ork design </w:t>
      </w:r>
      <w:r w:rsidRPr="00A3011D">
        <w:rPr>
          <w:rFonts w:cs="Arial"/>
          <w:color w:val="000000" w:themeColor="text1"/>
          <w:sz w:val="22"/>
        </w:rPr>
        <w:t xml:space="preserve">principles that provide supervisors and heads of element with a balanced approach to decision making on work locations for staff. </w:t>
      </w:r>
    </w:p>
    <w:p w14:paraId="238E2D80" w14:textId="77777777" w:rsidR="00A3011D" w:rsidRPr="00A3011D" w:rsidRDefault="00A3011D" w:rsidP="00A3011D">
      <w:pPr>
        <w:spacing w:before="80" w:after="80"/>
        <w:jc w:val="both"/>
        <w:rPr>
          <w:rFonts w:cs="Arial"/>
          <w:color w:val="000000" w:themeColor="text1"/>
        </w:rPr>
      </w:pPr>
      <w:r w:rsidRPr="00A3011D">
        <w:rPr>
          <w:rFonts w:cs="Arial"/>
          <w:shd w:val="clear" w:color="auto" w:fill="FFFFFF"/>
        </w:rPr>
        <w:t xml:space="preserve">This policy was first introduced in 2021, taking into context the COVID environment. At that time, it was agreed to update the policy following University-wide consultation. The consultation indicated broad acceptance of the approach, consequently this Policy is extended until the end of 2025. </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1FB31FB3" w:rsidR="00A144B2" w:rsidRPr="00AC0FEF" w:rsidRDefault="00A3011D" w:rsidP="00AC0FEF">
      <w:pPr>
        <w:rPr>
          <w:rFonts w:eastAsia="Calibri" w:cs="Arial"/>
        </w:rPr>
      </w:pPr>
      <w:r>
        <w:rPr>
          <w:rFonts w:cs="Arial"/>
          <w:color w:val="000000"/>
          <w:spacing w:val="2"/>
          <w:shd w:val="clear" w:color="auto" w:fill="FFFFFF"/>
        </w:rPr>
        <w:t>This policy applies to staff.</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4C71E02D" w14:textId="77777777" w:rsidR="00A3011D" w:rsidRPr="00A3011D" w:rsidRDefault="00A3011D" w:rsidP="00A3011D">
      <w:pPr>
        <w:spacing w:line="276" w:lineRule="auto"/>
        <w:rPr>
          <w:rFonts w:cs="Arial"/>
          <w:color w:val="000000" w:themeColor="text1"/>
        </w:rPr>
      </w:pPr>
      <w:r w:rsidRPr="00A3011D">
        <w:rPr>
          <w:rFonts w:cs="Arial"/>
          <w:color w:val="000000" w:themeColor="text1"/>
        </w:rPr>
        <w:t xml:space="preserve">Ordinarily, and when safe to do so, it is expected that staff will work the majority of their workdays on campus. This preference supports the University to create a collegial engagement based on teamworking and support the delivery of high-quality teaching and learning and research. </w:t>
      </w:r>
      <w:r w:rsidRPr="00A3011D">
        <w:rPr>
          <w:rStyle w:val="CommentReference"/>
          <w:rFonts w:cs="Arial"/>
          <w:sz w:val="22"/>
          <w:szCs w:val="22"/>
        </w:rPr>
        <w:t>While certain employees have rights to request flexible work (e.g., reduction in days or hours), working from home is not suitable for high need supervision of children as this is a conflict with the employee being under the direction and control of the employer.</w:t>
      </w:r>
    </w:p>
    <w:p w14:paraId="47B1EF0C" w14:textId="77777777" w:rsidR="00A3011D" w:rsidRPr="00A3011D" w:rsidRDefault="00A3011D" w:rsidP="00A3011D">
      <w:pPr>
        <w:spacing w:line="276" w:lineRule="auto"/>
        <w:rPr>
          <w:rFonts w:cs="Arial"/>
          <w:color w:val="000000" w:themeColor="text1"/>
        </w:rPr>
      </w:pPr>
      <w:r w:rsidRPr="00A3011D">
        <w:rPr>
          <w:rFonts w:cs="Arial"/>
          <w:color w:val="000000" w:themeColor="text1"/>
        </w:rPr>
        <w:t xml:space="preserve">All reasonable requests for staff to work flexibly (such as from home) will be considered by supervisors, who will respond with due consideration of legislative requirements and whether the request can be supported based on the operational requirements of the University. These considerations will include balancing campus attendance across team members, for instance, to avoid all team members working from their residence on the same day of the week. Although some individuals nominally agree specific days to work off campus, a manager may change these arrangements based on operational requirements. Such situations include, but are not limited to, campus-based teaching commitments, required attendance at specific meetings where, due to the nature of the meeting, the chair has requested face-to-face attendance and where a colleague normally present on campus during that day is not available to attend work. </w:t>
      </w:r>
    </w:p>
    <w:p w14:paraId="102C6AE4" w14:textId="77777777" w:rsidR="00A3011D" w:rsidRPr="00A3011D" w:rsidRDefault="00A3011D" w:rsidP="00A3011D">
      <w:pPr>
        <w:spacing w:line="276" w:lineRule="auto"/>
        <w:rPr>
          <w:rFonts w:cs="Arial"/>
          <w:color w:val="000000" w:themeColor="text1"/>
        </w:rPr>
      </w:pPr>
      <w:r w:rsidRPr="00A3011D">
        <w:rPr>
          <w:rFonts w:cs="Arial"/>
          <w:color w:val="000000" w:themeColor="text1"/>
        </w:rPr>
        <w:t xml:space="preserve">The University’s preference is that where such requests are supported, up to 40% of the workweek is the preferred arrangement, unless a case has been made that supports an alternative arrangement. </w:t>
      </w:r>
    </w:p>
    <w:p w14:paraId="130D63E7" w14:textId="77777777" w:rsidR="00A3011D" w:rsidRPr="00A3011D" w:rsidRDefault="00A3011D" w:rsidP="00A3011D">
      <w:pPr>
        <w:spacing w:line="276" w:lineRule="auto"/>
        <w:rPr>
          <w:rFonts w:cs="Arial"/>
          <w:b/>
          <w:color w:val="000000" w:themeColor="text1"/>
        </w:rPr>
      </w:pPr>
      <w:r w:rsidRPr="00A3011D">
        <w:rPr>
          <w:rFonts w:cs="Arial"/>
          <w:color w:val="000000" w:themeColor="text1"/>
        </w:rPr>
        <w:lastRenderedPageBreak/>
        <w:t xml:space="preserve">Any residential-based working is by agreement or direction, and includes the satisfactory completion of the </w:t>
      </w:r>
      <w:bookmarkStart w:id="3" w:name="_Hlk70604916"/>
      <w:bookmarkStart w:id="4" w:name="_Hlk70414976"/>
      <w:r w:rsidRPr="00A3011D">
        <w:rPr>
          <w:rFonts w:cs="Arial"/>
          <w:bCs/>
          <w:i/>
          <w:iCs/>
          <w:color w:val="000000" w:themeColor="text1"/>
        </w:rPr>
        <w:fldChar w:fldCharType="begin"/>
      </w:r>
      <w:r w:rsidRPr="00A3011D">
        <w:rPr>
          <w:rFonts w:cs="Arial"/>
          <w:bCs/>
          <w:i/>
          <w:iCs/>
          <w:color w:val="000000" w:themeColor="text1"/>
        </w:rPr>
        <w:instrText>HYPERLINK "https://www.griffith.edu.au/__data/assets/word_doc/0030/1332759/Working-From-a-Residential-Worksite-checklist.docx"</w:instrText>
      </w:r>
      <w:r w:rsidRPr="00A3011D">
        <w:rPr>
          <w:rFonts w:cs="Arial"/>
          <w:bCs/>
          <w:i/>
          <w:iCs/>
          <w:color w:val="000000" w:themeColor="text1"/>
        </w:rPr>
      </w:r>
      <w:r w:rsidRPr="00A3011D">
        <w:rPr>
          <w:rFonts w:cs="Arial"/>
          <w:bCs/>
          <w:i/>
          <w:iCs/>
          <w:color w:val="000000" w:themeColor="text1"/>
        </w:rPr>
        <w:fldChar w:fldCharType="separate"/>
      </w:r>
      <w:r w:rsidRPr="00A3011D">
        <w:rPr>
          <w:rStyle w:val="Hyperlink"/>
          <w:rFonts w:cs="Arial"/>
          <w:bCs/>
          <w:i/>
          <w:iCs/>
        </w:rPr>
        <w:t>Working from a Residential Worksite: Self-Assessment Checklist</w:t>
      </w:r>
      <w:r w:rsidRPr="00A3011D">
        <w:rPr>
          <w:rFonts w:cs="Arial"/>
          <w:bCs/>
          <w:i/>
          <w:iCs/>
          <w:color w:val="000000" w:themeColor="text1"/>
        </w:rPr>
        <w:fldChar w:fldCharType="end"/>
      </w:r>
      <w:bookmarkEnd w:id="3"/>
      <w:r w:rsidRPr="00A3011D">
        <w:rPr>
          <w:rFonts w:cs="Arial"/>
          <w:b/>
          <w:color w:val="000000" w:themeColor="text1"/>
        </w:rPr>
        <w:t xml:space="preserve"> </w:t>
      </w:r>
      <w:bookmarkEnd w:id="4"/>
      <w:r w:rsidRPr="00A3011D">
        <w:rPr>
          <w:rStyle w:val="Hyperlink"/>
          <w:rFonts w:cs="Arial"/>
          <w:color w:val="000000" w:themeColor="text1"/>
        </w:rPr>
        <w:t>prior to commencing and if there are changes to the residential-based working arrangements.</w:t>
      </w:r>
      <w:r w:rsidRPr="00A3011D">
        <w:rPr>
          <w:rFonts w:cs="Arial"/>
          <w:color w:val="000000" w:themeColor="text1"/>
        </w:rPr>
        <w:t xml:space="preserve"> </w:t>
      </w:r>
    </w:p>
    <w:p w14:paraId="03BE5BCE" w14:textId="77777777" w:rsidR="00A3011D" w:rsidRPr="00A3011D" w:rsidRDefault="00A3011D" w:rsidP="00A3011D">
      <w:pPr>
        <w:spacing w:line="276" w:lineRule="auto"/>
        <w:rPr>
          <w:rFonts w:cs="Arial"/>
        </w:rPr>
      </w:pPr>
      <w:r w:rsidRPr="00A3011D">
        <w:rPr>
          <w:rFonts w:cs="Arial"/>
        </w:rPr>
        <w:t xml:space="preserve">Arrangements will be made for a set period of time of up to 1 year in duration but may be renewed if both parties agree. During the agreed period, arrangements may be reviewed and cancelled or modified if work requirements change or productivity issues are identified. </w:t>
      </w:r>
    </w:p>
    <w:p w14:paraId="38D49ADE" w14:textId="77777777" w:rsidR="00A3011D" w:rsidRPr="00A3011D" w:rsidRDefault="00A3011D" w:rsidP="00A3011D">
      <w:pPr>
        <w:spacing w:line="276" w:lineRule="auto"/>
        <w:rPr>
          <w:rFonts w:cs="Arial"/>
        </w:rPr>
      </w:pPr>
      <w:r w:rsidRPr="00A3011D">
        <w:rPr>
          <w:rFonts w:cs="Arial"/>
        </w:rPr>
        <w:t xml:space="preserve">The University may require a staff member to work from a residential location (for example, due to a government direction or for necessary health and safety reasons). In circumstances where this occurs, the University will communicate this with the affected staff member/s. </w:t>
      </w:r>
    </w:p>
    <w:p w14:paraId="4F4616DB" w14:textId="77777777" w:rsidR="00A3011D" w:rsidRPr="00A3011D" w:rsidRDefault="00A3011D" w:rsidP="00A3011D">
      <w:pPr>
        <w:pStyle w:val="NormalWhite"/>
        <w:spacing w:line="276" w:lineRule="auto"/>
        <w:ind w:right="1353"/>
        <w:jc w:val="left"/>
        <w:rPr>
          <w:rFonts w:cs="Arial"/>
          <w:color w:val="000000" w:themeColor="text1"/>
          <w:sz w:val="22"/>
        </w:rPr>
      </w:pPr>
      <w:r w:rsidRPr="00A3011D">
        <w:rPr>
          <w:rFonts w:cs="Arial"/>
          <w:color w:val="000000" w:themeColor="text1"/>
          <w:sz w:val="22"/>
        </w:rPr>
        <w:t xml:space="preserve">Supervisors, in consultation with the head of the element, make decisions on </w:t>
      </w:r>
      <w:bookmarkStart w:id="5" w:name="_Hlk66803172"/>
      <w:r w:rsidRPr="00A3011D">
        <w:rPr>
          <w:rFonts w:cs="Arial"/>
          <w:color w:val="000000" w:themeColor="text1"/>
          <w:sz w:val="22"/>
        </w:rPr>
        <w:t xml:space="preserve">alternative work locations </w:t>
      </w:r>
      <w:bookmarkEnd w:id="5"/>
      <w:r w:rsidRPr="00A3011D">
        <w:rPr>
          <w:rFonts w:cs="Arial"/>
          <w:color w:val="000000" w:themeColor="text1"/>
          <w:sz w:val="22"/>
        </w:rPr>
        <w:t>by considering the following principles:</w:t>
      </w:r>
    </w:p>
    <w:p w14:paraId="4EE7B217" w14:textId="77777777" w:rsidR="00A3011D" w:rsidRPr="00A3011D" w:rsidRDefault="00A3011D" w:rsidP="00A3011D">
      <w:pPr>
        <w:pStyle w:val="NormalWhite"/>
        <w:numPr>
          <w:ilvl w:val="0"/>
          <w:numId w:val="37"/>
        </w:numPr>
        <w:spacing w:line="276" w:lineRule="auto"/>
        <w:ind w:right="786"/>
        <w:jc w:val="left"/>
        <w:rPr>
          <w:rFonts w:cs="Arial"/>
          <w:color w:val="000000" w:themeColor="text1"/>
          <w:sz w:val="22"/>
        </w:rPr>
      </w:pPr>
      <w:r w:rsidRPr="00A3011D">
        <w:rPr>
          <w:rFonts w:cs="Arial"/>
          <w:color w:val="000000" w:themeColor="text1"/>
          <w:sz w:val="22"/>
        </w:rPr>
        <w:t xml:space="preserve">The inherent requirements of the job, or aspect of the job, informs where the work is best undertaken. </w:t>
      </w:r>
    </w:p>
    <w:p w14:paraId="29A7F0BA" w14:textId="77777777" w:rsidR="00A3011D" w:rsidRPr="00A3011D" w:rsidRDefault="00A3011D" w:rsidP="00A3011D">
      <w:pPr>
        <w:pStyle w:val="NormalWhite"/>
        <w:numPr>
          <w:ilvl w:val="0"/>
          <w:numId w:val="37"/>
        </w:numPr>
        <w:spacing w:line="276" w:lineRule="auto"/>
        <w:jc w:val="left"/>
        <w:rPr>
          <w:rFonts w:cs="Arial"/>
          <w:color w:val="000000" w:themeColor="text1"/>
          <w:sz w:val="22"/>
        </w:rPr>
      </w:pPr>
      <w:r w:rsidRPr="00A3011D">
        <w:rPr>
          <w:rFonts w:cs="Arial"/>
          <w:color w:val="000000" w:themeColor="text1"/>
          <w:sz w:val="22"/>
        </w:rPr>
        <w:t>Work location supports and maintains business continuity.</w:t>
      </w:r>
    </w:p>
    <w:p w14:paraId="2ACAD747" w14:textId="77777777" w:rsidR="00A3011D" w:rsidRPr="00A3011D" w:rsidRDefault="00A3011D" w:rsidP="00A3011D">
      <w:pPr>
        <w:pStyle w:val="NormalWhite"/>
        <w:numPr>
          <w:ilvl w:val="0"/>
          <w:numId w:val="37"/>
        </w:numPr>
        <w:spacing w:line="276" w:lineRule="auto"/>
        <w:jc w:val="left"/>
        <w:rPr>
          <w:rFonts w:cs="Arial"/>
          <w:color w:val="000000" w:themeColor="text1"/>
          <w:sz w:val="22"/>
        </w:rPr>
      </w:pPr>
      <w:r w:rsidRPr="00A3011D">
        <w:rPr>
          <w:rFonts w:cs="Arial"/>
          <w:color w:val="000000" w:themeColor="text1"/>
          <w:sz w:val="22"/>
        </w:rPr>
        <w:t xml:space="preserve">The availability of physical and digital resources will determine whether differing work locations are possible. </w:t>
      </w:r>
    </w:p>
    <w:p w14:paraId="42B1921D" w14:textId="77777777" w:rsidR="00A3011D" w:rsidRPr="00A3011D" w:rsidRDefault="00A3011D" w:rsidP="00A3011D">
      <w:pPr>
        <w:pStyle w:val="NormalWhite"/>
        <w:numPr>
          <w:ilvl w:val="0"/>
          <w:numId w:val="37"/>
        </w:numPr>
        <w:spacing w:line="276" w:lineRule="auto"/>
        <w:jc w:val="left"/>
        <w:rPr>
          <w:rFonts w:cs="Arial"/>
          <w:color w:val="000000" w:themeColor="text1"/>
          <w:sz w:val="22"/>
        </w:rPr>
      </w:pPr>
      <w:r w:rsidRPr="00A3011D">
        <w:rPr>
          <w:rFonts w:cs="Arial"/>
          <w:color w:val="000000" w:themeColor="text1"/>
          <w:sz w:val="22"/>
        </w:rPr>
        <w:t>Any such arrangement is made based on ensuring the operational requirements and needs of the organisation continue to be met, and the needs of the team and individuals are understood and considered when making a decision.</w:t>
      </w:r>
    </w:p>
    <w:p w14:paraId="313F3BC7" w14:textId="77777777" w:rsidR="00A3011D" w:rsidRPr="00A3011D" w:rsidRDefault="00A3011D" w:rsidP="00A3011D">
      <w:pPr>
        <w:pStyle w:val="BulletPoints"/>
        <w:numPr>
          <w:ilvl w:val="0"/>
          <w:numId w:val="1"/>
        </w:numPr>
        <w:spacing w:before="120" w:after="120"/>
        <w:ind w:left="720"/>
        <w:rPr>
          <w:rFonts w:ascii="Arial" w:hAnsi="Arial" w:cs="Arial"/>
          <w:sz w:val="22"/>
        </w:rPr>
      </w:pPr>
      <w:r w:rsidRPr="00A3011D">
        <w:rPr>
          <w:rFonts w:ascii="Arial" w:hAnsi="Arial" w:cs="Arial"/>
          <w:sz w:val="22"/>
        </w:rPr>
        <w:t xml:space="preserve">Flexibility related, and work health and safety legislative obligations are adhered to (for example, </w:t>
      </w:r>
      <w:hyperlink r:id="rId10" w:history="1">
        <w:r w:rsidRPr="00A3011D">
          <w:rPr>
            <w:rStyle w:val="Hyperlink"/>
            <w:rFonts w:ascii="Arial" w:hAnsi="Arial" w:cs="Arial"/>
            <w:sz w:val="22"/>
          </w:rPr>
          <w:t>Fair Work Act 2009</w:t>
        </w:r>
      </w:hyperlink>
      <w:r w:rsidRPr="00A3011D">
        <w:rPr>
          <w:rFonts w:ascii="Arial" w:hAnsi="Arial" w:cs="Arial"/>
          <w:sz w:val="22"/>
        </w:rPr>
        <w:t xml:space="preserve"> including Part 2-2 The National Employment Standards, Division 4 – Requests for flexible working arrangements, section 65; </w:t>
      </w:r>
      <w:hyperlink r:id="rId11" w:history="1">
        <w:r w:rsidRPr="00A3011D">
          <w:rPr>
            <w:rStyle w:val="Hyperlink"/>
            <w:rFonts w:ascii="Arial" w:hAnsi="Arial" w:cs="Arial"/>
            <w:sz w:val="22"/>
          </w:rPr>
          <w:t>Work Health and Safety Act 2011</w:t>
        </w:r>
      </w:hyperlink>
      <w:r w:rsidRPr="00A3011D">
        <w:rPr>
          <w:rFonts w:ascii="Arial" w:hAnsi="Arial" w:cs="Arial"/>
          <w:sz w:val="22"/>
        </w:rPr>
        <w:t>). Decisions will not be discriminatory (in alignment with relevant State and Commonwealth legislation).</w:t>
      </w:r>
    </w:p>
    <w:p w14:paraId="61E50194" w14:textId="77777777" w:rsidR="00A3011D" w:rsidRPr="00A3011D" w:rsidRDefault="00A3011D" w:rsidP="00A3011D">
      <w:pPr>
        <w:pStyle w:val="NormalWhite"/>
        <w:numPr>
          <w:ilvl w:val="0"/>
          <w:numId w:val="37"/>
        </w:numPr>
        <w:spacing w:line="276" w:lineRule="auto"/>
        <w:jc w:val="left"/>
        <w:rPr>
          <w:rFonts w:cs="Arial"/>
          <w:color w:val="000000" w:themeColor="text1"/>
          <w:sz w:val="22"/>
          <w:lang w:eastAsia="en-GB"/>
        </w:rPr>
      </w:pPr>
      <w:r w:rsidRPr="00A3011D">
        <w:rPr>
          <w:rFonts w:cs="Arial"/>
          <w:color w:val="000000" w:themeColor="text1"/>
          <w:sz w:val="22"/>
        </w:rPr>
        <w:t>Work in alternative locations can be an important diversity and inclusion, talent attraction and retention measure.</w:t>
      </w:r>
    </w:p>
    <w:p w14:paraId="60CA628F" w14:textId="337CEFD8" w:rsidR="0012692F" w:rsidRPr="004922AF" w:rsidRDefault="00A3011D" w:rsidP="00A3011D">
      <w:pPr>
        <w:spacing w:line="276" w:lineRule="auto"/>
        <w:rPr>
          <w:rFonts w:cs="Arial"/>
        </w:rPr>
      </w:pPr>
      <w:r w:rsidRPr="00A3011D">
        <w:rPr>
          <w:rFonts w:cs="Arial"/>
          <w:color w:val="000000" w:themeColor="text1"/>
          <w:lang w:eastAsia="en-GB"/>
        </w:rPr>
        <w:t xml:space="preserve">Working interstate longer term (90 days or more) has leave and payroll tax implications and must be disclosed to Griffith </w:t>
      </w:r>
      <w:hyperlink r:id="rId12" w:history="1">
        <w:r w:rsidRPr="00A3011D">
          <w:rPr>
            <w:rStyle w:val="Hyperlink"/>
            <w:rFonts w:cs="Arial"/>
            <w:lang w:eastAsia="en-GB"/>
          </w:rPr>
          <w:t>payroll</w:t>
        </w:r>
      </w:hyperlink>
      <w:r w:rsidRPr="00A3011D">
        <w:rPr>
          <w:rFonts w:cs="Arial"/>
          <w:color w:val="000000" w:themeColor="text1"/>
          <w:lang w:eastAsia="en-GB"/>
        </w:rPr>
        <w:t>.</w:t>
      </w:r>
      <w:r w:rsidR="00493EC2" w:rsidRPr="00AC0FEF">
        <w:t xml:space="preserve"> </w:t>
      </w:r>
      <w:bookmarkStart w:id="6" w:name="_3.1_[Insert_sub-heading]"/>
      <w:bookmarkEnd w:id="6"/>
    </w:p>
    <w:p w14:paraId="4F33FC76" w14:textId="3D2FDD81" w:rsidR="0012692F" w:rsidRPr="001520D3" w:rsidRDefault="00565F5B" w:rsidP="0012692F">
      <w:pPr>
        <w:pStyle w:val="Heading3"/>
        <w:ind w:left="567"/>
        <w:rPr>
          <w:rFonts w:ascii="Griffith Sans Text" w:hAnsi="Griffith Sans Text"/>
        </w:rPr>
      </w:pPr>
      <w:r w:rsidRPr="00565F5B">
        <w:rPr>
          <w:rFonts w:ascii="Griffith Sans Text" w:hAnsi="Griffith Sans Text"/>
        </w:rPr>
        <w:t>3.1 Health, safety and wellbeing and working from an alternative work location</w:t>
      </w:r>
    </w:p>
    <w:p w14:paraId="1D58EE87" w14:textId="77777777" w:rsidR="00565F5B" w:rsidRPr="009E7764" w:rsidRDefault="00565F5B" w:rsidP="00565F5B">
      <w:pPr>
        <w:spacing w:before="80" w:after="80"/>
        <w:ind w:left="567"/>
        <w:jc w:val="both"/>
        <w:rPr>
          <w:rFonts w:cs="Arial"/>
        </w:rPr>
      </w:pPr>
      <w:r w:rsidRPr="009E7764">
        <w:rPr>
          <w:rFonts w:cs="Arial"/>
        </w:rPr>
        <w:t xml:space="preserve">When </w:t>
      </w:r>
      <w:hyperlink r:id="rId13" w:history="1">
        <w:r w:rsidRPr="009E7764">
          <w:rPr>
            <w:rFonts w:cs="Arial"/>
            <w:color w:val="E30918"/>
            <w:u w:val="single"/>
          </w:rPr>
          <w:t>working remotely</w:t>
        </w:r>
      </w:hyperlink>
      <w:r w:rsidRPr="009E7764">
        <w:rPr>
          <w:rFonts w:cs="Arial"/>
        </w:rPr>
        <w:t xml:space="preserve">, in accordance with the </w:t>
      </w:r>
      <w:hyperlink r:id="rId14" w:history="1">
        <w:r w:rsidRPr="009E7764">
          <w:rPr>
            <w:rFonts w:cs="Arial"/>
            <w:color w:val="E30918"/>
            <w:u w:val="single"/>
          </w:rPr>
          <w:t>Work Health and Safety Act 2011</w:t>
        </w:r>
      </w:hyperlink>
      <w:r w:rsidRPr="009E7764">
        <w:rPr>
          <w:rFonts w:cs="Arial"/>
        </w:rPr>
        <w:t xml:space="preserve"> and Griffith’s </w:t>
      </w:r>
      <w:hyperlink r:id="rId15" w:history="1">
        <w:r w:rsidRPr="009E7764">
          <w:rPr>
            <w:rFonts w:cs="Arial"/>
            <w:color w:val="E30918"/>
            <w:u w:val="single"/>
          </w:rPr>
          <w:t>Health, Safety and Wellbeing policy</w:t>
        </w:r>
      </w:hyperlink>
      <w:r w:rsidRPr="009E7764">
        <w:rPr>
          <w:rFonts w:cs="Arial"/>
        </w:rPr>
        <w:t>:</w:t>
      </w:r>
    </w:p>
    <w:p w14:paraId="77C3753A" w14:textId="77777777" w:rsidR="00565F5B" w:rsidRPr="009E7764" w:rsidRDefault="00565F5B" w:rsidP="00565F5B">
      <w:pPr>
        <w:numPr>
          <w:ilvl w:val="1"/>
          <w:numId w:val="38"/>
        </w:numPr>
        <w:spacing w:before="80" w:after="80" w:line="276" w:lineRule="auto"/>
        <w:ind w:left="567" w:right="1353" w:firstLine="0"/>
        <w:jc w:val="both"/>
        <w:rPr>
          <w:rFonts w:cs="Arial"/>
          <w:color w:val="000000" w:themeColor="text1"/>
          <w:szCs w:val="20"/>
          <w:lang w:eastAsia="en-GB"/>
        </w:rPr>
      </w:pPr>
      <w:r w:rsidRPr="009E7764">
        <w:rPr>
          <w:rFonts w:cs="Arial"/>
          <w:color w:val="000000" w:themeColor="text1"/>
          <w:szCs w:val="20"/>
          <w:lang w:eastAsia="en-GB"/>
        </w:rPr>
        <w:t xml:space="preserve">the workspace must be a safe area to work (staff members must complete the </w:t>
      </w:r>
      <w:hyperlink r:id="rId16" w:history="1">
        <w:r w:rsidRPr="009E7764">
          <w:rPr>
            <w:rStyle w:val="Hyperlink"/>
            <w:rFonts w:cs="Arial"/>
            <w:bCs/>
            <w:i/>
            <w:iCs/>
            <w:szCs w:val="20"/>
            <w:lang w:eastAsia="en-GB"/>
          </w:rPr>
          <w:t>Working from a Residential Worksite: Self-Assessment Checklist</w:t>
        </w:r>
      </w:hyperlink>
      <w:r w:rsidRPr="009E7764">
        <w:rPr>
          <w:rFonts w:cs="Arial"/>
          <w:color w:val="000000" w:themeColor="text1"/>
          <w:szCs w:val="20"/>
          <w:lang w:eastAsia="en-GB"/>
        </w:rPr>
        <w:t>)</w:t>
      </w:r>
    </w:p>
    <w:p w14:paraId="20751727" w14:textId="77777777" w:rsidR="00565F5B" w:rsidRPr="009E7764" w:rsidRDefault="00565F5B" w:rsidP="00565F5B">
      <w:pPr>
        <w:numPr>
          <w:ilvl w:val="1"/>
          <w:numId w:val="38"/>
        </w:numPr>
        <w:spacing w:before="80" w:after="80" w:line="276" w:lineRule="auto"/>
        <w:ind w:left="567" w:firstLine="0"/>
        <w:jc w:val="both"/>
        <w:rPr>
          <w:rFonts w:cs="Arial"/>
          <w:color w:val="000000" w:themeColor="text1"/>
          <w:szCs w:val="20"/>
          <w:lang w:eastAsia="en-GB"/>
        </w:rPr>
      </w:pPr>
      <w:r w:rsidRPr="009E7764">
        <w:rPr>
          <w:rFonts w:cs="Arial"/>
          <w:color w:val="000000" w:themeColor="text1"/>
          <w:szCs w:val="20"/>
          <w:lang w:eastAsia="en-GB"/>
        </w:rPr>
        <w:t>staff members and supervisors continue to adhere to University policies and procedures</w:t>
      </w:r>
    </w:p>
    <w:p w14:paraId="4705E7FE" w14:textId="77777777" w:rsidR="00565F5B" w:rsidRPr="009E7764" w:rsidRDefault="00565F5B" w:rsidP="00565F5B">
      <w:pPr>
        <w:numPr>
          <w:ilvl w:val="1"/>
          <w:numId w:val="38"/>
        </w:numPr>
        <w:spacing w:before="80" w:after="200" w:line="276" w:lineRule="auto"/>
        <w:ind w:left="568" w:firstLine="0"/>
        <w:jc w:val="both"/>
        <w:rPr>
          <w:rFonts w:cs="Arial"/>
          <w:color w:val="000000" w:themeColor="text1"/>
          <w:szCs w:val="20"/>
          <w:lang w:eastAsia="en-GB"/>
        </w:rPr>
      </w:pPr>
      <w:r w:rsidRPr="009E7764">
        <w:rPr>
          <w:rFonts w:cs="Arial"/>
          <w:color w:val="000000" w:themeColor="text1"/>
          <w:szCs w:val="20"/>
          <w:lang w:eastAsia="en-GB"/>
        </w:rPr>
        <w:t xml:space="preserve">staff members are readily contactable during the agreed working hours. </w:t>
      </w:r>
    </w:p>
    <w:p w14:paraId="48A1D749" w14:textId="77777777" w:rsidR="00565F5B" w:rsidRPr="00A35EB9" w:rsidRDefault="00565F5B" w:rsidP="00565F5B">
      <w:pPr>
        <w:spacing w:before="80" w:after="80"/>
        <w:ind w:left="567"/>
        <w:jc w:val="both"/>
        <w:rPr>
          <w:rFonts w:cs="Arial"/>
          <w:color w:val="000000" w:themeColor="text1"/>
          <w:szCs w:val="20"/>
          <w:lang w:eastAsia="en-GB"/>
        </w:rPr>
      </w:pPr>
      <w:r w:rsidRPr="00A35EB9">
        <w:rPr>
          <w:rFonts w:cs="Arial"/>
          <w:color w:val="000000" w:themeColor="text1"/>
          <w:szCs w:val="20"/>
          <w:lang w:eastAsia="en-GB"/>
        </w:rPr>
        <w:t>The following items are to be checked and implemented by the staff member to ensure the workspace is adequate to complete the agreed duties in a safe manner:</w:t>
      </w:r>
    </w:p>
    <w:p w14:paraId="03CCE776" w14:textId="77777777" w:rsidR="00565F5B" w:rsidRPr="00A35EB9" w:rsidRDefault="00565F5B" w:rsidP="00565F5B">
      <w:pPr>
        <w:numPr>
          <w:ilvl w:val="0"/>
          <w:numId w:val="39"/>
        </w:numPr>
        <w:spacing w:before="80" w:after="80" w:line="276" w:lineRule="auto"/>
        <w:ind w:left="567" w:firstLine="0"/>
        <w:jc w:val="both"/>
        <w:rPr>
          <w:rFonts w:cs="Arial"/>
          <w:color w:val="000000" w:themeColor="text1"/>
          <w:szCs w:val="20"/>
          <w:lang w:eastAsia="en-GB"/>
        </w:rPr>
      </w:pPr>
      <w:r w:rsidRPr="00A35EB9">
        <w:rPr>
          <w:rFonts w:cs="Arial"/>
          <w:b/>
          <w:bCs/>
          <w:color w:val="000000" w:themeColor="text1"/>
          <w:szCs w:val="20"/>
          <w:lang w:eastAsia="en-GB"/>
        </w:rPr>
        <w:t xml:space="preserve">The </w:t>
      </w:r>
      <w:r>
        <w:rPr>
          <w:rFonts w:cs="Arial"/>
          <w:b/>
          <w:bCs/>
          <w:color w:val="000000" w:themeColor="text1"/>
          <w:szCs w:val="20"/>
          <w:lang w:eastAsia="en-GB"/>
        </w:rPr>
        <w:t>residential</w:t>
      </w:r>
      <w:r w:rsidRPr="00A35EB9">
        <w:rPr>
          <w:rFonts w:cs="Arial"/>
          <w:b/>
          <w:bCs/>
          <w:color w:val="000000" w:themeColor="text1"/>
          <w:szCs w:val="20"/>
          <w:lang w:eastAsia="en-GB"/>
        </w:rPr>
        <w:t xml:space="preserve"> work-site </w:t>
      </w:r>
      <w:r w:rsidRPr="00A35EB9">
        <w:rPr>
          <w:rFonts w:cs="Arial"/>
          <w:color w:val="000000" w:themeColor="text1"/>
          <w:szCs w:val="20"/>
          <w:lang w:eastAsia="en-GB"/>
        </w:rPr>
        <w:t>– The work-site must be compliant and maintained within Building Laws and Codes and any other relevant legislation, for example, Electrical Safety, Building Fire Safety.</w:t>
      </w:r>
    </w:p>
    <w:p w14:paraId="66D84878" w14:textId="77777777" w:rsidR="00565F5B" w:rsidRPr="00A35EB9" w:rsidRDefault="00565F5B" w:rsidP="00565F5B">
      <w:pPr>
        <w:numPr>
          <w:ilvl w:val="0"/>
          <w:numId w:val="39"/>
        </w:numPr>
        <w:spacing w:before="80" w:after="80" w:line="276" w:lineRule="auto"/>
        <w:ind w:left="567" w:firstLine="0"/>
        <w:jc w:val="both"/>
        <w:rPr>
          <w:rFonts w:cs="Arial"/>
          <w:color w:val="000000" w:themeColor="text1"/>
          <w:szCs w:val="20"/>
          <w:lang w:eastAsia="en-GB"/>
        </w:rPr>
      </w:pPr>
      <w:r w:rsidRPr="00A35EB9">
        <w:rPr>
          <w:rFonts w:cs="Arial"/>
          <w:b/>
          <w:bCs/>
          <w:color w:val="000000" w:themeColor="text1"/>
          <w:szCs w:val="20"/>
          <w:lang w:eastAsia="en-GB"/>
        </w:rPr>
        <w:lastRenderedPageBreak/>
        <w:t>Workstation Arrangements</w:t>
      </w:r>
      <w:r w:rsidRPr="00A35EB9">
        <w:rPr>
          <w:rFonts w:cs="Arial"/>
          <w:color w:val="000000" w:themeColor="text1"/>
          <w:szCs w:val="20"/>
          <w:lang w:eastAsia="en-GB"/>
        </w:rPr>
        <w:t xml:space="preserve"> – Refer to the</w:t>
      </w:r>
      <w:r>
        <w:rPr>
          <w:rFonts w:cs="Arial"/>
          <w:color w:val="000000" w:themeColor="text1"/>
          <w:szCs w:val="20"/>
          <w:lang w:eastAsia="en-GB"/>
        </w:rPr>
        <w:t xml:space="preserve"> </w:t>
      </w:r>
      <w:hyperlink r:id="rId17" w:history="1">
        <w:r w:rsidRPr="008741C6">
          <w:rPr>
            <w:rStyle w:val="Hyperlink"/>
            <w:rFonts w:cs="Arial"/>
            <w:bCs/>
            <w:i/>
            <w:iCs/>
            <w:szCs w:val="20"/>
            <w:lang w:eastAsia="en-GB"/>
          </w:rPr>
          <w:t>Working from a Residential Worksite: Self-Assessment Checklist</w:t>
        </w:r>
      </w:hyperlink>
      <w:r>
        <w:rPr>
          <w:rFonts w:cs="Arial"/>
          <w:color w:val="000000" w:themeColor="text1"/>
          <w:szCs w:val="20"/>
          <w:lang w:eastAsia="en-GB"/>
        </w:rPr>
        <w:t xml:space="preserve"> </w:t>
      </w:r>
      <w:r w:rsidRPr="00A35EB9">
        <w:rPr>
          <w:rFonts w:cs="Arial"/>
          <w:color w:val="000000" w:themeColor="text1"/>
          <w:szCs w:val="20"/>
          <w:lang w:eastAsia="en-GB"/>
        </w:rPr>
        <w:t xml:space="preserve">which must be completed if staff members are working from </w:t>
      </w:r>
      <w:r>
        <w:rPr>
          <w:rFonts w:cs="Arial"/>
          <w:color w:val="000000" w:themeColor="text1"/>
          <w:szCs w:val="20"/>
          <w:lang w:eastAsia="en-GB"/>
        </w:rPr>
        <w:t>a residential location</w:t>
      </w:r>
      <w:r w:rsidRPr="00A35EB9">
        <w:rPr>
          <w:rFonts w:cs="Arial"/>
          <w:color w:val="000000" w:themeColor="text1"/>
          <w:szCs w:val="20"/>
          <w:lang w:eastAsia="en-GB"/>
        </w:rPr>
        <w:t xml:space="preserve">. The </w:t>
      </w:r>
      <w:hyperlink r:id="rId18" w:history="1">
        <w:r w:rsidRPr="00A35EB9">
          <w:rPr>
            <w:rFonts w:cs="Arial"/>
            <w:color w:val="E30918"/>
            <w:szCs w:val="20"/>
            <w:u w:val="single"/>
            <w:lang w:eastAsia="en-GB"/>
          </w:rPr>
          <w:t>working remotely website</w:t>
        </w:r>
      </w:hyperlink>
      <w:r w:rsidRPr="00A35EB9">
        <w:rPr>
          <w:rFonts w:cs="Arial"/>
          <w:color w:val="000000" w:themeColor="text1"/>
          <w:szCs w:val="20"/>
          <w:lang w:eastAsia="en-GB"/>
        </w:rPr>
        <w:t xml:space="preserve"> also has information on workstation set-up.</w:t>
      </w:r>
    </w:p>
    <w:p w14:paraId="1261230D" w14:textId="77777777" w:rsidR="00565F5B" w:rsidRPr="00A35EB9" w:rsidRDefault="00565F5B" w:rsidP="00565F5B">
      <w:pPr>
        <w:numPr>
          <w:ilvl w:val="0"/>
          <w:numId w:val="39"/>
        </w:numPr>
        <w:spacing w:before="80" w:after="80" w:line="276" w:lineRule="auto"/>
        <w:ind w:left="567" w:firstLine="0"/>
        <w:jc w:val="both"/>
        <w:rPr>
          <w:rFonts w:cs="Arial"/>
          <w:color w:val="000000" w:themeColor="text1"/>
          <w:szCs w:val="20"/>
          <w:lang w:eastAsia="en-GB"/>
        </w:rPr>
      </w:pPr>
      <w:r w:rsidRPr="00A35EB9">
        <w:rPr>
          <w:rFonts w:cs="Arial"/>
          <w:b/>
          <w:bCs/>
          <w:color w:val="000000" w:themeColor="text1"/>
          <w:szCs w:val="20"/>
          <w:lang w:eastAsia="en-GB"/>
        </w:rPr>
        <w:t>Security</w:t>
      </w:r>
      <w:r w:rsidRPr="00A35EB9">
        <w:rPr>
          <w:rFonts w:cs="Arial"/>
          <w:color w:val="000000" w:themeColor="text1"/>
          <w:szCs w:val="20"/>
          <w:lang w:eastAsia="en-GB"/>
        </w:rPr>
        <w:t xml:space="preserve"> – If the work being undertaken requires sensitive or confidential documentation to be taken off-campus, this should be kept secure and returned to Griffith University.</w:t>
      </w:r>
    </w:p>
    <w:p w14:paraId="338A5C13" w14:textId="77777777" w:rsidR="00565F5B" w:rsidRPr="00A35EB9" w:rsidRDefault="00565F5B" w:rsidP="00565F5B">
      <w:pPr>
        <w:numPr>
          <w:ilvl w:val="0"/>
          <w:numId w:val="39"/>
        </w:numPr>
        <w:spacing w:before="80" w:after="80" w:line="276" w:lineRule="auto"/>
        <w:ind w:left="567" w:firstLine="0"/>
        <w:jc w:val="both"/>
        <w:rPr>
          <w:rFonts w:cs="Arial"/>
          <w:color w:val="000000" w:themeColor="text1"/>
          <w:szCs w:val="20"/>
          <w:lang w:eastAsia="en-GB"/>
        </w:rPr>
      </w:pPr>
      <w:r w:rsidRPr="00A35EB9">
        <w:rPr>
          <w:rFonts w:cs="Arial"/>
          <w:b/>
          <w:bCs/>
          <w:color w:val="000000" w:themeColor="text1"/>
          <w:szCs w:val="20"/>
          <w:lang w:eastAsia="en-GB"/>
        </w:rPr>
        <w:t>Other Professional Environments</w:t>
      </w:r>
      <w:r w:rsidRPr="00A35EB9">
        <w:rPr>
          <w:rFonts w:cs="Arial"/>
          <w:color w:val="000000" w:themeColor="text1"/>
          <w:szCs w:val="20"/>
          <w:lang w:eastAsia="en-GB"/>
        </w:rPr>
        <w:t xml:space="preserve"> – When working in another organisation, in addition to adhering to Griffith University policies and procedures, staff must follow the health and safety requirements and obligations of that organisation in their setting.</w:t>
      </w:r>
    </w:p>
    <w:p w14:paraId="18692604" w14:textId="5DFB2123" w:rsidR="0012692F" w:rsidRPr="004922AF" w:rsidRDefault="00565F5B" w:rsidP="00565F5B">
      <w:pPr>
        <w:pStyle w:val="NormalSubheading"/>
      </w:pPr>
      <w:r w:rsidRPr="00A35EB9">
        <w:rPr>
          <w:b/>
          <w:bCs/>
          <w:color w:val="000000" w:themeColor="text1"/>
          <w:szCs w:val="20"/>
          <w:lang w:eastAsia="en-GB"/>
        </w:rPr>
        <w:t>Insurance</w:t>
      </w:r>
      <w:r w:rsidRPr="00A35EB9">
        <w:rPr>
          <w:color w:val="000000" w:themeColor="text1"/>
          <w:szCs w:val="20"/>
          <w:lang w:eastAsia="en-GB"/>
        </w:rPr>
        <w:t xml:space="preserve"> – staff should discuss their personal insurance requirements with their insurance advisor.</w:t>
      </w:r>
    </w:p>
    <w:p w14:paraId="14E4378E" w14:textId="17B03E95" w:rsidR="0012692F" w:rsidRPr="001520D3" w:rsidRDefault="00565F5B" w:rsidP="0012692F">
      <w:pPr>
        <w:pStyle w:val="Heading3"/>
        <w:ind w:left="567"/>
        <w:rPr>
          <w:rFonts w:ascii="Griffith Sans Text" w:hAnsi="Griffith Sans Text"/>
        </w:rPr>
      </w:pPr>
      <w:bookmarkStart w:id="7" w:name="_3.2_[Insert_sub-heading]"/>
      <w:bookmarkEnd w:id="7"/>
      <w:r w:rsidRPr="00565F5B">
        <w:rPr>
          <w:rFonts w:ascii="Griffith Sans Text" w:hAnsi="Griffith Sans Text"/>
        </w:rPr>
        <w:t>3.2 Equipment and working from different locations</w:t>
      </w:r>
    </w:p>
    <w:p w14:paraId="6557A031" w14:textId="77777777" w:rsidR="00080988" w:rsidRPr="00365AF8" w:rsidRDefault="00080988" w:rsidP="00080988">
      <w:pPr>
        <w:spacing w:before="80" w:after="80"/>
        <w:ind w:firstLine="567"/>
        <w:jc w:val="both"/>
        <w:rPr>
          <w:rFonts w:cs="Arial"/>
          <w:color w:val="000000" w:themeColor="text1"/>
          <w:szCs w:val="20"/>
          <w:lang w:eastAsia="en-GB"/>
        </w:rPr>
      </w:pPr>
      <w:r w:rsidRPr="00365AF8">
        <w:rPr>
          <w:rFonts w:cs="Arial"/>
          <w:color w:val="000000" w:themeColor="text1"/>
          <w:szCs w:val="20"/>
          <w:lang w:eastAsia="en-GB"/>
        </w:rPr>
        <w:t xml:space="preserve">To enable staff to work at different work locations, where practical, </w:t>
      </w:r>
      <w:r>
        <w:rPr>
          <w:rFonts w:cs="Arial"/>
          <w:color w:val="000000" w:themeColor="text1"/>
          <w:szCs w:val="20"/>
          <w:lang w:eastAsia="en-GB"/>
        </w:rPr>
        <w:t>the University:</w:t>
      </w:r>
      <w:r w:rsidRPr="00365AF8">
        <w:rPr>
          <w:rFonts w:cs="Arial"/>
          <w:color w:val="000000" w:themeColor="text1"/>
          <w:szCs w:val="20"/>
          <w:lang w:eastAsia="en-GB"/>
        </w:rPr>
        <w:t xml:space="preserve"> </w:t>
      </w:r>
    </w:p>
    <w:p w14:paraId="6DA95C0D" w14:textId="77777777" w:rsidR="00080988" w:rsidRDefault="00080988" w:rsidP="00080988">
      <w:pPr>
        <w:pStyle w:val="ListParagraph"/>
        <w:numPr>
          <w:ilvl w:val="0"/>
          <w:numId w:val="40"/>
        </w:numPr>
        <w:spacing w:before="80" w:after="80" w:line="276" w:lineRule="auto"/>
        <w:ind w:hanging="153"/>
        <w:jc w:val="both"/>
        <w:rPr>
          <w:rFonts w:cs="Arial"/>
          <w:szCs w:val="20"/>
          <w:lang w:eastAsia="en-GB"/>
        </w:rPr>
      </w:pPr>
      <w:r>
        <w:rPr>
          <w:rFonts w:cs="Arial"/>
          <w:szCs w:val="20"/>
          <w:lang w:eastAsia="en-GB"/>
        </w:rPr>
        <w:t>will o</w:t>
      </w:r>
      <w:r w:rsidRPr="00365AF8">
        <w:rPr>
          <w:rFonts w:cs="Arial"/>
          <w:szCs w:val="20"/>
          <w:lang w:eastAsia="en-GB"/>
        </w:rPr>
        <w:t>rdinarily priorit</w:t>
      </w:r>
      <w:r>
        <w:rPr>
          <w:rFonts w:cs="Arial"/>
          <w:szCs w:val="20"/>
          <w:lang w:eastAsia="en-GB"/>
        </w:rPr>
        <w:t>ise</w:t>
      </w:r>
      <w:r w:rsidRPr="00365AF8">
        <w:rPr>
          <w:rFonts w:cs="Arial"/>
          <w:szCs w:val="20"/>
          <w:lang w:eastAsia="en-GB"/>
        </w:rPr>
        <w:t xml:space="preserve"> the acquisition of laptops</w:t>
      </w:r>
    </w:p>
    <w:p w14:paraId="153D6047" w14:textId="77777777" w:rsidR="00080988" w:rsidRDefault="00080988" w:rsidP="00080988">
      <w:pPr>
        <w:pStyle w:val="ListParagraph"/>
        <w:numPr>
          <w:ilvl w:val="0"/>
          <w:numId w:val="40"/>
        </w:numPr>
        <w:spacing w:before="80" w:after="80" w:line="276" w:lineRule="auto"/>
        <w:ind w:right="1353" w:hanging="153"/>
        <w:jc w:val="both"/>
        <w:rPr>
          <w:rFonts w:cs="Arial"/>
          <w:szCs w:val="20"/>
          <w:lang w:eastAsia="en-GB"/>
        </w:rPr>
      </w:pPr>
      <w:r>
        <w:rPr>
          <w:rFonts w:cs="Arial"/>
          <w:szCs w:val="20"/>
          <w:lang w:eastAsia="en-GB"/>
        </w:rPr>
        <w:t>will, as deemed appropriate, provide at the staff member’s primary work location, other technologies (such as monitors and docking stations) for their individual use</w:t>
      </w:r>
    </w:p>
    <w:p w14:paraId="6EA33984" w14:textId="77777777" w:rsidR="00080988" w:rsidRPr="00C16CC5" w:rsidRDefault="00080988" w:rsidP="00080988">
      <w:pPr>
        <w:pStyle w:val="ListParagraph"/>
        <w:numPr>
          <w:ilvl w:val="0"/>
          <w:numId w:val="40"/>
        </w:numPr>
        <w:spacing w:before="80" w:after="80" w:line="276" w:lineRule="auto"/>
        <w:ind w:right="927" w:hanging="153"/>
        <w:jc w:val="both"/>
        <w:rPr>
          <w:rFonts w:cs="Arial"/>
          <w:szCs w:val="20"/>
          <w:lang w:eastAsia="en-GB"/>
        </w:rPr>
      </w:pPr>
      <w:r>
        <w:rPr>
          <w:rFonts w:cs="Arial"/>
          <w:szCs w:val="20"/>
          <w:lang w:eastAsia="en-GB"/>
        </w:rPr>
        <w:t xml:space="preserve">will, where specific conditions necessitate and, where agreed as a formal arrangement (such as for staff with disabilities), provide equipment for residential-site use. Unless otherwise stated, when </w:t>
      </w:r>
      <w:r w:rsidRPr="000273B1">
        <w:rPr>
          <w:rFonts w:cs="Arial"/>
          <w:szCs w:val="20"/>
          <w:lang w:eastAsia="en-GB"/>
        </w:rPr>
        <w:t>a staff member ceases employment any University equipment must be returned</w:t>
      </w:r>
    </w:p>
    <w:p w14:paraId="06E25FDD" w14:textId="77777777" w:rsidR="00080988" w:rsidRDefault="00080988" w:rsidP="00080988">
      <w:pPr>
        <w:pStyle w:val="ListParagraph"/>
        <w:numPr>
          <w:ilvl w:val="0"/>
          <w:numId w:val="40"/>
        </w:numPr>
        <w:spacing w:before="80" w:after="80" w:line="276" w:lineRule="auto"/>
        <w:ind w:hanging="153"/>
        <w:jc w:val="both"/>
        <w:rPr>
          <w:rFonts w:cs="Arial"/>
          <w:szCs w:val="20"/>
          <w:lang w:eastAsia="en-GB"/>
        </w:rPr>
      </w:pPr>
      <w:r>
        <w:rPr>
          <w:rFonts w:cs="Arial"/>
          <w:szCs w:val="20"/>
          <w:lang w:eastAsia="en-GB"/>
        </w:rPr>
        <w:t>may, at an element level, make local arrangements, such as providing shared resources, to facilitate staff to work at other campuses</w:t>
      </w:r>
    </w:p>
    <w:p w14:paraId="35844BC5" w14:textId="77777777" w:rsidR="00080988" w:rsidRPr="001372D4" w:rsidRDefault="00080988" w:rsidP="00080988">
      <w:pPr>
        <w:pStyle w:val="ListParagraph"/>
        <w:numPr>
          <w:ilvl w:val="0"/>
          <w:numId w:val="40"/>
        </w:numPr>
        <w:spacing w:before="80" w:after="80" w:line="276" w:lineRule="auto"/>
        <w:ind w:hanging="153"/>
        <w:jc w:val="both"/>
        <w:rPr>
          <w:rFonts w:cs="Arial"/>
          <w:szCs w:val="20"/>
          <w:lang w:eastAsia="en-GB"/>
        </w:rPr>
      </w:pPr>
      <w:r>
        <w:rPr>
          <w:rFonts w:cs="Arial"/>
          <w:szCs w:val="20"/>
          <w:lang w:eastAsia="en-GB"/>
        </w:rPr>
        <w:t>c</w:t>
      </w:r>
      <w:r w:rsidRPr="00B04698">
        <w:rPr>
          <w:rFonts w:cs="Arial"/>
          <w:szCs w:val="20"/>
          <w:lang w:eastAsia="en-GB"/>
        </w:rPr>
        <w:t xml:space="preserve">ommits to continually improve meeting room technology so that inclusive, mixed mode meetings may be facilitated. </w:t>
      </w:r>
    </w:p>
    <w:p w14:paraId="2F5B9E08" w14:textId="77777777" w:rsidR="00080988" w:rsidRDefault="00080988" w:rsidP="00080988">
      <w:pPr>
        <w:spacing w:before="80" w:after="80"/>
        <w:ind w:firstLine="567"/>
        <w:jc w:val="both"/>
        <w:rPr>
          <w:rFonts w:cs="Arial"/>
          <w:color w:val="000000" w:themeColor="text1"/>
          <w:szCs w:val="20"/>
          <w:lang w:eastAsia="en-GB"/>
        </w:rPr>
      </w:pPr>
      <w:r>
        <w:rPr>
          <w:rFonts w:cs="Arial"/>
          <w:color w:val="000000" w:themeColor="text1"/>
          <w:szCs w:val="20"/>
          <w:lang w:eastAsia="en-GB"/>
        </w:rPr>
        <w:t>To ensure a safe and effective work environment at alternative work locations, staff will:</w:t>
      </w:r>
    </w:p>
    <w:p w14:paraId="68CA6E19" w14:textId="77777777" w:rsidR="00080988" w:rsidRPr="00242020" w:rsidRDefault="00080988" w:rsidP="00080988">
      <w:pPr>
        <w:pStyle w:val="ListParagraph"/>
        <w:numPr>
          <w:ilvl w:val="0"/>
          <w:numId w:val="41"/>
        </w:numPr>
        <w:spacing w:before="80" w:after="80" w:line="276" w:lineRule="auto"/>
        <w:ind w:hanging="153"/>
        <w:jc w:val="both"/>
        <w:rPr>
          <w:rFonts w:cs="Arial"/>
          <w:szCs w:val="20"/>
          <w:lang w:eastAsia="en-GB"/>
        </w:rPr>
      </w:pPr>
      <w:r>
        <w:rPr>
          <w:rFonts w:cs="Arial"/>
          <w:szCs w:val="20"/>
        </w:rPr>
        <w:t>a</w:t>
      </w:r>
      <w:r w:rsidRPr="00F006D5">
        <w:rPr>
          <w:rFonts w:cs="Arial"/>
          <w:szCs w:val="20"/>
        </w:rPr>
        <w:t>cknowledge that a decline in work performance may result in their future opportunities for</w:t>
      </w:r>
      <w:r w:rsidRPr="00242020">
        <w:rPr>
          <w:rFonts w:cs="Arial"/>
          <w:color w:val="1E1444"/>
          <w:szCs w:val="20"/>
        </w:rPr>
        <w:t xml:space="preserve"> </w:t>
      </w:r>
      <w:r>
        <w:rPr>
          <w:rFonts w:cs="Arial"/>
          <w:color w:val="1E1444"/>
          <w:szCs w:val="20"/>
        </w:rPr>
        <w:t>residential</w:t>
      </w:r>
      <w:r w:rsidRPr="00F006D5">
        <w:rPr>
          <w:rFonts w:cs="Arial"/>
          <w:szCs w:val="20"/>
        </w:rPr>
        <w:t>-based work arrangement being denied</w:t>
      </w:r>
    </w:p>
    <w:p w14:paraId="38EEA314" w14:textId="77777777" w:rsidR="00080988" w:rsidRPr="00242020" w:rsidRDefault="00080988" w:rsidP="00080988">
      <w:pPr>
        <w:pStyle w:val="ListParagraph"/>
        <w:numPr>
          <w:ilvl w:val="0"/>
          <w:numId w:val="41"/>
        </w:numPr>
        <w:spacing w:before="80" w:after="80" w:line="276" w:lineRule="auto"/>
        <w:ind w:hanging="153"/>
        <w:jc w:val="both"/>
        <w:rPr>
          <w:rFonts w:eastAsia="Times New Roman" w:cs="Arial"/>
          <w:szCs w:val="20"/>
          <w:lang w:eastAsia="en-GB"/>
        </w:rPr>
      </w:pPr>
      <w:r>
        <w:rPr>
          <w:rFonts w:eastAsia="Times New Roman" w:cs="Arial"/>
          <w:color w:val="212529"/>
          <w:szCs w:val="20"/>
          <w:shd w:val="clear" w:color="auto" w:fill="FFFFFF"/>
          <w:lang w:eastAsia="en-GB"/>
        </w:rPr>
        <w:t>agree to i</w:t>
      </w:r>
      <w:r w:rsidRPr="00242020">
        <w:rPr>
          <w:rFonts w:eastAsia="Times New Roman" w:cs="Arial"/>
          <w:color w:val="212529"/>
          <w:szCs w:val="20"/>
          <w:shd w:val="clear" w:color="auto" w:fill="FFFFFF"/>
          <w:lang w:eastAsia="en-GB"/>
        </w:rPr>
        <w:t>ndemnif</w:t>
      </w:r>
      <w:r>
        <w:rPr>
          <w:rFonts w:eastAsia="Times New Roman" w:cs="Arial"/>
          <w:color w:val="212529"/>
          <w:szCs w:val="20"/>
          <w:shd w:val="clear" w:color="auto" w:fill="FFFFFF"/>
          <w:lang w:eastAsia="en-GB"/>
        </w:rPr>
        <w:t>y</w:t>
      </w:r>
      <w:r w:rsidRPr="00242020">
        <w:rPr>
          <w:rFonts w:eastAsia="Times New Roman" w:cs="Arial"/>
          <w:color w:val="212529"/>
          <w:szCs w:val="20"/>
          <w:shd w:val="clear" w:color="auto" w:fill="FFFFFF"/>
          <w:lang w:eastAsia="en-GB"/>
        </w:rPr>
        <w:t xml:space="preserve"> the University against all loss or damage to the staff member’s property and all claims by third parties in respect of personal injury and property damage except to the extent caused by the negligent act, error or omission of the University</w:t>
      </w:r>
      <w:r>
        <w:rPr>
          <w:rFonts w:eastAsia="Times New Roman" w:cs="Arial"/>
          <w:color w:val="212529"/>
          <w:szCs w:val="20"/>
          <w:shd w:val="clear" w:color="auto" w:fill="FFFFFF"/>
          <w:lang w:eastAsia="en-GB"/>
        </w:rPr>
        <w:t>.</w:t>
      </w:r>
    </w:p>
    <w:p w14:paraId="35F3029E" w14:textId="77777777" w:rsidR="00080988" w:rsidRDefault="00080988" w:rsidP="00080988">
      <w:pPr>
        <w:spacing w:before="80" w:after="80"/>
        <w:ind w:firstLine="567"/>
        <w:jc w:val="both"/>
        <w:rPr>
          <w:rFonts w:cs="Arial"/>
          <w:color w:val="000000" w:themeColor="text1"/>
          <w:szCs w:val="20"/>
          <w:lang w:eastAsia="en-GB"/>
        </w:rPr>
      </w:pPr>
      <w:r>
        <w:rPr>
          <w:rFonts w:cs="Arial"/>
          <w:color w:val="000000" w:themeColor="text1"/>
          <w:szCs w:val="20"/>
          <w:lang w:eastAsia="en-GB"/>
        </w:rPr>
        <w:t>To ensure a safe and effective work environment at residential-based work sites,</w:t>
      </w:r>
      <w:r w:rsidRPr="00365AF8">
        <w:rPr>
          <w:rFonts w:cs="Arial"/>
          <w:color w:val="000000" w:themeColor="text1"/>
          <w:szCs w:val="20"/>
          <w:lang w:eastAsia="en-GB"/>
        </w:rPr>
        <w:t xml:space="preserve"> </w:t>
      </w:r>
      <w:r>
        <w:rPr>
          <w:rFonts w:cs="Arial"/>
          <w:color w:val="000000" w:themeColor="text1"/>
          <w:szCs w:val="20"/>
          <w:lang w:eastAsia="en-GB"/>
        </w:rPr>
        <w:t>staff will:</w:t>
      </w:r>
    </w:p>
    <w:p w14:paraId="46B844C2" w14:textId="77777777" w:rsidR="00080988" w:rsidRDefault="00080988" w:rsidP="00080988">
      <w:pPr>
        <w:pStyle w:val="ListParagraph"/>
        <w:numPr>
          <w:ilvl w:val="0"/>
          <w:numId w:val="42"/>
        </w:numPr>
        <w:spacing w:before="80" w:after="80" w:line="276" w:lineRule="auto"/>
        <w:ind w:hanging="153"/>
        <w:jc w:val="both"/>
        <w:rPr>
          <w:rFonts w:cs="Arial"/>
          <w:szCs w:val="20"/>
          <w:lang w:eastAsia="en-GB"/>
        </w:rPr>
      </w:pPr>
      <w:r>
        <w:rPr>
          <w:rFonts w:cs="Arial"/>
          <w:szCs w:val="20"/>
          <w:lang w:eastAsia="en-GB"/>
        </w:rPr>
        <w:t>be responsible for the set-up costs of an</w:t>
      </w:r>
      <w:r w:rsidRPr="00365AF8">
        <w:rPr>
          <w:rFonts w:cs="Arial"/>
          <w:szCs w:val="20"/>
          <w:lang w:eastAsia="en-GB"/>
        </w:rPr>
        <w:t xml:space="preserve"> appropriate </w:t>
      </w:r>
      <w:r>
        <w:rPr>
          <w:rFonts w:cs="Arial"/>
          <w:szCs w:val="20"/>
          <w:lang w:eastAsia="en-GB"/>
        </w:rPr>
        <w:t>residential</w:t>
      </w:r>
      <w:r w:rsidRPr="00365AF8">
        <w:rPr>
          <w:rFonts w:cs="Arial"/>
          <w:szCs w:val="20"/>
          <w:lang w:eastAsia="en-GB"/>
        </w:rPr>
        <w:t xml:space="preserve"> office (such as appropriate desk, monitor etc.) which has been </w:t>
      </w:r>
      <w:r>
        <w:rPr>
          <w:rFonts w:cs="Arial"/>
          <w:szCs w:val="20"/>
          <w:lang w:eastAsia="en-GB"/>
        </w:rPr>
        <w:t>signed-off</w:t>
      </w:r>
      <w:r w:rsidRPr="00365AF8">
        <w:rPr>
          <w:rFonts w:cs="Arial"/>
          <w:szCs w:val="20"/>
          <w:lang w:eastAsia="en-GB"/>
        </w:rPr>
        <w:t xml:space="preserve"> as meeting the conditions of </w:t>
      </w:r>
      <w:r>
        <w:rPr>
          <w:rFonts w:cs="Arial"/>
          <w:szCs w:val="20"/>
          <w:lang w:eastAsia="en-GB"/>
        </w:rPr>
        <w:t>section</w:t>
      </w:r>
      <w:r w:rsidRPr="00365AF8">
        <w:rPr>
          <w:rFonts w:cs="Arial"/>
          <w:szCs w:val="20"/>
          <w:lang w:eastAsia="en-GB"/>
        </w:rPr>
        <w:t xml:space="preserve"> 3.1.</w:t>
      </w:r>
    </w:p>
    <w:p w14:paraId="2632ACC1" w14:textId="77777777" w:rsidR="00080988" w:rsidRDefault="00080988" w:rsidP="00080988">
      <w:pPr>
        <w:pStyle w:val="ListParagraph"/>
        <w:numPr>
          <w:ilvl w:val="0"/>
          <w:numId w:val="42"/>
        </w:numPr>
        <w:spacing w:before="80" w:after="80" w:line="276" w:lineRule="auto"/>
        <w:ind w:hanging="153"/>
        <w:jc w:val="both"/>
        <w:rPr>
          <w:rFonts w:cs="Arial"/>
          <w:szCs w:val="20"/>
          <w:lang w:eastAsia="en-GB"/>
        </w:rPr>
      </w:pPr>
      <w:r>
        <w:rPr>
          <w:rFonts w:cs="Arial"/>
          <w:szCs w:val="20"/>
          <w:lang w:eastAsia="en-GB"/>
        </w:rPr>
        <w:t>take responsibility for a</w:t>
      </w:r>
      <w:r w:rsidRPr="000273B1">
        <w:rPr>
          <w:rFonts w:cs="Arial"/>
          <w:szCs w:val="20"/>
          <w:lang w:eastAsia="en-GB"/>
        </w:rPr>
        <w:t xml:space="preserve">ll utilities and </w:t>
      </w:r>
      <w:r>
        <w:rPr>
          <w:rFonts w:cs="Arial"/>
          <w:szCs w:val="20"/>
          <w:lang w:eastAsia="en-GB"/>
        </w:rPr>
        <w:t xml:space="preserve">other </w:t>
      </w:r>
      <w:r w:rsidRPr="000273B1">
        <w:rPr>
          <w:rFonts w:cs="Arial"/>
          <w:szCs w:val="20"/>
          <w:lang w:eastAsia="en-GB"/>
        </w:rPr>
        <w:t xml:space="preserve">costs associated with </w:t>
      </w:r>
      <w:r>
        <w:rPr>
          <w:rFonts w:cs="Arial"/>
          <w:szCs w:val="20"/>
          <w:lang w:eastAsia="en-GB"/>
        </w:rPr>
        <w:t>residential-based working</w:t>
      </w:r>
      <w:r w:rsidRPr="000273B1">
        <w:rPr>
          <w:rFonts w:cs="Arial"/>
          <w:szCs w:val="20"/>
          <w:lang w:eastAsia="en-GB"/>
        </w:rPr>
        <w:t xml:space="preserve"> (including, for example, smoke detectors, first aid kits, internet and electricity costs).</w:t>
      </w:r>
    </w:p>
    <w:p w14:paraId="011A3FA2" w14:textId="77777777" w:rsidR="00080988" w:rsidRPr="007D6BE2" w:rsidRDefault="00080988" w:rsidP="00080988">
      <w:pPr>
        <w:pStyle w:val="ListParagraph"/>
        <w:numPr>
          <w:ilvl w:val="0"/>
          <w:numId w:val="42"/>
        </w:numPr>
        <w:spacing w:before="80" w:after="80" w:line="276" w:lineRule="auto"/>
        <w:ind w:hanging="153"/>
        <w:jc w:val="both"/>
        <w:rPr>
          <w:rFonts w:cs="Arial"/>
          <w:szCs w:val="20"/>
          <w:lang w:eastAsia="en-GB"/>
        </w:rPr>
      </w:pPr>
      <w:r>
        <w:rPr>
          <w:rFonts w:cs="Arial"/>
          <w:szCs w:val="20"/>
        </w:rPr>
        <w:t>n</w:t>
      </w:r>
      <w:r w:rsidRPr="007D6BE2">
        <w:rPr>
          <w:rFonts w:cs="Arial"/>
          <w:szCs w:val="20"/>
        </w:rPr>
        <w:t xml:space="preserve">ot conduct </w:t>
      </w:r>
      <w:r>
        <w:rPr>
          <w:rFonts w:cs="Arial"/>
          <w:szCs w:val="20"/>
        </w:rPr>
        <w:t>in-person</w:t>
      </w:r>
      <w:r w:rsidRPr="007D6BE2">
        <w:rPr>
          <w:rFonts w:cs="Arial"/>
          <w:szCs w:val="20"/>
        </w:rPr>
        <w:t xml:space="preserve"> meetings at the </w:t>
      </w:r>
      <w:r>
        <w:rPr>
          <w:rFonts w:cs="Arial"/>
          <w:szCs w:val="20"/>
        </w:rPr>
        <w:t>residential</w:t>
      </w:r>
      <w:r w:rsidRPr="007D6BE2">
        <w:rPr>
          <w:rFonts w:cs="Arial"/>
          <w:szCs w:val="20"/>
        </w:rPr>
        <w:t>-based work site</w:t>
      </w:r>
      <w:r>
        <w:rPr>
          <w:rFonts w:cs="Arial"/>
          <w:szCs w:val="20"/>
        </w:rPr>
        <w:t>.</w:t>
      </w:r>
      <w:r w:rsidRPr="007D6BE2">
        <w:rPr>
          <w:rFonts w:cs="Arial"/>
          <w:szCs w:val="20"/>
        </w:rPr>
        <w:t xml:space="preserve">  </w:t>
      </w:r>
    </w:p>
    <w:p w14:paraId="22E769FE" w14:textId="771C3A7B" w:rsidR="00C5132D" w:rsidRPr="001520D3" w:rsidRDefault="00565F5B" w:rsidP="00C5132D">
      <w:pPr>
        <w:pStyle w:val="Heading3"/>
        <w:ind w:left="567"/>
        <w:rPr>
          <w:rFonts w:ascii="Griffith Sans Text" w:hAnsi="Griffith Sans Text"/>
        </w:rPr>
      </w:pPr>
      <w:r w:rsidRPr="00565F5B">
        <w:rPr>
          <w:rFonts w:ascii="Griffith Sans Text" w:hAnsi="Griffith Sans Text"/>
        </w:rPr>
        <w:t xml:space="preserve">3.3 Reviewing a decision  </w:t>
      </w:r>
    </w:p>
    <w:p w14:paraId="1D87CCCD" w14:textId="77777777" w:rsidR="003A72F3" w:rsidRDefault="003A72F3" w:rsidP="003A72F3">
      <w:pPr>
        <w:spacing w:before="80" w:after="80"/>
        <w:ind w:left="567"/>
        <w:jc w:val="both"/>
        <w:rPr>
          <w:rFonts w:cs="Arial"/>
          <w:color w:val="000000" w:themeColor="text1"/>
          <w:szCs w:val="20"/>
          <w:lang w:eastAsia="en-GB"/>
        </w:rPr>
      </w:pPr>
      <w:r w:rsidRPr="00377203">
        <w:rPr>
          <w:rFonts w:cs="Arial"/>
          <w:szCs w:val="20"/>
        </w:rPr>
        <w:t xml:space="preserve">Where requested by a staff member, the </w:t>
      </w:r>
      <w:r>
        <w:rPr>
          <w:rFonts w:cs="Arial"/>
          <w:szCs w:val="20"/>
        </w:rPr>
        <w:t>h</w:t>
      </w:r>
      <w:r w:rsidRPr="00377203">
        <w:rPr>
          <w:rFonts w:cs="Arial"/>
          <w:szCs w:val="20"/>
        </w:rPr>
        <w:t xml:space="preserve">ead of the </w:t>
      </w:r>
      <w:r>
        <w:rPr>
          <w:rFonts w:cs="Arial"/>
          <w:szCs w:val="20"/>
        </w:rPr>
        <w:t>element</w:t>
      </w:r>
      <w:r w:rsidRPr="00377203">
        <w:rPr>
          <w:rFonts w:cs="Arial"/>
          <w:szCs w:val="20"/>
        </w:rPr>
        <w:t xml:space="preserve"> will review situations where </w:t>
      </w:r>
      <w:r w:rsidRPr="00377203">
        <w:rPr>
          <w:rFonts w:cs="Arial"/>
          <w:color w:val="000000" w:themeColor="text1"/>
          <w:szCs w:val="20"/>
          <w:lang w:eastAsia="en-GB"/>
        </w:rPr>
        <w:t xml:space="preserve">working at </w:t>
      </w:r>
      <w:r>
        <w:rPr>
          <w:rFonts w:cs="Arial"/>
          <w:color w:val="000000" w:themeColor="text1"/>
          <w:szCs w:val="20"/>
          <w:lang w:eastAsia="en-GB"/>
        </w:rPr>
        <w:t xml:space="preserve">a </w:t>
      </w:r>
      <w:r w:rsidRPr="00377203">
        <w:rPr>
          <w:rFonts w:cs="Arial"/>
          <w:color w:val="000000" w:themeColor="text1"/>
          <w:szCs w:val="20"/>
          <w:lang w:eastAsia="en-GB"/>
        </w:rPr>
        <w:t>different work location has not been supported using input from the impacted individual and their manager.</w:t>
      </w:r>
    </w:p>
    <w:p w14:paraId="22D9F1D1" w14:textId="74528A12" w:rsidR="00C5132D" w:rsidRPr="004922AF" w:rsidRDefault="00C5132D" w:rsidP="00C5132D">
      <w:pPr>
        <w:ind w:left="567"/>
        <w:rPr>
          <w:rFonts w:cs="Arial"/>
        </w:rPr>
      </w:pPr>
    </w:p>
    <w:p w14:paraId="4AEC6073" w14:textId="5DB5F2E1" w:rsidR="00A144B2" w:rsidRPr="003205F8" w:rsidRDefault="00A144B2" w:rsidP="00804068">
      <w:pPr>
        <w:pStyle w:val="Heading2"/>
        <w:rPr>
          <w:rFonts w:ascii="Griffith Sans Text" w:hAnsi="Griffith Sans Text"/>
        </w:rPr>
      </w:pPr>
      <w:bookmarkStart w:id="8" w:name="_4.0_Roles,_responsibilities"/>
      <w:bookmarkEnd w:id="8"/>
      <w:r w:rsidRPr="003205F8">
        <w:rPr>
          <w:rFonts w:ascii="Griffith Sans Text" w:hAnsi="Griffith Sans Text"/>
        </w:rPr>
        <w:lastRenderedPageBreak/>
        <w:t>4.0 Roles, responsibilities and delegations</w:t>
      </w:r>
    </w:p>
    <w:p w14:paraId="2A812077" w14:textId="43929C31" w:rsidR="00441285" w:rsidRPr="00AC0FEF" w:rsidRDefault="00A3011D" w:rsidP="00AC0FEF">
      <w:pPr>
        <w:rPr>
          <w:rFonts w:cs="Arial"/>
        </w:rPr>
      </w:pPr>
      <w:r w:rsidRPr="00A3011D">
        <w:rPr>
          <w:rFonts w:cs="Arial"/>
        </w:rPr>
        <w:t>Supervisors, in consultation with the head of the element, make decisions on work locations.</w:t>
      </w:r>
    </w:p>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0BCDF628" w14:textId="77777777" w:rsidR="00A3011D" w:rsidRDefault="00A3011D" w:rsidP="00A3011D">
      <w:pPr>
        <w:jc w:val="both"/>
        <w:rPr>
          <w:rFonts w:cs="Arial"/>
          <w:color w:val="000000"/>
          <w:spacing w:val="2"/>
          <w:szCs w:val="20"/>
          <w:shd w:val="clear" w:color="auto" w:fill="FFFFFF"/>
        </w:rPr>
      </w:pPr>
      <w:r>
        <w:rPr>
          <w:rFonts w:cs="Arial"/>
          <w:b/>
          <w:bCs/>
          <w:color w:val="000000"/>
          <w:spacing w:val="2"/>
          <w:szCs w:val="20"/>
          <w:shd w:val="clear" w:color="auto" w:fill="FFFFFF"/>
        </w:rPr>
        <w:t>A</w:t>
      </w:r>
      <w:r w:rsidRPr="00B15106">
        <w:rPr>
          <w:rFonts w:cs="Arial"/>
          <w:b/>
          <w:bCs/>
          <w:color w:val="000000"/>
          <w:spacing w:val="2"/>
          <w:szCs w:val="20"/>
          <w:shd w:val="clear" w:color="auto" w:fill="FFFFFF"/>
        </w:rPr>
        <w:t xml:space="preserve">lternative </w:t>
      </w:r>
      <w:r w:rsidRPr="00805C97">
        <w:rPr>
          <w:rFonts w:cs="Arial"/>
          <w:b/>
          <w:bCs/>
          <w:color w:val="000000"/>
          <w:spacing w:val="2"/>
          <w:szCs w:val="20"/>
          <w:shd w:val="clear" w:color="auto" w:fill="FFFFFF"/>
        </w:rPr>
        <w:t>work locations</w:t>
      </w:r>
      <w:r>
        <w:rPr>
          <w:rFonts w:cs="Arial"/>
          <w:b/>
          <w:bCs/>
          <w:color w:val="000000"/>
          <w:spacing w:val="2"/>
          <w:szCs w:val="20"/>
          <w:shd w:val="clear" w:color="auto" w:fill="FFFFFF"/>
        </w:rPr>
        <w:t xml:space="preserve"> </w:t>
      </w:r>
      <w:r>
        <w:rPr>
          <w:rFonts w:cs="Arial"/>
          <w:color w:val="000000"/>
          <w:spacing w:val="2"/>
          <w:szCs w:val="20"/>
          <w:shd w:val="clear" w:color="auto" w:fill="FFFFFF"/>
        </w:rPr>
        <w:t xml:space="preserve">means work locations other than on campus including working from a residence, at another campus other than the primary campus, or from another site include fieldwork locations. </w:t>
      </w:r>
    </w:p>
    <w:p w14:paraId="77690F54" w14:textId="77777777" w:rsidR="00A3011D" w:rsidRDefault="00A3011D" w:rsidP="00A3011D">
      <w:pPr>
        <w:jc w:val="both"/>
        <w:rPr>
          <w:rFonts w:cs="Arial"/>
        </w:rPr>
      </w:pPr>
      <w:r w:rsidRPr="009E7764">
        <w:rPr>
          <w:rFonts w:cs="Arial"/>
          <w:b/>
          <w:bCs/>
        </w:rPr>
        <w:t>Work design approach</w:t>
      </w:r>
      <w:r w:rsidRPr="009E7764">
        <w:rPr>
          <w:rFonts w:cs="Arial"/>
        </w:rPr>
        <w:t xml:space="preserve"> means considering organisational, team and individual performance requirements and needs. This involves, for example, an examination of inherent requirements of roles, job outcomes, tasks, duties, responsibilities, variety, location and timing of work to maximise organisational, team and individual performance, health, safety and wellbeing. </w:t>
      </w:r>
    </w:p>
    <w:p w14:paraId="195D549B" w14:textId="2CF345EA" w:rsidR="003F7778" w:rsidRPr="00AC0FEF" w:rsidRDefault="003F7778" w:rsidP="006E08C5"/>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9"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9" w:name="_6.0_Information"/>
      <w:bookmarkEnd w:id="9"/>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2D7B15BF" w:rsidR="00786706" w:rsidRPr="00AC0FEF" w:rsidRDefault="009C7CFF" w:rsidP="00AC0FEF">
            <w:pPr>
              <w:rPr>
                <w:rFonts w:cs="Arial"/>
                <w:szCs w:val="28"/>
                <w:lang w:val="en-GB"/>
              </w:rPr>
            </w:pPr>
            <w:r w:rsidRPr="00D046E4">
              <w:rPr>
                <w:rFonts w:cs="Arial"/>
                <w:bCs/>
                <w:szCs w:val="20"/>
                <w:lang w:val="en-US"/>
              </w:rPr>
              <w:t xml:space="preserve">Work </w:t>
            </w:r>
            <w:r>
              <w:rPr>
                <w:rFonts w:cs="Arial"/>
                <w:bCs/>
                <w:szCs w:val="20"/>
                <w:lang w:val="en-US"/>
              </w:rPr>
              <w:t>L</w:t>
            </w:r>
            <w:r w:rsidRPr="00D046E4">
              <w:rPr>
                <w:rFonts w:cs="Arial"/>
                <w:bCs/>
                <w:szCs w:val="20"/>
                <w:lang w:val="en-US"/>
              </w:rPr>
              <w:t xml:space="preserve">ocation </w:t>
            </w:r>
            <w:r>
              <w:rPr>
                <w:rFonts w:cs="Arial"/>
                <w:bCs/>
                <w:szCs w:val="20"/>
                <w:lang w:val="en-US"/>
              </w:rPr>
              <w:t>P</w:t>
            </w:r>
            <w:r w:rsidRPr="00D046E4">
              <w:rPr>
                <w:rFonts w:cs="Arial"/>
                <w:bCs/>
                <w:szCs w:val="20"/>
                <w:lang w:val="en-US"/>
              </w:rPr>
              <w:t>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6D67A998" w:rsidR="00786706" w:rsidRPr="00AC0FEF" w:rsidRDefault="009C7CFF" w:rsidP="00AC0FEF">
            <w:pPr>
              <w:rPr>
                <w:rFonts w:cs="Arial"/>
                <w:szCs w:val="28"/>
                <w:lang w:val="en-GB"/>
              </w:rPr>
            </w:pPr>
            <w:r w:rsidRPr="00792226">
              <w:rPr>
                <w:rFonts w:cs="Arial"/>
                <w:szCs w:val="20"/>
              </w:rPr>
              <w:t>2023/0001221</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636BD434" w14:textId="77777777" w:rsidR="009C7CFF" w:rsidRPr="009C7CFF" w:rsidRDefault="009C7CFF" w:rsidP="009C7CFF">
            <w:pPr>
              <w:spacing w:before="0" w:after="0" w:line="276" w:lineRule="auto"/>
              <w:rPr>
                <w:rFonts w:cs="Arial"/>
                <w:color w:val="000000" w:themeColor="text1"/>
              </w:rPr>
            </w:pPr>
            <w:r w:rsidRPr="009C7CFF">
              <w:rPr>
                <w:rFonts w:cs="Arial"/>
                <w:shd w:val="clear" w:color="auto" w:fill="FFFFFF"/>
              </w:rPr>
              <w:t xml:space="preserve">The purpose of this policy is to </w:t>
            </w:r>
            <w:r w:rsidRPr="009C7CFF">
              <w:rPr>
                <w:rFonts w:cs="Arial"/>
                <w:color w:val="000000" w:themeColor="text1"/>
              </w:rPr>
              <w:t>outline Griffith’s position on the:</w:t>
            </w:r>
          </w:p>
          <w:p w14:paraId="3DB2062E" w14:textId="77777777" w:rsidR="009C7CFF" w:rsidRPr="009C7CFF" w:rsidRDefault="009C7CFF" w:rsidP="009C7CFF">
            <w:pPr>
              <w:pStyle w:val="NormalWhite"/>
              <w:numPr>
                <w:ilvl w:val="0"/>
                <w:numId w:val="37"/>
              </w:numPr>
              <w:spacing w:before="0" w:after="0" w:line="276" w:lineRule="auto"/>
              <w:jc w:val="left"/>
              <w:rPr>
                <w:rFonts w:cs="Arial"/>
                <w:sz w:val="22"/>
                <w:lang w:val="en-GB"/>
              </w:rPr>
            </w:pPr>
            <w:r w:rsidRPr="009C7CFF">
              <w:rPr>
                <w:rFonts w:cs="Arial"/>
                <w:color w:val="000000" w:themeColor="text1"/>
                <w:sz w:val="22"/>
              </w:rPr>
              <w:t>location of work</w:t>
            </w:r>
          </w:p>
          <w:p w14:paraId="7FE09B90" w14:textId="143B3020" w:rsidR="00786706" w:rsidRPr="00AC0FEF" w:rsidRDefault="009C7CFF" w:rsidP="009C7CFF">
            <w:pPr>
              <w:pStyle w:val="NormalWhite"/>
              <w:numPr>
                <w:ilvl w:val="0"/>
                <w:numId w:val="37"/>
              </w:numPr>
              <w:spacing w:before="0" w:after="0" w:line="276" w:lineRule="auto"/>
              <w:jc w:val="left"/>
              <w:rPr>
                <w:rFonts w:cs="Arial"/>
                <w:szCs w:val="28"/>
                <w:lang w:val="en-GB"/>
              </w:rPr>
            </w:pPr>
            <w:r w:rsidRPr="009C7CFF">
              <w:rPr>
                <w:rFonts w:cs="Arial"/>
                <w:color w:val="000000" w:themeColor="text1"/>
                <w:sz w:val="22"/>
              </w:rPr>
              <w:t>w</w:t>
            </w:r>
            <w:r w:rsidRPr="009C7CFF">
              <w:rPr>
                <w:rFonts w:cs="Arial"/>
                <w:color w:val="000000"/>
                <w:spacing w:val="2"/>
                <w:sz w:val="22"/>
                <w:shd w:val="clear" w:color="auto" w:fill="FFFFFF"/>
              </w:rPr>
              <w:t xml:space="preserve">ork design </w:t>
            </w:r>
            <w:r w:rsidRPr="009C7CFF">
              <w:rPr>
                <w:rFonts w:cs="Arial"/>
                <w:color w:val="000000" w:themeColor="text1"/>
                <w:sz w:val="22"/>
              </w:rPr>
              <w:t>principles that provide supervisors and heads of organisational units with a balanced approach to decision making on work locations for staff.</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6FC1B28" w:rsidR="00786706" w:rsidRPr="00AC0FEF" w:rsidRDefault="006E08C5" w:rsidP="00AC0FE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B31D839" w:rsidR="00786706" w:rsidRPr="00AC0FEF" w:rsidRDefault="006E08C5" w:rsidP="00AC0FE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7A623216" w:rsidR="007512F5" w:rsidRPr="00AC0FEF" w:rsidRDefault="009C7CFF" w:rsidP="006E08C5">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3DE0FE35" w:rsidR="00067836" w:rsidRPr="00AC0FEF" w:rsidRDefault="009C7CFF" w:rsidP="00AC0FEF">
                <w:pPr>
                  <w:rPr>
                    <w:rFonts w:cs="Arial"/>
                    <w:szCs w:val="28"/>
                  </w:rPr>
                </w:pPr>
                <w:r>
                  <w:rPr>
                    <w:rFonts w:cs="Arial"/>
                    <w:szCs w:val="28"/>
                  </w:rPr>
                  <w:t>8: Decent Work and Economic Growth</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393B8AEB" w:rsidR="00786706" w:rsidRPr="00AC0FEF" w:rsidRDefault="009C7CFF" w:rsidP="00AC0FEF">
            <w:pPr>
              <w:rPr>
                <w:rFonts w:cs="Arial"/>
                <w:szCs w:val="28"/>
              </w:rPr>
            </w:pPr>
            <w:r>
              <w:rPr>
                <w:rFonts w:cs="Arial"/>
                <w:szCs w:val="20"/>
              </w:rPr>
              <w:t>2022</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6FC3F839" w:rsidR="00786706" w:rsidRPr="00AC0FEF" w:rsidRDefault="009C7CFF" w:rsidP="00AC0FEF">
            <w:pPr>
              <w:rPr>
                <w:rFonts w:cs="Arial"/>
                <w:szCs w:val="28"/>
              </w:rPr>
            </w:pPr>
            <w:r>
              <w:rPr>
                <w:rFonts w:cs="Arial"/>
                <w:szCs w:val="20"/>
              </w:rPr>
              <w:t>2022</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1ADFF1D2" w:rsidR="00786706" w:rsidRPr="00AC0FEF" w:rsidRDefault="009C7CFF" w:rsidP="00AC0FEF">
            <w:pPr>
              <w:rPr>
                <w:rFonts w:cs="Arial"/>
                <w:szCs w:val="28"/>
              </w:rPr>
            </w:pPr>
            <w:r>
              <w:rPr>
                <w:rFonts w:cs="Arial"/>
                <w:szCs w:val="28"/>
              </w:rPr>
              <w:t>2025</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421625AE" w:rsidR="00786706" w:rsidRPr="00AC0FEF" w:rsidRDefault="009C7CFF" w:rsidP="00AC0FEF">
            <w:pPr>
              <w:rPr>
                <w:rFonts w:cs="Arial"/>
                <w:szCs w:val="28"/>
              </w:rPr>
            </w:pPr>
            <w:r>
              <w:rPr>
                <w:rFonts w:cs="Arial"/>
                <w:szCs w:val="20"/>
              </w:rPr>
              <w:t>Director, Human Resources</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6EFE8E63" w:rsidR="00786706" w:rsidRPr="00AC0FEF" w:rsidRDefault="009C7CFF" w:rsidP="00AC0FEF">
            <w:pPr>
              <w:rPr>
                <w:rFonts w:cs="Arial"/>
                <w:szCs w:val="28"/>
              </w:rPr>
            </w:pPr>
            <w:r>
              <w:rPr>
                <w:rFonts w:cs="Arial"/>
                <w:szCs w:val="20"/>
              </w:rPr>
              <w:t>Vice Chancellor</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10" w:name="_7.0_Related_Policy"/>
      <w:bookmarkEnd w:id="10"/>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1ADB931D" w14:textId="77777777" w:rsidR="009C7CFF" w:rsidRPr="00D34F00" w:rsidRDefault="009C7CFF" w:rsidP="009C7CFF">
            <w:pPr>
              <w:rPr>
                <w:rFonts w:cs="Arial"/>
              </w:rPr>
            </w:pPr>
            <w:hyperlink r:id="rId20" w:history="1">
              <w:r w:rsidRPr="00D34F00">
                <w:rPr>
                  <w:rStyle w:val="Hyperlink"/>
                  <w:rFonts w:cs="Arial"/>
                </w:rPr>
                <w:t>Anti-Discrimination Act 1991</w:t>
              </w:r>
            </w:hyperlink>
          </w:p>
          <w:p w14:paraId="74A77F4C" w14:textId="77777777" w:rsidR="009C7CFF" w:rsidRPr="00D34F00" w:rsidRDefault="009C7CFF" w:rsidP="009C7CFF">
            <w:pPr>
              <w:rPr>
                <w:rFonts w:cs="Arial"/>
              </w:rPr>
            </w:pPr>
            <w:hyperlink r:id="rId21" w:history="1">
              <w:r w:rsidRPr="00D34F00">
                <w:rPr>
                  <w:rStyle w:val="Hyperlink"/>
                  <w:rFonts w:cs="Arial"/>
                </w:rPr>
                <w:t>Disability Discrimination Act 1992</w:t>
              </w:r>
            </w:hyperlink>
          </w:p>
          <w:p w14:paraId="58CB768D" w14:textId="77777777" w:rsidR="009C7CFF" w:rsidRPr="00AC0FEF" w:rsidRDefault="009C7CFF" w:rsidP="009C7CFF">
            <w:pPr>
              <w:rPr>
                <w:rFonts w:cs="Arial"/>
                <w:lang w:val="en-GB"/>
              </w:rPr>
            </w:pPr>
            <w:hyperlink r:id="rId22" w:history="1">
              <w:r w:rsidRPr="00D34F00">
                <w:rPr>
                  <w:rStyle w:val="Hyperlink"/>
                  <w:rFonts w:cs="Arial"/>
                </w:rPr>
                <w:t>Domestic and Family Violence Protection Act 2012</w:t>
              </w:r>
            </w:hyperlink>
          </w:p>
          <w:bookmarkStart w:id="11" w:name="_Hlk66804597"/>
          <w:p w14:paraId="108FE773" w14:textId="77777777" w:rsidR="009C7CFF" w:rsidRPr="00D34F00" w:rsidRDefault="009C7CFF" w:rsidP="009C7CFF">
            <w:pPr>
              <w:rPr>
                <w:rFonts w:cs="Arial"/>
              </w:rPr>
            </w:pPr>
            <w:r w:rsidRPr="00D34F00">
              <w:rPr>
                <w:rFonts w:cs="Arial"/>
              </w:rPr>
              <w:fldChar w:fldCharType="begin"/>
            </w:r>
            <w:r w:rsidRPr="00D34F00">
              <w:rPr>
                <w:rFonts w:cs="Arial"/>
              </w:rPr>
              <w:instrText xml:space="preserve"> HYPERLINK "https://www.legislation.gov.au/Details/C2020C00318" </w:instrText>
            </w:r>
            <w:r w:rsidRPr="00D34F00">
              <w:rPr>
                <w:rFonts w:cs="Arial"/>
              </w:rPr>
            </w:r>
            <w:r w:rsidRPr="00D34F00">
              <w:rPr>
                <w:rFonts w:cs="Arial"/>
              </w:rPr>
              <w:fldChar w:fldCharType="separate"/>
            </w:r>
            <w:r w:rsidRPr="00D34F00">
              <w:rPr>
                <w:rStyle w:val="Hyperlink"/>
                <w:rFonts w:cs="Arial"/>
              </w:rPr>
              <w:t>Fair Work Act 2009</w:t>
            </w:r>
            <w:r w:rsidRPr="00D34F00">
              <w:rPr>
                <w:rFonts w:cs="Arial"/>
              </w:rPr>
              <w:fldChar w:fldCharType="end"/>
            </w:r>
            <w:bookmarkEnd w:id="11"/>
            <w:r w:rsidRPr="00D34F00">
              <w:rPr>
                <w:rFonts w:cs="Arial"/>
              </w:rPr>
              <w:t xml:space="preserve"> </w:t>
            </w:r>
          </w:p>
          <w:p w14:paraId="7BAEF3A7" w14:textId="77777777" w:rsidR="009C7CFF" w:rsidRPr="00D34F00" w:rsidRDefault="009C7CFF" w:rsidP="009C7CFF">
            <w:pPr>
              <w:rPr>
                <w:rFonts w:cs="Arial"/>
              </w:rPr>
            </w:pPr>
            <w:hyperlink r:id="rId23" w:history="1">
              <w:r w:rsidRPr="00D34F00">
                <w:rPr>
                  <w:rStyle w:val="Hyperlink"/>
                  <w:rFonts w:cs="Arial"/>
                </w:rPr>
                <w:t>Sex Discrimination Act 1984</w:t>
              </w:r>
            </w:hyperlink>
          </w:p>
          <w:p w14:paraId="1D95EE8D" w14:textId="01C63573" w:rsidR="00746A0E" w:rsidRPr="00AC0FEF" w:rsidRDefault="009C7CFF" w:rsidP="009C7CFF">
            <w:pPr>
              <w:rPr>
                <w:rFonts w:cs="Arial"/>
                <w:lang w:val="en-GB"/>
              </w:rPr>
            </w:pPr>
            <w:hyperlink r:id="rId24" w:history="1">
              <w:r w:rsidRPr="00D34F00">
                <w:rPr>
                  <w:rStyle w:val="Hyperlink"/>
                  <w:rFonts w:cs="Arial"/>
                </w:rPr>
                <w:t>Work Health and Safety Act 2011</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lastRenderedPageBreak/>
              <w:t>Policy</w:t>
            </w:r>
          </w:p>
        </w:tc>
        <w:tc>
          <w:tcPr>
            <w:tcW w:w="7147" w:type="dxa"/>
          </w:tcPr>
          <w:p w14:paraId="7A1507B9" w14:textId="05DB20F8" w:rsidR="00746A0E" w:rsidRPr="00AC0FEF" w:rsidRDefault="009C7CFF" w:rsidP="00AC0FEF">
            <w:pPr>
              <w:rPr>
                <w:rFonts w:cs="Arial"/>
                <w:lang w:val="en-GB"/>
              </w:rPr>
            </w:pPr>
            <w:hyperlink r:id="rId25" w:history="1">
              <w:r w:rsidRPr="00C90CA8">
                <w:rPr>
                  <w:rStyle w:val="Hyperlink"/>
                  <w:rFonts w:cs="Arial"/>
                </w:rPr>
                <w:t>Informati</w:t>
              </w:r>
              <w:r w:rsidRPr="00C90CA8">
                <w:rPr>
                  <w:rStyle w:val="Hyperlink"/>
                  <w:rFonts w:cs="Arial"/>
                </w:rPr>
                <w:t>o</w:t>
              </w:r>
              <w:r w:rsidRPr="00C90CA8">
                <w:rPr>
                  <w:rStyle w:val="Hyperlink"/>
                  <w:rFonts w:cs="Arial"/>
                </w:rPr>
                <w:t xml:space="preserve">n Security </w:t>
              </w:r>
              <w:r w:rsidRPr="003B588F">
                <w:rPr>
                  <w:rStyle w:val="Hyperlink"/>
                  <w:rFonts w:cs="Arial"/>
                </w:rPr>
                <w:t>Policy</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4302959E" w14:textId="2E763D3C" w:rsidR="00746A0E" w:rsidRPr="00AC0FEF" w:rsidRDefault="006E08C5" w:rsidP="00AC0FEF">
            <w:pPr>
              <w:rPr>
                <w:rFonts w:cs="Arial"/>
                <w:lang w:val="en-GB"/>
              </w:rPr>
            </w:pPr>
            <w:r w:rsidRPr="00AC0FEF">
              <w:rPr>
                <w:rFonts w:cs="Arial"/>
              </w:rPr>
              <w:t>N/A</w:t>
            </w:r>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58BDDD0F" w:rsidR="00746A0E" w:rsidRPr="00AC0FEF" w:rsidRDefault="009C7CFF" w:rsidP="00AC0FEF">
            <w:pPr>
              <w:rPr>
                <w:rFonts w:cs="Arial"/>
              </w:rPr>
            </w:pPr>
            <w:hyperlink r:id="rId26" w:history="1">
              <w:r w:rsidRPr="00317B9A">
                <w:rPr>
                  <w:rStyle w:val="Hyperlink"/>
                  <w:rFonts w:cs="Arial"/>
                  <w:szCs w:val="20"/>
                </w:rPr>
                <w:t>Work Lo</w:t>
              </w:r>
              <w:r w:rsidRPr="00317B9A">
                <w:rPr>
                  <w:rStyle w:val="Hyperlink"/>
                  <w:rFonts w:cs="Arial"/>
                  <w:szCs w:val="20"/>
                </w:rPr>
                <w:t>c</w:t>
              </w:r>
              <w:r w:rsidRPr="00317B9A">
                <w:rPr>
                  <w:rStyle w:val="Hyperlink"/>
                  <w:rFonts w:cs="Arial"/>
                  <w:szCs w:val="20"/>
                </w:rPr>
                <w:t>ation Policy Frequently Asked Questions</w:t>
              </w:r>
            </w:hyperlink>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2744790" w:rsidR="00746A0E" w:rsidRPr="00AC0FEF" w:rsidRDefault="009C7CFF" w:rsidP="00AC0FEF">
            <w:pPr>
              <w:rPr>
                <w:rFonts w:cs="Arial"/>
              </w:rPr>
            </w:pPr>
            <w:hyperlink r:id="rId27" w:history="1">
              <w:r w:rsidRPr="00606F3E">
                <w:rPr>
                  <w:rStyle w:val="Hyperlink"/>
                  <w:rFonts w:cs="Arial"/>
                  <w:bCs/>
                </w:rPr>
                <w:t>Working from a Residential</w:t>
              </w:r>
              <w:r w:rsidRPr="00606F3E">
                <w:rPr>
                  <w:rStyle w:val="Hyperlink"/>
                  <w:rFonts w:cs="Arial"/>
                  <w:bCs/>
                </w:rPr>
                <w:t xml:space="preserve"> </w:t>
              </w:r>
              <w:r w:rsidRPr="00606F3E">
                <w:rPr>
                  <w:rStyle w:val="Hyperlink"/>
                  <w:rFonts w:cs="Arial"/>
                  <w:bCs/>
                </w:rPr>
                <w:t xml:space="preserve">Worksite: </w:t>
              </w:r>
              <w:r w:rsidRPr="00606F3E">
                <w:rPr>
                  <w:rStyle w:val="Hyperlink"/>
                  <w:rFonts w:cs="Arial"/>
                  <w:bCs/>
                </w:rPr>
                <w:t>S</w:t>
              </w:r>
              <w:r w:rsidRPr="00606F3E">
                <w:rPr>
                  <w:rStyle w:val="Hyperlink"/>
                  <w:rFonts w:cs="Arial"/>
                  <w:bCs/>
                </w:rPr>
                <w:t>elf-Assessment Checklist</w:t>
              </w:r>
            </w:hyperlink>
          </w:p>
        </w:tc>
      </w:tr>
    </w:tbl>
    <w:p w14:paraId="6BA7652E" w14:textId="26761596" w:rsidR="00A15D12" w:rsidRDefault="00A15D12" w:rsidP="00C22059">
      <w:pPr>
        <w:rPr>
          <w:rFonts w:cs="Arial"/>
          <w:sz w:val="20"/>
          <w:szCs w:val="24"/>
        </w:rPr>
      </w:pPr>
    </w:p>
    <w:sectPr w:rsidR="00A15D12" w:rsidSect="00E77B43">
      <w:headerReference w:type="default" r:id="rId28"/>
      <w:footerReference w:type="even" r:id="rId29"/>
      <w:footerReference w:type="default" r:id="rId30"/>
      <w:headerReference w:type="first" r:id="rId31"/>
      <w:footerReference w:type="first" r:id="rId3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Book">
    <w:altName w:val="Calibri"/>
    <w:charset w:val="00"/>
    <w:family w:val="modern"/>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6AA6204" w14:textId="655671D7" w:rsidR="00F04211" w:rsidRPr="00F04211" w:rsidRDefault="007B4B96" w:rsidP="00F04211">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F04211">
      <w:rPr>
        <w:rFonts w:asciiTheme="minorHAnsi" w:hAnsiTheme="minorHAnsi" w:cstheme="minorHAnsi"/>
        <w:color w:val="70787B"/>
        <w:sz w:val="15"/>
        <w:szCs w:val="15"/>
      </w:rPr>
      <w:t>W</w:t>
    </w:r>
    <w:r w:rsidR="00F04211" w:rsidRPr="00F04211">
      <w:rPr>
        <w:rFonts w:asciiTheme="minorHAnsi" w:hAnsiTheme="minorHAnsi" w:cstheme="minorHAnsi"/>
        <w:color w:val="70787B"/>
        <w:sz w:val="15"/>
        <w:szCs w:val="15"/>
      </w:rPr>
      <w:t xml:space="preserve">ork Location Policy | April 2022 </w:t>
    </w:r>
  </w:p>
  <w:p w14:paraId="417F1576" w14:textId="77777777" w:rsidR="00F04211" w:rsidRPr="00F04211" w:rsidRDefault="00F04211" w:rsidP="00F04211">
    <w:pPr>
      <w:spacing w:before="0" w:after="0"/>
      <w:jc w:val="right"/>
      <w:rPr>
        <w:rFonts w:asciiTheme="minorHAnsi" w:hAnsiTheme="minorHAnsi" w:cstheme="minorHAnsi"/>
        <w:color w:val="70787B"/>
        <w:sz w:val="15"/>
        <w:szCs w:val="15"/>
      </w:rPr>
    </w:pPr>
    <w:r w:rsidRPr="00F04211">
      <w:rPr>
        <w:rFonts w:asciiTheme="minorHAnsi" w:hAnsiTheme="minorHAnsi" w:cstheme="minorHAnsi"/>
        <w:color w:val="70787B"/>
        <w:sz w:val="15"/>
        <w:szCs w:val="15"/>
      </w:rPr>
      <w:t>Document number: 2023/0001221</w:t>
    </w:r>
  </w:p>
  <w:p w14:paraId="2E3A5653" w14:textId="436719D2" w:rsidR="00830B58" w:rsidRDefault="00F04211" w:rsidP="00F04211">
    <w:pPr>
      <w:spacing w:before="0" w:after="0"/>
      <w:jc w:val="right"/>
      <w:rPr>
        <w:rFonts w:asciiTheme="minorHAnsi" w:hAnsiTheme="minorHAnsi" w:cstheme="minorHAnsi"/>
        <w:color w:val="70787B"/>
        <w:sz w:val="15"/>
        <w:szCs w:val="15"/>
      </w:rPr>
    </w:pPr>
    <w:r w:rsidRPr="00F04211">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007075AD" w14:textId="13BEFBA5" w:rsidR="00F04211" w:rsidRPr="00F04211" w:rsidRDefault="00F04211" w:rsidP="00F04211">
    <w:pPr>
      <w:spacing w:after="0"/>
      <w:jc w:val="right"/>
      <w:rPr>
        <w:rFonts w:asciiTheme="minorHAnsi" w:hAnsiTheme="minorHAnsi" w:cstheme="minorHAnsi"/>
        <w:color w:val="70787B"/>
        <w:sz w:val="15"/>
        <w:szCs w:val="15"/>
      </w:rPr>
    </w:pPr>
    <w:r w:rsidRPr="00F04211">
      <w:rPr>
        <w:rFonts w:asciiTheme="minorHAnsi" w:hAnsiTheme="minorHAnsi" w:cstheme="minorHAnsi"/>
        <w:color w:val="70787B"/>
        <w:sz w:val="15"/>
        <w:szCs w:val="15"/>
      </w:rPr>
      <w:t xml:space="preserve">Work Location Policy | April 2022 </w:t>
    </w:r>
    <w:r>
      <w:rPr>
        <w:rFonts w:asciiTheme="minorHAnsi" w:hAnsiTheme="minorHAnsi" w:cstheme="minorHAnsi"/>
        <w:color w:val="70787B"/>
        <w:sz w:val="15"/>
        <w:szCs w:val="15"/>
      </w:rPr>
      <w:br/>
    </w:r>
    <w:r w:rsidRPr="00F04211">
      <w:rPr>
        <w:rFonts w:asciiTheme="minorHAnsi" w:hAnsiTheme="minorHAnsi" w:cstheme="minorHAnsi"/>
        <w:color w:val="70787B"/>
        <w:sz w:val="15"/>
        <w:szCs w:val="15"/>
      </w:rPr>
      <w:t>Document number: 2023/0001221</w:t>
    </w:r>
  </w:p>
  <w:p w14:paraId="3471DC75" w14:textId="755F1A6D" w:rsidR="00E77B43" w:rsidRDefault="00F04211" w:rsidP="00F04211">
    <w:pPr>
      <w:pStyle w:val="Footer"/>
      <w:spacing w:before="0"/>
      <w:jc w:val="right"/>
    </w:pPr>
    <w:r w:rsidRPr="00F04211">
      <w:rPr>
        <w:rFonts w:asciiTheme="minorHAnsi" w:hAnsiTheme="minorHAnsi" w:cstheme="minorHAnsi"/>
        <w:color w:val="70787B"/>
        <w:sz w:val="15"/>
        <w:szCs w:val="15"/>
      </w:rPr>
      <w:t>Griffith University - CRICOS Provider Number 00233E</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EE92E1E"/>
    <w:multiLevelType w:val="hybridMultilevel"/>
    <w:tmpl w:val="C636A354"/>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D61BF1"/>
    <w:multiLevelType w:val="hybridMultilevel"/>
    <w:tmpl w:val="3718F076"/>
    <w:lvl w:ilvl="0" w:tplc="D04EEABC">
      <w:start w:val="1"/>
      <w:numFmt w:val="bullet"/>
      <w:lvlText w:val=""/>
      <w:lvlJc w:val="left"/>
      <w:pPr>
        <w:ind w:left="720" w:hanging="360"/>
      </w:pPr>
      <w:rPr>
        <w:rFonts w:ascii="Wingdings" w:hAnsi="Wingdings"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3114A6"/>
    <w:multiLevelType w:val="hybridMultilevel"/>
    <w:tmpl w:val="9618AA4C"/>
    <w:lvl w:ilvl="0" w:tplc="D04EEABC">
      <w:start w:val="1"/>
      <w:numFmt w:val="bullet"/>
      <w:lvlText w:val=""/>
      <w:lvlJc w:val="left"/>
      <w:pPr>
        <w:ind w:left="720" w:hanging="360"/>
      </w:pPr>
      <w:rPr>
        <w:rFonts w:ascii="Wingdings" w:hAnsi="Wingdings"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D829FC"/>
    <w:multiLevelType w:val="hybridMultilevel"/>
    <w:tmpl w:val="D3E8F4A4"/>
    <w:lvl w:ilvl="0" w:tplc="0C090001">
      <w:start w:val="1"/>
      <w:numFmt w:val="bullet"/>
      <w:lvlText w:val=""/>
      <w:lvlJc w:val="left"/>
      <w:pPr>
        <w:ind w:left="1440" w:hanging="360"/>
      </w:pPr>
      <w:rPr>
        <w:rFonts w:ascii="Symbol" w:hAnsi="Symbol" w:hint="default"/>
      </w:rPr>
    </w:lvl>
    <w:lvl w:ilvl="1" w:tplc="BEA4178E">
      <w:start w:val="1"/>
      <w:numFmt w:val="bullet"/>
      <w:lvlText w:val=""/>
      <w:lvlJc w:val="left"/>
      <w:pPr>
        <w:ind w:left="2160" w:hanging="360"/>
      </w:pPr>
      <w:rPr>
        <w:rFonts w:ascii="Wingdings" w:hAnsi="Wingdings" w:hint="default"/>
        <w:color w:val="E30918"/>
        <w:sz w:val="20"/>
      </w:rPr>
    </w:lvl>
    <w:lvl w:ilvl="2" w:tplc="1D6E8382">
      <w:start w:val="1"/>
      <w:numFmt w:val="bullet"/>
      <w:lvlText w:val=""/>
      <w:lvlJc w:val="left"/>
      <w:pPr>
        <w:ind w:left="2880" w:hanging="360"/>
      </w:pPr>
      <w:rPr>
        <w:rFonts w:ascii="Symbol" w:hAnsi="Symbol"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2CA7262"/>
    <w:multiLevelType w:val="hybridMultilevel"/>
    <w:tmpl w:val="C0C499B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15B1E"/>
    <w:multiLevelType w:val="hybridMultilevel"/>
    <w:tmpl w:val="971EC8AA"/>
    <w:lvl w:ilvl="0" w:tplc="D04EEABC">
      <w:start w:val="1"/>
      <w:numFmt w:val="bullet"/>
      <w:lvlText w:val=""/>
      <w:lvlJc w:val="left"/>
      <w:pPr>
        <w:ind w:left="720" w:hanging="360"/>
      </w:pPr>
      <w:rPr>
        <w:rFonts w:ascii="Wingdings" w:hAnsi="Wingdings"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9"/>
  </w:num>
  <w:num w:numId="2" w16cid:durableId="396825147">
    <w:abstractNumId w:val="41"/>
  </w:num>
  <w:num w:numId="3" w16cid:durableId="1304701530">
    <w:abstractNumId w:val="34"/>
  </w:num>
  <w:num w:numId="4" w16cid:durableId="352269857">
    <w:abstractNumId w:val="30"/>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5"/>
  </w:num>
  <w:num w:numId="20" w16cid:durableId="1666785443">
    <w:abstractNumId w:val="12"/>
  </w:num>
  <w:num w:numId="21" w16cid:durableId="1708486012">
    <w:abstractNumId w:val="28"/>
  </w:num>
  <w:num w:numId="22" w16cid:durableId="831220188">
    <w:abstractNumId w:val="25"/>
  </w:num>
  <w:num w:numId="23" w16cid:durableId="1621642287">
    <w:abstractNumId w:val="26"/>
  </w:num>
  <w:num w:numId="24" w16cid:durableId="1833176348">
    <w:abstractNumId w:val="31"/>
  </w:num>
  <w:num w:numId="25" w16cid:durableId="1126041565">
    <w:abstractNumId w:val="33"/>
  </w:num>
  <w:num w:numId="26" w16cid:durableId="1098252483">
    <w:abstractNumId w:val="20"/>
  </w:num>
  <w:num w:numId="27" w16cid:durableId="1930380739">
    <w:abstractNumId w:val="13"/>
  </w:num>
  <w:num w:numId="28" w16cid:durableId="871302621">
    <w:abstractNumId w:val="14"/>
  </w:num>
  <w:num w:numId="29" w16cid:durableId="991954021">
    <w:abstractNumId w:val="40"/>
  </w:num>
  <w:num w:numId="30" w16cid:durableId="218833091">
    <w:abstractNumId w:val="15"/>
  </w:num>
  <w:num w:numId="31" w16cid:durableId="66726597">
    <w:abstractNumId w:val="32"/>
  </w:num>
  <w:num w:numId="32" w16cid:durableId="1786579993">
    <w:abstractNumId w:val="39"/>
  </w:num>
  <w:num w:numId="33" w16cid:durableId="1071662295">
    <w:abstractNumId w:val="23"/>
  </w:num>
  <w:num w:numId="34" w16cid:durableId="944117931">
    <w:abstractNumId w:val="22"/>
  </w:num>
  <w:num w:numId="35" w16cid:durableId="754860717">
    <w:abstractNumId w:val="19"/>
  </w:num>
  <w:num w:numId="36" w16cid:durableId="105849864">
    <w:abstractNumId w:val="24"/>
  </w:num>
  <w:num w:numId="37" w16cid:durableId="71127424">
    <w:abstractNumId w:val="16"/>
  </w:num>
  <w:num w:numId="38" w16cid:durableId="105005988">
    <w:abstractNumId w:val="36"/>
  </w:num>
  <w:num w:numId="39" w16cid:durableId="1458328988">
    <w:abstractNumId w:val="37"/>
  </w:num>
  <w:num w:numId="40" w16cid:durableId="1933587865">
    <w:abstractNumId w:val="21"/>
  </w:num>
  <w:num w:numId="41" w16cid:durableId="268321709">
    <w:abstractNumId w:val="18"/>
  </w:num>
  <w:num w:numId="42" w16cid:durableId="9099242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0988"/>
    <w:rsid w:val="00083FFC"/>
    <w:rsid w:val="00091E5E"/>
    <w:rsid w:val="00093685"/>
    <w:rsid w:val="000A41FB"/>
    <w:rsid w:val="000B17D8"/>
    <w:rsid w:val="000B192C"/>
    <w:rsid w:val="000B71D9"/>
    <w:rsid w:val="000C0E96"/>
    <w:rsid w:val="000C57B7"/>
    <w:rsid w:val="000D3B39"/>
    <w:rsid w:val="000E01AE"/>
    <w:rsid w:val="000E7909"/>
    <w:rsid w:val="000F1CE9"/>
    <w:rsid w:val="00103826"/>
    <w:rsid w:val="00104FF2"/>
    <w:rsid w:val="0012692F"/>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A72F3"/>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65F5B"/>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C7CFF"/>
    <w:rsid w:val="009D2761"/>
    <w:rsid w:val="009D29B6"/>
    <w:rsid w:val="009E11AD"/>
    <w:rsid w:val="009F074C"/>
    <w:rsid w:val="00A10384"/>
    <w:rsid w:val="00A144B2"/>
    <w:rsid w:val="00A15D12"/>
    <w:rsid w:val="00A3011D"/>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5132D"/>
    <w:rsid w:val="00C77710"/>
    <w:rsid w:val="00C80060"/>
    <w:rsid w:val="00CA5904"/>
    <w:rsid w:val="00CA6305"/>
    <w:rsid w:val="00CB59DE"/>
    <w:rsid w:val="00CD119B"/>
    <w:rsid w:val="00CE43D6"/>
    <w:rsid w:val="00CF611B"/>
    <w:rsid w:val="00CF6FF3"/>
    <w:rsid w:val="00D042D8"/>
    <w:rsid w:val="00D25E65"/>
    <w:rsid w:val="00D532D6"/>
    <w:rsid w:val="00DA2384"/>
    <w:rsid w:val="00DB76F9"/>
    <w:rsid w:val="00DB7E17"/>
    <w:rsid w:val="00DD6067"/>
    <w:rsid w:val="00DE45C5"/>
    <w:rsid w:val="00DF3DF3"/>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04211"/>
    <w:rsid w:val="00F252F4"/>
    <w:rsid w:val="00F311DC"/>
    <w:rsid w:val="00F54199"/>
    <w:rsid w:val="00F55C18"/>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 w:type="paragraph" w:customStyle="1" w:styleId="BulletPoints">
    <w:name w:val="Bullet Points"/>
    <w:basedOn w:val="Normal"/>
    <w:qFormat/>
    <w:rsid w:val="00A3011D"/>
    <w:pPr>
      <w:spacing w:before="0" w:after="200" w:line="276" w:lineRule="auto"/>
      <w:ind w:left="720" w:hanging="360"/>
    </w:pPr>
    <w:rPr>
      <w:rFonts w:ascii="Foundry Sterling Book" w:hAnsi="Foundry Sterling Book" w:cstheme="minorBidi"/>
      <w:kern w:val="0"/>
      <w:sz w:val="20"/>
    </w:rPr>
  </w:style>
  <w:style w:type="character" w:styleId="CommentReference">
    <w:name w:val="annotation reference"/>
    <w:basedOn w:val="DefaultParagraphFont"/>
    <w:uiPriority w:val="99"/>
    <w:semiHidden/>
    <w:unhideWhenUsed/>
    <w:rsid w:val="00A301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iffith.edu.au/staff/working-remotely" TargetMode="External"/><Relationship Id="rId18" Type="http://schemas.openxmlformats.org/officeDocument/2006/relationships/hyperlink" Target="https://www.griffith.edu.au/staff/working-remotely" TargetMode="External"/><Relationship Id="rId26" Type="http://schemas.openxmlformats.org/officeDocument/2006/relationships/hyperlink" Target="https://www.griffith.edu.au/__data/assets/pdf_file/0017/1337210/FAQ-work-location-policy.pdf" TargetMode="External"/><Relationship Id="rId3" Type="http://schemas.openxmlformats.org/officeDocument/2006/relationships/customXml" Target="../customXml/item3.xml"/><Relationship Id="rId21" Type="http://schemas.openxmlformats.org/officeDocument/2006/relationships/hyperlink" Target="https://www.legislation.gov.au/Details/C2018C00125"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payroll@griffith.edu.au" TargetMode="External"/><Relationship Id="rId17" Type="http://schemas.openxmlformats.org/officeDocument/2006/relationships/hyperlink" Target="https://www.griffith.edu.au/__data/assets/word_doc/0030/1332759/Working-From-a-Residential-Worksite-checklist.docx" TargetMode="External"/><Relationship Id="rId25" Type="http://schemas.openxmlformats.org/officeDocument/2006/relationships/hyperlink" Target="https://sharepointpubstor.blob.core.windows.net/policylibrary-prod/Information%20Security%20Polic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iffith.edu.au/__data/assets/word_doc/0030/1332759/Working-From-a-Residential-Worksite-checklist.docx" TargetMode="External"/><Relationship Id="rId20" Type="http://schemas.openxmlformats.org/officeDocument/2006/relationships/hyperlink" Target="https://www.legislation.qld.gov.au/view/pdf/2017-06-05/act-1991-08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pdf/inforce/current/act-2011-018" TargetMode="External"/><Relationship Id="rId24" Type="http://schemas.openxmlformats.org/officeDocument/2006/relationships/hyperlink" Target="https://www.legislation.qld.gov.au/view/pdf/inforce/current/act-2011-018"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olicies.griffith.edu.au/pdf/Health%20Safety%20and%20Wellbeing%20Policy.pdf" TargetMode="External"/><Relationship Id="rId23" Type="http://schemas.openxmlformats.org/officeDocument/2006/relationships/hyperlink" Target="https://www.legislation.gov.au/Details/C2018C00499" TargetMode="External"/><Relationship Id="rId28" Type="http://schemas.openxmlformats.org/officeDocument/2006/relationships/header" Target="header1.xml"/><Relationship Id="rId10" Type="http://schemas.openxmlformats.org/officeDocument/2006/relationships/hyperlink" Target="https://www.legislation.gov.au/Details/C2020C00393" TargetMode="External"/><Relationship Id="rId19" Type="http://schemas.openxmlformats.org/officeDocument/2006/relationships/hyperlink" Target="mailto:policy@griffith.edu.au"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inforce/current/act-2011-018" TargetMode="External"/><Relationship Id="rId22" Type="http://schemas.openxmlformats.org/officeDocument/2006/relationships/hyperlink" Target="https://www.legislation.qld.gov.au/view/html/inforce/current/act-2012-005" TargetMode="External"/><Relationship Id="rId27" Type="http://schemas.openxmlformats.org/officeDocument/2006/relationships/hyperlink" Target="https://www.griffith.edu.au/__data/assets/word_doc/0030/1332759/Working-From-a-Residential-Worksite-checklist.docx" TargetMode="External"/><Relationship Id="rId30" Type="http://schemas.openxmlformats.org/officeDocument/2006/relationships/footer" Target="footer2.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Book">
    <w:altName w:val="Calibri"/>
    <w:charset w:val="00"/>
    <w:family w:val="modern"/>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82</Value>
      <Value>116</Value>
      <Value>522</Value>
      <Value>77</Value>
    </TaxCatchAll>
    <SharedWithUsers xmlns="b40c662e-0380-4817-843d-2c7e10d40c39">
      <UserInfo>
        <DisplayName/>
        <AccountId xsi:nil="true"/>
        <AccountType/>
      </UserInfo>
    </SharedWithUsers>
    <PublishOn xmlns="2f261a70-825f-4a37-b7b5-f6ecc2f4c5fa">2021-05-18T08:13:12+00:00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olicysummary xmlns="2f261a70-825f-4a37-b7b5-f6ecc2f4c5fa" xsi:nil="true"/>
    <PolicyCategoryPath xmlns="2f261a70-825f-4a37-b7b5-f6ecc2f4c5fa">Operational:Staff</PolicyCategoryPath>
    <PolicyCategory0 xmlns="2f261a70-825f-4a37-b7b5-f6ecc2f4c5fa">Staff</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2021-05-17T14:00:00+00:00</LastPublished>
    <doccomments xmlns="2f261a70-825f-4a37-b7b5-f6ecc2f4c5fa">At the 5 May 2021, Executive Group approved the Work Location Policy which would come into effect subject to agreed amendments, consultation with the unions and updates to related flexible working documents and websites. The policy came into effect on 18 May 2021. 
15/12/2021 EG approved new version of policy.</doccomments>
    <datedeclared xmlns="2f261a70-825f-4a37-b7b5-f6ecc2f4c5fa">2021-05-17T14:00:00+00:00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F05B6-6034-4470-84BB-02F459AE471F}"/>
</file>

<file path=customXml/itemProps2.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55</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Location Policy</dc:title>
  <dc:creator>Jen Lofgren</dc:creator>
  <cp:lastModifiedBy>John Montgomery</cp:lastModifiedBy>
  <cp:revision>15</cp:revision>
  <dcterms:created xsi:type="dcterms:W3CDTF">2023-11-21T05:54:00Z</dcterms:created>
  <dcterms:modified xsi:type="dcterms:W3CDTF">2024-03-21T23:44:00Z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policycategory">
    <vt:lpwstr/>
  </property>
  <property fmtid="{D5CDD505-2E9C-101B-9397-08002B2CF9AE}" pid="17" name="appauthority">
    <vt:lpwstr>111;#Vice Chancellor|eaca6187-2c86-4c60-9b31-6cf3c86aa1e1</vt:lpwstr>
  </property>
  <property fmtid="{D5CDD505-2E9C-101B-9397-08002B2CF9AE}" pid="18" name="officearea">
    <vt:lpwstr>82;#HR|fa4a663b-66b4-447a-906e-c740a2fee828</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review">
    <vt:lpwstr>116;#2025|fa1cf741-e18b-4093-9127-a4b8f49df0e9</vt:lpwstr>
  </property>
  <property fmtid="{D5CDD505-2E9C-101B-9397-08002B2CF9AE}" pid="22" name="policyaudience">
    <vt:lpwstr>77;#Staff|45ee306d-49ae-43fa-a3ef-02f70754fd2d</vt:lpwstr>
  </property>
  <property fmtid="{D5CDD505-2E9C-101B-9397-08002B2CF9AE}" pid="23" name="Managed_Testing_Field">
    <vt:lpwstr/>
  </property>
</Properties>
</file>