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53E99" w14:textId="77777777" w:rsidR="00E864AF" w:rsidRDefault="00CA3E2C" w:rsidP="00F03BF8">
      <w:pPr>
        <w:tabs>
          <w:tab w:val="left" w:pos="1134"/>
          <w:tab w:val="left" w:pos="1701"/>
          <w:tab w:val="left" w:pos="1985"/>
        </w:tabs>
        <w:rPr>
          <w:sz w:val="20"/>
        </w:rPr>
      </w:pPr>
      <w:r>
        <w:rPr>
          <w:noProof/>
          <w:sz w:val="20"/>
        </w:rPr>
        <mc:AlternateContent>
          <mc:Choice Requires="wps">
            <w:drawing>
              <wp:anchor distT="0" distB="0" distL="114300" distR="114300" simplePos="0" relativeHeight="251658240" behindDoc="0" locked="0" layoutInCell="1" allowOverlap="1" wp14:anchorId="0AD53EFB" wp14:editId="0AD53EFC">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53F0E" w14:textId="77777777" w:rsidR="00202A59" w:rsidRDefault="00202A59" w:rsidP="00B66CBA">
                            <w:pPr>
                              <w:ind w:left="426"/>
                            </w:pPr>
                            <w:r>
                              <w:rPr>
                                <w:noProof/>
                              </w:rPr>
                              <w:drawing>
                                <wp:inline distT="0" distB="0" distL="0" distR="0" wp14:anchorId="0AD53F0F" wp14:editId="0AD53F1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D53EFB"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0AD53F0E" w14:textId="77777777" w:rsidR="00202A59" w:rsidRDefault="00202A59" w:rsidP="00B66CBA">
                      <w:pPr>
                        <w:ind w:left="426"/>
                      </w:pPr>
                      <w:r>
                        <w:rPr>
                          <w:noProof/>
                        </w:rPr>
                        <w:drawing>
                          <wp:inline distT="0" distB="0" distL="0" distR="0" wp14:anchorId="0AD53F0F" wp14:editId="0AD53F10">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0AD53E9A" w14:textId="77777777" w:rsidR="00C0705D" w:rsidRPr="00862B37" w:rsidRDefault="005029E3" w:rsidP="002A6AA2">
      <w:pPr>
        <w:spacing w:before="360" w:after="240"/>
        <w:ind w:left="0"/>
        <w:jc w:val="left"/>
        <w:rPr>
          <w:rFonts w:cs="Arial"/>
          <w:sz w:val="32"/>
          <w:szCs w:val="32"/>
        </w:rPr>
      </w:pPr>
      <w:r>
        <w:rPr>
          <w:rFonts w:cs="Arial"/>
          <w:color w:val="333333"/>
          <w:sz w:val="32"/>
          <w:szCs w:val="32"/>
        </w:rPr>
        <w:t>Vaccine Preventable Diseases Policy for Griffith Health Clinics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0AD53E9D" w14:textId="77777777" w:rsidTr="00B86B55">
        <w:tc>
          <w:tcPr>
            <w:tcW w:w="2410" w:type="dxa"/>
            <w:tcBorders>
              <w:top w:val="single" w:sz="12" w:space="0" w:color="D9D9D9" w:themeColor="background1" w:themeShade="D9"/>
              <w:right w:val="single" w:sz="12" w:space="0" w:color="D9D9D9" w:themeColor="background1" w:themeShade="D9"/>
            </w:tcBorders>
          </w:tcPr>
          <w:p w14:paraId="0AD53E9B"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0AD53E9C" w14:textId="77777777" w:rsidR="00B86B55" w:rsidRPr="00423A1D" w:rsidRDefault="00B86B55" w:rsidP="002A6AA2">
            <w:pPr>
              <w:spacing w:after="0"/>
              <w:ind w:left="159"/>
              <w:rPr>
                <w:rFonts w:cs="Arial"/>
                <w:sz w:val="12"/>
                <w:szCs w:val="12"/>
              </w:rPr>
            </w:pPr>
          </w:p>
        </w:tc>
      </w:tr>
      <w:tr w:rsidR="00B86B55" w:rsidRPr="00D614DF" w14:paraId="0AD53EA0" w14:textId="77777777" w:rsidTr="00B86B55">
        <w:tc>
          <w:tcPr>
            <w:tcW w:w="2410" w:type="dxa"/>
            <w:tcBorders>
              <w:right w:val="single" w:sz="12" w:space="0" w:color="D9D9D9" w:themeColor="background1" w:themeShade="D9"/>
            </w:tcBorders>
            <w:vAlign w:val="center"/>
          </w:tcPr>
          <w:p w14:paraId="0AD53E9E"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0AD53E9F" w14:textId="02320D0B" w:rsidR="00B86B55" w:rsidRPr="00D614DF" w:rsidRDefault="00243EE5" w:rsidP="002A6AA2">
            <w:pPr>
              <w:spacing w:before="60" w:after="60"/>
              <w:ind w:left="159"/>
              <w:rPr>
                <w:rFonts w:cs="Arial"/>
                <w:sz w:val="20"/>
              </w:rPr>
            </w:pPr>
            <w:r>
              <w:rPr>
                <w:rFonts w:cs="Arial"/>
                <w:sz w:val="20"/>
              </w:rPr>
              <w:t>Provost</w:t>
            </w:r>
          </w:p>
        </w:tc>
      </w:tr>
      <w:tr w:rsidR="00B86B55" w:rsidRPr="00D614DF" w14:paraId="0AD53EA3" w14:textId="77777777" w:rsidTr="00B86B55">
        <w:tc>
          <w:tcPr>
            <w:tcW w:w="2410" w:type="dxa"/>
            <w:tcBorders>
              <w:right w:val="single" w:sz="12" w:space="0" w:color="D9D9D9" w:themeColor="background1" w:themeShade="D9"/>
            </w:tcBorders>
            <w:vAlign w:val="center"/>
          </w:tcPr>
          <w:p w14:paraId="0AD53EA1"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0AD53EA2" w14:textId="6DE96360" w:rsidR="00B86B55" w:rsidRPr="00D614DF" w:rsidRDefault="00224311" w:rsidP="002A6AA2">
            <w:pPr>
              <w:spacing w:before="60" w:after="60"/>
              <w:ind w:left="159"/>
              <w:rPr>
                <w:rFonts w:cs="Arial"/>
                <w:sz w:val="20"/>
              </w:rPr>
            </w:pPr>
            <w:r>
              <w:rPr>
                <w:rFonts w:cs="Arial"/>
                <w:sz w:val="20"/>
              </w:rPr>
              <w:t>22 November 2018</w:t>
            </w:r>
          </w:p>
        </w:tc>
      </w:tr>
      <w:tr w:rsidR="00202A59" w:rsidRPr="00D614DF" w14:paraId="0AD53EA6" w14:textId="77777777" w:rsidTr="00202A59">
        <w:tc>
          <w:tcPr>
            <w:tcW w:w="2410" w:type="dxa"/>
            <w:tcBorders>
              <w:right w:val="single" w:sz="12" w:space="0" w:color="D9D9D9" w:themeColor="background1" w:themeShade="D9"/>
            </w:tcBorders>
          </w:tcPr>
          <w:p w14:paraId="0AD53EA4"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AD53EA5" w14:textId="36DB2B9D" w:rsidR="00202A59" w:rsidRPr="00D614DF" w:rsidRDefault="005029E3" w:rsidP="005029E3">
            <w:pPr>
              <w:spacing w:before="60" w:after="60"/>
              <w:ind w:left="159"/>
              <w:jc w:val="left"/>
              <w:rPr>
                <w:rFonts w:cs="Arial"/>
                <w:sz w:val="20"/>
              </w:rPr>
            </w:pPr>
            <w:r w:rsidRPr="005029E3">
              <w:rPr>
                <w:rFonts w:cs="Arial"/>
                <w:sz w:val="20"/>
              </w:rPr>
              <w:t>PVC (</w:t>
            </w:r>
            <w:r w:rsidR="00243EE5">
              <w:rPr>
                <w:rFonts w:cs="Arial"/>
                <w:sz w:val="20"/>
              </w:rPr>
              <w:t xml:space="preserve">Griffith </w:t>
            </w:r>
            <w:r w:rsidRPr="005029E3">
              <w:rPr>
                <w:rFonts w:cs="Arial"/>
                <w:sz w:val="20"/>
              </w:rPr>
              <w:t>Health)</w:t>
            </w:r>
          </w:p>
        </w:tc>
      </w:tr>
      <w:tr w:rsidR="00202A59" w:rsidRPr="00D614DF" w14:paraId="0AD53EA9" w14:textId="77777777" w:rsidTr="00202A59">
        <w:tc>
          <w:tcPr>
            <w:tcW w:w="2410" w:type="dxa"/>
            <w:tcBorders>
              <w:bottom w:val="nil"/>
              <w:right w:val="single" w:sz="12" w:space="0" w:color="D9D9D9" w:themeColor="background1" w:themeShade="D9"/>
            </w:tcBorders>
            <w:vAlign w:val="center"/>
          </w:tcPr>
          <w:p w14:paraId="0AD53EA7"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AD53EA8" w14:textId="3E7F3717" w:rsidR="00202A59" w:rsidRPr="006D5CAF" w:rsidRDefault="00224311" w:rsidP="005029E3">
            <w:pPr>
              <w:spacing w:after="60"/>
              <w:ind w:left="159"/>
              <w:jc w:val="left"/>
              <w:rPr>
                <w:rFonts w:cs="Arial"/>
                <w:sz w:val="20"/>
              </w:rPr>
            </w:pPr>
            <w:r>
              <w:rPr>
                <w:rFonts w:cs="Arial"/>
                <w:sz w:val="20"/>
              </w:rPr>
              <w:t>2023</w:t>
            </w:r>
          </w:p>
        </w:tc>
      </w:tr>
      <w:tr w:rsidR="00202A59" w:rsidRPr="00D614DF" w14:paraId="0AD53EAC" w14:textId="77777777" w:rsidTr="00B86B55">
        <w:tc>
          <w:tcPr>
            <w:tcW w:w="2410" w:type="dxa"/>
            <w:tcBorders>
              <w:bottom w:val="nil"/>
              <w:right w:val="single" w:sz="12" w:space="0" w:color="D9D9D9" w:themeColor="background1" w:themeShade="D9"/>
            </w:tcBorders>
            <w:vAlign w:val="center"/>
          </w:tcPr>
          <w:p w14:paraId="0AD53EAA"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0AD53EAB" w14:textId="77777777" w:rsidR="00202A59" w:rsidRDefault="005029E3" w:rsidP="005029E3">
            <w:pPr>
              <w:spacing w:before="60" w:after="60"/>
              <w:ind w:left="159"/>
              <w:jc w:val="left"/>
              <w:rPr>
                <w:rFonts w:cs="Arial"/>
                <w:sz w:val="20"/>
              </w:rPr>
            </w:pPr>
            <w:r w:rsidRPr="005029E3">
              <w:rPr>
                <w:rFonts w:cs="Arial"/>
                <w:sz w:val="20"/>
              </w:rPr>
              <w:t>http://policies.griffith.edu.au/pdf/Vaccine</w:t>
            </w:r>
            <w:r>
              <w:rPr>
                <w:rFonts w:cs="Arial"/>
                <w:sz w:val="20"/>
              </w:rPr>
              <w:t xml:space="preserve"> Preventable Diseases Policy for Griffith Health Clinics</w:t>
            </w:r>
            <w:r w:rsidR="00202A59" w:rsidRPr="00F32F5F">
              <w:rPr>
                <w:rFonts w:cs="Arial"/>
                <w:sz w:val="20"/>
              </w:rPr>
              <w:t>.pdf</w:t>
            </w:r>
          </w:p>
        </w:tc>
      </w:tr>
      <w:tr w:rsidR="00202A59" w:rsidRPr="00D614DF" w14:paraId="0AD53EAF"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0AD53EAD"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0AD53EAE" w14:textId="76259761" w:rsidR="00202A59" w:rsidRPr="00CE72CB" w:rsidRDefault="00FD5C9C" w:rsidP="002A6AA2">
            <w:pPr>
              <w:spacing w:before="60" w:after="60"/>
              <w:ind w:left="159"/>
              <w:rPr>
                <w:rFonts w:cs="Arial"/>
                <w:sz w:val="20"/>
                <w:highlight w:val="yellow"/>
              </w:rPr>
            </w:pPr>
            <w:r w:rsidRPr="00FD5C9C">
              <w:rPr>
                <w:rFonts w:cs="Arial"/>
                <w:sz w:val="20"/>
              </w:rPr>
              <w:t>2023/0001177</w:t>
            </w:r>
          </w:p>
        </w:tc>
      </w:tr>
      <w:tr w:rsidR="00E31309" w:rsidRPr="00D614DF" w14:paraId="0AD53EB2" w14:textId="77777777" w:rsidTr="00C6409F">
        <w:tc>
          <w:tcPr>
            <w:tcW w:w="2410" w:type="dxa"/>
            <w:tcBorders>
              <w:bottom w:val="single" w:sz="12" w:space="0" w:color="D9D9D9" w:themeColor="background1" w:themeShade="D9"/>
              <w:right w:val="single" w:sz="12" w:space="0" w:color="D9D9D9" w:themeColor="background1" w:themeShade="D9"/>
            </w:tcBorders>
          </w:tcPr>
          <w:p w14:paraId="0AD53EB0"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0AD53EB1" w14:textId="77777777" w:rsidR="00E31309" w:rsidRDefault="00214D54" w:rsidP="00C6409F">
            <w:pPr>
              <w:spacing w:before="60" w:after="60"/>
              <w:ind w:left="159"/>
              <w:jc w:val="left"/>
              <w:rPr>
                <w:rFonts w:cs="Arial"/>
                <w:sz w:val="20"/>
              </w:rPr>
            </w:pPr>
            <w:r>
              <w:rPr>
                <w:rFonts w:cs="Arial"/>
                <w:sz w:val="20"/>
              </w:rPr>
              <w:t>This policy outlines the Vaccine Preventable Diseases immunisation requirements for employees and external practitioners who are engaged to work in the Griffith Health Clinics.</w:t>
            </w:r>
          </w:p>
        </w:tc>
      </w:tr>
      <w:tr w:rsidR="00B86B55" w:rsidRPr="00D614DF" w14:paraId="0AD53EB5"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0AD53EB3"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AD53EB4" w14:textId="77777777" w:rsidR="00B86B55" w:rsidRPr="00D614DF" w:rsidRDefault="00B86B55" w:rsidP="002A6AA2">
            <w:pPr>
              <w:spacing w:before="60" w:after="60"/>
              <w:ind w:left="159"/>
              <w:rPr>
                <w:rFonts w:cs="Arial"/>
                <w:sz w:val="20"/>
              </w:rPr>
            </w:pPr>
          </w:p>
        </w:tc>
      </w:tr>
      <w:tr w:rsidR="00B86B55" w:rsidRPr="00D614DF" w14:paraId="0AD53EC0" w14:textId="77777777" w:rsidTr="00B86B55">
        <w:tc>
          <w:tcPr>
            <w:tcW w:w="9639" w:type="dxa"/>
            <w:gridSpan w:val="2"/>
            <w:tcBorders>
              <w:top w:val="single" w:sz="12" w:space="0" w:color="D9D9D9" w:themeColor="background1" w:themeShade="D9"/>
              <w:bottom w:val="nil"/>
            </w:tcBorders>
          </w:tcPr>
          <w:p w14:paraId="0AD53EB6" w14:textId="77777777" w:rsidR="00214D54" w:rsidRDefault="00FD5C9C" w:rsidP="00214D54">
            <w:pPr>
              <w:spacing w:before="60" w:after="60"/>
              <w:ind w:left="34"/>
              <w:rPr>
                <w:rFonts w:cs="Arial"/>
                <w:sz w:val="20"/>
              </w:rPr>
            </w:pPr>
            <w:hyperlink r:id="rId13" w:history="1">
              <w:r w:rsidR="00214D54" w:rsidRPr="00EB3839">
                <w:rPr>
                  <w:rStyle w:val="Hyperlink"/>
                  <w:rFonts w:cs="Arial"/>
                  <w:sz w:val="20"/>
                </w:rPr>
                <w:t>Australian Guidelines for the Prevention and Control of Infection in Healthcare (2010)</w:t>
              </w:r>
            </w:hyperlink>
          </w:p>
          <w:p w14:paraId="0AD53EB7" w14:textId="77777777" w:rsidR="00214D54" w:rsidRPr="00EB3839" w:rsidRDefault="00FD5C9C" w:rsidP="00214D54">
            <w:pPr>
              <w:spacing w:before="60" w:after="60"/>
              <w:ind w:left="34"/>
              <w:rPr>
                <w:rFonts w:cs="Arial"/>
                <w:sz w:val="20"/>
              </w:rPr>
            </w:pPr>
            <w:hyperlink r:id="rId14" w:history="1">
              <w:r w:rsidR="00214D54" w:rsidRPr="00EB3839">
                <w:rPr>
                  <w:rStyle w:val="Hyperlink"/>
                  <w:rFonts w:cs="Arial"/>
                  <w:sz w:val="20"/>
                </w:rPr>
                <w:t>Australian Commission on Safety and Quality in Healthcare (Standard 3)</w:t>
              </w:r>
            </w:hyperlink>
          </w:p>
          <w:p w14:paraId="0AD53EB8" w14:textId="1CC674C1" w:rsidR="00214D54" w:rsidRDefault="00FD5C9C" w:rsidP="00214D54">
            <w:pPr>
              <w:spacing w:before="60" w:after="60"/>
              <w:ind w:left="34"/>
              <w:rPr>
                <w:rFonts w:cs="Arial"/>
                <w:sz w:val="20"/>
                <w:highlight w:val="yellow"/>
              </w:rPr>
            </w:pPr>
            <w:hyperlink r:id="rId15" w:history="1">
              <w:r w:rsidR="00214D54" w:rsidRPr="00EB3839">
                <w:rPr>
                  <w:rStyle w:val="Hyperlink"/>
                  <w:rFonts w:cs="Arial"/>
                  <w:sz w:val="20"/>
                </w:rPr>
                <w:t>Australian Dental Association Guidelines for Infection Control</w:t>
              </w:r>
            </w:hyperlink>
            <w:r w:rsidR="00214D54" w:rsidRPr="00EB3839">
              <w:rPr>
                <w:rFonts w:cs="Arial"/>
                <w:sz w:val="20"/>
                <w:highlight w:val="yellow"/>
              </w:rPr>
              <w:t xml:space="preserve"> </w:t>
            </w:r>
          </w:p>
          <w:p w14:paraId="0AD53EB9" w14:textId="77777777" w:rsidR="00214D54" w:rsidRDefault="00FD5C9C" w:rsidP="00214D54">
            <w:pPr>
              <w:spacing w:before="60" w:after="60"/>
              <w:ind w:left="34"/>
              <w:rPr>
                <w:rFonts w:cs="Arial"/>
                <w:sz w:val="20"/>
              </w:rPr>
            </w:pPr>
            <w:hyperlink r:id="rId16" w:history="1">
              <w:r w:rsidR="00214D54">
                <w:rPr>
                  <w:rStyle w:val="Hyperlink"/>
                  <w:rFonts w:cs="Arial"/>
                  <w:sz w:val="20"/>
                </w:rPr>
                <w:t>Queensland Department of Health Vaccination of Healthcare Workers Guideline</w:t>
              </w:r>
            </w:hyperlink>
          </w:p>
          <w:p w14:paraId="0AD53EBA" w14:textId="77777777" w:rsidR="00214D54" w:rsidRDefault="00FD5C9C" w:rsidP="00214D54">
            <w:pPr>
              <w:spacing w:before="60" w:after="60"/>
              <w:ind w:left="34"/>
              <w:rPr>
                <w:rFonts w:cs="Arial"/>
                <w:sz w:val="20"/>
              </w:rPr>
            </w:pPr>
            <w:hyperlink r:id="rId17" w:history="1">
              <w:r w:rsidR="00214D54" w:rsidRPr="00EB3839">
                <w:rPr>
                  <w:rStyle w:val="Hyperlink"/>
                  <w:rFonts w:cs="Arial"/>
                  <w:sz w:val="20"/>
                </w:rPr>
                <w:t>Queensland Department of Health Healthcare worker vaccinations</w:t>
              </w:r>
            </w:hyperlink>
          </w:p>
          <w:p w14:paraId="0AD53EBB" w14:textId="0479CE88" w:rsidR="00214D54" w:rsidRDefault="00FD5C9C" w:rsidP="00214D54">
            <w:pPr>
              <w:spacing w:before="60" w:after="60"/>
              <w:ind w:left="34"/>
              <w:rPr>
                <w:rFonts w:cs="Arial"/>
                <w:sz w:val="20"/>
              </w:rPr>
            </w:pPr>
            <w:hyperlink r:id="rId18" w:history="1">
              <w:r w:rsidR="00214D54" w:rsidRPr="00EB3839">
                <w:rPr>
                  <w:rStyle w:val="Hyperlink"/>
                  <w:rFonts w:cs="Arial"/>
                  <w:sz w:val="20"/>
                </w:rPr>
                <w:t>Griffith University</w:t>
              </w:r>
            </w:hyperlink>
            <w:r w:rsidR="006922EC">
              <w:rPr>
                <w:rStyle w:val="Hyperlink"/>
                <w:rFonts w:cs="Arial"/>
                <w:sz w:val="20"/>
              </w:rPr>
              <w:t xml:space="preserve"> Guidelines for the Prevention and Control of Communicable and Notifiable Diseases</w:t>
            </w:r>
          </w:p>
          <w:p w14:paraId="0AD53EBC" w14:textId="03A6FD79" w:rsidR="00214D54" w:rsidRDefault="00FD5C9C" w:rsidP="00214D54">
            <w:pPr>
              <w:spacing w:before="60" w:after="60"/>
              <w:ind w:left="34"/>
              <w:rPr>
                <w:rStyle w:val="Hyperlink"/>
                <w:rFonts w:cs="Arial"/>
                <w:sz w:val="20"/>
              </w:rPr>
            </w:pPr>
            <w:hyperlink r:id="rId19" w:history="1">
              <w:r w:rsidR="00214D54" w:rsidRPr="00377DCA">
                <w:rPr>
                  <w:rStyle w:val="Hyperlink"/>
                  <w:rFonts w:cs="Arial"/>
                  <w:sz w:val="20"/>
                </w:rPr>
                <w:t>The Australian Immunisation Handbook</w:t>
              </w:r>
            </w:hyperlink>
          </w:p>
          <w:p w14:paraId="0AD53EBD" w14:textId="77777777" w:rsidR="00214D54" w:rsidRDefault="00FD5C9C" w:rsidP="00214D54">
            <w:pPr>
              <w:spacing w:before="60" w:after="60"/>
              <w:ind w:left="34"/>
              <w:rPr>
                <w:rStyle w:val="Hyperlink"/>
                <w:rFonts w:cs="Arial"/>
                <w:sz w:val="20"/>
              </w:rPr>
            </w:pPr>
            <w:hyperlink r:id="rId20" w:history="1">
              <w:r w:rsidR="00214D54" w:rsidRPr="00377DCA">
                <w:rPr>
                  <w:rStyle w:val="Hyperlink"/>
                  <w:rFonts w:cs="Arial"/>
                  <w:sz w:val="20"/>
                </w:rPr>
                <w:t>Queensland Health Communicable Disease Control Guidance and Information</w:t>
              </w:r>
            </w:hyperlink>
          </w:p>
          <w:p w14:paraId="0AD53EBE" w14:textId="77777777" w:rsidR="00214D54" w:rsidRDefault="00FD5C9C" w:rsidP="00214D54">
            <w:pPr>
              <w:spacing w:before="60" w:after="60"/>
              <w:ind w:left="34"/>
              <w:rPr>
                <w:rStyle w:val="Hyperlink"/>
                <w:rFonts w:cs="Arial"/>
                <w:sz w:val="20"/>
              </w:rPr>
            </w:pPr>
            <w:hyperlink r:id="rId21" w:history="1">
              <w:r w:rsidR="00214D54" w:rsidRPr="008B605B">
                <w:rPr>
                  <w:rStyle w:val="Hyperlink"/>
                  <w:rFonts w:cs="Arial"/>
                  <w:sz w:val="20"/>
                </w:rPr>
                <w:t>Queensland Health Employment Directive No. 01/16</w:t>
              </w:r>
            </w:hyperlink>
          </w:p>
          <w:p w14:paraId="0AD53EBF" w14:textId="77777777" w:rsidR="0002656D" w:rsidRPr="00494AAC" w:rsidRDefault="00FD5C9C" w:rsidP="00214D54">
            <w:pPr>
              <w:spacing w:before="60" w:after="60"/>
              <w:ind w:left="0"/>
              <w:rPr>
                <w:rFonts w:cs="Arial"/>
                <w:sz w:val="20"/>
                <w:highlight w:val="yellow"/>
              </w:rPr>
            </w:pPr>
            <w:hyperlink r:id="rId22" w:history="1">
              <w:r w:rsidR="00214D54" w:rsidRPr="00F21549">
                <w:rPr>
                  <w:rStyle w:val="Hyperlink"/>
                  <w:rFonts w:cs="Arial"/>
                  <w:sz w:val="20"/>
                </w:rPr>
                <w:t>Griffith University Privacy Plan</w:t>
              </w:r>
            </w:hyperlink>
          </w:p>
        </w:tc>
      </w:tr>
      <w:tr w:rsidR="00B86B55" w:rsidRPr="00474FF5" w14:paraId="0AD53EC2"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0AD53EC1" w14:textId="77777777" w:rsidR="00B86B55" w:rsidRPr="00474FF5" w:rsidRDefault="00B86B55" w:rsidP="00214D54">
            <w:pPr>
              <w:spacing w:before="60" w:after="60"/>
              <w:ind w:left="0"/>
              <w:rPr>
                <w:rFonts w:cs="Arial"/>
                <w:sz w:val="20"/>
              </w:rPr>
            </w:pPr>
            <w:r>
              <w:rPr>
                <w:sz w:val="20"/>
              </w:rPr>
              <w:t>[</w:t>
            </w:r>
            <w:hyperlink w:anchor="PolicyPrinciples" w:history="1">
              <w:r w:rsidR="00214D54" w:rsidRPr="00CF6AB3">
                <w:rPr>
                  <w:rStyle w:val="Hyperlink"/>
                  <w:sz w:val="20"/>
                </w:rPr>
                <w:t>Policy Principles</w:t>
              </w:r>
            </w:hyperlink>
            <w:r>
              <w:rPr>
                <w:sz w:val="20"/>
              </w:rPr>
              <w:t xml:space="preserve">] </w:t>
            </w:r>
            <w:r w:rsidRPr="00474FF5">
              <w:rPr>
                <w:sz w:val="20"/>
              </w:rPr>
              <w:t>[</w:t>
            </w:r>
            <w:hyperlink w:anchor="Purpose" w:history="1">
              <w:r w:rsidR="00214D54" w:rsidRPr="00CF6AB3">
                <w:rPr>
                  <w:rStyle w:val="Hyperlink"/>
                  <w:sz w:val="20"/>
                </w:rPr>
                <w:t>Purpose</w:t>
              </w:r>
            </w:hyperlink>
            <w:r w:rsidRPr="00474FF5">
              <w:rPr>
                <w:sz w:val="20"/>
              </w:rPr>
              <w:t>]</w:t>
            </w:r>
            <w:r w:rsidR="00CE72CB">
              <w:rPr>
                <w:sz w:val="20"/>
              </w:rPr>
              <w:t xml:space="preserve"> [</w:t>
            </w:r>
            <w:hyperlink w:anchor="Scope" w:history="1">
              <w:r w:rsidR="00214D54" w:rsidRPr="00CF6AB3">
                <w:rPr>
                  <w:rStyle w:val="Hyperlink"/>
                  <w:sz w:val="20"/>
                </w:rPr>
                <w:t>Scope</w:t>
              </w:r>
            </w:hyperlink>
            <w:r w:rsidR="00CE72CB">
              <w:rPr>
                <w:sz w:val="20"/>
              </w:rPr>
              <w:t>] [</w:t>
            </w:r>
            <w:hyperlink w:anchor="Application" w:history="1">
              <w:r w:rsidR="00214D54" w:rsidRPr="00CF6AB3">
                <w:rPr>
                  <w:rStyle w:val="Hyperlink"/>
                  <w:sz w:val="20"/>
                </w:rPr>
                <w:t>Application</w:t>
              </w:r>
            </w:hyperlink>
            <w:r w:rsidR="00CE72CB">
              <w:rPr>
                <w:sz w:val="20"/>
              </w:rPr>
              <w:t>] [</w:t>
            </w:r>
            <w:hyperlink w:anchor="RecommendedVaccinations" w:history="1">
              <w:r w:rsidR="00214D54" w:rsidRPr="00CF6AB3">
                <w:rPr>
                  <w:rStyle w:val="Hyperlink"/>
                  <w:sz w:val="20"/>
                </w:rPr>
                <w:t>Recommended Vaccinations</w:t>
              </w:r>
            </w:hyperlink>
            <w:r w:rsidR="00CE72CB">
              <w:rPr>
                <w:sz w:val="20"/>
              </w:rPr>
              <w:t>]</w:t>
            </w:r>
            <w:r w:rsidR="00214D54">
              <w:rPr>
                <w:sz w:val="20"/>
              </w:rPr>
              <w:t xml:space="preserve"> [</w:t>
            </w:r>
            <w:hyperlink w:anchor="EvidenceandDocumentation" w:history="1">
              <w:r w:rsidR="00214D54" w:rsidRPr="00CF6AB3">
                <w:rPr>
                  <w:rStyle w:val="Hyperlink"/>
                  <w:sz w:val="20"/>
                </w:rPr>
                <w:t>Evidence and Documentation</w:t>
              </w:r>
            </w:hyperlink>
            <w:r w:rsidR="00214D54">
              <w:rPr>
                <w:sz w:val="20"/>
              </w:rPr>
              <w:t>] [</w:t>
            </w:r>
            <w:hyperlink w:anchor="ExceptionalCircumstances" w:history="1">
              <w:r w:rsidR="00214D54" w:rsidRPr="00CF6AB3">
                <w:rPr>
                  <w:rStyle w:val="Hyperlink"/>
                  <w:sz w:val="20"/>
                </w:rPr>
                <w:t>Exceptional Circumstances</w:t>
              </w:r>
            </w:hyperlink>
            <w:r w:rsidR="00214D54">
              <w:rPr>
                <w:sz w:val="20"/>
              </w:rPr>
              <w:t>] [</w:t>
            </w:r>
            <w:hyperlink w:anchor="Education" w:history="1">
              <w:r w:rsidR="00214D54" w:rsidRPr="00CF6AB3">
                <w:rPr>
                  <w:rStyle w:val="Hyperlink"/>
                  <w:sz w:val="20"/>
                </w:rPr>
                <w:t>Education</w:t>
              </w:r>
            </w:hyperlink>
            <w:r w:rsidR="00214D54">
              <w:rPr>
                <w:sz w:val="20"/>
              </w:rPr>
              <w:t>]</w:t>
            </w:r>
          </w:p>
        </w:tc>
      </w:tr>
    </w:tbl>
    <w:p w14:paraId="0AD53EC3" w14:textId="77777777" w:rsidR="00E20578" w:rsidRPr="00B34D13" w:rsidRDefault="00372295" w:rsidP="005C5DF0">
      <w:pPr>
        <w:numPr>
          <w:ilvl w:val="0"/>
          <w:numId w:val="2"/>
        </w:numPr>
        <w:tabs>
          <w:tab w:val="clear" w:pos="570"/>
          <w:tab w:val="left" w:pos="567"/>
        </w:tabs>
        <w:spacing w:before="100" w:beforeAutospacing="1" w:after="240"/>
        <w:ind w:left="573" w:hanging="573"/>
        <w:rPr>
          <w:rFonts w:cs="Arial"/>
          <w:b/>
          <w:caps/>
          <w:sz w:val="24"/>
          <w:szCs w:val="24"/>
        </w:rPr>
      </w:pPr>
      <w:bookmarkStart w:id="0" w:name="PolicyPrinciples"/>
      <w:bookmarkEnd w:id="0"/>
      <w:r w:rsidRPr="00CF6AB3">
        <w:rPr>
          <w:b/>
          <w:caps/>
          <w:sz w:val="24"/>
          <w:szCs w:val="24"/>
        </w:rPr>
        <w:t>POLICY PRINCIPLES</w:t>
      </w:r>
    </w:p>
    <w:p w14:paraId="0AD53EC4" w14:textId="77777777" w:rsidR="00E62EC8" w:rsidRPr="00377DCA" w:rsidRDefault="00E62EC8" w:rsidP="00E62EC8">
      <w:pPr>
        <w:pStyle w:val="BodyText"/>
        <w:ind w:left="570"/>
        <w:rPr>
          <w:rFonts w:ascii="Arial" w:hAnsi="Arial"/>
          <w:sz w:val="20"/>
          <w:szCs w:val="20"/>
        </w:rPr>
      </w:pPr>
      <w:r w:rsidRPr="00377DCA">
        <w:rPr>
          <w:rFonts w:ascii="Arial" w:hAnsi="Arial"/>
          <w:sz w:val="20"/>
          <w:szCs w:val="20"/>
        </w:rPr>
        <w:t xml:space="preserve">The Griffith Health Clinics use a risk management approach </w:t>
      </w:r>
      <w:r>
        <w:rPr>
          <w:rFonts w:ascii="Arial" w:hAnsi="Arial"/>
          <w:sz w:val="20"/>
          <w:szCs w:val="20"/>
        </w:rPr>
        <w:t>to provide</w:t>
      </w:r>
      <w:r w:rsidRPr="00377DCA">
        <w:rPr>
          <w:rFonts w:ascii="Arial" w:hAnsi="Arial"/>
          <w:sz w:val="20"/>
          <w:szCs w:val="20"/>
        </w:rPr>
        <w:t xml:space="preserve"> health services in a safe and ethical manner in accordance with the recommendations </w:t>
      </w:r>
      <w:r>
        <w:rPr>
          <w:rFonts w:ascii="Arial" w:hAnsi="Arial"/>
          <w:sz w:val="20"/>
          <w:szCs w:val="20"/>
        </w:rPr>
        <w:t>of</w:t>
      </w:r>
      <w:r w:rsidRPr="00377DCA">
        <w:rPr>
          <w:rFonts w:ascii="Arial" w:hAnsi="Arial"/>
          <w:sz w:val="20"/>
          <w:szCs w:val="20"/>
        </w:rPr>
        <w:t xml:space="preserve"> the </w:t>
      </w:r>
      <w:r>
        <w:rPr>
          <w:rFonts w:ascii="Arial" w:hAnsi="Arial"/>
          <w:sz w:val="20"/>
          <w:szCs w:val="20"/>
        </w:rPr>
        <w:t xml:space="preserve">Queensland Department of Health, </w:t>
      </w:r>
      <w:r w:rsidRPr="00377DCA">
        <w:rPr>
          <w:rFonts w:ascii="Arial" w:hAnsi="Arial"/>
          <w:sz w:val="20"/>
          <w:szCs w:val="20"/>
        </w:rPr>
        <w:t>the Australian Commission on Saf</w:t>
      </w:r>
      <w:r>
        <w:rPr>
          <w:rFonts w:ascii="Arial" w:hAnsi="Arial"/>
          <w:sz w:val="20"/>
          <w:szCs w:val="20"/>
        </w:rPr>
        <w:t>ety and Quality in Health Care and Griffith University Health and Safety</w:t>
      </w:r>
      <w:r w:rsidRPr="00377DCA">
        <w:rPr>
          <w:rFonts w:ascii="Arial" w:hAnsi="Arial"/>
          <w:sz w:val="20"/>
          <w:szCs w:val="20"/>
        </w:rPr>
        <w:t>.</w:t>
      </w:r>
    </w:p>
    <w:p w14:paraId="0AD53EC5" w14:textId="77777777" w:rsidR="005A481D" w:rsidRDefault="00FD5C9C" w:rsidP="005A481D">
      <w:pPr>
        <w:spacing w:before="100" w:beforeAutospacing="1" w:after="240"/>
        <w:ind w:left="0"/>
        <w:rPr>
          <w:b/>
          <w:caps/>
          <w:sz w:val="24"/>
          <w:szCs w:val="24"/>
        </w:rPr>
      </w:pPr>
      <w:r>
        <w:rPr>
          <w:b/>
          <w:caps/>
          <w:sz w:val="24"/>
          <w:szCs w:val="24"/>
        </w:rPr>
        <w:pict w14:anchorId="0AD53EFD">
          <v:rect id="_x0000_i1025" style="width:476.25pt;height:.5pt" o:hralign="center" o:hrstd="t" o:hrnoshade="t" o:hr="t" fillcolor="#d8d8d8 [2732]" stroked="f"/>
        </w:pict>
      </w:r>
    </w:p>
    <w:p w14:paraId="0AD53EC6" w14:textId="77777777" w:rsidR="00B35FB8" w:rsidRPr="00B34D13" w:rsidRDefault="00E62EC8" w:rsidP="005C5DF0">
      <w:pPr>
        <w:numPr>
          <w:ilvl w:val="0"/>
          <w:numId w:val="2"/>
        </w:numPr>
        <w:spacing w:before="100" w:beforeAutospacing="1" w:after="240"/>
        <w:rPr>
          <w:rFonts w:cs="Arial"/>
          <w:b/>
          <w:caps/>
          <w:sz w:val="24"/>
          <w:szCs w:val="24"/>
        </w:rPr>
      </w:pPr>
      <w:bookmarkStart w:id="1" w:name="Purpose"/>
      <w:bookmarkEnd w:id="1"/>
      <w:r>
        <w:rPr>
          <w:b/>
          <w:caps/>
          <w:sz w:val="24"/>
          <w:szCs w:val="24"/>
        </w:rPr>
        <w:t>PURPOSE</w:t>
      </w:r>
    </w:p>
    <w:p w14:paraId="0AD53EC7" w14:textId="274ADFED" w:rsidR="00E62EC8" w:rsidRPr="00377DCA" w:rsidRDefault="00E62EC8" w:rsidP="00E62EC8">
      <w:pPr>
        <w:pStyle w:val="BodyText"/>
        <w:ind w:left="570"/>
        <w:rPr>
          <w:rFonts w:ascii="Arial" w:hAnsi="Arial"/>
          <w:sz w:val="20"/>
          <w:szCs w:val="20"/>
        </w:rPr>
      </w:pPr>
      <w:r w:rsidRPr="00377DCA">
        <w:rPr>
          <w:rFonts w:ascii="Arial" w:hAnsi="Arial"/>
          <w:sz w:val="20"/>
          <w:szCs w:val="20"/>
        </w:rPr>
        <w:t>Th</w:t>
      </w:r>
      <w:r>
        <w:rPr>
          <w:rFonts w:ascii="Arial" w:hAnsi="Arial"/>
          <w:sz w:val="20"/>
          <w:szCs w:val="20"/>
        </w:rPr>
        <w:t>is policy</w:t>
      </w:r>
      <w:r w:rsidRPr="00377DCA">
        <w:rPr>
          <w:rFonts w:ascii="Arial" w:hAnsi="Arial"/>
          <w:sz w:val="20"/>
          <w:szCs w:val="20"/>
        </w:rPr>
        <w:t xml:space="preserve"> provide</w:t>
      </w:r>
      <w:r>
        <w:rPr>
          <w:rFonts w:ascii="Arial" w:hAnsi="Arial"/>
          <w:sz w:val="20"/>
          <w:szCs w:val="20"/>
        </w:rPr>
        <w:t>s</w:t>
      </w:r>
      <w:r w:rsidRPr="00377DCA">
        <w:rPr>
          <w:rFonts w:ascii="Arial" w:hAnsi="Arial"/>
          <w:sz w:val="20"/>
          <w:szCs w:val="20"/>
        </w:rPr>
        <w:t xml:space="preserve"> information to support the Griffith He</w:t>
      </w:r>
      <w:r>
        <w:rPr>
          <w:rFonts w:ascii="Arial" w:hAnsi="Arial"/>
          <w:sz w:val="20"/>
          <w:szCs w:val="20"/>
        </w:rPr>
        <w:t xml:space="preserve">alth Clinics in the development, </w:t>
      </w:r>
      <w:r w:rsidRPr="00377DCA">
        <w:rPr>
          <w:rFonts w:ascii="Arial" w:hAnsi="Arial"/>
          <w:sz w:val="20"/>
          <w:szCs w:val="20"/>
        </w:rPr>
        <w:t xml:space="preserve">implementation </w:t>
      </w:r>
      <w:r>
        <w:rPr>
          <w:rFonts w:ascii="Arial" w:hAnsi="Arial"/>
          <w:sz w:val="20"/>
          <w:szCs w:val="20"/>
        </w:rPr>
        <w:t xml:space="preserve">and maintenance </w:t>
      </w:r>
      <w:r w:rsidRPr="00377DCA">
        <w:rPr>
          <w:rFonts w:ascii="Arial" w:hAnsi="Arial"/>
          <w:sz w:val="20"/>
          <w:szCs w:val="20"/>
        </w:rPr>
        <w:t>of a risk-based workforce immunisation program in accordance with the National Safety and Quality Health Service (NSQHS) Standards</w:t>
      </w:r>
      <w:r>
        <w:rPr>
          <w:rFonts w:ascii="Arial" w:hAnsi="Arial"/>
          <w:sz w:val="20"/>
          <w:szCs w:val="20"/>
        </w:rPr>
        <w:t xml:space="preserve">, </w:t>
      </w:r>
      <w:r w:rsidRPr="00377DCA">
        <w:rPr>
          <w:rFonts w:ascii="Arial" w:hAnsi="Arial"/>
          <w:sz w:val="20"/>
          <w:szCs w:val="20"/>
        </w:rPr>
        <w:t>Queensland Health Employment Directive Number 01/16</w:t>
      </w:r>
      <w:r>
        <w:rPr>
          <w:rFonts w:ascii="Arial" w:hAnsi="Arial"/>
          <w:sz w:val="20"/>
          <w:szCs w:val="20"/>
        </w:rPr>
        <w:t xml:space="preserve"> and Griffith </w:t>
      </w:r>
      <w:r w:rsidR="00224311">
        <w:rPr>
          <w:rFonts w:ascii="Arial" w:hAnsi="Arial"/>
          <w:sz w:val="20"/>
          <w:szCs w:val="20"/>
        </w:rPr>
        <w:t>University Guidelines</w:t>
      </w:r>
      <w:r w:rsidR="00DA45DF">
        <w:rPr>
          <w:rFonts w:ascii="Arial" w:hAnsi="Arial"/>
          <w:sz w:val="20"/>
          <w:szCs w:val="20"/>
        </w:rPr>
        <w:t xml:space="preserve"> for the Prevention and Control of Communicable and Notifiable Diseases</w:t>
      </w:r>
      <w:r w:rsidRPr="00377DCA">
        <w:rPr>
          <w:rFonts w:ascii="Arial" w:hAnsi="Arial"/>
          <w:sz w:val="20"/>
          <w:szCs w:val="20"/>
        </w:rPr>
        <w:t xml:space="preserve">. </w:t>
      </w:r>
      <w:r w:rsidR="00DA45DF">
        <w:rPr>
          <w:rFonts w:ascii="Arial" w:hAnsi="Arial"/>
          <w:sz w:val="20"/>
          <w:szCs w:val="20"/>
        </w:rPr>
        <w:t xml:space="preserve"> </w:t>
      </w:r>
      <w:r>
        <w:rPr>
          <w:rFonts w:ascii="Arial" w:hAnsi="Arial"/>
          <w:sz w:val="20"/>
          <w:szCs w:val="20"/>
        </w:rPr>
        <w:t xml:space="preserve">To support the provision of </w:t>
      </w:r>
      <w:r w:rsidRPr="00377DCA">
        <w:rPr>
          <w:rFonts w:ascii="Arial" w:hAnsi="Arial"/>
          <w:sz w:val="20"/>
          <w:szCs w:val="20"/>
        </w:rPr>
        <w:t xml:space="preserve">a safe environment for the clinic workforce and </w:t>
      </w:r>
      <w:r>
        <w:rPr>
          <w:rFonts w:ascii="Arial" w:hAnsi="Arial"/>
          <w:sz w:val="20"/>
          <w:szCs w:val="20"/>
        </w:rPr>
        <w:t xml:space="preserve">its </w:t>
      </w:r>
      <w:r w:rsidRPr="00377DCA">
        <w:rPr>
          <w:rFonts w:ascii="Arial" w:hAnsi="Arial"/>
          <w:sz w:val="20"/>
          <w:szCs w:val="20"/>
        </w:rPr>
        <w:t>patients</w:t>
      </w:r>
      <w:r>
        <w:rPr>
          <w:rFonts w:ascii="Arial" w:hAnsi="Arial"/>
          <w:sz w:val="20"/>
          <w:szCs w:val="20"/>
        </w:rPr>
        <w:t xml:space="preserve">, the </w:t>
      </w:r>
      <w:r w:rsidRPr="00377DCA">
        <w:rPr>
          <w:rFonts w:ascii="Arial" w:hAnsi="Arial"/>
          <w:sz w:val="20"/>
          <w:szCs w:val="20"/>
        </w:rPr>
        <w:t xml:space="preserve">Griffith Health Clinics are required to </w:t>
      </w:r>
      <w:r>
        <w:rPr>
          <w:rFonts w:ascii="Arial" w:hAnsi="Arial"/>
          <w:sz w:val="20"/>
          <w:szCs w:val="20"/>
        </w:rPr>
        <w:t xml:space="preserve">maintain an immunisation register </w:t>
      </w:r>
      <w:r w:rsidRPr="00377DCA">
        <w:rPr>
          <w:rFonts w:ascii="Arial" w:hAnsi="Arial"/>
          <w:sz w:val="20"/>
          <w:szCs w:val="20"/>
        </w:rPr>
        <w:t xml:space="preserve">of </w:t>
      </w:r>
      <w:r>
        <w:rPr>
          <w:rFonts w:ascii="Arial" w:hAnsi="Arial"/>
          <w:sz w:val="20"/>
          <w:szCs w:val="20"/>
        </w:rPr>
        <w:t>all employees and practitioners who are engaged to work in the Clinics</w:t>
      </w:r>
      <w:r w:rsidRPr="00377DCA">
        <w:rPr>
          <w:rFonts w:ascii="Arial" w:hAnsi="Arial"/>
          <w:sz w:val="20"/>
          <w:szCs w:val="20"/>
        </w:rPr>
        <w:t>.</w:t>
      </w:r>
    </w:p>
    <w:p w14:paraId="0AD53EC8" w14:textId="77777777" w:rsidR="005A481D" w:rsidRDefault="00FD5C9C" w:rsidP="005A481D">
      <w:pPr>
        <w:spacing w:before="100" w:beforeAutospacing="1" w:after="240"/>
        <w:ind w:left="0"/>
        <w:rPr>
          <w:b/>
          <w:caps/>
          <w:sz w:val="24"/>
          <w:szCs w:val="24"/>
        </w:rPr>
      </w:pPr>
      <w:r>
        <w:rPr>
          <w:b/>
          <w:caps/>
          <w:sz w:val="24"/>
          <w:szCs w:val="24"/>
        </w:rPr>
        <w:pict w14:anchorId="0AD53EFE">
          <v:rect id="_x0000_i1026" style="width:476.25pt;height:.5pt" o:hralign="center" o:hrstd="t" o:hrnoshade="t" o:hr="t" fillcolor="#d8d8d8 [2732]" stroked="f"/>
        </w:pict>
      </w:r>
    </w:p>
    <w:p w14:paraId="0AD53EC9" w14:textId="77777777" w:rsidR="00B35FB8" w:rsidRPr="00B34D13" w:rsidRDefault="00E62EC8" w:rsidP="005C5DF0">
      <w:pPr>
        <w:numPr>
          <w:ilvl w:val="0"/>
          <w:numId w:val="2"/>
        </w:numPr>
        <w:spacing w:before="100" w:beforeAutospacing="1" w:after="240"/>
        <w:rPr>
          <w:rFonts w:cs="Arial"/>
          <w:b/>
          <w:caps/>
          <w:sz w:val="24"/>
          <w:szCs w:val="24"/>
        </w:rPr>
      </w:pPr>
      <w:bookmarkStart w:id="2" w:name="Scope"/>
      <w:bookmarkEnd w:id="2"/>
      <w:r>
        <w:rPr>
          <w:b/>
          <w:caps/>
          <w:sz w:val="24"/>
          <w:szCs w:val="24"/>
        </w:rPr>
        <w:t>SCOPE</w:t>
      </w:r>
    </w:p>
    <w:p w14:paraId="0AD53ECA" w14:textId="7ECB37FE" w:rsidR="00E62EC8" w:rsidRDefault="00E62EC8" w:rsidP="00E62EC8">
      <w:pPr>
        <w:pStyle w:val="BodyText"/>
        <w:ind w:left="570"/>
        <w:rPr>
          <w:rFonts w:ascii="Arial" w:hAnsi="Arial"/>
          <w:sz w:val="20"/>
          <w:szCs w:val="20"/>
        </w:rPr>
      </w:pPr>
      <w:r w:rsidRPr="00377DCA">
        <w:rPr>
          <w:rFonts w:ascii="Arial" w:hAnsi="Arial"/>
          <w:sz w:val="20"/>
          <w:szCs w:val="20"/>
        </w:rPr>
        <w:lastRenderedPageBreak/>
        <w:t>Th</w:t>
      </w:r>
      <w:r>
        <w:rPr>
          <w:rFonts w:ascii="Arial" w:hAnsi="Arial"/>
          <w:sz w:val="20"/>
          <w:szCs w:val="20"/>
        </w:rPr>
        <w:t>is policy</w:t>
      </w:r>
      <w:r w:rsidRPr="00377DCA">
        <w:rPr>
          <w:rFonts w:ascii="Arial" w:hAnsi="Arial"/>
          <w:sz w:val="20"/>
          <w:szCs w:val="20"/>
        </w:rPr>
        <w:t xml:space="preserve"> appl</w:t>
      </w:r>
      <w:r>
        <w:rPr>
          <w:rFonts w:ascii="Arial" w:hAnsi="Arial"/>
          <w:sz w:val="20"/>
          <w:szCs w:val="20"/>
        </w:rPr>
        <w:t>ies</w:t>
      </w:r>
      <w:r w:rsidRPr="00377DCA">
        <w:rPr>
          <w:rFonts w:ascii="Arial" w:hAnsi="Arial"/>
          <w:sz w:val="20"/>
          <w:szCs w:val="20"/>
        </w:rPr>
        <w:t xml:space="preserve"> to all Griffith Health Clinic employees and private practitioners who are engaged to work in </w:t>
      </w:r>
      <w:r>
        <w:rPr>
          <w:rFonts w:ascii="Arial" w:hAnsi="Arial"/>
          <w:sz w:val="20"/>
          <w:szCs w:val="20"/>
        </w:rPr>
        <w:t xml:space="preserve">the Clinic, </w:t>
      </w:r>
      <w:r w:rsidRPr="00377DCA">
        <w:rPr>
          <w:rFonts w:ascii="Arial" w:hAnsi="Arial"/>
          <w:sz w:val="20"/>
          <w:szCs w:val="20"/>
        </w:rPr>
        <w:t xml:space="preserve">including, but not limited to, external practitioners, supervisors, tutors, </w:t>
      </w:r>
      <w:r>
        <w:rPr>
          <w:rFonts w:ascii="Arial" w:hAnsi="Arial"/>
          <w:sz w:val="20"/>
          <w:szCs w:val="20"/>
        </w:rPr>
        <w:t xml:space="preserve">clinic directors, clinic managers, clinic coordinators, </w:t>
      </w:r>
      <w:r w:rsidRPr="00377DCA">
        <w:rPr>
          <w:rFonts w:ascii="Arial" w:hAnsi="Arial"/>
          <w:sz w:val="20"/>
          <w:szCs w:val="20"/>
        </w:rPr>
        <w:t xml:space="preserve">dental assistants and receptionists. </w:t>
      </w:r>
      <w:r w:rsidR="00DA45DF">
        <w:rPr>
          <w:rFonts w:ascii="Arial" w:hAnsi="Arial"/>
          <w:sz w:val="20"/>
          <w:szCs w:val="20"/>
        </w:rPr>
        <w:t xml:space="preserve"> </w:t>
      </w:r>
      <w:r w:rsidRPr="00377DCA">
        <w:rPr>
          <w:rFonts w:ascii="Arial" w:hAnsi="Arial"/>
          <w:sz w:val="20"/>
          <w:szCs w:val="20"/>
        </w:rPr>
        <w:t>All students undertaking placements in the Griffith Health Clinics are required to comply with the vaccination requirements established and monitored by the Health Group’s Fit for Placement Office.</w:t>
      </w:r>
    </w:p>
    <w:p w14:paraId="0AD53ECB" w14:textId="77777777" w:rsidR="005A481D" w:rsidRDefault="00FD5C9C" w:rsidP="005A481D">
      <w:pPr>
        <w:spacing w:before="100" w:beforeAutospacing="1" w:after="240"/>
        <w:ind w:left="0"/>
        <w:rPr>
          <w:b/>
          <w:caps/>
          <w:sz w:val="24"/>
          <w:szCs w:val="24"/>
        </w:rPr>
      </w:pPr>
      <w:r>
        <w:rPr>
          <w:b/>
          <w:caps/>
          <w:sz w:val="24"/>
          <w:szCs w:val="24"/>
        </w:rPr>
        <w:pict w14:anchorId="0AD53EFF">
          <v:rect id="_x0000_i1027" style="width:476.25pt;height:.5pt" o:hralign="center" o:hrstd="t" o:hrnoshade="t" o:hr="t" fillcolor="#d8d8d8 [2732]" stroked="f"/>
        </w:pict>
      </w:r>
    </w:p>
    <w:p w14:paraId="0AD53ECC" w14:textId="77777777" w:rsidR="00B35FB8" w:rsidRPr="00B34D13" w:rsidRDefault="00E62EC8" w:rsidP="005C5DF0">
      <w:pPr>
        <w:numPr>
          <w:ilvl w:val="0"/>
          <w:numId w:val="2"/>
        </w:numPr>
        <w:spacing w:before="100" w:beforeAutospacing="1" w:after="240"/>
        <w:rPr>
          <w:rFonts w:cs="Arial"/>
          <w:b/>
          <w:caps/>
          <w:sz w:val="24"/>
          <w:szCs w:val="24"/>
        </w:rPr>
      </w:pPr>
      <w:bookmarkStart w:id="3" w:name="Application"/>
      <w:bookmarkEnd w:id="3"/>
      <w:r>
        <w:rPr>
          <w:b/>
          <w:caps/>
          <w:sz w:val="24"/>
          <w:szCs w:val="24"/>
        </w:rPr>
        <w:t>APPLICATION</w:t>
      </w:r>
    </w:p>
    <w:p w14:paraId="0AD53ECE" w14:textId="77777777" w:rsidR="00E62EC8" w:rsidRDefault="00E62EC8" w:rsidP="005C5DF0">
      <w:pPr>
        <w:pStyle w:val="BodyText"/>
        <w:numPr>
          <w:ilvl w:val="1"/>
          <w:numId w:val="2"/>
        </w:numPr>
        <w:tabs>
          <w:tab w:val="left" w:pos="567"/>
        </w:tabs>
        <w:rPr>
          <w:rFonts w:ascii="Arial" w:hAnsi="Arial"/>
          <w:sz w:val="20"/>
          <w:szCs w:val="20"/>
        </w:rPr>
      </w:pPr>
      <w:r w:rsidRPr="00377DCA">
        <w:rPr>
          <w:rFonts w:ascii="Arial" w:hAnsi="Arial"/>
          <w:sz w:val="20"/>
          <w:szCs w:val="20"/>
        </w:rPr>
        <w:t xml:space="preserve">On and from 30 September 2016, applicants seeking to be engaged for or on behalf of Griffith Health Clinics </w:t>
      </w:r>
      <w:r>
        <w:rPr>
          <w:rFonts w:ascii="Arial" w:hAnsi="Arial"/>
          <w:sz w:val="20"/>
          <w:szCs w:val="20"/>
        </w:rPr>
        <w:t xml:space="preserve">are required to </w:t>
      </w:r>
      <w:r w:rsidRPr="00377DCA">
        <w:rPr>
          <w:rFonts w:ascii="Arial" w:hAnsi="Arial"/>
          <w:sz w:val="20"/>
          <w:szCs w:val="20"/>
        </w:rPr>
        <w:t xml:space="preserve">provide documentary evidence to verify that they are either vaccinated against, or that they are not susceptible to, any of the Vaccine Preventable Diseases (VPDs) as listed in Table 1 of </w:t>
      </w:r>
      <w:r>
        <w:rPr>
          <w:rFonts w:ascii="Arial" w:hAnsi="Arial"/>
          <w:sz w:val="20"/>
          <w:szCs w:val="20"/>
        </w:rPr>
        <w:t xml:space="preserve">this policy </w:t>
      </w:r>
      <w:r w:rsidRPr="00377DCA">
        <w:rPr>
          <w:rFonts w:ascii="Arial" w:hAnsi="Arial"/>
          <w:sz w:val="20"/>
          <w:szCs w:val="20"/>
        </w:rPr>
        <w:t>prior to an offer of engagement.</w:t>
      </w:r>
    </w:p>
    <w:p w14:paraId="0AD53ECF" w14:textId="77777777" w:rsidR="00E62EC8" w:rsidRDefault="00E62EC8" w:rsidP="00E62EC8">
      <w:pPr>
        <w:pStyle w:val="BodyText"/>
        <w:tabs>
          <w:tab w:val="left" w:pos="567"/>
        </w:tabs>
        <w:ind w:left="1146"/>
        <w:rPr>
          <w:rFonts w:ascii="Arial" w:hAnsi="Arial"/>
          <w:sz w:val="20"/>
          <w:szCs w:val="20"/>
        </w:rPr>
      </w:pPr>
    </w:p>
    <w:p w14:paraId="0AD53ED0" w14:textId="77777777" w:rsidR="00E62EC8" w:rsidRDefault="00E62EC8" w:rsidP="005C5DF0">
      <w:pPr>
        <w:pStyle w:val="BodyText"/>
        <w:numPr>
          <w:ilvl w:val="1"/>
          <w:numId w:val="2"/>
        </w:numPr>
        <w:tabs>
          <w:tab w:val="left" w:pos="567"/>
        </w:tabs>
        <w:rPr>
          <w:rFonts w:ascii="Arial" w:hAnsi="Arial"/>
          <w:sz w:val="20"/>
          <w:szCs w:val="20"/>
        </w:rPr>
      </w:pPr>
      <w:r w:rsidRPr="00377DCA">
        <w:rPr>
          <w:rFonts w:ascii="Arial" w:hAnsi="Arial"/>
          <w:sz w:val="20"/>
          <w:szCs w:val="20"/>
        </w:rPr>
        <w:t>It is strongly recommended and encouraged that all clinic employees and private practitioners who were appointed prior to 30 September 2016 ensure that they are protected against the vaccine preventable diseases listed in Table 1 below and that they provide evidence of immunisation to the clinic manager</w:t>
      </w:r>
      <w:r>
        <w:rPr>
          <w:rFonts w:ascii="Arial" w:hAnsi="Arial"/>
          <w:sz w:val="20"/>
          <w:szCs w:val="20"/>
        </w:rPr>
        <w:t xml:space="preserve"> or delegated officer.</w:t>
      </w:r>
    </w:p>
    <w:p w14:paraId="0AD53ED1" w14:textId="77777777" w:rsidR="00E62EC8" w:rsidRPr="00963FED" w:rsidRDefault="00E62EC8" w:rsidP="00E62EC8">
      <w:pPr>
        <w:pStyle w:val="BodyText"/>
        <w:tabs>
          <w:tab w:val="left" w:pos="567"/>
        </w:tabs>
        <w:rPr>
          <w:rFonts w:ascii="Arial" w:hAnsi="Arial"/>
          <w:sz w:val="20"/>
          <w:szCs w:val="20"/>
        </w:rPr>
      </w:pPr>
    </w:p>
    <w:p w14:paraId="0AD53ED2" w14:textId="77777777" w:rsidR="00E62EC8" w:rsidRDefault="00E62EC8" w:rsidP="005C5DF0">
      <w:pPr>
        <w:pStyle w:val="BodyText"/>
        <w:numPr>
          <w:ilvl w:val="1"/>
          <w:numId w:val="2"/>
        </w:numPr>
        <w:tabs>
          <w:tab w:val="left" w:pos="567"/>
        </w:tabs>
        <w:rPr>
          <w:rFonts w:ascii="Arial" w:hAnsi="Arial"/>
          <w:sz w:val="20"/>
          <w:szCs w:val="20"/>
        </w:rPr>
      </w:pPr>
      <w:r w:rsidRPr="00377DCA">
        <w:rPr>
          <w:rFonts w:ascii="Arial" w:hAnsi="Arial"/>
          <w:sz w:val="20"/>
          <w:szCs w:val="20"/>
        </w:rPr>
        <w:t>Evidence of a Hepatitis B vaccination or proof that an individual is not susceptible to Hepatitis B, is a requirement for all clinic employees and private practitioners who have direct contact with patients or who in the course of their work may be exposed to blood/body fluids or contaminated sharps.</w:t>
      </w:r>
    </w:p>
    <w:p w14:paraId="0AD53ED3" w14:textId="77777777" w:rsidR="00E62EC8" w:rsidRDefault="00E62EC8" w:rsidP="00E62EC8">
      <w:pPr>
        <w:pStyle w:val="ListParagraph"/>
        <w:rPr>
          <w:sz w:val="20"/>
        </w:rPr>
      </w:pPr>
    </w:p>
    <w:p w14:paraId="0AD53ED4" w14:textId="738991D9" w:rsidR="00E62EC8" w:rsidRPr="00377DCA" w:rsidRDefault="00E62EC8" w:rsidP="005C5DF0">
      <w:pPr>
        <w:pStyle w:val="BodyText"/>
        <w:numPr>
          <w:ilvl w:val="1"/>
          <w:numId w:val="2"/>
        </w:numPr>
        <w:tabs>
          <w:tab w:val="left" w:pos="567"/>
        </w:tabs>
        <w:rPr>
          <w:rFonts w:ascii="Arial" w:hAnsi="Arial"/>
          <w:sz w:val="20"/>
          <w:szCs w:val="20"/>
        </w:rPr>
      </w:pPr>
      <w:r>
        <w:rPr>
          <w:rFonts w:ascii="Arial" w:hAnsi="Arial"/>
          <w:sz w:val="20"/>
          <w:szCs w:val="20"/>
        </w:rPr>
        <w:t xml:space="preserve">All employees and external practitioners who are engaged to work in the Griffith Health Clinics are encouraged to act in accordance with the recommendations of this policy in addition to the </w:t>
      </w:r>
      <w:hyperlink r:id="rId23" w:history="1">
        <w:r w:rsidRPr="002F1003">
          <w:rPr>
            <w:rStyle w:val="Hyperlink"/>
            <w:rFonts w:ascii="Arial" w:hAnsi="Arial"/>
            <w:sz w:val="20"/>
            <w:szCs w:val="20"/>
          </w:rPr>
          <w:t xml:space="preserve">Griffith University </w:t>
        </w:r>
        <w:r w:rsidR="00DA45DF">
          <w:rPr>
            <w:rFonts w:ascii="Arial" w:hAnsi="Arial"/>
            <w:sz w:val="20"/>
            <w:szCs w:val="20"/>
          </w:rPr>
          <w:t>Guidelines for the Prevention and Control of Communicable and Notifiable Diseases</w:t>
        </w:r>
        <w:r w:rsidR="00DA45DF" w:rsidRPr="002F1003" w:rsidDel="00DA45DF">
          <w:rPr>
            <w:rStyle w:val="Hyperlink"/>
            <w:rFonts w:ascii="Arial" w:hAnsi="Arial"/>
            <w:sz w:val="20"/>
            <w:szCs w:val="20"/>
          </w:rPr>
          <w:t xml:space="preserve"> </w:t>
        </w:r>
      </w:hyperlink>
      <w:r>
        <w:rPr>
          <w:rFonts w:ascii="Arial" w:hAnsi="Arial"/>
          <w:sz w:val="20"/>
          <w:szCs w:val="20"/>
        </w:rPr>
        <w:t xml:space="preserve"> which are available from the Policy Library on the Griffith Portal. </w:t>
      </w:r>
    </w:p>
    <w:p w14:paraId="0AD53ED5" w14:textId="77777777" w:rsidR="005A481D" w:rsidRDefault="00FD5C9C" w:rsidP="005A481D">
      <w:pPr>
        <w:spacing w:before="100" w:beforeAutospacing="1" w:after="240"/>
        <w:ind w:left="0"/>
        <w:rPr>
          <w:b/>
          <w:caps/>
          <w:sz w:val="24"/>
          <w:szCs w:val="24"/>
        </w:rPr>
      </w:pPr>
      <w:r>
        <w:rPr>
          <w:b/>
          <w:caps/>
          <w:sz w:val="24"/>
          <w:szCs w:val="24"/>
        </w:rPr>
        <w:pict w14:anchorId="0AD53F00">
          <v:rect id="_x0000_i1028" style="width:476.25pt;height:.5pt" o:hralign="center" o:hrstd="t" o:hrnoshade="t" o:hr="t" fillcolor="#d8d8d8 [2732]" stroked="f"/>
        </w:pict>
      </w:r>
    </w:p>
    <w:p w14:paraId="0AD53ED6" w14:textId="77777777" w:rsidR="00B35FB8" w:rsidRPr="00E62EC8" w:rsidRDefault="00E62EC8" w:rsidP="005C5DF0">
      <w:pPr>
        <w:numPr>
          <w:ilvl w:val="0"/>
          <w:numId w:val="2"/>
        </w:numPr>
        <w:spacing w:before="100" w:beforeAutospacing="1" w:after="240"/>
        <w:rPr>
          <w:rFonts w:cs="Arial"/>
          <w:b/>
          <w:caps/>
          <w:sz w:val="24"/>
          <w:szCs w:val="24"/>
        </w:rPr>
      </w:pPr>
      <w:bookmarkStart w:id="4" w:name="RecommendedVaccinations"/>
      <w:bookmarkEnd w:id="4"/>
      <w:r>
        <w:rPr>
          <w:b/>
          <w:caps/>
          <w:sz w:val="24"/>
          <w:szCs w:val="24"/>
        </w:rPr>
        <w:t>RECOMMENDED VACCINATIONS</w:t>
      </w:r>
    </w:p>
    <w:tbl>
      <w:tblPr>
        <w:tblW w:w="921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5954"/>
        <w:gridCol w:w="3260"/>
      </w:tblGrid>
      <w:tr w:rsidR="00E62EC8" w:rsidRPr="00377DCA" w14:paraId="0AD53ED8" w14:textId="77777777" w:rsidTr="002E11A2">
        <w:trPr>
          <w:trHeight w:hRule="exact" w:val="466"/>
          <w:jc w:val="center"/>
        </w:trPr>
        <w:tc>
          <w:tcPr>
            <w:tcW w:w="9214" w:type="dxa"/>
            <w:gridSpan w:val="2"/>
            <w:tcBorders>
              <w:bottom w:val="single" w:sz="4" w:space="0" w:color="000000"/>
            </w:tcBorders>
            <w:shd w:val="clear" w:color="auto" w:fill="D9D9D9" w:themeFill="background1" w:themeFillShade="D9"/>
          </w:tcPr>
          <w:p w14:paraId="0AD53ED7" w14:textId="77777777" w:rsidR="00E62EC8" w:rsidRPr="00377DCA" w:rsidRDefault="00E62EC8" w:rsidP="002E11A2">
            <w:pPr>
              <w:pStyle w:val="TableParagraph"/>
              <w:spacing w:before="120" w:line="240" w:lineRule="auto"/>
              <w:ind w:left="79" w:right="106"/>
              <w:rPr>
                <w:b/>
                <w:i/>
                <w:sz w:val="20"/>
                <w:szCs w:val="20"/>
              </w:rPr>
            </w:pPr>
            <w:r w:rsidRPr="00377DCA">
              <w:rPr>
                <w:b/>
                <w:i/>
                <w:sz w:val="20"/>
                <w:szCs w:val="20"/>
              </w:rPr>
              <w:t>Table 1 – Role Definition</w:t>
            </w:r>
          </w:p>
        </w:tc>
      </w:tr>
      <w:tr w:rsidR="00E62EC8" w:rsidRPr="00377DCA" w14:paraId="0AD53EDB" w14:textId="77777777" w:rsidTr="002E11A2">
        <w:trPr>
          <w:trHeight w:hRule="exact" w:val="446"/>
          <w:jc w:val="center"/>
        </w:trPr>
        <w:tc>
          <w:tcPr>
            <w:tcW w:w="5954" w:type="dxa"/>
            <w:tcBorders>
              <w:bottom w:val="single" w:sz="4" w:space="0" w:color="000000"/>
            </w:tcBorders>
            <w:shd w:val="clear" w:color="auto" w:fill="F2F2F2" w:themeFill="background1" w:themeFillShade="F2"/>
          </w:tcPr>
          <w:p w14:paraId="0AD53ED9" w14:textId="77777777" w:rsidR="00E62EC8" w:rsidRPr="00377DCA" w:rsidRDefault="00E62EC8" w:rsidP="002E11A2">
            <w:pPr>
              <w:pStyle w:val="TableParagraph"/>
              <w:spacing w:before="120" w:after="120" w:line="240" w:lineRule="auto"/>
              <w:ind w:left="102" w:right="420"/>
              <w:rPr>
                <w:b/>
                <w:sz w:val="20"/>
                <w:szCs w:val="20"/>
              </w:rPr>
            </w:pPr>
            <w:r w:rsidRPr="00377DCA">
              <w:rPr>
                <w:b/>
                <w:sz w:val="20"/>
                <w:szCs w:val="20"/>
              </w:rPr>
              <w:t>RISK CRITERIA</w:t>
            </w:r>
          </w:p>
        </w:tc>
        <w:tc>
          <w:tcPr>
            <w:tcW w:w="3260" w:type="dxa"/>
            <w:tcBorders>
              <w:bottom w:val="single" w:sz="4" w:space="0" w:color="000000"/>
            </w:tcBorders>
            <w:shd w:val="clear" w:color="auto" w:fill="F2F2F2" w:themeFill="background1" w:themeFillShade="F2"/>
          </w:tcPr>
          <w:p w14:paraId="0AD53EDA" w14:textId="77777777" w:rsidR="00E62EC8" w:rsidRPr="00377DCA" w:rsidRDefault="00E62EC8" w:rsidP="002E11A2">
            <w:pPr>
              <w:pStyle w:val="TableParagraph"/>
              <w:spacing w:before="120" w:after="120" w:line="240" w:lineRule="auto"/>
              <w:ind w:left="79" w:right="108"/>
              <w:rPr>
                <w:b/>
                <w:sz w:val="20"/>
                <w:szCs w:val="20"/>
              </w:rPr>
            </w:pPr>
            <w:r w:rsidRPr="00377DCA">
              <w:rPr>
                <w:b/>
                <w:sz w:val="20"/>
                <w:szCs w:val="20"/>
              </w:rPr>
              <w:t>Disease/Vaccine</w:t>
            </w:r>
          </w:p>
        </w:tc>
      </w:tr>
      <w:tr w:rsidR="00E62EC8" w:rsidRPr="00377DCA" w14:paraId="0AD53EE1" w14:textId="77777777" w:rsidTr="005C5DF0">
        <w:trPr>
          <w:trHeight w:hRule="exact" w:val="912"/>
          <w:jc w:val="center"/>
        </w:trPr>
        <w:tc>
          <w:tcPr>
            <w:tcW w:w="5954" w:type="dxa"/>
            <w:tcBorders>
              <w:top w:val="single" w:sz="4" w:space="0" w:color="000000"/>
              <w:bottom w:val="single" w:sz="4" w:space="0" w:color="000000"/>
            </w:tcBorders>
          </w:tcPr>
          <w:p w14:paraId="0AD53EDC" w14:textId="77777777" w:rsidR="00E62EC8" w:rsidRDefault="00E62EC8" w:rsidP="002E11A2">
            <w:pPr>
              <w:pStyle w:val="TableParagraph"/>
              <w:spacing w:before="120" w:after="120" w:line="240" w:lineRule="auto"/>
              <w:ind w:left="79" w:right="418"/>
              <w:rPr>
                <w:sz w:val="20"/>
                <w:szCs w:val="20"/>
              </w:rPr>
            </w:pPr>
            <w:r w:rsidRPr="00377DCA">
              <w:rPr>
                <w:sz w:val="20"/>
                <w:szCs w:val="20"/>
              </w:rPr>
              <w:t>Roles that have direct contact with patients or who in the course of their work may be exposed to blood, body fluids or contaminated sharps.</w:t>
            </w:r>
          </w:p>
          <w:p w14:paraId="0AD53EDD" w14:textId="77777777" w:rsidR="00E62EC8" w:rsidRDefault="00E62EC8" w:rsidP="002E11A2">
            <w:pPr>
              <w:pStyle w:val="TableParagraph"/>
              <w:spacing w:before="120" w:after="120" w:line="240" w:lineRule="auto"/>
              <w:ind w:left="79" w:right="418"/>
              <w:rPr>
                <w:sz w:val="20"/>
                <w:szCs w:val="20"/>
              </w:rPr>
            </w:pPr>
          </w:p>
          <w:p w14:paraId="0AD53EDE" w14:textId="77777777" w:rsidR="00E62EC8" w:rsidRDefault="00E62EC8" w:rsidP="002E11A2">
            <w:pPr>
              <w:pStyle w:val="TableParagraph"/>
              <w:spacing w:before="120" w:after="120" w:line="240" w:lineRule="auto"/>
              <w:ind w:left="79" w:right="418"/>
              <w:rPr>
                <w:sz w:val="20"/>
                <w:szCs w:val="20"/>
              </w:rPr>
            </w:pPr>
          </w:p>
          <w:p w14:paraId="0AD53EDF" w14:textId="77777777" w:rsidR="00E62EC8" w:rsidRPr="00377DCA" w:rsidRDefault="00E62EC8" w:rsidP="002E11A2">
            <w:pPr>
              <w:pStyle w:val="TableParagraph"/>
              <w:spacing w:before="120" w:after="120" w:line="240" w:lineRule="auto"/>
              <w:ind w:left="79" w:right="418"/>
              <w:rPr>
                <w:sz w:val="20"/>
                <w:szCs w:val="20"/>
              </w:rPr>
            </w:pPr>
          </w:p>
        </w:tc>
        <w:tc>
          <w:tcPr>
            <w:tcW w:w="3260" w:type="dxa"/>
            <w:tcBorders>
              <w:top w:val="single" w:sz="4" w:space="0" w:color="000000"/>
              <w:bottom w:val="single" w:sz="4" w:space="0" w:color="000000"/>
            </w:tcBorders>
          </w:tcPr>
          <w:p w14:paraId="0AD53EE0" w14:textId="77777777" w:rsidR="00E62EC8" w:rsidRPr="00377DCA" w:rsidRDefault="00E62EC8" w:rsidP="00E62EC8">
            <w:pPr>
              <w:pStyle w:val="TableParagraph"/>
              <w:spacing w:before="120" w:after="120" w:line="240" w:lineRule="auto"/>
              <w:ind w:right="106"/>
              <w:rPr>
                <w:sz w:val="20"/>
                <w:szCs w:val="20"/>
              </w:rPr>
            </w:pPr>
            <w:r w:rsidRPr="00377DCA">
              <w:rPr>
                <w:sz w:val="20"/>
                <w:szCs w:val="20"/>
              </w:rPr>
              <w:t>Hepatitis B</w:t>
            </w:r>
          </w:p>
        </w:tc>
      </w:tr>
      <w:tr w:rsidR="00E62EC8" w:rsidRPr="00377DCA" w14:paraId="0AD53EEA" w14:textId="77777777" w:rsidTr="005C5DF0">
        <w:trPr>
          <w:trHeight w:hRule="exact" w:val="1988"/>
          <w:jc w:val="center"/>
        </w:trPr>
        <w:tc>
          <w:tcPr>
            <w:tcW w:w="5954" w:type="dxa"/>
            <w:tcBorders>
              <w:top w:val="single" w:sz="4" w:space="0" w:color="000000"/>
              <w:bottom w:val="single" w:sz="4" w:space="0" w:color="000000"/>
            </w:tcBorders>
          </w:tcPr>
          <w:p w14:paraId="0AD53EE2" w14:textId="71292250" w:rsidR="00E62EC8" w:rsidRPr="00377DCA" w:rsidRDefault="00E62EC8" w:rsidP="002E11A2">
            <w:pPr>
              <w:pStyle w:val="TableParagraph"/>
              <w:spacing w:before="120" w:line="240" w:lineRule="auto"/>
              <w:ind w:left="79" w:right="238"/>
              <w:rPr>
                <w:sz w:val="20"/>
                <w:szCs w:val="20"/>
              </w:rPr>
            </w:pPr>
            <w:r w:rsidRPr="00377DCA">
              <w:rPr>
                <w:sz w:val="20"/>
                <w:szCs w:val="20"/>
              </w:rPr>
              <w:t>Roles that have contact with patients that would allow acquisition and/or transmission of mea</w:t>
            </w:r>
            <w:r>
              <w:rPr>
                <w:sz w:val="20"/>
                <w:szCs w:val="20"/>
              </w:rPr>
              <w:t xml:space="preserve">sles, mumps, rubella, varicella, influenza </w:t>
            </w:r>
            <w:r w:rsidRPr="00377DCA">
              <w:rPr>
                <w:sz w:val="20"/>
                <w:szCs w:val="20"/>
              </w:rPr>
              <w:t>or pertussis</w:t>
            </w:r>
            <w:r>
              <w:rPr>
                <w:sz w:val="20"/>
                <w:szCs w:val="20"/>
              </w:rPr>
              <w:t xml:space="preserve"> (whooping cough)</w:t>
            </w:r>
            <w:r w:rsidRPr="00377DCA">
              <w:rPr>
                <w:sz w:val="20"/>
                <w:szCs w:val="20"/>
              </w:rPr>
              <w:t xml:space="preserve">. </w:t>
            </w:r>
            <w:r w:rsidR="00B96282">
              <w:rPr>
                <w:sz w:val="20"/>
                <w:szCs w:val="20"/>
              </w:rPr>
              <w:t xml:space="preserve"> </w:t>
            </w:r>
            <w:r w:rsidRPr="00377DCA">
              <w:rPr>
                <w:sz w:val="20"/>
                <w:szCs w:val="20"/>
              </w:rPr>
              <w:t>This applies to roles in which:</w:t>
            </w:r>
          </w:p>
          <w:p w14:paraId="0AD53EE3" w14:textId="77777777" w:rsidR="00E62EC8" w:rsidRPr="00377DCA" w:rsidRDefault="00E62EC8" w:rsidP="005C5DF0">
            <w:pPr>
              <w:pStyle w:val="TableParagraph"/>
              <w:numPr>
                <w:ilvl w:val="0"/>
                <w:numId w:val="4"/>
              </w:numPr>
              <w:tabs>
                <w:tab w:val="left" w:pos="799"/>
                <w:tab w:val="left" w:pos="800"/>
              </w:tabs>
              <w:spacing w:line="240" w:lineRule="auto"/>
              <w:ind w:left="439" w:hanging="360"/>
              <w:rPr>
                <w:sz w:val="20"/>
                <w:szCs w:val="20"/>
              </w:rPr>
            </w:pPr>
            <w:r w:rsidRPr="00377DCA">
              <w:rPr>
                <w:sz w:val="20"/>
                <w:szCs w:val="20"/>
              </w:rPr>
              <w:t>work requires face to face contact with patients,</w:t>
            </w:r>
            <w:r w:rsidRPr="00377DCA">
              <w:rPr>
                <w:spacing w:val="-20"/>
                <w:sz w:val="20"/>
                <w:szCs w:val="20"/>
              </w:rPr>
              <w:t xml:space="preserve"> and/</w:t>
            </w:r>
            <w:r w:rsidRPr="00377DCA">
              <w:rPr>
                <w:sz w:val="20"/>
                <w:szCs w:val="20"/>
              </w:rPr>
              <w:t>or</w:t>
            </w:r>
          </w:p>
          <w:p w14:paraId="0AD53EE4" w14:textId="77777777" w:rsidR="00E62EC8" w:rsidRPr="00377DCA" w:rsidRDefault="00E62EC8" w:rsidP="005C5DF0">
            <w:pPr>
              <w:pStyle w:val="TableParagraph"/>
              <w:numPr>
                <w:ilvl w:val="0"/>
                <w:numId w:val="4"/>
              </w:numPr>
              <w:tabs>
                <w:tab w:val="left" w:pos="799"/>
                <w:tab w:val="left" w:pos="800"/>
              </w:tabs>
              <w:spacing w:line="240" w:lineRule="auto"/>
              <w:ind w:left="439" w:right="707" w:hanging="360"/>
              <w:rPr>
                <w:sz w:val="20"/>
                <w:szCs w:val="20"/>
              </w:rPr>
            </w:pPr>
            <w:r>
              <w:rPr>
                <w:sz w:val="20"/>
                <w:szCs w:val="20"/>
              </w:rPr>
              <w:t xml:space="preserve">the </w:t>
            </w:r>
            <w:r w:rsidRPr="00377DCA">
              <w:rPr>
                <w:sz w:val="20"/>
                <w:szCs w:val="20"/>
              </w:rPr>
              <w:t>normal work location is in a clinical area, and/or</w:t>
            </w:r>
          </w:p>
          <w:p w14:paraId="0AD53EE5" w14:textId="77777777" w:rsidR="00E62EC8" w:rsidRPr="00377DCA" w:rsidRDefault="00E62EC8" w:rsidP="005C5DF0">
            <w:pPr>
              <w:pStyle w:val="TableParagraph"/>
              <w:numPr>
                <w:ilvl w:val="0"/>
                <w:numId w:val="4"/>
              </w:numPr>
              <w:tabs>
                <w:tab w:val="left" w:pos="799"/>
                <w:tab w:val="left" w:pos="800"/>
              </w:tabs>
              <w:spacing w:line="240" w:lineRule="auto"/>
              <w:ind w:left="439" w:right="707" w:hanging="360"/>
              <w:rPr>
                <w:sz w:val="20"/>
                <w:szCs w:val="20"/>
              </w:rPr>
            </w:pPr>
            <w:r w:rsidRPr="00377DCA">
              <w:rPr>
                <w:sz w:val="20"/>
                <w:szCs w:val="20"/>
              </w:rPr>
              <w:t>work frequently requires them to attend clinical</w:t>
            </w:r>
            <w:r w:rsidRPr="00377DCA">
              <w:rPr>
                <w:spacing w:val="-21"/>
                <w:sz w:val="20"/>
                <w:szCs w:val="20"/>
              </w:rPr>
              <w:t xml:space="preserve"> </w:t>
            </w:r>
            <w:r w:rsidRPr="00377DCA">
              <w:rPr>
                <w:sz w:val="20"/>
                <w:szCs w:val="20"/>
              </w:rPr>
              <w:t>areas.</w:t>
            </w:r>
          </w:p>
        </w:tc>
        <w:tc>
          <w:tcPr>
            <w:tcW w:w="3260" w:type="dxa"/>
            <w:tcBorders>
              <w:top w:val="single" w:sz="4" w:space="0" w:color="000000"/>
              <w:bottom w:val="single" w:sz="4" w:space="0" w:color="000000"/>
            </w:tcBorders>
          </w:tcPr>
          <w:p w14:paraId="0AD53EE6" w14:textId="2DEA688B" w:rsidR="00E62EC8" w:rsidRPr="00377DCA" w:rsidRDefault="00E62EC8" w:rsidP="00E62EC8">
            <w:pPr>
              <w:pStyle w:val="TableParagraph"/>
              <w:spacing w:before="120" w:line="240" w:lineRule="auto"/>
              <w:ind w:right="108"/>
              <w:rPr>
                <w:sz w:val="20"/>
                <w:szCs w:val="20"/>
              </w:rPr>
            </w:pPr>
            <w:r w:rsidRPr="00377DCA">
              <w:rPr>
                <w:sz w:val="20"/>
                <w:szCs w:val="20"/>
              </w:rPr>
              <w:t xml:space="preserve">Measles, </w:t>
            </w:r>
            <w:r w:rsidR="001F3444">
              <w:rPr>
                <w:sz w:val="20"/>
                <w:szCs w:val="20"/>
              </w:rPr>
              <w:t>M</w:t>
            </w:r>
            <w:r w:rsidRPr="00377DCA">
              <w:rPr>
                <w:sz w:val="20"/>
                <w:szCs w:val="20"/>
              </w:rPr>
              <w:t xml:space="preserve">umps, </w:t>
            </w:r>
            <w:r w:rsidR="001F3444">
              <w:rPr>
                <w:sz w:val="20"/>
                <w:szCs w:val="20"/>
              </w:rPr>
              <w:t>R</w:t>
            </w:r>
            <w:r w:rsidRPr="00377DCA">
              <w:rPr>
                <w:sz w:val="20"/>
                <w:szCs w:val="20"/>
              </w:rPr>
              <w:t>ubella (MMR)</w:t>
            </w:r>
          </w:p>
          <w:p w14:paraId="0AD53EE7" w14:textId="77777777" w:rsidR="00E62EC8" w:rsidRPr="00377DCA" w:rsidRDefault="00E62EC8" w:rsidP="00E62EC8">
            <w:pPr>
              <w:pStyle w:val="TableParagraph"/>
              <w:spacing w:before="120" w:line="240" w:lineRule="auto"/>
              <w:ind w:right="108"/>
              <w:rPr>
                <w:sz w:val="20"/>
                <w:szCs w:val="20"/>
              </w:rPr>
            </w:pPr>
            <w:r w:rsidRPr="00377DCA">
              <w:rPr>
                <w:sz w:val="20"/>
                <w:szCs w:val="20"/>
              </w:rPr>
              <w:t xml:space="preserve">Varicella  (chicken  pox) </w:t>
            </w:r>
          </w:p>
          <w:p w14:paraId="0AD53EE8" w14:textId="77777777" w:rsidR="00E62EC8" w:rsidRPr="00377DCA" w:rsidRDefault="00E62EC8" w:rsidP="00E62EC8">
            <w:pPr>
              <w:pStyle w:val="TableParagraph"/>
              <w:spacing w:before="120" w:line="240" w:lineRule="auto"/>
              <w:ind w:right="108"/>
              <w:rPr>
                <w:sz w:val="20"/>
                <w:szCs w:val="20"/>
              </w:rPr>
            </w:pPr>
            <w:r w:rsidRPr="00377DCA">
              <w:rPr>
                <w:sz w:val="20"/>
                <w:szCs w:val="20"/>
              </w:rPr>
              <w:t xml:space="preserve">Diphtheria, Tetanus, Pertussis </w:t>
            </w:r>
            <w:r>
              <w:rPr>
                <w:sz w:val="20"/>
                <w:szCs w:val="20"/>
              </w:rPr>
              <w:t>(</w:t>
            </w:r>
            <w:r w:rsidRPr="00377DCA">
              <w:rPr>
                <w:sz w:val="20"/>
                <w:szCs w:val="20"/>
              </w:rPr>
              <w:t>dTpa</w:t>
            </w:r>
            <w:r>
              <w:rPr>
                <w:sz w:val="20"/>
                <w:szCs w:val="20"/>
              </w:rPr>
              <w:t>)</w:t>
            </w:r>
          </w:p>
          <w:p w14:paraId="0AD53EE9" w14:textId="77777777" w:rsidR="00E62EC8" w:rsidRPr="00377DCA" w:rsidRDefault="00E62EC8" w:rsidP="00E62EC8">
            <w:pPr>
              <w:pStyle w:val="TableParagraph"/>
              <w:spacing w:before="120" w:line="240" w:lineRule="auto"/>
              <w:ind w:right="108"/>
              <w:rPr>
                <w:sz w:val="20"/>
                <w:szCs w:val="20"/>
              </w:rPr>
            </w:pPr>
            <w:r w:rsidRPr="00377DCA">
              <w:rPr>
                <w:sz w:val="20"/>
                <w:szCs w:val="20"/>
              </w:rPr>
              <w:t>Influenza</w:t>
            </w:r>
          </w:p>
        </w:tc>
      </w:tr>
    </w:tbl>
    <w:p w14:paraId="0AD53EEB" w14:textId="77777777" w:rsidR="005A481D" w:rsidRDefault="00FD5C9C" w:rsidP="005A481D">
      <w:pPr>
        <w:spacing w:before="100" w:beforeAutospacing="1" w:after="240"/>
        <w:ind w:left="0"/>
        <w:rPr>
          <w:b/>
          <w:caps/>
          <w:sz w:val="24"/>
          <w:szCs w:val="24"/>
        </w:rPr>
      </w:pPr>
      <w:r>
        <w:rPr>
          <w:b/>
          <w:caps/>
          <w:sz w:val="24"/>
          <w:szCs w:val="24"/>
        </w:rPr>
        <w:pict w14:anchorId="0AD53F01">
          <v:rect id="_x0000_i1029" style="width:476.25pt;height:.5pt" o:hralign="center" o:hrstd="t" o:hrnoshade="t" o:hr="t" fillcolor="#d8d8d8 [2732]" stroked="f"/>
        </w:pict>
      </w:r>
    </w:p>
    <w:p w14:paraId="14906C52" w14:textId="77777777" w:rsidR="00527E0D" w:rsidRDefault="00527E0D">
      <w:pPr>
        <w:rPr>
          <w:b/>
          <w:caps/>
          <w:sz w:val="24"/>
          <w:szCs w:val="24"/>
        </w:rPr>
      </w:pPr>
      <w:bookmarkStart w:id="5" w:name="EvidenceandDocumentation"/>
      <w:bookmarkEnd w:id="5"/>
      <w:r>
        <w:rPr>
          <w:b/>
          <w:caps/>
          <w:sz w:val="24"/>
          <w:szCs w:val="24"/>
        </w:rPr>
        <w:br w:type="page"/>
      </w:r>
    </w:p>
    <w:p w14:paraId="0AD53EEC" w14:textId="0F4CE8EC" w:rsidR="00E31309" w:rsidRPr="00B34D13" w:rsidRDefault="005C5DF0" w:rsidP="005C5DF0">
      <w:pPr>
        <w:numPr>
          <w:ilvl w:val="0"/>
          <w:numId w:val="2"/>
        </w:numPr>
        <w:spacing w:before="100" w:beforeAutospacing="1" w:after="240"/>
        <w:rPr>
          <w:rFonts w:cs="Arial"/>
          <w:b/>
          <w:caps/>
          <w:sz w:val="24"/>
          <w:szCs w:val="24"/>
        </w:rPr>
      </w:pPr>
      <w:r>
        <w:rPr>
          <w:b/>
          <w:caps/>
          <w:sz w:val="24"/>
          <w:szCs w:val="24"/>
        </w:rPr>
        <w:lastRenderedPageBreak/>
        <w:t>EVIDENCE AND DOCUMENTATION</w:t>
      </w:r>
    </w:p>
    <w:p w14:paraId="0AD53EED" w14:textId="7A08285B" w:rsidR="005C5DF0" w:rsidRPr="00377DCA" w:rsidRDefault="005C5DF0" w:rsidP="005C5DF0">
      <w:pPr>
        <w:pStyle w:val="BodyText"/>
        <w:ind w:left="570"/>
        <w:rPr>
          <w:rFonts w:ascii="Arial" w:hAnsi="Arial"/>
          <w:sz w:val="20"/>
          <w:szCs w:val="20"/>
        </w:rPr>
      </w:pPr>
      <w:r>
        <w:rPr>
          <w:rFonts w:ascii="Arial" w:hAnsi="Arial"/>
          <w:sz w:val="20"/>
          <w:szCs w:val="20"/>
        </w:rPr>
        <w:t>D</w:t>
      </w:r>
      <w:r w:rsidRPr="00377DCA">
        <w:rPr>
          <w:rFonts w:ascii="Arial" w:hAnsi="Arial"/>
          <w:sz w:val="20"/>
          <w:szCs w:val="20"/>
        </w:rPr>
        <w:t>ocumentary evidence of vaccination</w:t>
      </w:r>
      <w:r>
        <w:rPr>
          <w:rFonts w:ascii="Arial" w:hAnsi="Arial"/>
          <w:sz w:val="20"/>
          <w:szCs w:val="20"/>
        </w:rPr>
        <w:t>s</w:t>
      </w:r>
      <w:r w:rsidRPr="00377DCA">
        <w:rPr>
          <w:rFonts w:ascii="Arial" w:hAnsi="Arial"/>
          <w:sz w:val="20"/>
          <w:szCs w:val="20"/>
        </w:rPr>
        <w:t xml:space="preserve"> </w:t>
      </w:r>
      <w:r>
        <w:rPr>
          <w:rFonts w:ascii="Arial" w:hAnsi="Arial"/>
          <w:sz w:val="20"/>
          <w:szCs w:val="20"/>
        </w:rPr>
        <w:t xml:space="preserve">or immunisation status is to </w:t>
      </w:r>
      <w:r w:rsidRPr="00377DCA">
        <w:rPr>
          <w:rFonts w:ascii="Arial" w:hAnsi="Arial"/>
          <w:sz w:val="20"/>
          <w:szCs w:val="20"/>
        </w:rPr>
        <w:t xml:space="preserve">be submitted to the Clinic Manager or delegated </w:t>
      </w:r>
      <w:r>
        <w:rPr>
          <w:rFonts w:ascii="Arial" w:hAnsi="Arial"/>
          <w:sz w:val="20"/>
          <w:szCs w:val="20"/>
        </w:rPr>
        <w:t xml:space="preserve">officer </w:t>
      </w:r>
      <w:r w:rsidRPr="00377DCA">
        <w:rPr>
          <w:rFonts w:ascii="Arial" w:hAnsi="Arial"/>
          <w:sz w:val="20"/>
          <w:szCs w:val="20"/>
        </w:rPr>
        <w:t>in a timely manner.</w:t>
      </w:r>
      <w:r>
        <w:rPr>
          <w:rFonts w:ascii="Arial" w:hAnsi="Arial"/>
          <w:sz w:val="20"/>
          <w:szCs w:val="20"/>
        </w:rPr>
        <w:t xml:space="preserve"> </w:t>
      </w:r>
      <w:r w:rsidR="001F3444">
        <w:rPr>
          <w:rFonts w:ascii="Arial" w:hAnsi="Arial"/>
          <w:sz w:val="20"/>
          <w:szCs w:val="20"/>
        </w:rPr>
        <w:t xml:space="preserve"> </w:t>
      </w:r>
      <w:r>
        <w:rPr>
          <w:rFonts w:ascii="Arial" w:hAnsi="Arial"/>
          <w:sz w:val="20"/>
          <w:szCs w:val="20"/>
        </w:rPr>
        <w:t>The completed documents will be confidentially maintained by an authorized officer of the Griffith Health Clinics and entered into a secure database and maintained in accordance with Griffith University’s Privacy Plan.</w:t>
      </w:r>
    </w:p>
    <w:p w14:paraId="0AD53EEE" w14:textId="77777777" w:rsidR="005A481D" w:rsidRDefault="00FD5C9C" w:rsidP="005A481D">
      <w:pPr>
        <w:spacing w:before="100" w:beforeAutospacing="1" w:after="240"/>
        <w:ind w:left="0"/>
        <w:rPr>
          <w:b/>
          <w:caps/>
          <w:sz w:val="24"/>
          <w:szCs w:val="24"/>
        </w:rPr>
      </w:pPr>
      <w:r>
        <w:rPr>
          <w:b/>
          <w:caps/>
          <w:sz w:val="24"/>
          <w:szCs w:val="24"/>
        </w:rPr>
        <w:pict w14:anchorId="0AD53F02">
          <v:rect id="_x0000_i1030" style="width:476.25pt;height:.5pt" o:hralign="center" o:hrstd="t" o:hrnoshade="t" o:hr="t" fillcolor="#d8d8d8 [2732]" stroked="f"/>
        </w:pict>
      </w:r>
    </w:p>
    <w:p w14:paraId="0AD53EEF" w14:textId="77777777" w:rsidR="00E31309" w:rsidRPr="00B34D13" w:rsidRDefault="005C5DF0" w:rsidP="005C5DF0">
      <w:pPr>
        <w:numPr>
          <w:ilvl w:val="0"/>
          <w:numId w:val="2"/>
        </w:numPr>
        <w:spacing w:before="100" w:beforeAutospacing="1" w:after="240"/>
        <w:rPr>
          <w:rFonts w:cs="Arial"/>
          <w:b/>
          <w:caps/>
          <w:sz w:val="24"/>
          <w:szCs w:val="24"/>
        </w:rPr>
      </w:pPr>
      <w:bookmarkStart w:id="6" w:name="ExceptionalCircumstances"/>
      <w:bookmarkEnd w:id="6"/>
      <w:r>
        <w:rPr>
          <w:b/>
          <w:caps/>
          <w:sz w:val="24"/>
          <w:szCs w:val="24"/>
        </w:rPr>
        <w:t>EXCEPTIONAL CIRCUMSTANCES</w:t>
      </w:r>
    </w:p>
    <w:p w14:paraId="0AD53EF0" w14:textId="77777777" w:rsidR="005C5DF0" w:rsidRPr="00377DCA" w:rsidRDefault="005C5DF0" w:rsidP="005C5DF0">
      <w:pPr>
        <w:pStyle w:val="BodyText"/>
        <w:spacing w:after="120"/>
        <w:ind w:left="567"/>
        <w:rPr>
          <w:rFonts w:ascii="Arial" w:hAnsi="Arial"/>
          <w:sz w:val="20"/>
          <w:szCs w:val="20"/>
        </w:rPr>
      </w:pPr>
      <w:r w:rsidRPr="00377DCA">
        <w:rPr>
          <w:rFonts w:ascii="Arial" w:hAnsi="Arial"/>
          <w:sz w:val="20"/>
          <w:szCs w:val="20"/>
        </w:rPr>
        <w:t xml:space="preserve">There are some circumstances when </w:t>
      </w:r>
      <w:r>
        <w:rPr>
          <w:rFonts w:ascii="Arial" w:hAnsi="Arial"/>
          <w:sz w:val="20"/>
          <w:szCs w:val="20"/>
        </w:rPr>
        <w:t xml:space="preserve">a </w:t>
      </w:r>
      <w:r w:rsidRPr="00377DCA">
        <w:rPr>
          <w:rFonts w:ascii="Arial" w:hAnsi="Arial"/>
          <w:sz w:val="20"/>
          <w:szCs w:val="20"/>
        </w:rPr>
        <w:t xml:space="preserve">worker cannot be safely vaccinated in order to satisfy the </w:t>
      </w:r>
      <w:r>
        <w:rPr>
          <w:rFonts w:ascii="Arial" w:hAnsi="Arial"/>
          <w:sz w:val="20"/>
          <w:szCs w:val="20"/>
        </w:rPr>
        <w:t xml:space="preserve">immunisation </w:t>
      </w:r>
      <w:r w:rsidRPr="00377DCA">
        <w:rPr>
          <w:rFonts w:ascii="Arial" w:hAnsi="Arial"/>
          <w:sz w:val="20"/>
          <w:szCs w:val="20"/>
        </w:rPr>
        <w:t>requirements for their position due to:</w:t>
      </w:r>
    </w:p>
    <w:p w14:paraId="0AD53EF1" w14:textId="77777777" w:rsidR="005C5DF0" w:rsidRPr="00377DCA" w:rsidRDefault="005C5DF0" w:rsidP="005C5DF0">
      <w:pPr>
        <w:pStyle w:val="ListParagraph"/>
        <w:widowControl w:val="0"/>
        <w:numPr>
          <w:ilvl w:val="0"/>
          <w:numId w:val="5"/>
        </w:numPr>
        <w:tabs>
          <w:tab w:val="left" w:pos="1741"/>
        </w:tabs>
        <w:spacing w:after="0"/>
        <w:ind w:left="851" w:hanging="284"/>
        <w:rPr>
          <w:sz w:val="20"/>
        </w:rPr>
      </w:pPr>
      <w:r w:rsidRPr="00377DCA">
        <w:rPr>
          <w:sz w:val="20"/>
        </w:rPr>
        <w:t>a medical</w:t>
      </w:r>
      <w:r w:rsidRPr="00377DCA">
        <w:rPr>
          <w:spacing w:val="-7"/>
          <w:sz w:val="20"/>
        </w:rPr>
        <w:t xml:space="preserve"> </w:t>
      </w:r>
      <w:r w:rsidRPr="00377DCA">
        <w:rPr>
          <w:sz w:val="20"/>
        </w:rPr>
        <w:t>condition</w:t>
      </w:r>
    </w:p>
    <w:p w14:paraId="0AD53EF2" w14:textId="77777777" w:rsidR="005C5DF0" w:rsidRPr="00377DCA" w:rsidRDefault="005C5DF0" w:rsidP="005C5DF0">
      <w:pPr>
        <w:pStyle w:val="ListParagraph"/>
        <w:widowControl w:val="0"/>
        <w:numPr>
          <w:ilvl w:val="0"/>
          <w:numId w:val="5"/>
        </w:numPr>
        <w:tabs>
          <w:tab w:val="left" w:pos="1741"/>
        </w:tabs>
        <w:spacing w:after="0"/>
        <w:ind w:left="851" w:hanging="284"/>
        <w:rPr>
          <w:sz w:val="20"/>
        </w:rPr>
      </w:pPr>
      <w:r w:rsidRPr="00377DCA">
        <w:rPr>
          <w:sz w:val="20"/>
        </w:rPr>
        <w:t>pregnancy</w:t>
      </w:r>
    </w:p>
    <w:p w14:paraId="0AD53EF3" w14:textId="77777777" w:rsidR="005C5DF0" w:rsidRDefault="005C5DF0" w:rsidP="005C5DF0">
      <w:pPr>
        <w:pStyle w:val="ListParagraph"/>
        <w:widowControl w:val="0"/>
        <w:numPr>
          <w:ilvl w:val="0"/>
          <w:numId w:val="5"/>
        </w:numPr>
        <w:tabs>
          <w:tab w:val="left" w:pos="1741"/>
        </w:tabs>
        <w:spacing w:after="0"/>
        <w:ind w:left="851" w:hanging="284"/>
        <w:rPr>
          <w:sz w:val="20"/>
        </w:rPr>
      </w:pPr>
      <w:r w:rsidRPr="00377DCA">
        <w:rPr>
          <w:sz w:val="20"/>
        </w:rPr>
        <w:t>shortage of</w:t>
      </w:r>
      <w:r w:rsidRPr="00377DCA">
        <w:rPr>
          <w:spacing w:val="-6"/>
          <w:sz w:val="20"/>
        </w:rPr>
        <w:t xml:space="preserve"> </w:t>
      </w:r>
      <w:r w:rsidRPr="00377DCA">
        <w:rPr>
          <w:sz w:val="20"/>
        </w:rPr>
        <w:t>vaccinations</w:t>
      </w:r>
    </w:p>
    <w:p w14:paraId="0AD53EF4" w14:textId="77777777" w:rsidR="005C5DF0" w:rsidRPr="00377DCA" w:rsidRDefault="005C5DF0" w:rsidP="005C5DF0">
      <w:pPr>
        <w:pStyle w:val="ListParagraph"/>
        <w:widowControl w:val="0"/>
        <w:numPr>
          <w:ilvl w:val="0"/>
          <w:numId w:val="5"/>
        </w:numPr>
        <w:tabs>
          <w:tab w:val="left" w:pos="1741"/>
        </w:tabs>
        <w:spacing w:after="0"/>
        <w:ind w:left="851" w:hanging="284"/>
        <w:rPr>
          <w:sz w:val="20"/>
        </w:rPr>
      </w:pPr>
      <w:r>
        <w:rPr>
          <w:sz w:val="20"/>
        </w:rPr>
        <w:t>refusal</w:t>
      </w:r>
    </w:p>
    <w:p w14:paraId="0AD53EF5" w14:textId="77777777" w:rsidR="005C5DF0" w:rsidRPr="00377DCA" w:rsidRDefault="005C5DF0" w:rsidP="005C5DF0">
      <w:pPr>
        <w:pStyle w:val="BodyText"/>
        <w:ind w:left="567"/>
        <w:rPr>
          <w:rFonts w:ascii="Arial" w:hAnsi="Arial"/>
          <w:sz w:val="20"/>
          <w:szCs w:val="20"/>
        </w:rPr>
      </w:pPr>
    </w:p>
    <w:p w14:paraId="0AD53EF6" w14:textId="77777777" w:rsidR="005C5DF0" w:rsidRPr="00377DCA" w:rsidRDefault="005C5DF0" w:rsidP="005C5DF0">
      <w:pPr>
        <w:pStyle w:val="BodyText"/>
        <w:ind w:left="567"/>
        <w:rPr>
          <w:rFonts w:ascii="Arial" w:hAnsi="Arial"/>
          <w:sz w:val="20"/>
          <w:szCs w:val="20"/>
        </w:rPr>
      </w:pPr>
      <w:r w:rsidRPr="00377DCA">
        <w:rPr>
          <w:rFonts w:ascii="Arial" w:hAnsi="Arial"/>
          <w:sz w:val="20"/>
          <w:szCs w:val="20"/>
        </w:rPr>
        <w:t xml:space="preserve">In the above circumstances, a risk assessment </w:t>
      </w:r>
      <w:r>
        <w:rPr>
          <w:rFonts w:ascii="Arial" w:hAnsi="Arial"/>
          <w:sz w:val="20"/>
          <w:szCs w:val="20"/>
        </w:rPr>
        <w:t xml:space="preserve">will be </w:t>
      </w:r>
      <w:r w:rsidRPr="00377DCA">
        <w:rPr>
          <w:rFonts w:ascii="Arial" w:hAnsi="Arial"/>
          <w:sz w:val="20"/>
          <w:szCs w:val="20"/>
        </w:rPr>
        <w:t xml:space="preserve">completed by the </w:t>
      </w:r>
      <w:r>
        <w:rPr>
          <w:rFonts w:ascii="Arial" w:hAnsi="Arial"/>
          <w:sz w:val="20"/>
          <w:szCs w:val="20"/>
        </w:rPr>
        <w:t xml:space="preserve">Head of School, Deputy Head of School (Clinical Education) or Clinic Director </w:t>
      </w:r>
      <w:r w:rsidRPr="00377DCA">
        <w:rPr>
          <w:rFonts w:ascii="Arial" w:hAnsi="Arial"/>
          <w:sz w:val="20"/>
          <w:szCs w:val="20"/>
        </w:rPr>
        <w:t xml:space="preserve">to determine the level of risk of the employee or external practitioner contracting or transmitting </w:t>
      </w:r>
      <w:r>
        <w:rPr>
          <w:rFonts w:ascii="Arial" w:hAnsi="Arial"/>
          <w:sz w:val="20"/>
          <w:szCs w:val="20"/>
        </w:rPr>
        <w:t xml:space="preserve">vaccine preventable diseases </w:t>
      </w:r>
      <w:r w:rsidRPr="00377DCA">
        <w:rPr>
          <w:rFonts w:ascii="Arial" w:hAnsi="Arial"/>
          <w:sz w:val="20"/>
          <w:szCs w:val="20"/>
        </w:rPr>
        <w:t xml:space="preserve">in their role. </w:t>
      </w:r>
    </w:p>
    <w:p w14:paraId="0AD53EF7" w14:textId="77777777" w:rsidR="005A481D" w:rsidRDefault="00FD5C9C" w:rsidP="005A481D">
      <w:pPr>
        <w:spacing w:before="100" w:beforeAutospacing="1" w:after="240"/>
        <w:ind w:left="0"/>
        <w:rPr>
          <w:b/>
          <w:caps/>
          <w:sz w:val="24"/>
          <w:szCs w:val="24"/>
        </w:rPr>
      </w:pPr>
      <w:r>
        <w:rPr>
          <w:b/>
          <w:caps/>
          <w:sz w:val="24"/>
          <w:szCs w:val="24"/>
        </w:rPr>
        <w:pict w14:anchorId="0AD53F03">
          <v:rect id="_x0000_i1031" style="width:476.25pt;height:.5pt" o:hralign="center" o:hrstd="t" o:hrnoshade="t" o:hr="t" fillcolor="#d8d8d8 [2732]" stroked="f"/>
        </w:pict>
      </w:r>
    </w:p>
    <w:p w14:paraId="0AD53EF8" w14:textId="77777777" w:rsidR="00E31309" w:rsidRPr="00B34D13" w:rsidRDefault="005C5DF0" w:rsidP="005C5DF0">
      <w:pPr>
        <w:numPr>
          <w:ilvl w:val="0"/>
          <w:numId w:val="2"/>
        </w:numPr>
        <w:spacing w:before="100" w:beforeAutospacing="1" w:after="240"/>
        <w:rPr>
          <w:rFonts w:cs="Arial"/>
          <w:b/>
          <w:caps/>
          <w:sz w:val="24"/>
          <w:szCs w:val="24"/>
        </w:rPr>
      </w:pPr>
      <w:bookmarkStart w:id="7" w:name="Education"/>
      <w:bookmarkEnd w:id="7"/>
      <w:r>
        <w:rPr>
          <w:b/>
          <w:caps/>
          <w:sz w:val="24"/>
          <w:szCs w:val="24"/>
        </w:rPr>
        <w:t>EDUCATION</w:t>
      </w:r>
    </w:p>
    <w:p w14:paraId="0AD53EF9" w14:textId="14B970A5" w:rsidR="005C5DF0" w:rsidRDefault="005C5DF0" w:rsidP="005C5DF0">
      <w:pPr>
        <w:pStyle w:val="BodyText"/>
        <w:ind w:left="570"/>
        <w:rPr>
          <w:rFonts w:ascii="Arial" w:hAnsi="Arial"/>
          <w:i/>
          <w:sz w:val="20"/>
          <w:szCs w:val="20"/>
        </w:rPr>
      </w:pPr>
      <w:r w:rsidRPr="00377DCA">
        <w:rPr>
          <w:rFonts w:ascii="Arial" w:hAnsi="Arial"/>
          <w:sz w:val="20"/>
          <w:szCs w:val="20"/>
        </w:rPr>
        <w:t xml:space="preserve">Information regarding vaccines and vaccine preventable diseases is available to all Griffith Health Clinic staff by accessing </w:t>
      </w:r>
      <w:hyperlink r:id="rId24" w:history="1">
        <w:r w:rsidRPr="00377DCA">
          <w:rPr>
            <w:rStyle w:val="Hyperlink"/>
            <w:rFonts w:ascii="Arial" w:hAnsi="Arial"/>
            <w:sz w:val="20"/>
            <w:szCs w:val="20"/>
          </w:rPr>
          <w:t>The Australian Immunisation Handbook</w:t>
        </w:r>
      </w:hyperlink>
      <w:r w:rsidRPr="00377DCA">
        <w:rPr>
          <w:rFonts w:ascii="Arial" w:hAnsi="Arial"/>
          <w:sz w:val="20"/>
          <w:szCs w:val="20"/>
        </w:rPr>
        <w:t xml:space="preserve">, the </w:t>
      </w:r>
      <w:hyperlink r:id="rId25" w:history="1">
        <w:r w:rsidRPr="00377DCA">
          <w:rPr>
            <w:rStyle w:val="Hyperlink"/>
            <w:rFonts w:ascii="Arial" w:hAnsi="Arial"/>
            <w:sz w:val="20"/>
            <w:szCs w:val="20"/>
          </w:rPr>
          <w:t>Queensland Health Communicable Disease Control Guidance and Information</w:t>
        </w:r>
      </w:hyperlink>
      <w:r w:rsidRPr="00377DCA">
        <w:rPr>
          <w:rFonts w:ascii="Arial" w:hAnsi="Arial"/>
          <w:sz w:val="20"/>
          <w:szCs w:val="20"/>
        </w:rPr>
        <w:t xml:space="preserve"> and the </w:t>
      </w:r>
      <w:hyperlink r:id="rId26" w:history="1">
        <w:r w:rsidRPr="00377DCA">
          <w:rPr>
            <w:rStyle w:val="Hyperlink"/>
            <w:rFonts w:ascii="Arial" w:hAnsi="Arial"/>
            <w:sz w:val="20"/>
            <w:szCs w:val="20"/>
          </w:rPr>
          <w:t>Australian Guidelines for Prevention and Control of Infection in Healthcare</w:t>
        </w:r>
      </w:hyperlink>
      <w:r w:rsidRPr="00377DCA">
        <w:rPr>
          <w:rFonts w:ascii="Arial" w:hAnsi="Arial"/>
          <w:sz w:val="20"/>
          <w:szCs w:val="20"/>
        </w:rPr>
        <w:t xml:space="preserve">.  These are also made available to all Griffith Health Clinic staff on the </w:t>
      </w:r>
      <w:r w:rsidRPr="00377DCA">
        <w:rPr>
          <w:rFonts w:ascii="Arial" w:hAnsi="Arial"/>
          <w:i/>
          <w:sz w:val="20"/>
          <w:szCs w:val="20"/>
        </w:rPr>
        <w:t>Griffith Portal / Learning@Griffith / Organisations / Griffith Health Clinic / Staff</w:t>
      </w:r>
      <w:r>
        <w:rPr>
          <w:rFonts w:ascii="Arial" w:hAnsi="Arial"/>
          <w:i/>
          <w:sz w:val="20"/>
          <w:szCs w:val="20"/>
        </w:rPr>
        <w:t xml:space="preserve"> / Administration-Management / Infection Control.</w:t>
      </w:r>
    </w:p>
    <w:p w14:paraId="0AD53EFA" w14:textId="77777777" w:rsidR="005A481D" w:rsidRDefault="00FD5C9C" w:rsidP="005A481D">
      <w:pPr>
        <w:spacing w:before="100" w:beforeAutospacing="1" w:after="240"/>
        <w:ind w:left="0"/>
        <w:rPr>
          <w:b/>
          <w:caps/>
          <w:sz w:val="24"/>
          <w:szCs w:val="24"/>
        </w:rPr>
      </w:pPr>
      <w:r>
        <w:rPr>
          <w:b/>
          <w:caps/>
          <w:sz w:val="24"/>
          <w:szCs w:val="24"/>
        </w:rPr>
        <w:pict w14:anchorId="0AD53F04">
          <v:rect id="_x0000_i1032" style="width:476.25pt;height:.5pt" o:hralign="center" o:hrstd="t" o:hrnoshade="t" o:hr="t" fillcolor="#d8d8d8 [2732]" stroked="f"/>
        </w:pict>
      </w:r>
    </w:p>
    <w:sectPr w:rsidR="005A481D" w:rsidSect="00147712">
      <w:headerReference w:type="default" r:id="rId27"/>
      <w:footerReference w:type="default" r:id="rId28"/>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3F07" w14:textId="77777777" w:rsidR="00D225AD" w:rsidRDefault="00D225AD">
      <w:r>
        <w:separator/>
      </w:r>
    </w:p>
  </w:endnote>
  <w:endnote w:type="continuationSeparator" w:id="0">
    <w:p w14:paraId="0AD53F08" w14:textId="77777777" w:rsidR="00D225AD" w:rsidRDefault="00D2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0AD53F0C" w14:textId="77777777" w:rsidTr="00C245CA">
      <w:tc>
        <w:tcPr>
          <w:tcW w:w="918" w:type="dxa"/>
          <w:vAlign w:val="bottom"/>
        </w:tcPr>
        <w:p w14:paraId="0AD53F0A" w14:textId="77777777"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527E0D" w:rsidRPr="00527E0D">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0AD53F0B" w14:textId="77777777" w:rsidR="00202A59" w:rsidRPr="0089097B" w:rsidRDefault="00372295" w:rsidP="00E00460">
          <w:pPr>
            <w:pStyle w:val="Footer"/>
            <w:spacing w:before="20" w:after="20"/>
            <w:ind w:left="0"/>
            <w:rPr>
              <w:color w:val="BFBFBF" w:themeColor="background1" w:themeShade="BF"/>
              <w:sz w:val="16"/>
              <w:szCs w:val="16"/>
            </w:rPr>
          </w:pPr>
          <w:r>
            <w:rPr>
              <w:color w:val="BFBFBF" w:themeColor="background1" w:themeShade="BF"/>
              <w:sz w:val="16"/>
              <w:szCs w:val="16"/>
            </w:rPr>
            <w:t>Vaccine Preventable Diseases Policy for Griffith Health Clinics</w:t>
          </w:r>
        </w:p>
      </w:tc>
    </w:tr>
  </w:tbl>
  <w:p w14:paraId="0AD53F0D"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3F05" w14:textId="77777777" w:rsidR="00D225AD" w:rsidRDefault="00D225AD">
      <w:r>
        <w:separator/>
      </w:r>
    </w:p>
  </w:footnote>
  <w:footnote w:type="continuationSeparator" w:id="0">
    <w:p w14:paraId="0AD53F06" w14:textId="77777777" w:rsidR="00D225AD" w:rsidRDefault="00D22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3F09" w14:textId="77777777"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1AA26B9D"/>
    <w:multiLevelType w:val="hybridMultilevel"/>
    <w:tmpl w:val="43F467E2"/>
    <w:lvl w:ilvl="0" w:tplc="BDB412E6">
      <w:start w:val="1"/>
      <w:numFmt w:val="bullet"/>
      <w:lvlText w:val=""/>
      <w:lvlJc w:val="left"/>
      <w:pPr>
        <w:ind w:left="799" w:hanging="361"/>
      </w:pPr>
      <w:rPr>
        <w:rFonts w:ascii="Symbol" w:eastAsia="Symbol" w:hAnsi="Symbol" w:cs="Symbol" w:hint="default"/>
        <w:w w:val="100"/>
        <w:sz w:val="22"/>
        <w:szCs w:val="22"/>
      </w:rPr>
    </w:lvl>
    <w:lvl w:ilvl="1" w:tplc="47E0C8B6">
      <w:start w:val="1"/>
      <w:numFmt w:val="bullet"/>
      <w:lvlText w:val="•"/>
      <w:lvlJc w:val="left"/>
      <w:pPr>
        <w:ind w:left="1418" w:hanging="361"/>
      </w:pPr>
      <w:rPr>
        <w:rFonts w:hint="default"/>
      </w:rPr>
    </w:lvl>
    <w:lvl w:ilvl="2" w:tplc="658AE48C">
      <w:start w:val="1"/>
      <w:numFmt w:val="bullet"/>
      <w:lvlText w:val="•"/>
      <w:lvlJc w:val="left"/>
      <w:pPr>
        <w:ind w:left="2037" w:hanging="361"/>
      </w:pPr>
      <w:rPr>
        <w:rFonts w:hint="default"/>
      </w:rPr>
    </w:lvl>
    <w:lvl w:ilvl="3" w:tplc="5DB436CA">
      <w:start w:val="1"/>
      <w:numFmt w:val="bullet"/>
      <w:lvlText w:val="•"/>
      <w:lvlJc w:val="left"/>
      <w:pPr>
        <w:ind w:left="2655" w:hanging="361"/>
      </w:pPr>
      <w:rPr>
        <w:rFonts w:hint="default"/>
      </w:rPr>
    </w:lvl>
    <w:lvl w:ilvl="4" w:tplc="537E9C90">
      <w:start w:val="1"/>
      <w:numFmt w:val="bullet"/>
      <w:lvlText w:val="•"/>
      <w:lvlJc w:val="left"/>
      <w:pPr>
        <w:ind w:left="3274" w:hanging="361"/>
      </w:pPr>
      <w:rPr>
        <w:rFonts w:hint="default"/>
      </w:rPr>
    </w:lvl>
    <w:lvl w:ilvl="5" w:tplc="A59847BE">
      <w:start w:val="1"/>
      <w:numFmt w:val="bullet"/>
      <w:lvlText w:val="•"/>
      <w:lvlJc w:val="left"/>
      <w:pPr>
        <w:ind w:left="3893" w:hanging="361"/>
      </w:pPr>
      <w:rPr>
        <w:rFonts w:hint="default"/>
      </w:rPr>
    </w:lvl>
    <w:lvl w:ilvl="6" w:tplc="AF18BC40">
      <w:start w:val="1"/>
      <w:numFmt w:val="bullet"/>
      <w:lvlText w:val="•"/>
      <w:lvlJc w:val="left"/>
      <w:pPr>
        <w:ind w:left="4511" w:hanging="361"/>
      </w:pPr>
      <w:rPr>
        <w:rFonts w:hint="default"/>
      </w:rPr>
    </w:lvl>
    <w:lvl w:ilvl="7" w:tplc="88FEF7AE">
      <w:start w:val="1"/>
      <w:numFmt w:val="bullet"/>
      <w:lvlText w:val="•"/>
      <w:lvlJc w:val="left"/>
      <w:pPr>
        <w:ind w:left="5130" w:hanging="361"/>
      </w:pPr>
      <w:rPr>
        <w:rFonts w:hint="default"/>
      </w:rPr>
    </w:lvl>
    <w:lvl w:ilvl="8" w:tplc="6D142DA6">
      <w:start w:val="1"/>
      <w:numFmt w:val="bullet"/>
      <w:lvlText w:val="•"/>
      <w:lvlJc w:val="left"/>
      <w:pPr>
        <w:ind w:left="5749" w:hanging="361"/>
      </w:pPr>
      <w:rPr>
        <w:rFonts w:hint="default"/>
      </w:rPr>
    </w:lvl>
  </w:abstractNum>
  <w:abstractNum w:abstractNumId="3" w15:restartNumberingAfterBreak="0">
    <w:nsid w:val="232D3F6E"/>
    <w:multiLevelType w:val="multilevel"/>
    <w:tmpl w:val="3E0CBF3C"/>
    <w:lvl w:ilvl="0">
      <w:start w:val="1"/>
      <w:numFmt w:val="bullet"/>
      <w:lvlText w:val=""/>
      <w:lvlJc w:val="left"/>
      <w:pPr>
        <w:ind w:left="1134" w:hanging="567"/>
        <w:jc w:val="left"/>
      </w:pPr>
      <w:rPr>
        <w:rFonts w:ascii="Symbol" w:hAnsi="Symbol" w:hint="default"/>
        <w:b/>
        <w:bCs/>
        <w:spacing w:val="-1"/>
        <w:w w:val="100"/>
        <w:sz w:val="22"/>
        <w:szCs w:val="22"/>
      </w:rPr>
    </w:lvl>
    <w:lvl w:ilvl="1">
      <w:start w:val="1"/>
      <w:numFmt w:val="decimal"/>
      <w:lvlText w:val="%1.%2"/>
      <w:lvlJc w:val="left"/>
      <w:pPr>
        <w:ind w:left="1654" w:hanging="567"/>
        <w:jc w:val="left"/>
      </w:pPr>
      <w:rPr>
        <w:rFonts w:ascii="Arial" w:eastAsia="Arial" w:hAnsi="Arial" w:cs="Arial" w:hint="default"/>
        <w:b/>
        <w:bCs/>
        <w:spacing w:val="-1"/>
        <w:w w:val="100"/>
        <w:sz w:val="22"/>
        <w:szCs w:val="22"/>
      </w:rPr>
    </w:lvl>
    <w:lvl w:ilvl="2">
      <w:start w:val="1"/>
      <w:numFmt w:val="bullet"/>
      <w:lvlText w:val=""/>
      <w:lvlJc w:val="left"/>
      <w:pPr>
        <w:ind w:left="2091" w:hanging="301"/>
      </w:pPr>
      <w:rPr>
        <w:rFonts w:ascii="Symbol" w:eastAsia="Symbol" w:hAnsi="Symbol" w:cs="Symbol" w:hint="default"/>
        <w:w w:val="100"/>
        <w:sz w:val="22"/>
        <w:szCs w:val="22"/>
      </w:rPr>
    </w:lvl>
    <w:lvl w:ilvl="3">
      <w:start w:val="1"/>
      <w:numFmt w:val="bullet"/>
      <w:lvlText w:val="•"/>
      <w:lvlJc w:val="left"/>
      <w:pPr>
        <w:ind w:left="3196" w:hanging="301"/>
      </w:pPr>
      <w:rPr>
        <w:rFonts w:hint="default"/>
      </w:rPr>
    </w:lvl>
    <w:lvl w:ilvl="4">
      <w:start w:val="1"/>
      <w:numFmt w:val="bullet"/>
      <w:lvlText w:val="•"/>
      <w:lvlJc w:val="left"/>
      <w:pPr>
        <w:ind w:left="4302" w:hanging="301"/>
      </w:pPr>
      <w:rPr>
        <w:rFonts w:hint="default"/>
      </w:rPr>
    </w:lvl>
    <w:lvl w:ilvl="5">
      <w:start w:val="1"/>
      <w:numFmt w:val="bullet"/>
      <w:lvlText w:val="•"/>
      <w:lvlJc w:val="left"/>
      <w:pPr>
        <w:ind w:left="5408" w:hanging="301"/>
      </w:pPr>
      <w:rPr>
        <w:rFonts w:hint="default"/>
      </w:rPr>
    </w:lvl>
    <w:lvl w:ilvl="6">
      <w:start w:val="1"/>
      <w:numFmt w:val="bullet"/>
      <w:lvlText w:val="•"/>
      <w:lvlJc w:val="left"/>
      <w:pPr>
        <w:ind w:left="6514" w:hanging="301"/>
      </w:pPr>
      <w:rPr>
        <w:rFonts w:hint="default"/>
      </w:rPr>
    </w:lvl>
    <w:lvl w:ilvl="7">
      <w:start w:val="1"/>
      <w:numFmt w:val="bullet"/>
      <w:lvlText w:val="•"/>
      <w:lvlJc w:val="left"/>
      <w:pPr>
        <w:ind w:left="7620" w:hanging="301"/>
      </w:pPr>
      <w:rPr>
        <w:rFonts w:hint="default"/>
      </w:rPr>
    </w:lvl>
    <w:lvl w:ilvl="8">
      <w:start w:val="1"/>
      <w:numFmt w:val="bullet"/>
      <w:lvlText w:val="•"/>
      <w:lvlJc w:val="left"/>
      <w:pPr>
        <w:ind w:left="8725" w:hanging="301"/>
      </w:pPr>
      <w:rPr>
        <w:rFonts w:hint="default"/>
      </w:rPr>
    </w:lvl>
  </w:abstractNum>
  <w:abstractNum w:abstractNumId="4"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num w:numId="1" w16cid:durableId="98257932">
    <w:abstractNumId w:val="0"/>
  </w:num>
  <w:num w:numId="2" w16cid:durableId="2145194094">
    <w:abstractNumId w:val="1"/>
  </w:num>
  <w:num w:numId="3" w16cid:durableId="967904082">
    <w:abstractNumId w:val="4"/>
  </w:num>
  <w:num w:numId="4" w16cid:durableId="1273199344">
    <w:abstractNumId w:val="2"/>
  </w:num>
  <w:num w:numId="5" w16cid:durableId="18748085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AD"/>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D02B0"/>
    <w:rsid w:val="000F0F40"/>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850C4"/>
    <w:rsid w:val="00194712"/>
    <w:rsid w:val="00195922"/>
    <w:rsid w:val="001A383A"/>
    <w:rsid w:val="001A43F5"/>
    <w:rsid w:val="001A762E"/>
    <w:rsid w:val="001B2DB3"/>
    <w:rsid w:val="001C0A6C"/>
    <w:rsid w:val="001C1128"/>
    <w:rsid w:val="001C2CA3"/>
    <w:rsid w:val="001E0403"/>
    <w:rsid w:val="001E6124"/>
    <w:rsid w:val="001F3444"/>
    <w:rsid w:val="001F66C9"/>
    <w:rsid w:val="00201B73"/>
    <w:rsid w:val="00202A59"/>
    <w:rsid w:val="00214D54"/>
    <w:rsid w:val="002233B0"/>
    <w:rsid w:val="002235B6"/>
    <w:rsid w:val="0022366D"/>
    <w:rsid w:val="00224311"/>
    <w:rsid w:val="002418DB"/>
    <w:rsid w:val="00243EE5"/>
    <w:rsid w:val="00243FB3"/>
    <w:rsid w:val="002449C6"/>
    <w:rsid w:val="0024690C"/>
    <w:rsid w:val="00246C8E"/>
    <w:rsid w:val="00261CAC"/>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72295"/>
    <w:rsid w:val="00381013"/>
    <w:rsid w:val="00394264"/>
    <w:rsid w:val="00396DFB"/>
    <w:rsid w:val="003A2BEA"/>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500E1A"/>
    <w:rsid w:val="005029E3"/>
    <w:rsid w:val="00506BF1"/>
    <w:rsid w:val="005076BB"/>
    <w:rsid w:val="00515ADA"/>
    <w:rsid w:val="00516A82"/>
    <w:rsid w:val="00517F6E"/>
    <w:rsid w:val="00521797"/>
    <w:rsid w:val="00524CFB"/>
    <w:rsid w:val="00527E0D"/>
    <w:rsid w:val="0053062E"/>
    <w:rsid w:val="00537826"/>
    <w:rsid w:val="00540C27"/>
    <w:rsid w:val="00546452"/>
    <w:rsid w:val="00547101"/>
    <w:rsid w:val="00560908"/>
    <w:rsid w:val="00570E6F"/>
    <w:rsid w:val="005740C1"/>
    <w:rsid w:val="00581324"/>
    <w:rsid w:val="005845E9"/>
    <w:rsid w:val="00596AB8"/>
    <w:rsid w:val="005A481D"/>
    <w:rsid w:val="005B2DF0"/>
    <w:rsid w:val="005B50CF"/>
    <w:rsid w:val="005B786F"/>
    <w:rsid w:val="005C36E1"/>
    <w:rsid w:val="005C5DF0"/>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8028D"/>
    <w:rsid w:val="006922EC"/>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369B"/>
    <w:rsid w:val="00794D97"/>
    <w:rsid w:val="007978D7"/>
    <w:rsid w:val="007A76B5"/>
    <w:rsid w:val="007B1A9B"/>
    <w:rsid w:val="007B3CC4"/>
    <w:rsid w:val="007B5ED0"/>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96282"/>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462"/>
    <w:rsid w:val="00CF6AB3"/>
    <w:rsid w:val="00CF6C2C"/>
    <w:rsid w:val="00D0248C"/>
    <w:rsid w:val="00D047CD"/>
    <w:rsid w:val="00D05D2C"/>
    <w:rsid w:val="00D06CB7"/>
    <w:rsid w:val="00D10D24"/>
    <w:rsid w:val="00D12639"/>
    <w:rsid w:val="00D219BC"/>
    <w:rsid w:val="00D2236E"/>
    <w:rsid w:val="00D225AD"/>
    <w:rsid w:val="00D231E0"/>
    <w:rsid w:val="00D2648D"/>
    <w:rsid w:val="00D3247B"/>
    <w:rsid w:val="00D5253F"/>
    <w:rsid w:val="00D52CAC"/>
    <w:rsid w:val="00D555F9"/>
    <w:rsid w:val="00D55BC3"/>
    <w:rsid w:val="00D614DF"/>
    <w:rsid w:val="00D85F00"/>
    <w:rsid w:val="00D90ED2"/>
    <w:rsid w:val="00D9114F"/>
    <w:rsid w:val="00D920FB"/>
    <w:rsid w:val="00D96309"/>
    <w:rsid w:val="00D96726"/>
    <w:rsid w:val="00DA45DF"/>
    <w:rsid w:val="00DB0479"/>
    <w:rsid w:val="00DB16B9"/>
    <w:rsid w:val="00DB4612"/>
    <w:rsid w:val="00DC2DFC"/>
    <w:rsid w:val="00DC7EE4"/>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2EC8"/>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03BF8"/>
    <w:rsid w:val="00F147C2"/>
    <w:rsid w:val="00F32F5F"/>
    <w:rsid w:val="00F33C08"/>
    <w:rsid w:val="00F53448"/>
    <w:rsid w:val="00F61824"/>
    <w:rsid w:val="00F62D80"/>
    <w:rsid w:val="00F63503"/>
    <w:rsid w:val="00F63B24"/>
    <w:rsid w:val="00F660A5"/>
    <w:rsid w:val="00F87704"/>
    <w:rsid w:val="00FA1843"/>
    <w:rsid w:val="00FA2299"/>
    <w:rsid w:val="00FB4A72"/>
    <w:rsid w:val="00FB58A1"/>
    <w:rsid w:val="00FB7016"/>
    <w:rsid w:val="00FC4B0A"/>
    <w:rsid w:val="00FC4C59"/>
    <w:rsid w:val="00FD2EE6"/>
    <w:rsid w:val="00FD382F"/>
    <w:rsid w:val="00FD5C9C"/>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0AD53E99"/>
  <w15:docId w15:val="{0493ED9B-8687-4A0E-AAFB-BE3A77D5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1"/>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214D54"/>
    <w:rPr>
      <w:color w:val="800080" w:themeColor="followedHyperlink"/>
      <w:u w:val="single"/>
    </w:rPr>
  </w:style>
  <w:style w:type="paragraph" w:styleId="BodyText">
    <w:name w:val="Body Text"/>
    <w:basedOn w:val="Normal"/>
    <w:link w:val="BodyTextChar"/>
    <w:uiPriority w:val="1"/>
    <w:qFormat/>
    <w:rsid w:val="00E62EC8"/>
    <w:pPr>
      <w:widowControl w:val="0"/>
      <w:spacing w:after="0"/>
      <w:ind w:left="0"/>
    </w:pPr>
    <w:rPr>
      <w:rFonts w:asciiTheme="minorHAnsi" w:eastAsia="Arial" w:hAnsiTheme="minorHAnsi" w:cs="Arial"/>
      <w:sz w:val="24"/>
      <w:szCs w:val="22"/>
      <w:lang w:val="en-US" w:eastAsia="en-US"/>
    </w:rPr>
  </w:style>
  <w:style w:type="character" w:customStyle="1" w:styleId="BodyTextChar">
    <w:name w:val="Body Text Char"/>
    <w:basedOn w:val="DefaultParagraphFont"/>
    <w:link w:val="BodyText"/>
    <w:uiPriority w:val="1"/>
    <w:rsid w:val="00E62EC8"/>
    <w:rPr>
      <w:rFonts w:asciiTheme="minorHAnsi" w:eastAsia="Arial" w:hAnsiTheme="minorHAnsi" w:cs="Arial"/>
      <w:sz w:val="24"/>
      <w:szCs w:val="22"/>
      <w:lang w:val="en-US" w:eastAsia="en-US"/>
    </w:rPr>
  </w:style>
  <w:style w:type="paragraph" w:customStyle="1" w:styleId="TableParagraph">
    <w:name w:val="Table Paragraph"/>
    <w:basedOn w:val="Normal"/>
    <w:uiPriority w:val="1"/>
    <w:qFormat/>
    <w:rsid w:val="00E62EC8"/>
    <w:pPr>
      <w:widowControl w:val="0"/>
      <w:spacing w:after="0" w:line="248" w:lineRule="exact"/>
      <w:ind w:left="100"/>
      <w:jc w:val="left"/>
    </w:pPr>
    <w:rPr>
      <w:rFonts w:eastAsia="Arial" w:cs="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guidelines-publications/cd33" TargetMode="External"/><Relationship Id="rId18" Type="http://schemas.openxmlformats.org/officeDocument/2006/relationships/hyperlink" Target="http://policies.griffith.edu.au/search/pages/results.aspx?k=infection%20control%20procedures" TargetMode="External"/><Relationship Id="rId26" Type="http://schemas.openxmlformats.org/officeDocument/2006/relationships/hyperlink" Target="https://www.nhmrc.gov.au/health-topics/infection-prevention-and-control" TargetMode="External"/><Relationship Id="rId3" Type="http://schemas.openxmlformats.org/officeDocument/2006/relationships/customXml" Target="../customXml/item3.xml"/><Relationship Id="rId21" Type="http://schemas.openxmlformats.org/officeDocument/2006/relationships/hyperlink" Target="https://www.health.qld.gov.au/directives/employment/hed-0116.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qld.gov.au/clinical-practice/guidelines-procedures/diseases-infection/immunisation/healthcare-workers/default.asp" TargetMode="External"/><Relationship Id="rId25" Type="http://schemas.openxmlformats.org/officeDocument/2006/relationships/hyperlink" Target="http://disease-control.health.qld.gov.au/" TargetMode="External"/><Relationship Id="rId2" Type="http://schemas.openxmlformats.org/officeDocument/2006/relationships/customXml" Target="../customXml/item2.xml"/><Relationship Id="rId16" Type="http://schemas.openxmlformats.org/officeDocument/2006/relationships/hyperlink" Target="https://www.health.qld.gov.au/publications/clinical-practice/guidelines-procedures/diseases-infection/governance/vaccination-of-healthcare-workers.pdf" TargetMode="External"/><Relationship Id="rId20" Type="http://schemas.openxmlformats.org/officeDocument/2006/relationships/hyperlink" Target="http://disease-control.health.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mmunisationhandbook.health.gov.au/" TargetMode="External"/><Relationship Id="rId5" Type="http://schemas.openxmlformats.org/officeDocument/2006/relationships/customXml" Target="../customXml/item5.xml"/><Relationship Id="rId15" Type="http://schemas.openxmlformats.org/officeDocument/2006/relationships/hyperlink" Target="https://www.ada.org.au/Dental-Professionals/Publications/Infection-Control/Guidelines-for-Infection-Control/1ADA_GuidelinesforInfectionControl_3" TargetMode="External"/><Relationship Id="rId23" Type="http://schemas.openxmlformats.org/officeDocument/2006/relationships/hyperlink" Target="http://policies.griffith.edu.au/search/pages/results.aspx?k=infection%20control%20procedure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mmunisationhandbook.health.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fetyandquality.gov.au/wp-content/uploads/2012/10/Standard3_Oct_2012_WEB.pdf" TargetMode="External"/><Relationship Id="rId22" Type="http://schemas.openxmlformats.org/officeDocument/2006/relationships/hyperlink" Target="https://www.griffith.edu.au/about-griffith/governance/plans-publications/griffith-university-privacy-plan"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sort xmlns="2f261a70-825f-4a37-b7b5-f6ecc2f4c5fa">80</docsort>
    <policyadvisor xmlns="2f261a70-825f-4a37-b7b5-f6ecc2f4c5fa">
      <UserInfo>
        <DisplayName>Analise O'Donovan</DisplayName>
        <AccountId>206</AccountId>
        <AccountType/>
      </UserInfo>
    </policyadvisor>
    <datedeclared xmlns="2f261a70-825f-4a37-b7b5-f6ecc2f4c5fa">2018-11-21T14:00:00+00:00</datedeclared>
    <extlink xmlns="2f261a70-825f-4a37-b7b5-f6ecc2f4c5fa">
      <Url xsi:nil="true"/>
      <Description xsi:nil="true"/>
    </extlink>
    <policysummary xmlns="2f261a70-825f-4a37-b7b5-f6ecc2f4c5fa">This policy outlines the Vaccine Preventable Diseases immunisation requirements for employees and external practitioners who are engaged to work in the Griffith Health Clinics.</policysummary>
    <TaxCatchAll xmlns="b40c662e-0380-4817-843d-2c7e10d40c39">
      <Value>49</Value>
      <Value>78</Value>
      <Value>519</Value>
      <Value>75</Value>
      <Value>559</Value>
      <Value>69</Value>
    </TaxCatchAll>
    <doccomments xmlns="2f261a70-825f-4a37-b7b5-f6ecc2f4c5fa" xsi:nil="true"/>
    <PublishOn xmlns="2f261a70-825f-4a37-b7b5-f6ecc2f4c5fa">2021-02-05T11:19:01+00:00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l92b321e1c6d4932b3b7fc50f551e57a>
    <PDFBlobURL xmlns="2f261a70-825f-4a37-b7b5-f6ecc2f4c5fa" xsi:nil="true"/>
    <PolicyCategoryPath xmlns="2f261a70-825f-4a37-b7b5-f6ecc2f4c5fa">Academic</PolicyCategoryPath>
    <PolicyCategory0 xmlns="2f261a70-825f-4a37-b7b5-f6ecc2f4c5fa">Risk</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76D07B77-0989-4ADE-9E25-DDEA97B77228}">
  <ds:schemaRefs>
    <ds:schemaRef ds:uri="http://schemas.microsoft.com/office/2006/customDocumentInformationPanel"/>
  </ds:schemaRefs>
</ds:datastoreItem>
</file>

<file path=customXml/itemProps2.xml><?xml version="1.0" encoding="utf-8"?>
<ds:datastoreItem xmlns:ds="http://schemas.openxmlformats.org/officeDocument/2006/customXml" ds:itemID="{EC0C926F-8A90-4B35-B5D1-650A420E863C}"/>
</file>

<file path=customXml/itemProps3.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4.xml><?xml version="1.0" encoding="utf-8"?>
<ds:datastoreItem xmlns:ds="http://schemas.openxmlformats.org/officeDocument/2006/customXml" ds:itemID="{A04B414D-8A35-4CCC-A807-43A89D057912}">
  <ds:schemaRefs>
    <ds:schemaRef ds:uri="http://schemas.openxmlformats.org/officeDocument/2006/bibliography"/>
  </ds:schemaRefs>
</ds:datastoreItem>
</file>

<file path=customXml/itemProps5.xml><?xml version="1.0" encoding="utf-8"?>
<ds:datastoreItem xmlns:ds="http://schemas.openxmlformats.org/officeDocument/2006/customXml" ds:itemID="{E8147483-1788-454C-A42F-3ACF7E53314F}">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b40c662e-0380-4817-843d-2c7e10d40c39"/>
    <ds:schemaRef ds:uri="http://purl.org/dc/terms/"/>
    <ds:schemaRef ds:uri="http://schemas.openxmlformats.org/package/2006/metadata/core-properties"/>
    <ds:schemaRef ds:uri="2f261a70-825f-4a37-b7b5-f6ecc2f4c5fa"/>
    <ds:schemaRef ds:uri="http://www.w3.org/XML/1998/namespac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 (2).dotx</Template>
  <TotalTime>1</TotalTime>
  <Pages>3</Pages>
  <Words>906</Words>
  <Characters>7137</Characters>
  <Application>Microsoft Office Word</Application>
  <DocSecurity>0</DocSecurity>
  <Lines>59</Lines>
  <Paragraphs>16</Paragraphs>
  <ScaleCrop>false</ScaleCrop>
  <Company>Griffith University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 Preventable Diseases Policy for Griffith Health Clinics</dc:title>
  <dc:creator>soeadmin</dc:creator>
  <cp:lastModifiedBy>John Montgomery</cp:lastModifiedBy>
  <cp:revision>6</cp:revision>
  <cp:lastPrinted>2012-06-26T00:57:00Z</cp:lastPrinted>
  <dcterms:created xsi:type="dcterms:W3CDTF">2023-10-24T22:22:00Z</dcterms:created>
  <dcterms:modified xsi:type="dcterms:W3CDTF">2023-11-30T03:16:00Z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791797dc-636b-4b31-8919-95d19d8f9baf</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49;#Health, Safety and Wellbeing|7c07c3a5-5ba7-48e6-bf74-79c8da50da4f</vt:lpwstr>
  </property>
  <property fmtid="{D5CDD505-2E9C-101B-9397-08002B2CF9AE}" pid="11" name="policycategory">
    <vt:lpwstr>69;#Policy|9279309a-7669-47c5-bf96-cc165d8b3ede</vt:lpwstr>
  </property>
  <property fmtid="{D5CDD505-2E9C-101B-9397-08002B2CF9AE}" pid="12" name="appauthority">
    <vt:lpwstr>559;#Provost|bee6e04a-89d5-44a2-a3ef-d33cdfe1b4af</vt:lpwstr>
  </property>
  <property fmtid="{D5CDD505-2E9C-101B-9397-08002B2CF9AE}" pid="13" name="glossaryterms">
    <vt:lpwstr/>
  </property>
  <property fmtid="{D5CDD505-2E9C-101B-9397-08002B2CF9AE}" pid="14" name="officearea">
    <vt:lpwstr/>
  </property>
  <property fmtid="{D5CDD505-2E9C-101B-9397-08002B2CF9AE}" pid="15" name="policyaudience">
    <vt:lpwstr>75;#Public|57bf670e-9d88-4715-a670-60ecbe232471</vt:lpwstr>
  </property>
  <property fmtid="{D5CDD505-2E9C-101B-9397-08002B2CF9AE}" pid="16" name="policyreview">
    <vt:lpwstr>78;#2023|895e1bd4-e176-48a8-a408-81b6fcc49086</vt:lpwstr>
  </property>
  <property fmtid="{D5CDD505-2E9C-101B-9397-08002B2CF9AE}" pid="17" name="doccomments">
    <vt:lpwstr/>
  </property>
  <property fmtid="{D5CDD505-2E9C-101B-9397-08002B2CF9AE}" pid="18" name="policy-category">
    <vt:lpwstr/>
  </property>
  <property fmtid="{D5CDD505-2E9C-101B-9397-08002B2CF9AE}" pid="19" name="policy_x002d_category">
    <vt:lpwstr/>
  </property>
  <property fmtid="{D5CDD505-2E9C-101B-9397-08002B2CF9AE}" pid="20" name="DelayPublish">
    <vt:lpwstr>No</vt:lpwstr>
  </property>
  <property fmtid="{D5CDD505-2E9C-101B-9397-08002B2CF9AE}" pid="21" name="Managed_Testing_Field">
    <vt:lpwstr/>
  </property>
  <property fmtid="{D5CDD505-2E9C-101B-9397-08002B2CF9AE}" pid="22" name="_SourceUrl">
    <vt:lpwstr/>
  </property>
  <property fmtid="{D5CDD505-2E9C-101B-9397-08002B2CF9AE}" pid="23" name="_SharedFileIndex">
    <vt:lpwstr/>
  </property>
</Properties>
</file>