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7CD9C7B2" w:rsidR="00933D23" w:rsidRPr="00577FA9" w:rsidRDefault="004D2159" w:rsidP="00644E20">
      <w:pPr>
        <w:pStyle w:val="ContentsHeading1"/>
        <w:pBdr>
          <w:bottom w:val="none" w:sz="0" w:space="0" w:color="auto"/>
        </w:pBdr>
        <w:jc w:val="both"/>
        <w:rPr>
          <w:rFonts w:ascii="Arial" w:hAnsi="Arial" w:cs="Arial"/>
          <w:sz w:val="48"/>
          <w:szCs w:val="48"/>
        </w:rPr>
      </w:pPr>
      <w:r>
        <w:rPr>
          <w:rFonts w:ascii="Arial" w:hAnsi="Arial" w:cs="Arial"/>
          <w:sz w:val="48"/>
          <w:szCs w:val="48"/>
        </w:rPr>
        <w:t>University Reviews</w:t>
      </w:r>
    </w:p>
    <w:p w14:paraId="2287C7E9" w14:textId="77777777" w:rsidR="00B67268" w:rsidRDefault="00B67268" w:rsidP="00644E20">
      <w:pPr>
        <w:spacing w:before="120" w:after="120"/>
        <w:jc w:val="both"/>
        <w:rPr>
          <w:b/>
          <w:bCs/>
          <w:color w:val="000000" w:themeColor="text1"/>
          <w:szCs w:val="20"/>
          <w:highlight w:val="yellow"/>
        </w:rPr>
        <w:sectPr w:rsidR="00B67268" w:rsidSect="00D87683">
          <w:headerReference w:type="default" r:id="rId11"/>
          <w:footerReference w:type="default" r:id="rId12"/>
          <w:type w:val="continuous"/>
          <w:pgSz w:w="11900" w:h="16840" w:code="9"/>
          <w:pgMar w:top="1985" w:right="680" w:bottom="851" w:left="680" w:header="680" w:footer="454" w:gutter="0"/>
          <w:cols w:space="454"/>
          <w:docGrid w:linePitch="360"/>
        </w:sectPr>
      </w:pPr>
    </w:p>
    <w:p w14:paraId="40CC1766" w14:textId="47CD5B77" w:rsidR="007C744D" w:rsidRPr="00E86FBC" w:rsidRDefault="005C3DBA" w:rsidP="00644E20">
      <w:pPr>
        <w:spacing w:after="0"/>
        <w:jc w:val="both"/>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2C3AAE1C" w:rsidR="005C3DBA" w:rsidRPr="00E86FBC" w:rsidRDefault="005C3DBA" w:rsidP="00644E20">
      <w:pPr>
        <w:spacing w:after="0"/>
        <w:jc w:val="both"/>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A66105B" w:rsidR="005C3DBA" w:rsidRDefault="005C3DBA" w:rsidP="00644E20">
      <w:pPr>
        <w:spacing w:after="0"/>
        <w:jc w:val="both"/>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7C44F0DC" w:rsidR="00BF01F5" w:rsidRPr="00BF01F5" w:rsidRDefault="00BF01F5" w:rsidP="00644E20">
      <w:pPr>
        <w:spacing w:after="0"/>
        <w:jc w:val="both"/>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 xml:space="preserve">4.0 Roles, </w:t>
      </w:r>
      <w:proofErr w:type="gramStart"/>
      <w:r w:rsidRPr="00BF01F5">
        <w:rPr>
          <w:rFonts w:ascii="Copernicus Medium" w:hAnsi="Copernicus Medium"/>
          <w:b/>
          <w:color w:val="E30918"/>
          <w:sz w:val="24"/>
          <w:szCs w:val="24"/>
        </w:rPr>
        <w:t>responsibilities</w:t>
      </w:r>
      <w:proofErr w:type="gramEnd"/>
      <w:r w:rsidRPr="00BF01F5">
        <w:rPr>
          <w:rFonts w:ascii="Copernicus Medium" w:hAnsi="Copernicus Medium"/>
          <w:b/>
          <w:color w:val="E30918"/>
          <w:sz w:val="24"/>
          <w:szCs w:val="24"/>
        </w:rPr>
        <w:t xml:space="preserve">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00644E20">
      <w:pPr>
        <w:spacing w:after="0"/>
        <w:jc w:val="both"/>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00644E20">
      <w:pPr>
        <w:pStyle w:val="Heading2"/>
        <w:jc w:val="both"/>
      </w:pPr>
      <w:bookmarkStart w:id="0" w:name="_Ref20321537"/>
      <w:r w:rsidRPr="00902125">
        <w:t xml:space="preserve">1.0 </w:t>
      </w:r>
      <w:r w:rsidR="00BC55CF" w:rsidRPr="00902125">
        <w:t>Purpose</w:t>
      </w:r>
      <w:bookmarkEnd w:id="0"/>
    </w:p>
    <w:p w14:paraId="77A6E5E5" w14:textId="77777777" w:rsidR="004D2159" w:rsidRDefault="004D2159" w:rsidP="00644E20">
      <w:pPr>
        <w:pStyle w:val="Heading2"/>
        <w:jc w:val="both"/>
        <w:rPr>
          <w:rFonts w:ascii="Arial" w:eastAsiaTheme="minorHAnsi" w:hAnsi="Arial" w:cs="Arial"/>
          <w:color w:val="auto"/>
          <w:sz w:val="20"/>
          <w:szCs w:val="22"/>
          <w:shd w:val="clear" w:color="auto" w:fill="FFFFFF"/>
        </w:rPr>
      </w:pPr>
      <w:bookmarkStart w:id="1" w:name="_Ref20318879"/>
      <w:r w:rsidRPr="004D2159">
        <w:rPr>
          <w:rFonts w:ascii="Arial" w:eastAsiaTheme="minorHAnsi" w:hAnsi="Arial" w:cs="Arial"/>
          <w:color w:val="auto"/>
          <w:sz w:val="20"/>
          <w:szCs w:val="22"/>
          <w:shd w:val="clear" w:color="auto" w:fill="FFFFFF"/>
        </w:rPr>
        <w:t xml:space="preserve">To establish the principles that guide the University’s regular, seven-yearly cycle of systematic, independent reviews across its academic areas and its thematic reviews. </w:t>
      </w:r>
    </w:p>
    <w:p w14:paraId="65297E40" w14:textId="55A36001" w:rsidR="00F97A5A" w:rsidRPr="00902125" w:rsidRDefault="00902125" w:rsidP="00644E20">
      <w:pPr>
        <w:pStyle w:val="Heading2"/>
        <w:jc w:val="both"/>
      </w:pPr>
      <w:r w:rsidRPr="00902125">
        <w:t xml:space="preserve">2.0 </w:t>
      </w:r>
      <w:r w:rsidR="00F97A5A" w:rsidRPr="00902125">
        <w:t>Scope</w:t>
      </w:r>
      <w:bookmarkEnd w:id="1"/>
    </w:p>
    <w:p w14:paraId="0314698C" w14:textId="77777777" w:rsidR="004D2159" w:rsidRDefault="004D2159" w:rsidP="00644E20">
      <w:pPr>
        <w:jc w:val="both"/>
        <w:rPr>
          <w:rFonts w:ascii="Arial" w:hAnsi="Arial" w:cs="Arial"/>
        </w:rPr>
      </w:pPr>
      <w:bookmarkStart w:id="2" w:name="_Ref20318910"/>
      <w:r w:rsidRPr="00FD029B">
        <w:rPr>
          <w:rFonts w:ascii="Arial" w:hAnsi="Arial" w:cs="Arial"/>
        </w:rPr>
        <w:t xml:space="preserve">This policy applies to all academic </w:t>
      </w:r>
      <w:r>
        <w:rPr>
          <w:rFonts w:ascii="Arial" w:hAnsi="Arial" w:cs="Arial"/>
        </w:rPr>
        <w:t xml:space="preserve">areas </w:t>
      </w:r>
      <w:r w:rsidRPr="00FD029B">
        <w:rPr>
          <w:rFonts w:ascii="Arial" w:hAnsi="Arial" w:cs="Arial"/>
        </w:rPr>
        <w:t>and administrative elements within Griffith University.  Staff and students employed by</w:t>
      </w:r>
      <w:r>
        <w:rPr>
          <w:rFonts w:ascii="Arial" w:hAnsi="Arial" w:cs="Arial"/>
        </w:rPr>
        <w:t>,</w:t>
      </w:r>
      <w:r w:rsidRPr="00FD029B">
        <w:rPr>
          <w:rFonts w:ascii="Arial" w:hAnsi="Arial" w:cs="Arial"/>
        </w:rPr>
        <w:t xml:space="preserve"> or studying at</w:t>
      </w:r>
      <w:r>
        <w:rPr>
          <w:rFonts w:ascii="Arial" w:hAnsi="Arial" w:cs="Arial"/>
        </w:rPr>
        <w:t>,</w:t>
      </w:r>
      <w:r w:rsidRPr="00FD029B">
        <w:rPr>
          <w:rFonts w:ascii="Arial" w:hAnsi="Arial" w:cs="Arial"/>
        </w:rPr>
        <w:t xml:space="preserve"> Griffith </w:t>
      </w:r>
      <w:proofErr w:type="gramStart"/>
      <w:r w:rsidRPr="00FD029B">
        <w:rPr>
          <w:rFonts w:ascii="Arial" w:hAnsi="Arial" w:cs="Arial"/>
        </w:rPr>
        <w:t>are</w:t>
      </w:r>
      <w:proofErr w:type="gramEnd"/>
      <w:r w:rsidRPr="00FD029B">
        <w:rPr>
          <w:rFonts w:ascii="Arial" w:hAnsi="Arial" w:cs="Arial"/>
        </w:rPr>
        <w:t xml:space="preserve"> subject to this </w:t>
      </w:r>
      <w:r>
        <w:rPr>
          <w:rFonts w:ascii="Arial" w:hAnsi="Arial" w:cs="Arial"/>
        </w:rPr>
        <w:t>P</w:t>
      </w:r>
      <w:r w:rsidRPr="00FD029B">
        <w:rPr>
          <w:rFonts w:ascii="Arial" w:hAnsi="Arial" w:cs="Arial"/>
        </w:rPr>
        <w:t>olicy.</w:t>
      </w:r>
    </w:p>
    <w:p w14:paraId="16734CDB" w14:textId="5872CFCA" w:rsidR="00C91165" w:rsidRPr="00902125" w:rsidRDefault="00902125" w:rsidP="00644E20">
      <w:pPr>
        <w:pStyle w:val="Heading2"/>
        <w:jc w:val="both"/>
      </w:pPr>
      <w:r w:rsidRPr="00902125">
        <w:t xml:space="preserve">3.0 </w:t>
      </w:r>
      <w:r w:rsidR="00C91165" w:rsidRPr="00902125">
        <w:t xml:space="preserve">Policy </w:t>
      </w:r>
      <w:r w:rsidR="00C655EF" w:rsidRPr="00902125">
        <w:t>s</w:t>
      </w:r>
      <w:r w:rsidR="00C91165" w:rsidRPr="00902125">
        <w:t>tatement</w:t>
      </w:r>
      <w:bookmarkEnd w:id="2"/>
    </w:p>
    <w:p w14:paraId="3D604C4E" w14:textId="77777777" w:rsidR="004D2159" w:rsidRDefault="004D2159" w:rsidP="00644E20">
      <w:pPr>
        <w:jc w:val="both"/>
        <w:rPr>
          <w:rFonts w:ascii="Arial" w:hAnsi="Arial" w:cs="Arial"/>
        </w:rPr>
      </w:pPr>
      <w:r w:rsidRPr="00FD029B">
        <w:rPr>
          <w:rFonts w:ascii="Arial" w:hAnsi="Arial" w:cs="Arial"/>
        </w:rPr>
        <w:t xml:space="preserve">Through their emphasis on continuous improvement and accountability, </w:t>
      </w:r>
      <w:r>
        <w:rPr>
          <w:rFonts w:ascii="Arial" w:hAnsi="Arial" w:cs="Arial"/>
          <w:szCs w:val="20"/>
        </w:rPr>
        <w:t>reviews provide an essential foundation that supports the University’s institutional commitment to, and compliance with, its planning and quality assurance frameworks.</w:t>
      </w:r>
    </w:p>
    <w:p w14:paraId="325C2979" w14:textId="77777777" w:rsidR="004D2159" w:rsidRPr="00FD029B" w:rsidRDefault="004D2159" w:rsidP="00644E20">
      <w:pPr>
        <w:jc w:val="both"/>
        <w:rPr>
          <w:rFonts w:ascii="Arial" w:hAnsi="Arial" w:cs="Arial"/>
        </w:rPr>
      </w:pPr>
      <w:r w:rsidRPr="00FD029B">
        <w:rPr>
          <w:rFonts w:ascii="Arial" w:hAnsi="Arial" w:cs="Arial"/>
        </w:rPr>
        <w:t>The University is committed to the systematic review and evaluation of all its activities to achieve performance improvements through a process of self-review, benchmarking, critical reflection, forward planning, strategic positioning, internal/external peer review, continuous improvement, and accountability.</w:t>
      </w:r>
    </w:p>
    <w:p w14:paraId="14AFD855" w14:textId="77777777" w:rsidR="004D2159" w:rsidRDefault="004D2159" w:rsidP="00644E20">
      <w:pPr>
        <w:jc w:val="both"/>
        <w:rPr>
          <w:rFonts w:ascii="Arial" w:hAnsi="Arial" w:cs="Arial"/>
        </w:rPr>
      </w:pPr>
      <w:r w:rsidRPr="00FD029B">
        <w:rPr>
          <w:rFonts w:ascii="Arial" w:hAnsi="Arial" w:cs="Arial"/>
        </w:rPr>
        <w:t xml:space="preserve">Reviews </w:t>
      </w:r>
      <w:r>
        <w:rPr>
          <w:rFonts w:ascii="Arial" w:hAnsi="Arial" w:cs="Arial"/>
        </w:rPr>
        <w:t>are</w:t>
      </w:r>
      <w:r w:rsidRPr="00FD029B">
        <w:rPr>
          <w:rFonts w:ascii="Arial" w:hAnsi="Arial" w:cs="Arial"/>
        </w:rPr>
        <w:t xml:space="preserve"> major markers of change and renewal within the University, capable of responding to, and re-orienting, an </w:t>
      </w:r>
      <w:r>
        <w:rPr>
          <w:rFonts w:ascii="Arial" w:hAnsi="Arial" w:cs="Arial"/>
        </w:rPr>
        <w:t>area</w:t>
      </w:r>
      <w:r w:rsidRPr="00FD029B">
        <w:rPr>
          <w:rFonts w:ascii="Arial" w:hAnsi="Arial" w:cs="Arial"/>
        </w:rPr>
        <w:t xml:space="preserve"> to meet institutional goals and externally driven imperatives.</w:t>
      </w:r>
    </w:p>
    <w:p w14:paraId="390AF265" w14:textId="77777777" w:rsidR="004D2159" w:rsidRDefault="004D2159" w:rsidP="00644E20">
      <w:pPr>
        <w:jc w:val="both"/>
        <w:rPr>
          <w:rFonts w:ascii="Arial" w:hAnsi="Arial" w:cs="Arial"/>
        </w:rPr>
      </w:pPr>
      <w:r w:rsidRPr="00FD029B">
        <w:rPr>
          <w:rFonts w:ascii="Arial" w:hAnsi="Arial" w:cs="Arial"/>
        </w:rPr>
        <w:t xml:space="preserve">Reviews are an opportunity for an honest and authentic period of reflection about </w:t>
      </w:r>
      <w:r>
        <w:rPr>
          <w:rFonts w:ascii="Arial" w:hAnsi="Arial" w:cs="Arial"/>
        </w:rPr>
        <w:t>an area</w:t>
      </w:r>
      <w:r w:rsidRPr="00FD029B">
        <w:rPr>
          <w:rFonts w:ascii="Arial" w:hAnsi="Arial" w:cs="Arial"/>
        </w:rPr>
        <w:t xml:space="preserve">’s performance and </w:t>
      </w:r>
      <w:proofErr w:type="gramStart"/>
      <w:r w:rsidRPr="00FD029B">
        <w:rPr>
          <w:rFonts w:ascii="Arial" w:hAnsi="Arial" w:cs="Arial"/>
        </w:rPr>
        <w:t>future plans</w:t>
      </w:r>
      <w:proofErr w:type="gramEnd"/>
      <w:r w:rsidRPr="00FD029B">
        <w:rPr>
          <w:rFonts w:ascii="Arial" w:hAnsi="Arial" w:cs="Arial"/>
        </w:rPr>
        <w:t xml:space="preserve">, and subsequent actions arising from the </w:t>
      </w:r>
      <w:r>
        <w:rPr>
          <w:rFonts w:ascii="Arial" w:hAnsi="Arial" w:cs="Arial"/>
        </w:rPr>
        <w:t xml:space="preserve">implementation of </w:t>
      </w:r>
      <w:r w:rsidRPr="00FD029B">
        <w:rPr>
          <w:rFonts w:ascii="Arial" w:hAnsi="Arial" w:cs="Arial"/>
        </w:rPr>
        <w:t>review recommendations</w:t>
      </w:r>
      <w:r>
        <w:rPr>
          <w:rFonts w:ascii="Arial" w:hAnsi="Arial" w:cs="Arial"/>
        </w:rPr>
        <w:t>.</w:t>
      </w:r>
    </w:p>
    <w:p w14:paraId="78EBE171" w14:textId="426D6064" w:rsidR="007E7482" w:rsidRPr="00902125" w:rsidRDefault="00902125" w:rsidP="00644E20">
      <w:pPr>
        <w:pStyle w:val="Heading3"/>
        <w:jc w:val="both"/>
      </w:pPr>
      <w:r w:rsidRPr="00902125">
        <w:t xml:space="preserve">3.1 </w:t>
      </w:r>
      <w:r w:rsidR="004D2159">
        <w:t>Principles of organisational reviews at Griffith</w:t>
      </w:r>
    </w:p>
    <w:p w14:paraId="42E87CEC" w14:textId="77777777" w:rsidR="004D2159" w:rsidRDefault="004D2159" w:rsidP="00644E20">
      <w:pPr>
        <w:jc w:val="both"/>
        <w:rPr>
          <w:rFonts w:ascii="Arial" w:hAnsi="Arial" w:cs="Arial"/>
        </w:rPr>
      </w:pPr>
      <w:r>
        <w:rPr>
          <w:rFonts w:ascii="Arial" w:hAnsi="Arial" w:cs="Arial"/>
        </w:rPr>
        <w:t>Reviews at Griffith should be guided by t</w:t>
      </w:r>
      <w:r w:rsidRPr="00FD029B">
        <w:rPr>
          <w:rFonts w:ascii="Arial" w:hAnsi="Arial" w:cs="Arial"/>
        </w:rPr>
        <w:t>he following:</w:t>
      </w:r>
    </w:p>
    <w:p w14:paraId="6C0D3FE6" w14:textId="77777777" w:rsidR="004D2159" w:rsidRPr="000C598A" w:rsidRDefault="004D2159" w:rsidP="00644E20">
      <w:pPr>
        <w:pStyle w:val="BulletPoints"/>
        <w:spacing w:before="80" w:after="80"/>
        <w:ind w:left="714" w:hanging="357"/>
        <w:jc w:val="both"/>
        <w:rPr>
          <w:rFonts w:ascii="Arial" w:hAnsi="Arial" w:cs="Arial"/>
        </w:rPr>
      </w:pPr>
      <w:r w:rsidRPr="000C598A">
        <w:rPr>
          <w:rFonts w:ascii="Arial" w:hAnsi="Arial" w:cs="Arial"/>
        </w:rPr>
        <w:t xml:space="preserve">ensure the Higher Education Standards Framework (Threshold Standards) 2021, as specified under the Tertiary Education Quality and Standards Agency Act 2011, is adhered </w:t>
      </w:r>
      <w:proofErr w:type="gramStart"/>
      <w:r w:rsidRPr="000C598A">
        <w:rPr>
          <w:rFonts w:ascii="Arial" w:hAnsi="Arial" w:cs="Arial"/>
        </w:rPr>
        <w:t>to;</w:t>
      </w:r>
      <w:proofErr w:type="gramEnd"/>
    </w:p>
    <w:p w14:paraId="53595669" w14:textId="77777777" w:rsidR="004D2159" w:rsidRPr="000C598A" w:rsidRDefault="004D2159" w:rsidP="00644E20">
      <w:pPr>
        <w:pStyle w:val="BulletPoints"/>
        <w:spacing w:before="80" w:after="80"/>
        <w:ind w:left="714" w:hanging="357"/>
        <w:jc w:val="both"/>
        <w:rPr>
          <w:rFonts w:ascii="Arial" w:hAnsi="Arial" w:cs="Arial"/>
        </w:rPr>
      </w:pPr>
      <w:r w:rsidRPr="000C598A">
        <w:rPr>
          <w:rFonts w:ascii="Arial" w:hAnsi="Arial" w:cs="Arial"/>
        </w:rPr>
        <w:t xml:space="preserve">ensure the </w:t>
      </w:r>
      <w:r>
        <w:rPr>
          <w:rFonts w:ascii="Arial" w:hAnsi="Arial" w:cs="Arial"/>
        </w:rPr>
        <w:t>area</w:t>
      </w:r>
      <w:r w:rsidRPr="000C598A">
        <w:rPr>
          <w:rFonts w:ascii="Arial" w:hAnsi="Arial" w:cs="Arial"/>
        </w:rPr>
        <w:t xml:space="preserve">’s activities contribute effectively to </w:t>
      </w:r>
      <w:r>
        <w:rPr>
          <w:rFonts w:ascii="Arial" w:hAnsi="Arial" w:cs="Arial"/>
        </w:rPr>
        <w:t xml:space="preserve">the </w:t>
      </w:r>
      <w:r w:rsidRPr="000C598A">
        <w:rPr>
          <w:rFonts w:ascii="Arial" w:hAnsi="Arial" w:cs="Arial"/>
        </w:rPr>
        <w:t xml:space="preserve">realisation of the University’s values and achievement of the goals outlined in the Strategic Plan 2020-2025 – </w:t>
      </w:r>
      <w:r w:rsidRPr="000B72ED">
        <w:rPr>
          <w:rFonts w:ascii="Arial" w:hAnsi="Arial" w:cs="Arial"/>
          <w:i/>
          <w:iCs/>
        </w:rPr>
        <w:t xml:space="preserve">Creating a future for </w:t>
      </w:r>
      <w:proofErr w:type="gramStart"/>
      <w:r w:rsidRPr="000B72ED">
        <w:rPr>
          <w:rFonts w:ascii="Arial" w:hAnsi="Arial" w:cs="Arial"/>
          <w:i/>
          <w:iCs/>
        </w:rPr>
        <w:t>all</w:t>
      </w:r>
      <w:r w:rsidRPr="000C598A">
        <w:rPr>
          <w:rFonts w:ascii="Arial" w:hAnsi="Arial" w:cs="Arial"/>
        </w:rPr>
        <w:t>;</w:t>
      </w:r>
      <w:proofErr w:type="gramEnd"/>
    </w:p>
    <w:p w14:paraId="2554DDBA" w14:textId="77777777" w:rsidR="004D2159" w:rsidRPr="000C598A" w:rsidRDefault="004D2159" w:rsidP="00644E20">
      <w:pPr>
        <w:pStyle w:val="BulletPoints"/>
        <w:spacing w:before="80" w:after="80"/>
        <w:ind w:left="714" w:hanging="357"/>
        <w:jc w:val="both"/>
        <w:rPr>
          <w:rFonts w:ascii="Arial" w:hAnsi="Arial" w:cs="Arial"/>
        </w:rPr>
      </w:pPr>
      <w:r w:rsidRPr="000C598A">
        <w:rPr>
          <w:rFonts w:ascii="Arial" w:hAnsi="Arial" w:cs="Arial"/>
        </w:rPr>
        <w:t>recognise areas of excellence – research, education, and</w:t>
      </w:r>
      <w:r>
        <w:rPr>
          <w:rFonts w:ascii="Arial" w:hAnsi="Arial" w:cs="Arial"/>
        </w:rPr>
        <w:t xml:space="preserve"> industry and external</w:t>
      </w:r>
      <w:r w:rsidRPr="000C598A">
        <w:rPr>
          <w:rFonts w:ascii="Arial" w:hAnsi="Arial" w:cs="Arial"/>
        </w:rPr>
        <w:t xml:space="preserve"> engagement; and</w:t>
      </w:r>
    </w:p>
    <w:p w14:paraId="43CAEB68" w14:textId="77777777" w:rsidR="004D2159" w:rsidRPr="008750FF" w:rsidRDefault="004D2159" w:rsidP="00644E20">
      <w:pPr>
        <w:pStyle w:val="BulletPoints"/>
        <w:spacing w:before="80" w:after="80"/>
        <w:ind w:left="714" w:hanging="357"/>
        <w:jc w:val="both"/>
        <w:rPr>
          <w:rFonts w:ascii="Arial" w:hAnsi="Arial" w:cs="Arial"/>
        </w:rPr>
      </w:pPr>
      <w:r w:rsidRPr="008750FF">
        <w:rPr>
          <w:rFonts w:ascii="Arial" w:hAnsi="Arial" w:cs="Arial"/>
        </w:rPr>
        <w:t>identify opportunities and make recommendations on the proposed plans of the area under review.</w:t>
      </w:r>
    </w:p>
    <w:p w14:paraId="5AB5CF85" w14:textId="77777777" w:rsidR="004D2159" w:rsidRPr="000C598A" w:rsidRDefault="004D2159" w:rsidP="00644E20">
      <w:pPr>
        <w:pStyle w:val="BulletPoints"/>
        <w:numPr>
          <w:ilvl w:val="0"/>
          <w:numId w:val="0"/>
        </w:numPr>
        <w:spacing w:after="120"/>
        <w:jc w:val="both"/>
        <w:rPr>
          <w:rFonts w:ascii="Arial" w:hAnsi="Arial" w:cs="Arial"/>
        </w:rPr>
      </w:pPr>
      <w:r>
        <w:rPr>
          <w:rFonts w:ascii="Arial" w:hAnsi="Arial" w:cs="Arial"/>
        </w:rPr>
        <w:t>Reviews will be conducted according to the approved Terms of Reference and undertaken by a Review Committee comprising an independent panel of experts appointed by the Vice Chancellor.</w:t>
      </w:r>
    </w:p>
    <w:p w14:paraId="06F961CF" w14:textId="766D6016" w:rsidR="00676E5C" w:rsidRPr="00644E20" w:rsidRDefault="00902125" w:rsidP="00644E20">
      <w:pPr>
        <w:pStyle w:val="Heading2"/>
        <w:jc w:val="both"/>
      </w:pPr>
      <w:bookmarkStart w:id="3" w:name="_Ref20320710"/>
      <w:bookmarkStart w:id="4" w:name="_Ref21613385"/>
      <w:r w:rsidRPr="00902125">
        <w:lastRenderedPageBreak/>
        <w:t xml:space="preserve">4.0 </w:t>
      </w:r>
      <w:r w:rsidR="00DA348D" w:rsidRPr="00902125">
        <w:t>Roles</w:t>
      </w:r>
      <w:r w:rsidR="00AB5659">
        <w:t>,</w:t>
      </w:r>
      <w:r w:rsidR="00DA348D" w:rsidRPr="00902125">
        <w:t xml:space="preserve"> </w:t>
      </w:r>
      <w:proofErr w:type="gramStart"/>
      <w:r w:rsidR="00DA348D" w:rsidRPr="00902125">
        <w:t>responsibilities</w:t>
      </w:r>
      <w:bookmarkEnd w:id="3"/>
      <w:proofErr w:type="gramEnd"/>
      <w:r w:rsidR="00AB5659">
        <w:t xml:space="preserve"> and delegations</w:t>
      </w:r>
      <w:bookmarkEnd w:id="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23"/>
      </w:tblGrid>
      <w:tr w:rsidR="004D0EE6" w:rsidRPr="00BA6219" w14:paraId="0D9BCA1F" w14:textId="77777777" w:rsidTr="004D0EE6">
        <w:trPr>
          <w:trHeight w:val="454"/>
        </w:trPr>
        <w:tc>
          <w:tcPr>
            <w:tcW w:w="1438" w:type="pct"/>
            <w:tcBorders>
              <w:bottom w:val="single" w:sz="8" w:space="0" w:color="E30918"/>
            </w:tcBorders>
            <w:shd w:val="clear" w:color="auto" w:fill="auto"/>
          </w:tcPr>
          <w:p w14:paraId="2F7490A9" w14:textId="4D15312E" w:rsidR="004D0EE6" w:rsidRPr="00FC5552" w:rsidRDefault="004D0EE6" w:rsidP="00644E20">
            <w:pPr>
              <w:spacing w:before="120" w:after="120"/>
              <w:jc w:val="both"/>
              <w:rPr>
                <w:rFonts w:ascii="Arial" w:hAnsi="Arial" w:cs="Arial"/>
                <w:b/>
                <w:bCs/>
                <w:color w:val="000000" w:themeColor="text1"/>
                <w:sz w:val="24"/>
                <w:szCs w:val="24"/>
              </w:rPr>
            </w:pPr>
            <w:r>
              <w:rPr>
                <w:rFonts w:ascii="Arial" w:hAnsi="Arial" w:cs="Arial"/>
                <w:b/>
                <w:bCs/>
                <w:color w:val="E30918"/>
                <w:sz w:val="24"/>
                <w:szCs w:val="24"/>
              </w:rPr>
              <w:t xml:space="preserve">ROLE </w:t>
            </w:r>
          </w:p>
        </w:tc>
        <w:tc>
          <w:tcPr>
            <w:tcW w:w="3562" w:type="pct"/>
            <w:tcBorders>
              <w:bottom w:val="single" w:sz="8" w:space="0" w:color="E30918"/>
            </w:tcBorders>
            <w:shd w:val="clear" w:color="auto" w:fill="auto"/>
          </w:tcPr>
          <w:p w14:paraId="61802F19" w14:textId="3C95FC21" w:rsidR="004D0EE6" w:rsidRPr="00BA6219" w:rsidRDefault="004D0EE6" w:rsidP="00644E20">
            <w:pPr>
              <w:spacing w:before="120" w:after="120"/>
              <w:jc w:val="both"/>
              <w:rPr>
                <w:rFonts w:cs="Arial"/>
                <w:color w:val="000000" w:themeColor="text1"/>
                <w:szCs w:val="20"/>
              </w:rPr>
            </w:pPr>
            <w:r>
              <w:rPr>
                <w:rFonts w:ascii="Arial" w:hAnsi="Arial" w:cs="Arial"/>
                <w:b/>
                <w:bCs/>
                <w:color w:val="E30918"/>
                <w:sz w:val="24"/>
                <w:szCs w:val="24"/>
              </w:rPr>
              <w:t>RESPONSIBILITY</w:t>
            </w:r>
          </w:p>
        </w:tc>
      </w:tr>
      <w:tr w:rsidR="004D2159" w14:paraId="614AA826" w14:textId="77777777" w:rsidTr="004D0EE6">
        <w:tc>
          <w:tcPr>
            <w:tcW w:w="1438" w:type="pct"/>
            <w:tcBorders>
              <w:top w:val="single" w:sz="8" w:space="0" w:color="E30918"/>
            </w:tcBorders>
            <w:shd w:val="clear" w:color="auto" w:fill="E6E7E8"/>
          </w:tcPr>
          <w:p w14:paraId="67A8C87A" w14:textId="77777777" w:rsidR="004D2159" w:rsidRDefault="004D2159" w:rsidP="001F6344">
            <w:pPr>
              <w:spacing w:before="120" w:after="120"/>
              <w:jc w:val="both"/>
              <w:rPr>
                <w:rFonts w:ascii="Arial" w:hAnsi="Arial" w:cs="Arial"/>
                <w:szCs w:val="20"/>
              </w:rPr>
            </w:pPr>
            <w:r w:rsidRPr="003604BE">
              <w:rPr>
                <w:rFonts w:ascii="Arial" w:hAnsi="Arial" w:cs="Arial"/>
                <w:szCs w:val="20"/>
              </w:rPr>
              <w:t>Vice Chancellor</w:t>
            </w:r>
          </w:p>
          <w:p w14:paraId="511FCBE2" w14:textId="77777777" w:rsidR="004D2159" w:rsidRDefault="004D2159" w:rsidP="001F6344">
            <w:pPr>
              <w:spacing w:before="120" w:after="120"/>
              <w:jc w:val="both"/>
              <w:rPr>
                <w:rFonts w:ascii="Arial" w:hAnsi="Arial" w:cs="Arial"/>
                <w:szCs w:val="20"/>
              </w:rPr>
            </w:pPr>
          </w:p>
          <w:p w14:paraId="4BDD7597" w14:textId="77777777" w:rsidR="004D2159" w:rsidRDefault="004D2159" w:rsidP="001F6344">
            <w:pPr>
              <w:spacing w:before="120" w:after="120"/>
              <w:jc w:val="both"/>
              <w:rPr>
                <w:rFonts w:ascii="Arial" w:hAnsi="Arial" w:cs="Arial"/>
                <w:szCs w:val="20"/>
              </w:rPr>
            </w:pPr>
          </w:p>
          <w:p w14:paraId="2CA5BA4A" w14:textId="26215439" w:rsidR="004D2159" w:rsidRPr="000209B9" w:rsidRDefault="004D2159" w:rsidP="001F6344">
            <w:pPr>
              <w:spacing w:before="120" w:after="120"/>
              <w:jc w:val="both"/>
              <w:rPr>
                <w:rFonts w:ascii="Arial" w:hAnsi="Arial" w:cs="Arial"/>
                <w:szCs w:val="20"/>
              </w:rPr>
            </w:pPr>
          </w:p>
        </w:tc>
        <w:tc>
          <w:tcPr>
            <w:tcW w:w="3562" w:type="pct"/>
            <w:tcBorders>
              <w:top w:val="single" w:sz="8" w:space="0" w:color="E30918"/>
            </w:tcBorders>
            <w:shd w:val="clear" w:color="auto" w:fill="E6E7E8"/>
          </w:tcPr>
          <w:p w14:paraId="2D2E38ED" w14:textId="19626B11" w:rsidR="004D2159" w:rsidRPr="000209B9" w:rsidRDefault="004D2159" w:rsidP="001F6344">
            <w:pPr>
              <w:spacing w:before="120" w:after="120"/>
              <w:jc w:val="both"/>
              <w:rPr>
                <w:rFonts w:ascii="Arial" w:hAnsi="Arial" w:cs="Arial"/>
                <w:szCs w:val="20"/>
              </w:rPr>
            </w:pPr>
            <w:r w:rsidRPr="00E4425A">
              <w:rPr>
                <w:rFonts w:ascii="Arial" w:hAnsi="Arial" w:cs="Arial"/>
                <w:szCs w:val="20"/>
              </w:rPr>
              <w:t xml:space="preserve">Through the </w:t>
            </w:r>
            <w:r>
              <w:rPr>
                <w:rFonts w:ascii="Arial" w:hAnsi="Arial" w:cs="Arial"/>
                <w:szCs w:val="20"/>
              </w:rPr>
              <w:t>Provost</w:t>
            </w:r>
            <w:r w:rsidRPr="00E4425A">
              <w:rPr>
                <w:rFonts w:ascii="Arial" w:hAnsi="Arial" w:cs="Arial"/>
                <w:szCs w:val="20"/>
              </w:rPr>
              <w:t xml:space="preserve">, </w:t>
            </w:r>
            <w:r>
              <w:rPr>
                <w:rFonts w:ascii="Arial" w:hAnsi="Arial" w:cs="Arial"/>
                <w:szCs w:val="20"/>
              </w:rPr>
              <w:t xml:space="preserve">the Vice Chancellor </w:t>
            </w:r>
            <w:r w:rsidRPr="00E4425A">
              <w:rPr>
                <w:rFonts w:ascii="Arial" w:hAnsi="Arial" w:cs="Arial"/>
                <w:szCs w:val="20"/>
              </w:rPr>
              <w:t>discharges the University’s responsibility for the overall implementation of reviews, including determining the schedule o</w:t>
            </w:r>
            <w:r>
              <w:rPr>
                <w:rFonts w:ascii="Arial" w:hAnsi="Arial" w:cs="Arial"/>
                <w:szCs w:val="20"/>
              </w:rPr>
              <w:t>f</w:t>
            </w:r>
            <w:r w:rsidRPr="00E4425A">
              <w:rPr>
                <w:rFonts w:ascii="Arial" w:hAnsi="Arial" w:cs="Arial"/>
                <w:szCs w:val="20"/>
              </w:rPr>
              <w:t xml:space="preserve"> the </w:t>
            </w:r>
            <w:r>
              <w:rPr>
                <w:rFonts w:ascii="Arial" w:hAnsi="Arial" w:cs="Arial"/>
                <w:szCs w:val="20"/>
              </w:rPr>
              <w:t>seven</w:t>
            </w:r>
            <w:r w:rsidRPr="00E4425A">
              <w:rPr>
                <w:rFonts w:ascii="Arial" w:hAnsi="Arial" w:cs="Arial"/>
                <w:szCs w:val="20"/>
              </w:rPr>
              <w:t>-year cycle of reviews.</w:t>
            </w:r>
            <w:r>
              <w:rPr>
                <w:rFonts w:ascii="Arial" w:hAnsi="Arial" w:cs="Arial"/>
                <w:szCs w:val="20"/>
              </w:rPr>
              <w:t xml:space="preserve"> </w:t>
            </w:r>
            <w:r w:rsidRPr="00E4425A">
              <w:rPr>
                <w:rFonts w:ascii="Arial" w:hAnsi="Arial" w:cs="Arial"/>
                <w:szCs w:val="20"/>
              </w:rPr>
              <w:t xml:space="preserve"> </w:t>
            </w:r>
            <w:r>
              <w:rPr>
                <w:rFonts w:ascii="Arial" w:hAnsi="Arial" w:cs="Arial"/>
                <w:szCs w:val="20"/>
              </w:rPr>
              <w:t xml:space="preserve">The Vice Chancellor </w:t>
            </w:r>
            <w:r w:rsidRPr="00E4425A">
              <w:rPr>
                <w:rFonts w:ascii="Arial" w:hAnsi="Arial" w:cs="Arial"/>
                <w:szCs w:val="20"/>
              </w:rPr>
              <w:t xml:space="preserve">also </w:t>
            </w:r>
            <w:r>
              <w:rPr>
                <w:rFonts w:ascii="Arial" w:hAnsi="Arial" w:cs="Arial"/>
                <w:szCs w:val="20"/>
              </w:rPr>
              <w:t>approv</w:t>
            </w:r>
            <w:r w:rsidRPr="00E4425A">
              <w:rPr>
                <w:rFonts w:ascii="Arial" w:hAnsi="Arial" w:cs="Arial"/>
                <w:szCs w:val="20"/>
              </w:rPr>
              <w:t>es the final composition of each review committee and the Terms of Referen</w:t>
            </w:r>
            <w:r>
              <w:rPr>
                <w:rFonts w:ascii="Arial" w:hAnsi="Arial" w:cs="Arial"/>
                <w:szCs w:val="20"/>
              </w:rPr>
              <w:t>ce.</w:t>
            </w:r>
          </w:p>
        </w:tc>
      </w:tr>
      <w:tr w:rsidR="004D2159" w14:paraId="0FEB9BBE" w14:textId="77777777" w:rsidTr="004D0EE6">
        <w:tc>
          <w:tcPr>
            <w:tcW w:w="1438" w:type="pct"/>
          </w:tcPr>
          <w:p w14:paraId="0821A1A9" w14:textId="2E3A24CA" w:rsidR="004D2159" w:rsidRPr="000209B9" w:rsidRDefault="004D2159" w:rsidP="001F6344">
            <w:pPr>
              <w:spacing w:before="120" w:after="120"/>
              <w:jc w:val="both"/>
              <w:rPr>
                <w:rFonts w:ascii="Arial" w:hAnsi="Arial" w:cs="Arial"/>
                <w:szCs w:val="20"/>
              </w:rPr>
            </w:pPr>
            <w:r>
              <w:rPr>
                <w:rFonts w:ascii="Arial" w:hAnsi="Arial" w:cs="Arial"/>
                <w:szCs w:val="20"/>
              </w:rPr>
              <w:t>Provost</w:t>
            </w:r>
          </w:p>
        </w:tc>
        <w:tc>
          <w:tcPr>
            <w:tcW w:w="3562" w:type="pct"/>
          </w:tcPr>
          <w:p w14:paraId="7215C016" w14:textId="77777777" w:rsidR="004D2159" w:rsidRDefault="004D2159" w:rsidP="001F6344">
            <w:pPr>
              <w:spacing w:before="120" w:after="120"/>
              <w:jc w:val="both"/>
              <w:rPr>
                <w:rFonts w:ascii="Arial" w:hAnsi="Arial" w:cs="Arial"/>
                <w:szCs w:val="20"/>
              </w:rPr>
            </w:pPr>
            <w:r>
              <w:rPr>
                <w:rFonts w:ascii="Arial" w:hAnsi="Arial" w:cs="Arial"/>
                <w:szCs w:val="20"/>
              </w:rPr>
              <w:t>In addition to the responsibilities outlined above, the Provost is responsible for the review of academic areas and the selection of the topic for the thematic reviews.</w:t>
            </w:r>
          </w:p>
          <w:p w14:paraId="70BCA3FA" w14:textId="477705E7" w:rsidR="004D2159" w:rsidRPr="000209B9" w:rsidRDefault="004D2159" w:rsidP="001F6344">
            <w:pPr>
              <w:spacing w:before="120" w:after="120"/>
              <w:jc w:val="both"/>
              <w:rPr>
                <w:rFonts w:ascii="Arial" w:hAnsi="Arial" w:cs="Arial"/>
                <w:szCs w:val="20"/>
              </w:rPr>
            </w:pPr>
            <w:r>
              <w:rPr>
                <w:rFonts w:ascii="Arial" w:hAnsi="Arial" w:cs="Arial"/>
                <w:szCs w:val="20"/>
              </w:rPr>
              <w:t>Overall responsibility for the review process rests with the Provost.</w:t>
            </w:r>
          </w:p>
        </w:tc>
      </w:tr>
      <w:tr w:rsidR="004D2159" w14:paraId="7880D5C3" w14:textId="77777777" w:rsidTr="004D0EE6">
        <w:tc>
          <w:tcPr>
            <w:tcW w:w="1438" w:type="pct"/>
            <w:shd w:val="clear" w:color="auto" w:fill="E6E7E8"/>
          </w:tcPr>
          <w:p w14:paraId="5CC28D7B" w14:textId="0A3E389E" w:rsidR="004D2159" w:rsidRPr="000209B9" w:rsidRDefault="004D2159" w:rsidP="001F6344">
            <w:pPr>
              <w:spacing w:before="120" w:after="120"/>
              <w:jc w:val="both"/>
              <w:rPr>
                <w:rFonts w:ascii="Arial" w:hAnsi="Arial" w:cs="Arial"/>
                <w:szCs w:val="20"/>
              </w:rPr>
            </w:pPr>
            <w:r w:rsidRPr="00B10802">
              <w:rPr>
                <w:rFonts w:ascii="Arial" w:hAnsi="Arial" w:cs="Arial"/>
                <w:szCs w:val="20"/>
              </w:rPr>
              <w:t>Group Pro Vice Chancellor</w:t>
            </w:r>
            <w:r>
              <w:rPr>
                <w:rFonts w:ascii="Arial" w:hAnsi="Arial" w:cs="Arial"/>
                <w:szCs w:val="20"/>
              </w:rPr>
              <w:t>s</w:t>
            </w:r>
          </w:p>
        </w:tc>
        <w:tc>
          <w:tcPr>
            <w:tcW w:w="3562" w:type="pct"/>
            <w:shd w:val="clear" w:color="auto" w:fill="E6E7E8"/>
          </w:tcPr>
          <w:p w14:paraId="21610955" w14:textId="77777777" w:rsidR="004D2159" w:rsidRPr="00B10802" w:rsidRDefault="004D2159" w:rsidP="001F6344">
            <w:pPr>
              <w:spacing w:before="120" w:after="120"/>
              <w:jc w:val="both"/>
              <w:rPr>
                <w:rFonts w:ascii="Arial" w:hAnsi="Arial" w:cs="Arial"/>
                <w:szCs w:val="20"/>
              </w:rPr>
            </w:pPr>
            <w:r w:rsidRPr="00B10802">
              <w:rPr>
                <w:rFonts w:ascii="Arial" w:hAnsi="Arial" w:cs="Arial"/>
                <w:szCs w:val="20"/>
              </w:rPr>
              <w:t xml:space="preserve">Coordinate and approve recommendations for review </w:t>
            </w:r>
            <w:r>
              <w:rPr>
                <w:rFonts w:ascii="Arial" w:hAnsi="Arial" w:cs="Arial"/>
                <w:szCs w:val="20"/>
              </w:rPr>
              <w:t>committee</w:t>
            </w:r>
            <w:r w:rsidRPr="00B10802">
              <w:rPr>
                <w:rFonts w:ascii="Arial" w:hAnsi="Arial" w:cs="Arial"/>
                <w:szCs w:val="20"/>
              </w:rPr>
              <w:t xml:space="preserve"> membership</w:t>
            </w:r>
            <w:r>
              <w:rPr>
                <w:rFonts w:ascii="Arial" w:hAnsi="Arial" w:cs="Arial"/>
                <w:szCs w:val="20"/>
              </w:rPr>
              <w:t>.</w:t>
            </w:r>
          </w:p>
          <w:p w14:paraId="22AFBFC6" w14:textId="77777777" w:rsidR="004D2159" w:rsidRDefault="004D2159" w:rsidP="001F6344">
            <w:pPr>
              <w:spacing w:before="120" w:after="120"/>
              <w:jc w:val="both"/>
              <w:rPr>
                <w:rFonts w:ascii="Arial" w:hAnsi="Arial" w:cs="Arial"/>
                <w:szCs w:val="20"/>
              </w:rPr>
            </w:pPr>
            <w:r w:rsidRPr="00B10802">
              <w:rPr>
                <w:rFonts w:ascii="Arial" w:hAnsi="Arial" w:cs="Arial"/>
                <w:szCs w:val="20"/>
              </w:rPr>
              <w:t>Strategic oversight of Self-Review Portfolio</w:t>
            </w:r>
            <w:r>
              <w:rPr>
                <w:rFonts w:ascii="Arial" w:hAnsi="Arial" w:cs="Arial"/>
                <w:szCs w:val="20"/>
              </w:rPr>
              <w:t xml:space="preserve"> and schedule of interviews</w:t>
            </w:r>
            <w:r w:rsidRPr="00B10802">
              <w:rPr>
                <w:rFonts w:ascii="Arial" w:hAnsi="Arial" w:cs="Arial"/>
                <w:szCs w:val="20"/>
              </w:rPr>
              <w:t>.</w:t>
            </w:r>
          </w:p>
          <w:p w14:paraId="46384A22" w14:textId="4B5CC3C1" w:rsidR="004D2159" w:rsidRPr="000209B9" w:rsidRDefault="004D2159" w:rsidP="001F6344">
            <w:pPr>
              <w:spacing w:before="120" w:after="120"/>
              <w:jc w:val="both"/>
              <w:rPr>
                <w:rFonts w:ascii="Arial" w:hAnsi="Arial" w:cs="Arial"/>
                <w:szCs w:val="20"/>
              </w:rPr>
            </w:pPr>
            <w:r>
              <w:rPr>
                <w:rFonts w:ascii="Arial" w:hAnsi="Arial" w:cs="Arial"/>
                <w:szCs w:val="20"/>
              </w:rPr>
              <w:t>Strategic oversight of the implementation of review recommendations.</w:t>
            </w:r>
          </w:p>
        </w:tc>
      </w:tr>
      <w:tr w:rsidR="004D2159" w14:paraId="62E1039A" w14:textId="77777777" w:rsidTr="004D2159">
        <w:tc>
          <w:tcPr>
            <w:tcW w:w="1438" w:type="pct"/>
            <w:shd w:val="clear" w:color="auto" w:fill="auto"/>
          </w:tcPr>
          <w:p w14:paraId="1DF3EB49" w14:textId="4B10F9C8" w:rsidR="004D2159" w:rsidRPr="00B10802" w:rsidRDefault="004D2159" w:rsidP="001F6344">
            <w:pPr>
              <w:spacing w:before="120" w:after="120"/>
              <w:jc w:val="both"/>
              <w:rPr>
                <w:rFonts w:ascii="Arial" w:hAnsi="Arial" w:cs="Arial"/>
                <w:szCs w:val="20"/>
              </w:rPr>
            </w:pPr>
            <w:r w:rsidRPr="00B10802">
              <w:rPr>
                <w:rFonts w:ascii="Arial" w:hAnsi="Arial" w:cs="Arial"/>
                <w:szCs w:val="20"/>
              </w:rPr>
              <w:t>Head((s) of area(s) under review</w:t>
            </w:r>
          </w:p>
        </w:tc>
        <w:tc>
          <w:tcPr>
            <w:tcW w:w="3562" w:type="pct"/>
            <w:shd w:val="clear" w:color="auto" w:fill="auto"/>
          </w:tcPr>
          <w:p w14:paraId="654B44CC" w14:textId="77777777" w:rsidR="004D2159" w:rsidRPr="00B10802" w:rsidRDefault="004D2159" w:rsidP="001F6344">
            <w:pPr>
              <w:spacing w:before="120" w:after="120"/>
              <w:jc w:val="both"/>
              <w:rPr>
                <w:rFonts w:ascii="Arial" w:hAnsi="Arial" w:cs="Arial"/>
                <w:szCs w:val="20"/>
              </w:rPr>
            </w:pPr>
            <w:r w:rsidRPr="00B10802">
              <w:rPr>
                <w:rFonts w:ascii="Arial" w:hAnsi="Arial" w:cs="Arial"/>
                <w:szCs w:val="20"/>
              </w:rPr>
              <w:t xml:space="preserve">Research and nominate suitable members for the review </w:t>
            </w:r>
            <w:r>
              <w:rPr>
                <w:rFonts w:ascii="Arial" w:hAnsi="Arial" w:cs="Arial"/>
                <w:szCs w:val="20"/>
              </w:rPr>
              <w:t>committee.</w:t>
            </w:r>
          </w:p>
          <w:p w14:paraId="139B2978" w14:textId="77777777" w:rsidR="004D2159" w:rsidRPr="00B10802" w:rsidRDefault="004D2159" w:rsidP="001F6344">
            <w:pPr>
              <w:spacing w:before="120" w:after="120"/>
              <w:jc w:val="both"/>
              <w:rPr>
                <w:rFonts w:ascii="Arial" w:hAnsi="Arial" w:cs="Arial"/>
                <w:szCs w:val="20"/>
              </w:rPr>
            </w:pPr>
            <w:r w:rsidRPr="00B10802">
              <w:rPr>
                <w:rFonts w:ascii="Arial" w:hAnsi="Arial" w:cs="Arial"/>
                <w:szCs w:val="20"/>
              </w:rPr>
              <w:t>Undertake the self-review, including ensuring appropriate consultations with staff from the area, drafting and preparing the Self-Review Portfolio</w:t>
            </w:r>
            <w:r>
              <w:rPr>
                <w:rFonts w:ascii="Arial" w:hAnsi="Arial" w:cs="Arial"/>
                <w:szCs w:val="20"/>
              </w:rPr>
              <w:t>.</w:t>
            </w:r>
          </w:p>
          <w:p w14:paraId="42928E86" w14:textId="77777777" w:rsidR="004D2159" w:rsidRPr="00B10802" w:rsidRDefault="004D2159" w:rsidP="001F6344">
            <w:pPr>
              <w:spacing w:before="120" w:after="120"/>
              <w:jc w:val="both"/>
              <w:rPr>
                <w:rFonts w:ascii="Arial" w:hAnsi="Arial" w:cs="Arial"/>
                <w:szCs w:val="20"/>
              </w:rPr>
            </w:pPr>
            <w:r w:rsidRPr="00B10802">
              <w:rPr>
                <w:rFonts w:ascii="Arial" w:hAnsi="Arial" w:cs="Arial"/>
                <w:szCs w:val="20"/>
              </w:rPr>
              <w:t>Assist with drafting the site visit schedule, and (post the Review site visit), drafting the Implementation Plan</w:t>
            </w:r>
            <w:r>
              <w:rPr>
                <w:rFonts w:ascii="Arial" w:hAnsi="Arial" w:cs="Arial"/>
                <w:szCs w:val="20"/>
              </w:rPr>
              <w:t>.</w:t>
            </w:r>
          </w:p>
          <w:p w14:paraId="0B7291C9" w14:textId="77777777" w:rsidR="004D2159" w:rsidRPr="00B10802" w:rsidRDefault="004D2159" w:rsidP="001F6344">
            <w:pPr>
              <w:spacing w:before="120" w:after="120"/>
              <w:jc w:val="both"/>
              <w:rPr>
                <w:rFonts w:ascii="Arial" w:hAnsi="Arial" w:cs="Arial"/>
                <w:szCs w:val="20"/>
              </w:rPr>
            </w:pPr>
            <w:r w:rsidRPr="00B10802">
              <w:rPr>
                <w:rFonts w:ascii="Arial" w:hAnsi="Arial" w:cs="Arial"/>
                <w:szCs w:val="20"/>
              </w:rPr>
              <w:t>Ensure the effective implementation of the review recommendations as outlined in the Review Implementation Plan</w:t>
            </w:r>
            <w:r>
              <w:rPr>
                <w:rFonts w:ascii="Arial" w:hAnsi="Arial" w:cs="Arial"/>
                <w:szCs w:val="20"/>
              </w:rPr>
              <w:t>.</w:t>
            </w:r>
          </w:p>
          <w:p w14:paraId="3196023F" w14:textId="454F7D19" w:rsidR="004D2159" w:rsidRPr="00B10802" w:rsidRDefault="004D2159" w:rsidP="001F6344">
            <w:pPr>
              <w:spacing w:before="120" w:after="120"/>
              <w:jc w:val="both"/>
              <w:rPr>
                <w:rFonts w:ascii="Arial" w:hAnsi="Arial" w:cs="Arial"/>
                <w:szCs w:val="20"/>
              </w:rPr>
            </w:pPr>
            <w:r w:rsidRPr="00B10802">
              <w:rPr>
                <w:rFonts w:ascii="Arial" w:hAnsi="Arial" w:cs="Arial"/>
                <w:szCs w:val="20"/>
              </w:rPr>
              <w:t>Prepare the 18-month review progress report.</w:t>
            </w:r>
          </w:p>
        </w:tc>
      </w:tr>
      <w:tr w:rsidR="004D2159" w14:paraId="3620D589" w14:textId="77777777" w:rsidTr="00525A06">
        <w:tc>
          <w:tcPr>
            <w:tcW w:w="1438" w:type="pct"/>
            <w:shd w:val="clear" w:color="auto" w:fill="E6E7E8"/>
          </w:tcPr>
          <w:p w14:paraId="7C18F057" w14:textId="6A48B521" w:rsidR="004D2159" w:rsidRPr="00B10802" w:rsidRDefault="004D2159" w:rsidP="001F6344">
            <w:pPr>
              <w:spacing w:before="120" w:after="120"/>
              <w:jc w:val="both"/>
              <w:rPr>
                <w:rFonts w:ascii="Arial" w:hAnsi="Arial" w:cs="Arial"/>
                <w:szCs w:val="20"/>
              </w:rPr>
            </w:pPr>
            <w:r>
              <w:rPr>
                <w:rFonts w:ascii="Arial" w:hAnsi="Arial" w:cs="Arial"/>
                <w:szCs w:val="20"/>
              </w:rPr>
              <w:t>Review Chair</w:t>
            </w:r>
          </w:p>
        </w:tc>
        <w:tc>
          <w:tcPr>
            <w:tcW w:w="3562" w:type="pct"/>
            <w:shd w:val="clear" w:color="auto" w:fill="E6E7E8"/>
          </w:tcPr>
          <w:p w14:paraId="02599DEA" w14:textId="77777777" w:rsidR="004D2159" w:rsidRDefault="004D2159" w:rsidP="001F6344">
            <w:pPr>
              <w:spacing w:before="120" w:after="120"/>
              <w:jc w:val="both"/>
              <w:rPr>
                <w:rFonts w:ascii="Arial" w:hAnsi="Arial" w:cs="Arial"/>
                <w:szCs w:val="20"/>
              </w:rPr>
            </w:pPr>
            <w:r>
              <w:rPr>
                <w:rFonts w:ascii="Arial" w:hAnsi="Arial" w:cs="Arial"/>
                <w:szCs w:val="20"/>
              </w:rPr>
              <w:t>Lead the review through the following:</w:t>
            </w:r>
          </w:p>
          <w:p w14:paraId="430BD534" w14:textId="77777777" w:rsidR="004D2159" w:rsidRDefault="004D2159" w:rsidP="001F6344">
            <w:pPr>
              <w:pStyle w:val="ListParagraph"/>
              <w:numPr>
                <w:ilvl w:val="0"/>
                <w:numId w:val="33"/>
              </w:numPr>
              <w:spacing w:before="120" w:after="120"/>
              <w:jc w:val="both"/>
              <w:rPr>
                <w:rFonts w:ascii="Arial" w:hAnsi="Arial" w:cs="Arial"/>
                <w:szCs w:val="20"/>
              </w:rPr>
            </w:pPr>
            <w:r>
              <w:rPr>
                <w:rFonts w:ascii="Arial" w:hAnsi="Arial" w:cs="Arial"/>
                <w:szCs w:val="20"/>
              </w:rPr>
              <w:t xml:space="preserve">facilitate discussion and keep the conversation balanced and </w:t>
            </w:r>
            <w:proofErr w:type="gramStart"/>
            <w:r>
              <w:rPr>
                <w:rFonts w:ascii="Arial" w:hAnsi="Arial" w:cs="Arial"/>
                <w:szCs w:val="20"/>
              </w:rPr>
              <w:t>focussed</w:t>
            </w:r>
            <w:proofErr w:type="gramEnd"/>
          </w:p>
          <w:p w14:paraId="37FEF267" w14:textId="77777777" w:rsidR="004D2159" w:rsidRDefault="004D2159" w:rsidP="001F6344">
            <w:pPr>
              <w:pStyle w:val="ListParagraph"/>
              <w:numPr>
                <w:ilvl w:val="0"/>
                <w:numId w:val="33"/>
              </w:numPr>
              <w:spacing w:before="120" w:after="120"/>
              <w:jc w:val="both"/>
              <w:rPr>
                <w:rFonts w:ascii="Arial" w:hAnsi="Arial" w:cs="Arial"/>
                <w:szCs w:val="20"/>
              </w:rPr>
            </w:pPr>
            <w:r>
              <w:rPr>
                <w:rFonts w:ascii="Arial" w:hAnsi="Arial" w:cs="Arial"/>
                <w:szCs w:val="20"/>
              </w:rPr>
              <w:t xml:space="preserve">ensure that all aspects of the Review occur in an environment conducive to free and open discussion without prejudice to any </w:t>
            </w:r>
            <w:proofErr w:type="gramStart"/>
            <w:r>
              <w:rPr>
                <w:rFonts w:ascii="Arial" w:hAnsi="Arial" w:cs="Arial"/>
                <w:szCs w:val="20"/>
              </w:rPr>
              <w:t>participant</w:t>
            </w:r>
            <w:proofErr w:type="gramEnd"/>
          </w:p>
          <w:p w14:paraId="4AA620F9" w14:textId="77777777" w:rsidR="004D2159" w:rsidRDefault="004D2159" w:rsidP="001F6344">
            <w:pPr>
              <w:pStyle w:val="ListParagraph"/>
              <w:numPr>
                <w:ilvl w:val="0"/>
                <w:numId w:val="33"/>
              </w:numPr>
              <w:spacing w:before="120" w:after="120"/>
              <w:jc w:val="both"/>
              <w:rPr>
                <w:rFonts w:ascii="Arial" w:hAnsi="Arial" w:cs="Arial"/>
                <w:szCs w:val="20"/>
              </w:rPr>
            </w:pPr>
            <w:r>
              <w:rPr>
                <w:rFonts w:ascii="Arial" w:hAnsi="Arial" w:cs="Arial"/>
                <w:szCs w:val="20"/>
              </w:rPr>
              <w:t xml:space="preserve">distil and reflect on discussions to date and identify new lines of </w:t>
            </w:r>
            <w:proofErr w:type="gramStart"/>
            <w:r>
              <w:rPr>
                <w:rFonts w:ascii="Arial" w:hAnsi="Arial" w:cs="Arial"/>
                <w:szCs w:val="20"/>
              </w:rPr>
              <w:t>inquiry</w:t>
            </w:r>
            <w:proofErr w:type="gramEnd"/>
          </w:p>
          <w:p w14:paraId="63C921C1" w14:textId="624BDC34" w:rsidR="004D2159" w:rsidRPr="00B10802" w:rsidRDefault="004D2159" w:rsidP="001F6344">
            <w:pPr>
              <w:spacing w:before="120" w:after="120"/>
              <w:jc w:val="both"/>
              <w:rPr>
                <w:rFonts w:ascii="Arial" w:hAnsi="Arial" w:cs="Arial"/>
                <w:szCs w:val="20"/>
              </w:rPr>
            </w:pPr>
            <w:r>
              <w:rPr>
                <w:rFonts w:ascii="Arial" w:hAnsi="Arial" w:cs="Arial"/>
                <w:szCs w:val="20"/>
              </w:rPr>
              <w:t>prepare a set of broad findings and present these to the University Executive and head of the area under review</w:t>
            </w:r>
          </w:p>
        </w:tc>
      </w:tr>
      <w:tr w:rsidR="004D2159" w14:paraId="21C471B2" w14:textId="77777777" w:rsidTr="00525A06">
        <w:tc>
          <w:tcPr>
            <w:tcW w:w="1438" w:type="pct"/>
            <w:shd w:val="clear" w:color="auto" w:fill="auto"/>
          </w:tcPr>
          <w:p w14:paraId="4E295CA7" w14:textId="60A549AD" w:rsidR="004D2159" w:rsidRPr="00B10802" w:rsidRDefault="004D2159" w:rsidP="001F6344">
            <w:pPr>
              <w:spacing w:before="120" w:after="120"/>
              <w:jc w:val="both"/>
              <w:rPr>
                <w:rFonts w:ascii="Arial" w:hAnsi="Arial" w:cs="Arial"/>
                <w:szCs w:val="20"/>
              </w:rPr>
            </w:pPr>
            <w:r w:rsidRPr="00B10802">
              <w:rPr>
                <w:rFonts w:ascii="Arial" w:hAnsi="Arial" w:cs="Arial"/>
                <w:szCs w:val="20"/>
              </w:rPr>
              <w:t>Review Committee</w:t>
            </w:r>
          </w:p>
        </w:tc>
        <w:tc>
          <w:tcPr>
            <w:tcW w:w="3562" w:type="pct"/>
            <w:shd w:val="clear" w:color="auto" w:fill="auto"/>
          </w:tcPr>
          <w:p w14:paraId="23D4476A" w14:textId="40085787" w:rsidR="004D2159" w:rsidRPr="00B10802" w:rsidRDefault="004D2159" w:rsidP="001F6344">
            <w:pPr>
              <w:spacing w:before="120" w:after="120"/>
              <w:jc w:val="both"/>
              <w:rPr>
                <w:rFonts w:ascii="Arial" w:hAnsi="Arial" w:cs="Arial"/>
                <w:szCs w:val="20"/>
              </w:rPr>
            </w:pPr>
            <w:r w:rsidRPr="00B10802">
              <w:rPr>
                <w:rFonts w:ascii="Arial" w:hAnsi="Arial" w:cs="Arial"/>
                <w:szCs w:val="20"/>
              </w:rPr>
              <w:t xml:space="preserve">Charged with providing an objective assessment of an academic area or thematic area’s performance and </w:t>
            </w:r>
            <w:proofErr w:type="gramStart"/>
            <w:r w:rsidRPr="00B10802">
              <w:rPr>
                <w:rFonts w:ascii="Arial" w:hAnsi="Arial" w:cs="Arial"/>
                <w:szCs w:val="20"/>
              </w:rPr>
              <w:t>future plans</w:t>
            </w:r>
            <w:proofErr w:type="gramEnd"/>
            <w:r w:rsidRPr="00B10802">
              <w:rPr>
                <w:rFonts w:ascii="Arial" w:hAnsi="Arial" w:cs="Arial"/>
                <w:szCs w:val="20"/>
              </w:rPr>
              <w:t>.  It is also responsible for making recommendations for future action and development.</w:t>
            </w:r>
          </w:p>
        </w:tc>
      </w:tr>
    </w:tbl>
    <w:p w14:paraId="43D7235D" w14:textId="77777777" w:rsidR="00676E5C" w:rsidRPr="00557E43" w:rsidRDefault="00676E5C" w:rsidP="00644E20">
      <w:pPr>
        <w:jc w:val="both"/>
        <w:rPr>
          <w:szCs w:val="20"/>
        </w:rPr>
      </w:pPr>
    </w:p>
    <w:p w14:paraId="34009791" w14:textId="54CB7D04" w:rsidR="003E0B6D" w:rsidRPr="00902125" w:rsidRDefault="00DA348D" w:rsidP="00644E20">
      <w:pPr>
        <w:pStyle w:val="Heading2"/>
        <w:jc w:val="both"/>
      </w:pPr>
      <w:bookmarkStart w:id="5" w:name="_Ref20320732"/>
      <w:r w:rsidRPr="00902125">
        <w:lastRenderedPageBreak/>
        <w:t>5</w:t>
      </w:r>
      <w:r w:rsidR="003E0B6D" w:rsidRPr="00902125">
        <w:t>.0 Definitions</w:t>
      </w:r>
      <w:bookmarkEnd w:id="5"/>
    </w:p>
    <w:p w14:paraId="5AB6C9FC" w14:textId="52AA47D2" w:rsidR="00EE646E" w:rsidRDefault="00EE646E" w:rsidP="00644E20">
      <w:pPr>
        <w:spacing w:after="120"/>
        <w:jc w:val="both"/>
        <w:rPr>
          <w:rFonts w:ascii="Arial" w:hAnsi="Arial" w:cs="Arial"/>
          <w:szCs w:val="20"/>
        </w:rPr>
      </w:pPr>
      <w:r w:rsidRPr="000209B9">
        <w:rPr>
          <w:rFonts w:ascii="Arial" w:hAnsi="Arial" w:cs="Arial"/>
          <w:szCs w:val="20"/>
        </w:rPr>
        <w:t xml:space="preserve">For the purposes of this policy and related policy documents, the following definitions apply: </w:t>
      </w:r>
    </w:p>
    <w:p w14:paraId="7BD908F3" w14:textId="668092A3" w:rsidR="004D2159" w:rsidRPr="00103604" w:rsidRDefault="004D2159" w:rsidP="00644E20">
      <w:pPr>
        <w:spacing w:after="120"/>
        <w:jc w:val="both"/>
        <w:rPr>
          <w:rFonts w:ascii="Arial" w:hAnsi="Arial" w:cs="Arial"/>
          <w:szCs w:val="20"/>
        </w:rPr>
      </w:pPr>
      <w:r>
        <w:rPr>
          <w:rFonts w:ascii="Arial" w:hAnsi="Arial" w:cs="Arial"/>
          <w:b/>
          <w:bCs/>
          <w:color w:val="000000"/>
          <w:spacing w:val="2"/>
          <w:szCs w:val="20"/>
          <w:shd w:val="clear" w:color="auto" w:fill="FFFFFF"/>
        </w:rPr>
        <w:t xml:space="preserve">Area </w:t>
      </w:r>
      <w:r>
        <w:rPr>
          <w:rFonts w:ascii="Arial" w:hAnsi="Arial" w:cs="Arial"/>
          <w:color w:val="000000"/>
          <w:spacing w:val="2"/>
          <w:szCs w:val="20"/>
          <w:shd w:val="clear" w:color="auto" w:fill="FFFFFF"/>
        </w:rPr>
        <w:t xml:space="preserve">refers to </w:t>
      </w:r>
      <w:r>
        <w:rPr>
          <w:rFonts w:ascii="Arial" w:hAnsi="Arial" w:cs="Arial"/>
          <w:szCs w:val="20"/>
        </w:rPr>
        <w:t>an academic area, such as</w:t>
      </w:r>
      <w:r w:rsidRPr="00103604">
        <w:rPr>
          <w:rFonts w:ascii="Arial" w:hAnsi="Arial" w:cs="Arial"/>
          <w:szCs w:val="20"/>
        </w:rPr>
        <w:t xml:space="preserve"> Schools, Departments, Colleges</w:t>
      </w:r>
      <w:r>
        <w:rPr>
          <w:rFonts w:ascii="Arial" w:hAnsi="Arial" w:cs="Arial"/>
          <w:szCs w:val="20"/>
        </w:rPr>
        <w:t xml:space="preserve"> (QCA and QCGU)</w:t>
      </w:r>
      <w:r w:rsidRPr="00103604">
        <w:rPr>
          <w:rFonts w:ascii="Arial" w:hAnsi="Arial" w:cs="Arial"/>
          <w:szCs w:val="20"/>
        </w:rPr>
        <w:t xml:space="preserve">, </w:t>
      </w:r>
      <w:r>
        <w:rPr>
          <w:rFonts w:ascii="Arial" w:hAnsi="Arial" w:cs="Arial"/>
          <w:szCs w:val="20"/>
        </w:rPr>
        <w:t>or the broad thematic area that has been selected for a review</w:t>
      </w:r>
      <w:r w:rsidRPr="00103604">
        <w:rPr>
          <w:rFonts w:ascii="Arial" w:hAnsi="Arial" w:cs="Arial"/>
          <w:szCs w:val="20"/>
        </w:rPr>
        <w:t>.</w:t>
      </w:r>
    </w:p>
    <w:p w14:paraId="41C7CE4F" w14:textId="74B376A9" w:rsidR="004D2159" w:rsidRPr="00103604" w:rsidRDefault="004D2159" w:rsidP="00644E20">
      <w:pPr>
        <w:spacing w:after="120"/>
        <w:jc w:val="both"/>
        <w:rPr>
          <w:rFonts w:ascii="Arial" w:hAnsi="Arial" w:cs="Arial"/>
          <w:szCs w:val="20"/>
        </w:rPr>
      </w:pPr>
      <w:r w:rsidRPr="00103604">
        <w:rPr>
          <w:rFonts w:ascii="Arial" w:hAnsi="Arial" w:cs="Arial"/>
          <w:b/>
          <w:bCs/>
          <w:color w:val="000000"/>
          <w:spacing w:val="2"/>
          <w:szCs w:val="20"/>
          <w:shd w:val="clear" w:color="auto" w:fill="FFFFFF"/>
        </w:rPr>
        <w:t>Academic Group</w:t>
      </w:r>
      <w:r>
        <w:rPr>
          <w:rFonts w:ascii="Arial" w:hAnsi="Arial" w:cs="Arial"/>
          <w:b/>
          <w:bCs/>
          <w:color w:val="000000"/>
          <w:spacing w:val="2"/>
          <w:szCs w:val="20"/>
          <w:shd w:val="clear" w:color="auto" w:fill="FFFFFF"/>
        </w:rPr>
        <w:t xml:space="preserve"> </w:t>
      </w:r>
      <w:r>
        <w:rPr>
          <w:rFonts w:ascii="Arial" w:hAnsi="Arial" w:cs="Arial"/>
          <w:color w:val="000000"/>
          <w:spacing w:val="2"/>
          <w:szCs w:val="20"/>
          <w:shd w:val="clear" w:color="auto" w:fill="FFFFFF"/>
        </w:rPr>
        <w:t>refers to</w:t>
      </w:r>
      <w:r w:rsidRPr="00103604">
        <w:rPr>
          <w:rFonts w:ascii="Arial" w:hAnsi="Arial" w:cs="Arial"/>
          <w:szCs w:val="20"/>
        </w:rPr>
        <w:t xml:space="preserve"> the highest and largest element in the academic structure of the University.</w:t>
      </w:r>
      <w:r>
        <w:rPr>
          <w:rFonts w:ascii="Arial" w:hAnsi="Arial" w:cs="Arial"/>
          <w:szCs w:val="20"/>
        </w:rPr>
        <w:t xml:space="preserve"> </w:t>
      </w:r>
      <w:r w:rsidRPr="00103604">
        <w:rPr>
          <w:rFonts w:ascii="Arial" w:hAnsi="Arial" w:cs="Arial"/>
          <w:szCs w:val="20"/>
        </w:rPr>
        <w:t xml:space="preserve"> The Academic Group is the administrative owner of programs offered by its academic elements. There are four Academic Groups: Arts, Education and Law</w:t>
      </w:r>
      <w:r>
        <w:rPr>
          <w:rFonts w:ascii="Arial" w:hAnsi="Arial" w:cs="Arial"/>
          <w:szCs w:val="20"/>
        </w:rPr>
        <w:t>;</w:t>
      </w:r>
      <w:r w:rsidRPr="00103604">
        <w:rPr>
          <w:rFonts w:ascii="Arial" w:hAnsi="Arial" w:cs="Arial"/>
          <w:szCs w:val="20"/>
        </w:rPr>
        <w:t xml:space="preserve"> Business</w:t>
      </w:r>
      <w:r>
        <w:rPr>
          <w:rFonts w:ascii="Arial" w:hAnsi="Arial" w:cs="Arial"/>
          <w:szCs w:val="20"/>
        </w:rPr>
        <w:t>;</w:t>
      </w:r>
      <w:r w:rsidRPr="00103604">
        <w:rPr>
          <w:rFonts w:ascii="Arial" w:hAnsi="Arial" w:cs="Arial"/>
          <w:szCs w:val="20"/>
        </w:rPr>
        <w:t xml:space="preserve"> </w:t>
      </w:r>
      <w:r>
        <w:rPr>
          <w:rFonts w:ascii="Arial" w:hAnsi="Arial" w:cs="Arial"/>
          <w:szCs w:val="20"/>
        </w:rPr>
        <w:t xml:space="preserve">Griffith </w:t>
      </w:r>
      <w:r w:rsidRPr="00103604">
        <w:rPr>
          <w:rFonts w:ascii="Arial" w:hAnsi="Arial" w:cs="Arial"/>
          <w:szCs w:val="20"/>
        </w:rPr>
        <w:t>Health</w:t>
      </w:r>
      <w:r>
        <w:rPr>
          <w:rFonts w:ascii="Arial" w:hAnsi="Arial" w:cs="Arial"/>
          <w:szCs w:val="20"/>
        </w:rPr>
        <w:t>;</w:t>
      </w:r>
      <w:r w:rsidRPr="00103604">
        <w:rPr>
          <w:rFonts w:ascii="Arial" w:hAnsi="Arial" w:cs="Arial"/>
          <w:szCs w:val="20"/>
        </w:rPr>
        <w:t xml:space="preserve"> and </w:t>
      </w:r>
      <w:r>
        <w:rPr>
          <w:rFonts w:ascii="Arial" w:hAnsi="Arial" w:cs="Arial"/>
          <w:szCs w:val="20"/>
        </w:rPr>
        <w:t xml:space="preserve">Griffith </w:t>
      </w:r>
      <w:r w:rsidRPr="00103604">
        <w:rPr>
          <w:rFonts w:ascii="Arial" w:hAnsi="Arial" w:cs="Arial"/>
          <w:szCs w:val="20"/>
        </w:rPr>
        <w:t>Science</w:t>
      </w:r>
      <w:r>
        <w:rPr>
          <w:rFonts w:ascii="Arial" w:hAnsi="Arial" w:cs="Arial"/>
          <w:szCs w:val="20"/>
        </w:rPr>
        <w:t>s</w:t>
      </w:r>
      <w:r w:rsidRPr="00103604">
        <w:rPr>
          <w:rFonts w:ascii="Arial" w:hAnsi="Arial" w:cs="Arial"/>
          <w:szCs w:val="20"/>
        </w:rPr>
        <w:t>.</w:t>
      </w:r>
    </w:p>
    <w:p w14:paraId="7A71F3CF" w14:textId="04C34721" w:rsidR="004D2159" w:rsidRDefault="004D2159" w:rsidP="00644E20">
      <w:pPr>
        <w:spacing w:after="120"/>
        <w:jc w:val="both"/>
        <w:rPr>
          <w:rFonts w:ascii="Arial" w:hAnsi="Arial" w:cs="Arial"/>
          <w:color w:val="000000"/>
          <w:spacing w:val="2"/>
          <w:szCs w:val="20"/>
          <w:shd w:val="clear" w:color="auto" w:fill="FFFFFF"/>
        </w:rPr>
      </w:pPr>
      <w:r>
        <w:rPr>
          <w:rFonts w:ascii="Arial" w:hAnsi="Arial" w:cs="Arial"/>
          <w:b/>
          <w:bCs/>
          <w:color w:val="000000"/>
          <w:spacing w:val="2"/>
          <w:szCs w:val="20"/>
          <w:shd w:val="clear" w:color="auto" w:fill="FFFFFF"/>
        </w:rPr>
        <w:t xml:space="preserve">Group </w:t>
      </w:r>
      <w:r w:rsidRPr="00103604">
        <w:rPr>
          <w:rFonts w:ascii="Arial" w:hAnsi="Arial" w:cs="Arial"/>
          <w:b/>
          <w:bCs/>
          <w:color w:val="000000"/>
          <w:spacing w:val="2"/>
          <w:szCs w:val="20"/>
          <w:shd w:val="clear" w:color="auto" w:fill="FFFFFF"/>
        </w:rPr>
        <w:t>Pro Vice Chancellor</w:t>
      </w:r>
      <w:r>
        <w:rPr>
          <w:rFonts w:ascii="Arial" w:hAnsi="Arial" w:cs="Arial"/>
          <w:b/>
          <w:bCs/>
          <w:color w:val="000000"/>
          <w:spacing w:val="2"/>
          <w:szCs w:val="20"/>
          <w:shd w:val="clear" w:color="auto" w:fill="FFFFFF"/>
        </w:rPr>
        <w:t xml:space="preserve"> </w:t>
      </w:r>
      <w:r w:rsidRPr="002E4804">
        <w:rPr>
          <w:rFonts w:ascii="Arial" w:hAnsi="Arial" w:cs="Arial"/>
          <w:color w:val="000000"/>
          <w:spacing w:val="2"/>
          <w:szCs w:val="20"/>
          <w:shd w:val="clear" w:color="auto" w:fill="FFFFFF"/>
        </w:rPr>
        <w:t>is responsible for leading and managing the core activities of the academic group</w:t>
      </w:r>
      <w:r>
        <w:rPr>
          <w:rFonts w:ascii="Arial" w:hAnsi="Arial" w:cs="Arial"/>
          <w:color w:val="000000"/>
          <w:spacing w:val="2"/>
          <w:szCs w:val="20"/>
          <w:shd w:val="clear" w:color="auto" w:fill="FFFFFF"/>
        </w:rPr>
        <w:t xml:space="preserve"> under his or her responsibility</w:t>
      </w:r>
      <w:r w:rsidRPr="002E4804">
        <w:rPr>
          <w:rFonts w:ascii="Arial" w:hAnsi="Arial" w:cs="Arial"/>
          <w:color w:val="000000"/>
          <w:spacing w:val="2"/>
          <w:szCs w:val="20"/>
          <w:shd w:val="clear" w:color="auto" w:fill="FFFFFF"/>
        </w:rPr>
        <w:t>.</w:t>
      </w:r>
    </w:p>
    <w:p w14:paraId="103EA534" w14:textId="7772B5F3" w:rsidR="004D2159" w:rsidRPr="002E4804" w:rsidRDefault="004D2159" w:rsidP="00644E20">
      <w:pPr>
        <w:spacing w:after="120"/>
        <w:jc w:val="both"/>
        <w:rPr>
          <w:rFonts w:ascii="Arial" w:hAnsi="Arial" w:cs="Arial"/>
          <w:color w:val="000000"/>
          <w:spacing w:val="2"/>
          <w:szCs w:val="20"/>
          <w:shd w:val="clear" w:color="auto" w:fill="FFFFFF"/>
        </w:rPr>
      </w:pPr>
      <w:r w:rsidRPr="001067D1">
        <w:rPr>
          <w:rFonts w:ascii="Arial" w:hAnsi="Arial" w:cs="Arial"/>
          <w:b/>
          <w:bCs/>
          <w:color w:val="000000"/>
          <w:spacing w:val="2"/>
          <w:szCs w:val="20"/>
          <w:shd w:val="clear" w:color="auto" w:fill="FFFFFF"/>
        </w:rPr>
        <w:t>Review Committee</w:t>
      </w:r>
      <w:r>
        <w:rPr>
          <w:rFonts w:ascii="Arial" w:hAnsi="Arial" w:cs="Arial"/>
          <w:b/>
          <w:bCs/>
          <w:color w:val="000000"/>
          <w:spacing w:val="2"/>
          <w:szCs w:val="20"/>
          <w:shd w:val="clear" w:color="auto" w:fill="FFFFFF"/>
        </w:rPr>
        <w:t xml:space="preserve"> </w:t>
      </w:r>
      <w:r w:rsidRPr="004D2159">
        <w:rPr>
          <w:rFonts w:ascii="Arial" w:hAnsi="Arial" w:cs="Arial"/>
          <w:color w:val="000000"/>
          <w:spacing w:val="2"/>
          <w:szCs w:val="20"/>
          <w:shd w:val="clear" w:color="auto" w:fill="FFFFFF"/>
        </w:rPr>
        <w:t>refers to an</w:t>
      </w:r>
      <w:r>
        <w:rPr>
          <w:rFonts w:ascii="Arial" w:hAnsi="Arial" w:cs="Arial"/>
          <w:color w:val="000000"/>
          <w:spacing w:val="2"/>
          <w:szCs w:val="20"/>
          <w:shd w:val="clear" w:color="auto" w:fill="FFFFFF"/>
        </w:rPr>
        <w:t xml:space="preserve"> independent panel of experts, including external members as discipline experts, and industry/professional experts, and an internal member, selected by the Vice Chancellor/Provost, on the advice of the relevant Group Pro Vice Chancellor.</w:t>
      </w:r>
    </w:p>
    <w:p w14:paraId="1B63423E" w14:textId="0AB06EFA" w:rsidR="004D2159" w:rsidRPr="004D2159" w:rsidRDefault="004D2159" w:rsidP="00644E20">
      <w:pPr>
        <w:spacing w:after="120"/>
        <w:jc w:val="both"/>
        <w:rPr>
          <w:rFonts w:ascii="Arial" w:hAnsi="Arial" w:cs="Arial"/>
          <w:b/>
          <w:bCs/>
          <w:color w:val="000000"/>
          <w:spacing w:val="2"/>
          <w:szCs w:val="20"/>
          <w:shd w:val="clear" w:color="auto" w:fill="FFFFFF"/>
        </w:rPr>
      </w:pPr>
      <w:r w:rsidRPr="00103604">
        <w:rPr>
          <w:rFonts w:ascii="Arial" w:hAnsi="Arial" w:cs="Arial"/>
          <w:b/>
          <w:bCs/>
          <w:color w:val="000000"/>
          <w:spacing w:val="2"/>
          <w:szCs w:val="20"/>
          <w:shd w:val="clear" w:color="auto" w:fill="FFFFFF"/>
        </w:rPr>
        <w:t>Site visit</w:t>
      </w:r>
      <w:r>
        <w:rPr>
          <w:rFonts w:ascii="Arial" w:hAnsi="Arial" w:cs="Arial"/>
          <w:b/>
          <w:bCs/>
          <w:color w:val="000000"/>
          <w:spacing w:val="2"/>
          <w:szCs w:val="20"/>
          <w:shd w:val="clear" w:color="auto" w:fill="FFFFFF"/>
        </w:rPr>
        <w:t xml:space="preserve"> </w:t>
      </w:r>
      <w:r w:rsidRPr="00103604">
        <w:rPr>
          <w:rFonts w:ascii="Arial" w:hAnsi="Arial" w:cs="Arial"/>
          <w:color w:val="000000"/>
          <w:spacing w:val="2"/>
          <w:szCs w:val="20"/>
          <w:shd w:val="clear" w:color="auto" w:fill="FFFFFF"/>
        </w:rPr>
        <w:t>refers to the time during the review, when the review committee interviews members of the University and Group executives, as well as key staff and stakeholder groups from the element under review.  The site visit may occur via online meetings or in person with the committee visiting the University for the duration of the review.</w:t>
      </w:r>
    </w:p>
    <w:p w14:paraId="49F1075C" w14:textId="77777777" w:rsidR="004D2159" w:rsidRPr="003604BE" w:rsidRDefault="004D2159" w:rsidP="00644E20">
      <w:pPr>
        <w:spacing w:before="100" w:beforeAutospacing="1" w:after="100" w:afterAutospacing="1"/>
        <w:jc w:val="both"/>
        <w:rPr>
          <w:rFonts w:ascii="Arial" w:eastAsia="Times New Roman" w:hAnsi="Arial" w:cs="Arial"/>
          <w:b/>
          <w:bCs/>
          <w:szCs w:val="20"/>
        </w:rPr>
      </w:pPr>
      <w:r w:rsidRPr="003604BE">
        <w:rPr>
          <w:rFonts w:ascii="Arial" w:eastAsia="Times New Roman" w:hAnsi="Arial" w:cs="Arial"/>
          <w:b/>
          <w:bCs/>
          <w:szCs w:val="20"/>
        </w:rPr>
        <w:t xml:space="preserve">Staff </w:t>
      </w:r>
      <w:r w:rsidRPr="003604BE">
        <w:rPr>
          <w:rFonts w:ascii="Arial" w:eastAsia="Times New Roman" w:hAnsi="Arial" w:cs="Arial"/>
          <w:szCs w:val="20"/>
        </w:rPr>
        <w:t>refers to full time, part time, sessional or casual academic, technical, and professional staff employed by the University.</w:t>
      </w:r>
    </w:p>
    <w:p w14:paraId="3EB42F29" w14:textId="77777777" w:rsidR="004D2159" w:rsidRPr="003604BE" w:rsidRDefault="004D2159" w:rsidP="00644E20">
      <w:pPr>
        <w:spacing w:before="100" w:beforeAutospacing="1" w:after="100" w:afterAutospacing="1"/>
        <w:jc w:val="both"/>
        <w:rPr>
          <w:rFonts w:ascii="Arial" w:eastAsia="Times New Roman" w:hAnsi="Arial" w:cs="Arial"/>
          <w:szCs w:val="20"/>
        </w:rPr>
      </w:pPr>
      <w:r w:rsidRPr="003604BE">
        <w:rPr>
          <w:rFonts w:ascii="Arial" w:eastAsia="Times New Roman" w:hAnsi="Arial" w:cs="Arial"/>
          <w:b/>
          <w:bCs/>
          <w:szCs w:val="20"/>
        </w:rPr>
        <w:t>Student</w:t>
      </w:r>
      <w:r w:rsidRPr="003604BE">
        <w:rPr>
          <w:rFonts w:ascii="Arial" w:eastAsia="Times New Roman" w:hAnsi="Arial" w:cs="Arial"/>
          <w:szCs w:val="20"/>
        </w:rPr>
        <w:t xml:space="preserve"> means a student enrolled at the University in an undergraduate or postgraduate coursework program, an end-on Honours programs, a higher degree by research (HDR) program, a PhD by Prior Publication program, non-award students, students enrolled in short courses or micro-credential courses, and students studying through Open Universities Australia (OUA).</w:t>
      </w:r>
    </w:p>
    <w:p w14:paraId="57188A35" w14:textId="2D9E3221" w:rsidR="00FB6309" w:rsidRPr="00C96814" w:rsidRDefault="00FB6309" w:rsidP="00644E20">
      <w:pPr>
        <w:spacing w:after="120"/>
        <w:jc w:val="both"/>
        <w:rPr>
          <w:rFonts w:ascii="Arial" w:hAnsi="Arial" w:cs="Arial"/>
          <w:b/>
          <w:bCs/>
          <w:color w:val="000000"/>
          <w:spacing w:val="2"/>
          <w:szCs w:val="20"/>
          <w:shd w:val="clear" w:color="auto" w:fill="FFFFFF"/>
        </w:rPr>
        <w:sectPr w:rsidR="00FB6309" w:rsidRPr="00C96814" w:rsidSect="00AB79FC">
          <w:headerReference w:type="default" r:id="rId13"/>
          <w:footerReference w:type="default" r:id="rId14"/>
          <w:type w:val="continuous"/>
          <w:pgSz w:w="11900" w:h="16840" w:code="9"/>
          <w:pgMar w:top="1985" w:right="1021" w:bottom="1021" w:left="1021" w:header="680" w:footer="454" w:gutter="0"/>
          <w:cols w:space="454"/>
          <w:docGrid w:linePitch="360"/>
        </w:sectPr>
      </w:pP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006464C6">
        <w:tc>
          <w:tcPr>
            <w:tcW w:w="1222" w:type="pct"/>
            <w:shd w:val="clear" w:color="auto" w:fill="595959" w:themeFill="text1" w:themeFillTint="A6"/>
          </w:tcPr>
          <w:p w14:paraId="48544CF1" w14:textId="77777777" w:rsidR="006D1A97" w:rsidRPr="00FC5552" w:rsidRDefault="006D1A97" w:rsidP="00644E20">
            <w:pPr>
              <w:spacing w:before="120" w:after="120"/>
              <w:jc w:val="both"/>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644E20">
            <w:pPr>
              <w:spacing w:before="120" w:after="120"/>
              <w:jc w:val="both"/>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4D2159" w14:paraId="732F5140" w14:textId="77777777" w:rsidTr="006464C6">
        <w:tc>
          <w:tcPr>
            <w:tcW w:w="1222" w:type="pct"/>
            <w:shd w:val="clear" w:color="auto" w:fill="auto"/>
          </w:tcPr>
          <w:p w14:paraId="5A2D9490" w14:textId="77777777" w:rsidR="004D2159" w:rsidRPr="000209B9" w:rsidRDefault="004D2159" w:rsidP="00644E20">
            <w:pPr>
              <w:spacing w:before="120" w:after="120"/>
              <w:jc w:val="both"/>
              <w:rPr>
                <w:rFonts w:ascii="Arial" w:hAnsi="Arial" w:cs="Arial"/>
                <w:szCs w:val="20"/>
              </w:rPr>
            </w:pPr>
            <w:r w:rsidRPr="000209B9">
              <w:rPr>
                <w:rFonts w:ascii="Arial" w:hAnsi="Arial" w:cs="Arial"/>
                <w:szCs w:val="20"/>
              </w:rPr>
              <w:t>Title</w:t>
            </w:r>
          </w:p>
        </w:tc>
        <w:tc>
          <w:tcPr>
            <w:tcW w:w="3778" w:type="pct"/>
            <w:shd w:val="clear" w:color="auto" w:fill="auto"/>
          </w:tcPr>
          <w:p w14:paraId="21A933A7" w14:textId="1EBBBA62" w:rsidR="004D2159" w:rsidRPr="000209B9" w:rsidRDefault="004D2159" w:rsidP="00644E20">
            <w:pPr>
              <w:spacing w:before="120" w:after="120"/>
              <w:jc w:val="both"/>
              <w:rPr>
                <w:rFonts w:ascii="Arial" w:hAnsi="Arial" w:cs="Arial"/>
                <w:szCs w:val="20"/>
              </w:rPr>
            </w:pPr>
            <w:r w:rsidRPr="00EB25F0">
              <w:rPr>
                <w:rFonts w:ascii="Arial" w:hAnsi="Arial" w:cs="Arial"/>
                <w:szCs w:val="20"/>
              </w:rPr>
              <w:t>University Reviews Policy</w:t>
            </w:r>
          </w:p>
        </w:tc>
      </w:tr>
      <w:tr w:rsidR="004D2159" w14:paraId="3397A4DD" w14:textId="77777777" w:rsidTr="006464C6">
        <w:tc>
          <w:tcPr>
            <w:tcW w:w="1222" w:type="pct"/>
            <w:shd w:val="clear" w:color="auto" w:fill="E6E7E8"/>
          </w:tcPr>
          <w:p w14:paraId="794CFE4E" w14:textId="77777777" w:rsidR="004D2159" w:rsidRPr="000209B9" w:rsidRDefault="004D2159" w:rsidP="00644E20">
            <w:pPr>
              <w:spacing w:before="120" w:after="120"/>
              <w:jc w:val="both"/>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007D9A30" w:rsidR="004D2159" w:rsidRPr="000209B9" w:rsidRDefault="00131FCC" w:rsidP="00644E20">
            <w:pPr>
              <w:spacing w:before="120" w:after="120"/>
              <w:jc w:val="both"/>
              <w:rPr>
                <w:rFonts w:ascii="Arial" w:hAnsi="Arial" w:cs="Arial"/>
                <w:szCs w:val="20"/>
              </w:rPr>
            </w:pPr>
            <w:r w:rsidRPr="00131FCC">
              <w:rPr>
                <w:rFonts w:ascii="Arial" w:hAnsi="Arial" w:cs="Arial"/>
                <w:szCs w:val="20"/>
              </w:rPr>
              <w:t>2023/0001197</w:t>
            </w:r>
          </w:p>
        </w:tc>
      </w:tr>
      <w:tr w:rsidR="004D2159" w14:paraId="0CF1FDA4" w14:textId="77777777" w:rsidTr="006464C6">
        <w:tc>
          <w:tcPr>
            <w:tcW w:w="1222" w:type="pct"/>
            <w:shd w:val="clear" w:color="auto" w:fill="auto"/>
          </w:tcPr>
          <w:p w14:paraId="5B9C8B00" w14:textId="77777777" w:rsidR="004D2159" w:rsidRPr="000209B9" w:rsidRDefault="004D2159" w:rsidP="00644E20">
            <w:pPr>
              <w:spacing w:before="120" w:after="120"/>
              <w:jc w:val="both"/>
              <w:rPr>
                <w:rFonts w:ascii="Arial" w:hAnsi="Arial" w:cs="Arial"/>
                <w:szCs w:val="20"/>
              </w:rPr>
            </w:pPr>
            <w:r w:rsidRPr="000209B9">
              <w:rPr>
                <w:rFonts w:ascii="Arial" w:hAnsi="Arial" w:cs="Arial"/>
                <w:szCs w:val="20"/>
              </w:rPr>
              <w:t>Purpose</w:t>
            </w:r>
          </w:p>
        </w:tc>
        <w:tc>
          <w:tcPr>
            <w:tcW w:w="3778" w:type="pct"/>
            <w:shd w:val="clear" w:color="auto" w:fill="auto"/>
          </w:tcPr>
          <w:p w14:paraId="1F8D5B3D" w14:textId="53DE0D90" w:rsidR="004D2159" w:rsidRPr="000209B9" w:rsidRDefault="004D2159" w:rsidP="00644E20">
            <w:pPr>
              <w:spacing w:before="120" w:after="120"/>
              <w:jc w:val="both"/>
              <w:rPr>
                <w:rFonts w:ascii="Arial" w:hAnsi="Arial" w:cs="Arial"/>
                <w:szCs w:val="20"/>
              </w:rPr>
            </w:pPr>
            <w:r w:rsidRPr="00EB25F0">
              <w:rPr>
                <w:rFonts w:ascii="Arial" w:hAnsi="Arial" w:cs="Arial"/>
                <w:shd w:val="clear" w:color="auto" w:fill="FFFFFF"/>
              </w:rPr>
              <w:t>This policy sets out the principles that guide the University’s regular, seven-yearly cycle of systematic, independent reviews of its academic areas and its thematic reviews.</w:t>
            </w:r>
          </w:p>
        </w:tc>
      </w:tr>
      <w:tr w:rsidR="004D2159" w14:paraId="43F34308" w14:textId="77777777" w:rsidTr="006464C6">
        <w:tc>
          <w:tcPr>
            <w:tcW w:w="1222" w:type="pct"/>
            <w:shd w:val="clear" w:color="auto" w:fill="E6E7E8"/>
          </w:tcPr>
          <w:p w14:paraId="3A9C452F" w14:textId="77777777" w:rsidR="004D2159" w:rsidRPr="000209B9" w:rsidRDefault="004D2159" w:rsidP="00644E20">
            <w:pPr>
              <w:spacing w:before="120" w:after="120"/>
              <w:jc w:val="both"/>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0EF9736C" w:rsidR="004D2159" w:rsidRPr="00EE646E" w:rsidRDefault="004D2159" w:rsidP="00644E20">
            <w:pPr>
              <w:spacing w:before="120" w:after="120"/>
              <w:jc w:val="both"/>
              <w:rPr>
                <w:rFonts w:ascii="Arial" w:hAnsi="Arial" w:cs="Arial"/>
                <w:szCs w:val="20"/>
              </w:rPr>
            </w:pPr>
            <w:r w:rsidRPr="00EB25F0">
              <w:rPr>
                <w:rFonts w:ascii="Arial" w:hAnsi="Arial" w:cs="Arial"/>
                <w:szCs w:val="20"/>
              </w:rPr>
              <w:t>Staff and Students</w:t>
            </w:r>
          </w:p>
        </w:tc>
      </w:tr>
      <w:tr w:rsidR="004D2159" w14:paraId="4B686D95" w14:textId="77777777" w:rsidTr="006464C6">
        <w:tc>
          <w:tcPr>
            <w:tcW w:w="1222" w:type="pct"/>
            <w:shd w:val="clear" w:color="auto" w:fill="auto"/>
          </w:tcPr>
          <w:p w14:paraId="665F750D" w14:textId="77777777" w:rsidR="004D2159" w:rsidRPr="000209B9" w:rsidRDefault="004D2159" w:rsidP="00644E20">
            <w:pPr>
              <w:spacing w:before="120" w:after="120"/>
              <w:jc w:val="both"/>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75D7E997" w:rsidR="004D2159" w:rsidRPr="000209B9" w:rsidRDefault="004D2159" w:rsidP="00644E20">
            <w:pPr>
              <w:spacing w:before="120" w:after="120"/>
              <w:jc w:val="both"/>
              <w:rPr>
                <w:rFonts w:ascii="Arial" w:hAnsi="Arial" w:cs="Arial"/>
                <w:szCs w:val="20"/>
              </w:rPr>
            </w:pPr>
            <w:r w:rsidRPr="00EB25F0">
              <w:rPr>
                <w:rFonts w:ascii="Arial" w:hAnsi="Arial" w:cs="Arial"/>
                <w:szCs w:val="20"/>
              </w:rPr>
              <w:t>Governance</w:t>
            </w:r>
          </w:p>
        </w:tc>
      </w:tr>
      <w:tr w:rsidR="006D1A97" w14:paraId="5003F038" w14:textId="77777777" w:rsidTr="006464C6">
        <w:tc>
          <w:tcPr>
            <w:tcW w:w="1222" w:type="pct"/>
            <w:shd w:val="clear" w:color="auto" w:fill="E6E7E8"/>
          </w:tcPr>
          <w:p w14:paraId="0040C52D" w14:textId="65A3D833" w:rsidR="006D1A97" w:rsidRPr="000209B9" w:rsidRDefault="006D1A97" w:rsidP="00644E20">
            <w:pPr>
              <w:spacing w:before="120" w:after="120"/>
              <w:jc w:val="both"/>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2E83C60E" w:rsidR="00AB79FC" w:rsidRPr="008E4302" w:rsidRDefault="00AB79FC" w:rsidP="008E4302">
            <w:pPr>
              <w:spacing w:before="120" w:after="120"/>
              <w:jc w:val="both"/>
              <w:rPr>
                <w:rFonts w:ascii="Arial" w:hAnsi="Arial" w:cs="Arial"/>
                <w:szCs w:val="20"/>
                <w:highlight w:val="yellow"/>
              </w:rPr>
            </w:pPr>
            <w:r w:rsidRPr="008E4302">
              <w:rPr>
                <w:rFonts w:ascii="Arial" w:hAnsi="Arial" w:cs="Arial"/>
                <w:szCs w:val="20"/>
              </w:rPr>
              <w:t>Governance</w:t>
            </w:r>
          </w:p>
        </w:tc>
      </w:tr>
      <w:tr w:rsidR="007837D8" w14:paraId="2215AE91" w14:textId="77777777" w:rsidTr="006464C6">
        <w:tc>
          <w:tcPr>
            <w:tcW w:w="1222" w:type="pct"/>
            <w:shd w:val="clear" w:color="auto" w:fill="auto"/>
          </w:tcPr>
          <w:p w14:paraId="126EA693" w14:textId="2E19AE03" w:rsidR="007837D8" w:rsidRPr="00B306C2" w:rsidRDefault="007837D8" w:rsidP="00644E20">
            <w:pPr>
              <w:spacing w:before="120" w:after="120"/>
              <w:jc w:val="both"/>
              <w:rPr>
                <w:rFonts w:ascii="Arial" w:hAnsi="Arial" w:cs="Arial"/>
                <w:szCs w:val="20"/>
              </w:rPr>
            </w:pPr>
            <w:r w:rsidRPr="00EE646E">
              <w:rPr>
                <w:rFonts w:ascii="Arial" w:hAnsi="Arial" w:cs="Arial"/>
                <w:szCs w:val="20"/>
              </w:rPr>
              <w:t>Approval date</w:t>
            </w:r>
          </w:p>
        </w:tc>
        <w:tc>
          <w:tcPr>
            <w:tcW w:w="3778" w:type="pct"/>
            <w:shd w:val="clear" w:color="auto" w:fill="auto"/>
          </w:tcPr>
          <w:p w14:paraId="39F90A87" w14:textId="67165F51" w:rsidR="007837D8" w:rsidRPr="005A5C5C" w:rsidRDefault="005244E8" w:rsidP="00644E20">
            <w:pPr>
              <w:spacing w:before="120" w:after="120"/>
              <w:jc w:val="both"/>
              <w:rPr>
                <w:rFonts w:ascii="Arial" w:hAnsi="Arial" w:cs="Arial"/>
                <w:szCs w:val="20"/>
                <w:highlight w:val="yellow"/>
              </w:rPr>
            </w:pPr>
            <w:r>
              <w:rPr>
                <w:rFonts w:ascii="Arial" w:hAnsi="Arial" w:cs="Arial"/>
                <w:szCs w:val="20"/>
              </w:rPr>
              <w:t>29 August 2022</w:t>
            </w:r>
          </w:p>
        </w:tc>
      </w:tr>
      <w:tr w:rsidR="00644E20" w14:paraId="4B3B6DDA" w14:textId="77777777" w:rsidTr="006464C6">
        <w:tc>
          <w:tcPr>
            <w:tcW w:w="1222" w:type="pct"/>
            <w:shd w:val="clear" w:color="auto" w:fill="auto"/>
          </w:tcPr>
          <w:p w14:paraId="422367F7" w14:textId="77777777" w:rsidR="00644E20" w:rsidRPr="00EE646E" w:rsidRDefault="00644E20" w:rsidP="00644E20">
            <w:pPr>
              <w:spacing w:before="120" w:after="120"/>
              <w:jc w:val="both"/>
              <w:rPr>
                <w:rFonts w:ascii="Arial" w:hAnsi="Arial" w:cs="Arial"/>
                <w:szCs w:val="20"/>
              </w:rPr>
            </w:pPr>
            <w:r w:rsidRPr="00EE646E">
              <w:rPr>
                <w:rFonts w:ascii="Arial" w:hAnsi="Arial" w:cs="Arial"/>
                <w:szCs w:val="20"/>
              </w:rPr>
              <w:t>Effective date</w:t>
            </w:r>
          </w:p>
        </w:tc>
        <w:tc>
          <w:tcPr>
            <w:tcW w:w="3778" w:type="pct"/>
            <w:shd w:val="clear" w:color="auto" w:fill="auto"/>
          </w:tcPr>
          <w:p w14:paraId="63583D7A" w14:textId="7DE62745" w:rsidR="00644E20" w:rsidRPr="00EE646E" w:rsidRDefault="005244E8" w:rsidP="00644E20">
            <w:pPr>
              <w:spacing w:before="120" w:after="120"/>
              <w:jc w:val="both"/>
              <w:rPr>
                <w:rFonts w:ascii="Arial" w:hAnsi="Arial" w:cs="Arial"/>
                <w:szCs w:val="20"/>
              </w:rPr>
            </w:pPr>
            <w:r w:rsidRPr="008E4302">
              <w:rPr>
                <w:rFonts w:ascii="Arial" w:hAnsi="Arial" w:cs="Arial"/>
                <w:szCs w:val="20"/>
              </w:rPr>
              <w:t>10 October 2022</w:t>
            </w:r>
          </w:p>
        </w:tc>
      </w:tr>
      <w:tr w:rsidR="00644E20" w14:paraId="76DDC947" w14:textId="77777777" w:rsidTr="006464C6">
        <w:tc>
          <w:tcPr>
            <w:tcW w:w="1222" w:type="pct"/>
            <w:shd w:val="clear" w:color="auto" w:fill="E6E7E8"/>
          </w:tcPr>
          <w:p w14:paraId="41F219B0" w14:textId="77777777" w:rsidR="00644E20" w:rsidRPr="000209B9" w:rsidRDefault="00644E20" w:rsidP="00644E20">
            <w:pPr>
              <w:spacing w:before="120" w:after="120"/>
              <w:jc w:val="both"/>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494D2EC0" w:rsidR="00644E20" w:rsidRPr="000209B9" w:rsidRDefault="00644E20" w:rsidP="00644E20">
            <w:pPr>
              <w:spacing w:before="120" w:after="120"/>
              <w:jc w:val="both"/>
              <w:rPr>
                <w:rFonts w:ascii="Arial" w:hAnsi="Arial" w:cs="Arial"/>
                <w:szCs w:val="20"/>
              </w:rPr>
            </w:pPr>
            <w:r w:rsidRPr="00EB25F0">
              <w:rPr>
                <w:rFonts w:ascii="Arial" w:hAnsi="Arial" w:cs="Arial"/>
                <w:szCs w:val="20"/>
              </w:rPr>
              <w:t>2025</w:t>
            </w:r>
          </w:p>
        </w:tc>
      </w:tr>
      <w:tr w:rsidR="00644E20" w14:paraId="72CC8086" w14:textId="77777777" w:rsidTr="006464C6">
        <w:tc>
          <w:tcPr>
            <w:tcW w:w="1222" w:type="pct"/>
            <w:shd w:val="clear" w:color="auto" w:fill="auto"/>
          </w:tcPr>
          <w:p w14:paraId="357FAE17" w14:textId="28F73799" w:rsidR="00644E20" w:rsidRPr="000209B9" w:rsidRDefault="00644E20" w:rsidP="00644E20">
            <w:pPr>
              <w:spacing w:before="120" w:after="120"/>
              <w:jc w:val="both"/>
              <w:rPr>
                <w:rFonts w:ascii="Arial" w:hAnsi="Arial" w:cs="Arial"/>
                <w:szCs w:val="20"/>
              </w:rPr>
            </w:pPr>
            <w:r w:rsidRPr="000209B9">
              <w:rPr>
                <w:rFonts w:ascii="Arial" w:hAnsi="Arial" w:cs="Arial"/>
                <w:szCs w:val="20"/>
              </w:rPr>
              <w:t>Policy advisor</w:t>
            </w:r>
          </w:p>
        </w:tc>
        <w:tc>
          <w:tcPr>
            <w:tcW w:w="3778" w:type="pct"/>
            <w:shd w:val="clear" w:color="auto" w:fill="auto"/>
          </w:tcPr>
          <w:p w14:paraId="7E468796" w14:textId="52F41C82" w:rsidR="00644E20" w:rsidRPr="000209B9" w:rsidRDefault="006E7F3A" w:rsidP="00644E20">
            <w:pPr>
              <w:spacing w:before="120" w:after="120"/>
              <w:jc w:val="both"/>
              <w:rPr>
                <w:rFonts w:ascii="Arial" w:hAnsi="Arial" w:cs="Arial"/>
                <w:szCs w:val="20"/>
              </w:rPr>
            </w:pPr>
            <w:r>
              <w:rPr>
                <w:rFonts w:ascii="Arial" w:hAnsi="Arial" w:cs="Arial"/>
                <w:szCs w:val="20"/>
              </w:rPr>
              <w:t>Head</w:t>
            </w:r>
            <w:r w:rsidR="00644E20" w:rsidRPr="00EB25F0">
              <w:rPr>
                <w:rFonts w:ascii="Arial" w:hAnsi="Arial" w:cs="Arial"/>
                <w:szCs w:val="20"/>
              </w:rPr>
              <w:t>, Organisational Reviews Unit</w:t>
            </w:r>
          </w:p>
        </w:tc>
      </w:tr>
      <w:tr w:rsidR="00644E20" w14:paraId="5F52FDBC" w14:textId="77777777" w:rsidTr="006464C6">
        <w:tc>
          <w:tcPr>
            <w:tcW w:w="1222" w:type="pct"/>
            <w:shd w:val="clear" w:color="auto" w:fill="E6E7E8"/>
          </w:tcPr>
          <w:p w14:paraId="2A6B7869" w14:textId="77777777" w:rsidR="00644E20" w:rsidRPr="000209B9" w:rsidRDefault="00644E20" w:rsidP="00644E20">
            <w:pPr>
              <w:spacing w:before="120" w:after="120"/>
              <w:jc w:val="both"/>
              <w:rPr>
                <w:rFonts w:ascii="Arial" w:hAnsi="Arial" w:cs="Arial"/>
                <w:szCs w:val="20"/>
              </w:rPr>
            </w:pPr>
            <w:r w:rsidRPr="000209B9">
              <w:rPr>
                <w:rFonts w:ascii="Arial" w:hAnsi="Arial" w:cs="Arial"/>
                <w:szCs w:val="20"/>
              </w:rPr>
              <w:t>Approving authority</w:t>
            </w:r>
          </w:p>
        </w:tc>
        <w:tc>
          <w:tcPr>
            <w:tcW w:w="3778" w:type="pct"/>
            <w:shd w:val="clear" w:color="auto" w:fill="E6E7E8"/>
          </w:tcPr>
          <w:p w14:paraId="77F724FD" w14:textId="56FE7AF5" w:rsidR="00644E20" w:rsidRPr="000209B9" w:rsidRDefault="00881903" w:rsidP="00644E20">
            <w:pPr>
              <w:spacing w:before="120" w:after="120"/>
              <w:jc w:val="both"/>
              <w:rPr>
                <w:rFonts w:ascii="Arial" w:hAnsi="Arial" w:cs="Arial"/>
                <w:szCs w:val="20"/>
              </w:rPr>
            </w:pPr>
            <w:r>
              <w:rPr>
                <w:rFonts w:ascii="Arial" w:hAnsi="Arial" w:cs="Arial"/>
                <w:szCs w:val="20"/>
              </w:rPr>
              <w:t>Provost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63A85" w14:paraId="10B6998B" w14:textId="77777777" w:rsidTr="006464C6">
        <w:trPr>
          <w:tblHeader/>
        </w:trPr>
        <w:tc>
          <w:tcPr>
            <w:tcW w:w="5000" w:type="pct"/>
            <w:gridSpan w:val="2"/>
            <w:shd w:val="clear" w:color="auto" w:fill="595959" w:themeFill="text1" w:themeFillTint="A6"/>
          </w:tcPr>
          <w:p w14:paraId="1E57286D" w14:textId="2CDBEC96" w:rsidR="00363A85" w:rsidRPr="000209B9" w:rsidRDefault="00363A85" w:rsidP="00644E20">
            <w:pPr>
              <w:spacing w:before="120" w:after="120"/>
              <w:jc w:val="both"/>
              <w:rPr>
                <w:rFonts w:ascii="Arial" w:hAnsi="Arial" w:cs="Arial"/>
              </w:rPr>
            </w:pPr>
            <w:r w:rsidRPr="00FC5552">
              <w:rPr>
                <w:rFonts w:ascii="Arial" w:hAnsi="Arial" w:cs="Arial"/>
                <w:b/>
                <w:bCs/>
                <w:caps/>
                <w:color w:val="FFFFFF" w:themeColor="background1"/>
                <w:sz w:val="24"/>
                <w:szCs w:val="24"/>
              </w:rPr>
              <w:t>RELATED POLICY DOCUMENTS AND supporting documents</w:t>
            </w:r>
          </w:p>
        </w:tc>
      </w:tr>
      <w:tr w:rsidR="00644E20" w14:paraId="6B2D8946" w14:textId="77777777" w:rsidTr="006464C6">
        <w:trPr>
          <w:tblHeader/>
        </w:trPr>
        <w:tc>
          <w:tcPr>
            <w:tcW w:w="1222" w:type="pct"/>
            <w:shd w:val="clear" w:color="auto" w:fill="auto"/>
          </w:tcPr>
          <w:p w14:paraId="4EA57448" w14:textId="1E235953" w:rsidR="00644E20" w:rsidRPr="000209B9" w:rsidRDefault="00644E20" w:rsidP="00644E20">
            <w:pPr>
              <w:spacing w:before="120" w:after="120"/>
              <w:jc w:val="both"/>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3C6AE059" w14:textId="4F7C2129" w:rsidR="00644E20" w:rsidRPr="000209B9" w:rsidRDefault="009D7B08" w:rsidP="00644E20">
            <w:pPr>
              <w:spacing w:before="120" w:after="120"/>
              <w:jc w:val="both"/>
              <w:rPr>
                <w:rFonts w:ascii="Arial" w:hAnsi="Arial" w:cs="Arial"/>
              </w:rPr>
            </w:pPr>
            <w:hyperlink r:id="rId15" w:history="1">
              <w:r w:rsidR="00644E20" w:rsidRPr="0071437D">
                <w:rPr>
                  <w:rStyle w:val="Hyperlink"/>
                  <w:rFonts w:ascii="Arial" w:hAnsi="Arial" w:cs="Arial"/>
                </w:rPr>
                <w:t>TEQSA Higher Education Standards Framework</w:t>
              </w:r>
            </w:hyperlink>
          </w:p>
        </w:tc>
      </w:tr>
      <w:tr w:rsidR="00644E20" w14:paraId="39FA95E6" w14:textId="77777777" w:rsidTr="006464C6">
        <w:trPr>
          <w:tblHeader/>
        </w:trPr>
        <w:tc>
          <w:tcPr>
            <w:tcW w:w="1222" w:type="pct"/>
            <w:shd w:val="clear" w:color="auto" w:fill="E6E7E8"/>
          </w:tcPr>
          <w:p w14:paraId="406D83D7" w14:textId="0726FCB4" w:rsidR="00644E20" w:rsidRPr="000209B9" w:rsidRDefault="00644E20" w:rsidP="00644E20">
            <w:pPr>
              <w:spacing w:before="120" w:after="120"/>
              <w:jc w:val="both"/>
              <w:rPr>
                <w:rFonts w:ascii="Arial" w:hAnsi="Arial" w:cs="Arial"/>
                <w:szCs w:val="20"/>
              </w:rPr>
            </w:pPr>
            <w:r w:rsidRPr="000209B9">
              <w:rPr>
                <w:rFonts w:ascii="Arial" w:hAnsi="Arial" w:cs="Arial"/>
                <w:szCs w:val="20"/>
              </w:rPr>
              <w:t>Policy</w:t>
            </w:r>
          </w:p>
        </w:tc>
        <w:tc>
          <w:tcPr>
            <w:tcW w:w="3778" w:type="pct"/>
            <w:shd w:val="clear" w:color="auto" w:fill="E6E7E8"/>
          </w:tcPr>
          <w:p w14:paraId="55CC4ACD" w14:textId="77777777" w:rsidR="00644E20" w:rsidRPr="00DB4892" w:rsidRDefault="009D7B08" w:rsidP="00644E20">
            <w:pPr>
              <w:spacing w:before="60" w:after="60" w:line="240" w:lineRule="exact"/>
              <w:jc w:val="both"/>
              <w:rPr>
                <w:rFonts w:ascii="Arial" w:hAnsi="Arial" w:cs="Arial"/>
              </w:rPr>
            </w:pPr>
            <w:hyperlink r:id="rId16" w:history="1">
              <w:r w:rsidR="00644E20" w:rsidRPr="00DB4892">
                <w:rPr>
                  <w:rStyle w:val="Hyperlink"/>
                  <w:rFonts w:ascii="Arial" w:hAnsi="Arial" w:cs="Arial"/>
                </w:rPr>
                <w:t>Framework for Quality Assurance</w:t>
              </w:r>
            </w:hyperlink>
          </w:p>
          <w:p w14:paraId="57E2FC6C" w14:textId="0308390E" w:rsidR="00644E20" w:rsidRPr="00EF26D0" w:rsidRDefault="009D7B08" w:rsidP="00EF26D0">
            <w:pPr>
              <w:spacing w:before="60" w:after="60" w:line="240" w:lineRule="exact"/>
              <w:jc w:val="both"/>
              <w:rPr>
                <w:rFonts w:ascii="Arial" w:hAnsi="Arial" w:cs="Arial"/>
              </w:rPr>
            </w:pPr>
            <w:hyperlink r:id="rId17" w:history="1">
              <w:r w:rsidR="00644E20" w:rsidRPr="009D7B08">
                <w:rPr>
                  <w:rStyle w:val="Hyperlink"/>
                  <w:rFonts w:ascii="Arial" w:hAnsi="Arial" w:cs="Arial"/>
                </w:rPr>
                <w:t xml:space="preserve">Research </w:t>
              </w:r>
              <w:r w:rsidRPr="009D7B08">
                <w:rPr>
                  <w:rStyle w:val="Hyperlink"/>
                  <w:rFonts w:ascii="Arial" w:hAnsi="Arial" w:cs="Arial"/>
                </w:rPr>
                <w:t>Entity Policy</w:t>
              </w:r>
            </w:hyperlink>
          </w:p>
        </w:tc>
      </w:tr>
      <w:tr w:rsidR="00644E20" w14:paraId="4F2E48CD" w14:textId="77777777" w:rsidTr="006464C6">
        <w:trPr>
          <w:tblHeader/>
        </w:trPr>
        <w:tc>
          <w:tcPr>
            <w:tcW w:w="1222" w:type="pct"/>
            <w:shd w:val="clear" w:color="auto" w:fill="auto"/>
          </w:tcPr>
          <w:p w14:paraId="04ABE946" w14:textId="2FFB44D5" w:rsidR="00644E20" w:rsidRPr="000209B9" w:rsidRDefault="00644E20" w:rsidP="00644E20">
            <w:pPr>
              <w:spacing w:before="120" w:after="120"/>
              <w:jc w:val="both"/>
              <w:rPr>
                <w:rFonts w:ascii="Arial" w:hAnsi="Arial" w:cs="Arial"/>
                <w:szCs w:val="20"/>
              </w:rPr>
            </w:pPr>
            <w:r w:rsidRPr="000209B9">
              <w:rPr>
                <w:rFonts w:ascii="Arial" w:hAnsi="Arial" w:cs="Arial"/>
                <w:szCs w:val="20"/>
              </w:rPr>
              <w:t>Procedures</w:t>
            </w:r>
          </w:p>
        </w:tc>
        <w:tc>
          <w:tcPr>
            <w:tcW w:w="3778" w:type="pct"/>
            <w:shd w:val="clear" w:color="auto" w:fill="auto"/>
          </w:tcPr>
          <w:p w14:paraId="5220CB91" w14:textId="5E2E811C" w:rsidR="00644E20" w:rsidRPr="000209B9" w:rsidRDefault="00644E20" w:rsidP="00644E20">
            <w:pPr>
              <w:spacing w:before="120" w:after="120"/>
              <w:jc w:val="both"/>
              <w:rPr>
                <w:rFonts w:ascii="Arial" w:hAnsi="Arial" w:cs="Arial"/>
                <w:szCs w:val="20"/>
              </w:rPr>
            </w:pPr>
            <w:r>
              <w:rPr>
                <w:rFonts w:ascii="Arial" w:hAnsi="Arial" w:cs="Arial"/>
              </w:rPr>
              <w:t>N/A</w:t>
            </w:r>
          </w:p>
        </w:tc>
      </w:tr>
      <w:tr w:rsidR="00644E20" w14:paraId="443C994C" w14:textId="77777777" w:rsidTr="006464C6">
        <w:trPr>
          <w:tblHeader/>
        </w:trPr>
        <w:tc>
          <w:tcPr>
            <w:tcW w:w="1222" w:type="pct"/>
            <w:shd w:val="clear" w:color="auto" w:fill="E6E7E8"/>
          </w:tcPr>
          <w:p w14:paraId="178A20A1" w14:textId="590965B4" w:rsidR="00644E20" w:rsidRPr="000209B9" w:rsidRDefault="00644E20" w:rsidP="00644E20">
            <w:pPr>
              <w:spacing w:before="120" w:after="120"/>
              <w:jc w:val="both"/>
              <w:rPr>
                <w:rFonts w:ascii="Arial" w:hAnsi="Arial" w:cs="Arial"/>
                <w:szCs w:val="20"/>
              </w:rPr>
            </w:pPr>
            <w:r w:rsidRPr="000209B9">
              <w:rPr>
                <w:rFonts w:ascii="Arial" w:hAnsi="Arial" w:cs="Arial"/>
                <w:szCs w:val="20"/>
              </w:rPr>
              <w:t>Local protocols</w:t>
            </w:r>
          </w:p>
        </w:tc>
        <w:tc>
          <w:tcPr>
            <w:tcW w:w="3778" w:type="pct"/>
            <w:shd w:val="clear" w:color="auto" w:fill="E6E7E8"/>
          </w:tcPr>
          <w:p w14:paraId="037E3373" w14:textId="77777777" w:rsidR="00644E20" w:rsidRDefault="00644E20" w:rsidP="00644E20">
            <w:pPr>
              <w:spacing w:before="120" w:after="120"/>
              <w:jc w:val="both"/>
              <w:rPr>
                <w:rFonts w:ascii="Arial" w:hAnsi="Arial" w:cs="Arial"/>
                <w:szCs w:val="20"/>
              </w:rPr>
            </w:pPr>
            <w:r>
              <w:rPr>
                <w:rFonts w:ascii="Arial" w:hAnsi="Arial" w:cs="Arial"/>
                <w:szCs w:val="20"/>
              </w:rPr>
              <w:t>Organisational Reviews Procedures Manual</w:t>
            </w:r>
          </w:p>
          <w:p w14:paraId="291275C4" w14:textId="1B88714F" w:rsidR="00644E20" w:rsidRPr="000209B9" w:rsidRDefault="00644E20" w:rsidP="00644E20">
            <w:pPr>
              <w:spacing w:before="120" w:after="120"/>
              <w:jc w:val="both"/>
              <w:rPr>
                <w:rFonts w:ascii="Arial" w:hAnsi="Arial" w:cs="Arial"/>
                <w:szCs w:val="20"/>
              </w:rPr>
            </w:pPr>
            <w:r>
              <w:rPr>
                <w:rFonts w:ascii="Arial" w:hAnsi="Arial" w:cs="Arial"/>
                <w:szCs w:val="20"/>
              </w:rPr>
              <w:t>Quality and Reviews Website – Templates and Toolkit</w:t>
            </w:r>
          </w:p>
        </w:tc>
      </w:tr>
      <w:tr w:rsidR="00644E20" w:rsidRPr="009F66F7" w14:paraId="404524B8" w14:textId="77777777" w:rsidTr="006464C6">
        <w:trPr>
          <w:tblHeader/>
        </w:trPr>
        <w:tc>
          <w:tcPr>
            <w:tcW w:w="1222" w:type="pct"/>
            <w:shd w:val="clear" w:color="auto" w:fill="auto"/>
          </w:tcPr>
          <w:p w14:paraId="072FB676" w14:textId="77777777" w:rsidR="00644E20" w:rsidRPr="003757C4" w:rsidRDefault="00644E20" w:rsidP="00644E20">
            <w:pPr>
              <w:spacing w:before="120" w:after="120"/>
              <w:jc w:val="both"/>
              <w:rPr>
                <w:rFonts w:ascii="Arial" w:hAnsi="Arial" w:cs="Arial"/>
                <w:szCs w:val="20"/>
              </w:rPr>
            </w:pPr>
            <w:r w:rsidRPr="003757C4">
              <w:rPr>
                <w:rFonts w:ascii="Arial" w:hAnsi="Arial" w:cs="Arial"/>
                <w:szCs w:val="20"/>
              </w:rPr>
              <w:t>Forms</w:t>
            </w:r>
          </w:p>
        </w:tc>
        <w:tc>
          <w:tcPr>
            <w:tcW w:w="3778" w:type="pct"/>
            <w:shd w:val="clear" w:color="auto" w:fill="auto"/>
          </w:tcPr>
          <w:p w14:paraId="449F1620" w14:textId="77777777" w:rsidR="00644E20" w:rsidRDefault="009D7B08" w:rsidP="00644E20">
            <w:pPr>
              <w:spacing w:before="120" w:after="120" w:line="240" w:lineRule="exact"/>
              <w:jc w:val="both"/>
              <w:rPr>
                <w:rFonts w:ascii="Arial" w:hAnsi="Arial" w:cs="Arial"/>
                <w:szCs w:val="20"/>
              </w:rPr>
            </w:pPr>
            <w:hyperlink r:id="rId18" w:history="1">
              <w:r w:rsidR="00644E20" w:rsidRPr="00462C69">
                <w:rPr>
                  <w:rFonts w:ascii="Arial" w:hAnsi="Arial" w:cs="Arial"/>
                </w:rPr>
                <w:t>Term of Reference</w:t>
              </w:r>
            </w:hyperlink>
            <w:r w:rsidR="00644E20" w:rsidRPr="00462C69">
              <w:rPr>
                <w:rFonts w:ascii="Arial" w:hAnsi="Arial" w:cs="Arial"/>
                <w:szCs w:val="20"/>
              </w:rPr>
              <w:t xml:space="preserve"> – Review of an academic are</w:t>
            </w:r>
            <w:r w:rsidR="00644E20" w:rsidRPr="00DB4892">
              <w:rPr>
                <w:rFonts w:ascii="Arial" w:hAnsi="Arial" w:cs="Arial"/>
                <w:szCs w:val="20"/>
              </w:rPr>
              <w:t>a</w:t>
            </w:r>
          </w:p>
          <w:p w14:paraId="2620A57D" w14:textId="77777777" w:rsidR="00644E20" w:rsidRPr="00462C69" w:rsidRDefault="00644E20" w:rsidP="00644E20">
            <w:pPr>
              <w:spacing w:before="120" w:after="120" w:line="240" w:lineRule="exact"/>
              <w:jc w:val="both"/>
              <w:rPr>
                <w:rFonts w:ascii="Arial" w:hAnsi="Arial" w:cs="Arial"/>
                <w:szCs w:val="20"/>
              </w:rPr>
            </w:pPr>
            <w:r w:rsidRPr="00462C69">
              <w:rPr>
                <w:rFonts w:ascii="Arial" w:hAnsi="Arial" w:cs="Arial"/>
                <w:szCs w:val="20"/>
              </w:rPr>
              <w:t xml:space="preserve">Self-Review Portfolio template </w:t>
            </w:r>
          </w:p>
          <w:p w14:paraId="4D797A69" w14:textId="77777777" w:rsidR="00644E20" w:rsidRPr="00462C69" w:rsidRDefault="00644E20" w:rsidP="00644E20">
            <w:pPr>
              <w:spacing w:before="120" w:after="120" w:line="240" w:lineRule="exact"/>
              <w:jc w:val="both"/>
              <w:rPr>
                <w:rFonts w:ascii="Arial" w:hAnsi="Arial" w:cs="Arial"/>
                <w:szCs w:val="20"/>
              </w:rPr>
            </w:pPr>
            <w:r w:rsidRPr="00462C69">
              <w:rPr>
                <w:rFonts w:ascii="Arial" w:hAnsi="Arial" w:cs="Arial"/>
                <w:szCs w:val="20"/>
              </w:rPr>
              <w:t xml:space="preserve">Stakeholder </w:t>
            </w:r>
            <w:r>
              <w:rPr>
                <w:rFonts w:ascii="Arial" w:hAnsi="Arial" w:cs="Arial"/>
                <w:szCs w:val="20"/>
              </w:rPr>
              <w:t>R</w:t>
            </w:r>
            <w:r w:rsidRPr="00462C69">
              <w:rPr>
                <w:rFonts w:ascii="Arial" w:hAnsi="Arial" w:cs="Arial"/>
                <w:szCs w:val="20"/>
              </w:rPr>
              <w:t>equest template</w:t>
            </w:r>
          </w:p>
          <w:p w14:paraId="4859EB5B" w14:textId="77777777" w:rsidR="00644E20" w:rsidRPr="00462C69" w:rsidRDefault="00644E20" w:rsidP="00644E20">
            <w:pPr>
              <w:spacing w:before="120" w:after="120" w:line="240" w:lineRule="exact"/>
              <w:jc w:val="both"/>
              <w:rPr>
                <w:rFonts w:ascii="Arial" w:hAnsi="Arial" w:cs="Arial"/>
                <w:szCs w:val="20"/>
              </w:rPr>
            </w:pPr>
            <w:r w:rsidRPr="00462C69">
              <w:rPr>
                <w:rFonts w:ascii="Arial" w:hAnsi="Arial" w:cs="Arial"/>
                <w:szCs w:val="20"/>
              </w:rPr>
              <w:t xml:space="preserve">Review Site </w:t>
            </w:r>
            <w:r>
              <w:rPr>
                <w:rFonts w:ascii="Arial" w:hAnsi="Arial" w:cs="Arial"/>
                <w:szCs w:val="20"/>
              </w:rPr>
              <w:t>V</w:t>
            </w:r>
            <w:r w:rsidRPr="00462C69">
              <w:rPr>
                <w:rFonts w:ascii="Arial" w:hAnsi="Arial" w:cs="Arial"/>
                <w:szCs w:val="20"/>
              </w:rPr>
              <w:t>isit Schedule template</w:t>
            </w:r>
          </w:p>
          <w:p w14:paraId="3CA6DA66" w14:textId="77777777" w:rsidR="00644E20" w:rsidRPr="00462C69" w:rsidRDefault="00644E20" w:rsidP="00644E20">
            <w:pPr>
              <w:spacing w:before="120" w:after="120" w:line="240" w:lineRule="exact"/>
              <w:jc w:val="both"/>
              <w:rPr>
                <w:rFonts w:ascii="Arial" w:hAnsi="Arial" w:cs="Arial"/>
                <w:szCs w:val="20"/>
              </w:rPr>
            </w:pPr>
            <w:r w:rsidRPr="00462C69">
              <w:rPr>
                <w:rFonts w:ascii="Arial" w:hAnsi="Arial" w:cs="Arial"/>
                <w:szCs w:val="20"/>
              </w:rPr>
              <w:t>Review Report template</w:t>
            </w:r>
          </w:p>
          <w:p w14:paraId="68155AD0" w14:textId="77777777" w:rsidR="00644E20" w:rsidRPr="00462C69" w:rsidRDefault="00644E20" w:rsidP="00644E20">
            <w:pPr>
              <w:spacing w:before="120" w:after="120" w:line="240" w:lineRule="exact"/>
              <w:jc w:val="both"/>
              <w:rPr>
                <w:rFonts w:ascii="Arial" w:hAnsi="Arial" w:cs="Arial"/>
                <w:szCs w:val="20"/>
              </w:rPr>
            </w:pPr>
            <w:r w:rsidRPr="00462C69">
              <w:rPr>
                <w:rFonts w:ascii="Arial" w:hAnsi="Arial" w:cs="Arial"/>
                <w:szCs w:val="20"/>
              </w:rPr>
              <w:t xml:space="preserve">Implementation </w:t>
            </w:r>
            <w:r>
              <w:rPr>
                <w:rFonts w:ascii="Arial" w:hAnsi="Arial" w:cs="Arial"/>
                <w:szCs w:val="20"/>
              </w:rPr>
              <w:t>P</w:t>
            </w:r>
            <w:r w:rsidRPr="00462C69">
              <w:rPr>
                <w:rFonts w:ascii="Arial" w:hAnsi="Arial" w:cs="Arial"/>
                <w:szCs w:val="20"/>
              </w:rPr>
              <w:t>lan template</w:t>
            </w:r>
          </w:p>
          <w:p w14:paraId="200D7B6F" w14:textId="1649BCA6" w:rsidR="00644E20" w:rsidRPr="009F66F7" w:rsidRDefault="00644E20" w:rsidP="00644E20">
            <w:pPr>
              <w:spacing w:before="120" w:after="120"/>
              <w:jc w:val="both"/>
              <w:rPr>
                <w:rFonts w:ascii="Arial" w:hAnsi="Arial" w:cs="Arial"/>
                <w:b/>
                <w:bCs/>
                <w:szCs w:val="20"/>
              </w:rPr>
            </w:pPr>
            <w:r w:rsidRPr="00462C69">
              <w:rPr>
                <w:rFonts w:ascii="Arial" w:hAnsi="Arial" w:cs="Arial"/>
                <w:szCs w:val="20"/>
              </w:rPr>
              <w:t xml:space="preserve">18-month </w:t>
            </w:r>
            <w:r>
              <w:rPr>
                <w:rFonts w:ascii="Arial" w:hAnsi="Arial" w:cs="Arial"/>
                <w:szCs w:val="20"/>
              </w:rPr>
              <w:t>R</w:t>
            </w:r>
            <w:r w:rsidRPr="00462C69">
              <w:rPr>
                <w:rFonts w:ascii="Arial" w:hAnsi="Arial" w:cs="Arial"/>
                <w:szCs w:val="20"/>
              </w:rPr>
              <w:t xml:space="preserve">eview </w:t>
            </w:r>
            <w:r>
              <w:rPr>
                <w:rFonts w:ascii="Arial" w:hAnsi="Arial" w:cs="Arial"/>
                <w:szCs w:val="20"/>
              </w:rPr>
              <w:t>P</w:t>
            </w:r>
            <w:r w:rsidRPr="00462C69">
              <w:rPr>
                <w:rFonts w:ascii="Arial" w:hAnsi="Arial" w:cs="Arial"/>
                <w:szCs w:val="20"/>
              </w:rPr>
              <w:t xml:space="preserve">rogress </w:t>
            </w:r>
            <w:r>
              <w:rPr>
                <w:rFonts w:ascii="Arial" w:hAnsi="Arial" w:cs="Arial"/>
                <w:szCs w:val="20"/>
              </w:rPr>
              <w:t>R</w:t>
            </w:r>
            <w:r w:rsidRPr="00462C69">
              <w:rPr>
                <w:rFonts w:ascii="Arial" w:hAnsi="Arial" w:cs="Arial"/>
                <w:szCs w:val="20"/>
              </w:rPr>
              <w:t>eport templat</w:t>
            </w:r>
            <w:r>
              <w:rPr>
                <w:rFonts w:ascii="Arial" w:hAnsi="Arial" w:cs="Arial"/>
                <w:szCs w:val="20"/>
              </w:rPr>
              <w:t>e</w:t>
            </w:r>
          </w:p>
        </w:tc>
      </w:tr>
    </w:tbl>
    <w:p w14:paraId="680A8379" w14:textId="03BA350E" w:rsidR="00DA3C93" w:rsidRPr="00DA3C93" w:rsidRDefault="00DA3C93" w:rsidP="00140E32">
      <w:pPr>
        <w:tabs>
          <w:tab w:val="left" w:pos="8550"/>
        </w:tabs>
        <w:rPr>
          <w:szCs w:val="20"/>
        </w:rPr>
      </w:pPr>
    </w:p>
    <w:sectPr w:rsidR="00DA3C93" w:rsidRPr="00DA3C93" w:rsidSect="00B268D5">
      <w:pgSz w:w="11900"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428C" w14:textId="77777777" w:rsidR="001E5DFF" w:rsidRDefault="001E5DFF" w:rsidP="00F45E9C">
      <w:r>
        <w:separator/>
      </w:r>
    </w:p>
  </w:endnote>
  <w:endnote w:type="continuationSeparator" w:id="0">
    <w:p w14:paraId="23CF81F2" w14:textId="77777777" w:rsidR="001E5DFF" w:rsidRDefault="001E5DFF" w:rsidP="00F45E9C">
      <w:r>
        <w:continuationSeparator/>
      </w:r>
    </w:p>
  </w:endnote>
  <w:endnote w:type="continuationNotice" w:id="1">
    <w:p w14:paraId="4FBE91BE" w14:textId="77777777" w:rsidR="001E5DFF" w:rsidRDefault="001E5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00000003" w:usb1="0000000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alibri"/>
    <w:panose1 w:val="02000503040000020004"/>
    <w:charset w:val="4D"/>
    <w:family w:val="auto"/>
    <w:notTrueType/>
    <w:pitch w:val="variable"/>
    <w:sig w:usb0="800000AF" w:usb1="5000205B" w:usb2="00000000" w:usb3="00000000" w:csb0="00000001" w:csb1="00000000"/>
  </w:font>
  <w:font w:name="Lucida Grande">
    <w:altName w:val="Segoe UI"/>
    <w:charset w:val="00"/>
    <w:family w:val="auto"/>
    <w:pitch w:val="variable"/>
    <w:sig w:usb0="00000000"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C91732" w14:textId="299835D0" w:rsidR="00363A85" w:rsidRDefault="00363A85" w:rsidP="00363A85">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1312"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3" style="position:absolute;margin-left:0;margin-top:-231.75pt;width:280.7pt;height:280.65pt;z-index:251661312;mso-position-horizontal:left;mso-position-horizontal-relative:page;mso-width-relative:margin;mso-height-relative:margin" coordsize="39606,39598" o:spid="_x0000_s1026" w14:anchorId="6E6FE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004D2159">
          <w:rPr>
            <w:rFonts w:asciiTheme="minorHAnsi" w:hAnsiTheme="minorHAnsi" w:cstheme="minorHAnsi"/>
            <w:color w:val="70787B"/>
            <w:sz w:val="15"/>
            <w:szCs w:val="15"/>
          </w:rPr>
          <w:t>University Reviews Policy</w:t>
        </w:r>
        <w:r w:rsidRPr="000209B9">
          <w:rPr>
            <w:rFonts w:asciiTheme="minorHAnsi" w:hAnsiTheme="minorHAnsi" w:cstheme="minorHAnsi"/>
            <w:color w:val="70787B"/>
            <w:sz w:val="15"/>
            <w:szCs w:val="15"/>
          </w:rPr>
          <w:t xml:space="preserve"> | </w:t>
        </w:r>
        <w:r w:rsidR="004D2159">
          <w:rPr>
            <w:rFonts w:asciiTheme="minorHAnsi" w:hAnsiTheme="minorHAnsi" w:cstheme="minorHAnsi"/>
            <w:color w:val="70787B"/>
            <w:sz w:val="15"/>
            <w:szCs w:val="15"/>
          </w:rPr>
          <w:t>August 2022</w:t>
        </w:r>
        <w:r w:rsidRPr="000209B9">
          <w:rPr>
            <w:rFonts w:asciiTheme="minorHAnsi" w:hAnsiTheme="minorHAnsi" w:cstheme="minorHAnsi"/>
            <w:color w:val="70787B"/>
            <w:sz w:val="15"/>
            <w:szCs w:val="15"/>
          </w:rPr>
          <w:t xml:space="preserve"> </w:t>
        </w:r>
      </w:p>
      <w:p w14:paraId="77F2A461" w14:textId="77777777" w:rsidR="00131FCC" w:rsidRDefault="00363A85" w:rsidP="00131FC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31FCC" w:rsidRPr="00131FCC">
          <w:rPr>
            <w:rFonts w:asciiTheme="minorHAnsi" w:hAnsiTheme="minorHAnsi" w:cstheme="minorHAnsi"/>
            <w:color w:val="70787B"/>
            <w:sz w:val="15"/>
            <w:szCs w:val="15"/>
          </w:rPr>
          <w:t>2023/0001197</w:t>
        </w:r>
      </w:p>
      <w:p w14:paraId="72E352E7" w14:textId="68253F1A" w:rsidR="00363A85" w:rsidRDefault="00363A85" w:rsidP="00131FCC">
        <w:pPr>
          <w:spacing w:after="0" w:line="240" w:lineRule="auto"/>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7D8B772" w14:textId="230ED25F" w:rsidR="00EC76B1" w:rsidRDefault="004D2159"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University Reviews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August 2022</w:t>
        </w:r>
        <w:r w:rsidR="00EC76B1" w:rsidRPr="000209B9">
          <w:rPr>
            <w:rFonts w:asciiTheme="minorHAnsi" w:hAnsiTheme="minorHAnsi" w:cstheme="minorHAnsi"/>
            <w:color w:val="70787B"/>
            <w:sz w:val="15"/>
            <w:szCs w:val="15"/>
          </w:rPr>
          <w:t xml:space="preserve"> </w:t>
        </w:r>
      </w:p>
      <w:p w14:paraId="0A80812F" w14:textId="1F3974C4" w:rsidR="004D2159" w:rsidRPr="000209B9" w:rsidRDefault="004D2159" w:rsidP="004D2159">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31FCC" w:rsidRPr="00131FCC">
          <w:rPr>
            <w:rFonts w:asciiTheme="minorHAnsi" w:hAnsiTheme="minorHAnsi" w:cstheme="minorHAnsi"/>
            <w:color w:val="70787B"/>
            <w:sz w:val="15"/>
            <w:szCs w:val="15"/>
          </w:rPr>
          <w:t>2023/0001197</w:t>
        </w:r>
      </w:p>
      <w:p w14:paraId="368AFE9B" w14:textId="77777777"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3E16" w14:textId="77777777" w:rsidR="001E5DFF" w:rsidRDefault="001E5DFF" w:rsidP="00F45E9C">
      <w:r>
        <w:separator/>
      </w:r>
    </w:p>
  </w:footnote>
  <w:footnote w:type="continuationSeparator" w:id="0">
    <w:p w14:paraId="03E299C9" w14:textId="77777777" w:rsidR="001E5DFF" w:rsidRDefault="001E5DFF" w:rsidP="00F45E9C">
      <w:r>
        <w:continuationSeparator/>
      </w:r>
    </w:p>
  </w:footnote>
  <w:footnote w:type="continuationNotice" w:id="1">
    <w:p w14:paraId="50F91B7C" w14:textId="77777777" w:rsidR="001E5DFF" w:rsidRDefault="001E5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54A43A4"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7216"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6192"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A679C5">
            <v:shapetype id="_x0000_t5" coordsize="21600,21600" o:spt="5" adj="10800" path="m@0,l,21600r21600,xe" w14:anchorId="30B9882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w:pict>
        </mc:Fallback>
      </mc:AlternateContent>
    </w:r>
    <w:r w:rsidR="00CC69B4"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CCE558"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9264"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0E515CFF"/>
    <w:multiLevelType w:val="hybridMultilevel"/>
    <w:tmpl w:val="D0980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6"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4540043">
    <w:abstractNumId w:val="6"/>
  </w:num>
  <w:num w:numId="2" w16cid:durableId="6249300">
    <w:abstractNumId w:val="3"/>
  </w:num>
  <w:num w:numId="3" w16cid:durableId="1898584278">
    <w:abstractNumId w:val="16"/>
  </w:num>
  <w:num w:numId="4" w16cid:durableId="620653948">
    <w:abstractNumId w:val="32"/>
  </w:num>
  <w:num w:numId="5" w16cid:durableId="1261261513">
    <w:abstractNumId w:val="20"/>
  </w:num>
  <w:num w:numId="6" w16cid:durableId="1546721114">
    <w:abstractNumId w:val="18"/>
  </w:num>
  <w:num w:numId="7" w16cid:durableId="1861427984">
    <w:abstractNumId w:val="23"/>
  </w:num>
  <w:num w:numId="8" w16cid:durableId="26293399">
    <w:abstractNumId w:val="5"/>
  </w:num>
  <w:num w:numId="9" w16cid:durableId="1341814844">
    <w:abstractNumId w:val="9"/>
  </w:num>
  <w:num w:numId="10" w16cid:durableId="908727549">
    <w:abstractNumId w:val="27"/>
  </w:num>
  <w:num w:numId="11" w16cid:durableId="1434858766">
    <w:abstractNumId w:val="14"/>
  </w:num>
  <w:num w:numId="12" w16cid:durableId="1001659866">
    <w:abstractNumId w:val="24"/>
  </w:num>
  <w:num w:numId="13" w16cid:durableId="1928923744">
    <w:abstractNumId w:val="4"/>
  </w:num>
  <w:num w:numId="14" w16cid:durableId="913710346">
    <w:abstractNumId w:val="25"/>
  </w:num>
  <w:num w:numId="15" w16cid:durableId="542253631">
    <w:abstractNumId w:val="2"/>
  </w:num>
  <w:num w:numId="16" w16cid:durableId="2047825065">
    <w:abstractNumId w:val="10"/>
  </w:num>
  <w:num w:numId="17" w16cid:durableId="1440905511">
    <w:abstractNumId w:val="0"/>
  </w:num>
  <w:num w:numId="18" w16cid:durableId="121581191">
    <w:abstractNumId w:val="19"/>
  </w:num>
  <w:num w:numId="19" w16cid:durableId="58210336">
    <w:abstractNumId w:val="21"/>
  </w:num>
  <w:num w:numId="20" w16cid:durableId="821510478">
    <w:abstractNumId w:val="15"/>
  </w:num>
  <w:num w:numId="21" w16cid:durableId="640581465">
    <w:abstractNumId w:val="13"/>
  </w:num>
  <w:num w:numId="22" w16cid:durableId="592787508">
    <w:abstractNumId w:val="12"/>
  </w:num>
  <w:num w:numId="23" w16cid:durableId="177931461">
    <w:abstractNumId w:val="22"/>
  </w:num>
  <w:num w:numId="24" w16cid:durableId="2084450978">
    <w:abstractNumId w:val="30"/>
  </w:num>
  <w:num w:numId="25" w16cid:durableId="726144388">
    <w:abstractNumId w:val="17"/>
  </w:num>
  <w:num w:numId="26" w16cid:durableId="136185030">
    <w:abstractNumId w:val="7"/>
  </w:num>
  <w:num w:numId="27" w16cid:durableId="306667800">
    <w:abstractNumId w:val="11"/>
  </w:num>
  <w:num w:numId="28" w16cid:durableId="238487848">
    <w:abstractNumId w:val="26"/>
  </w:num>
  <w:num w:numId="29" w16cid:durableId="214318942">
    <w:abstractNumId w:val="8"/>
  </w:num>
  <w:num w:numId="30" w16cid:durableId="750782968">
    <w:abstractNumId w:val="28"/>
  </w:num>
  <w:num w:numId="31" w16cid:durableId="1348094224">
    <w:abstractNumId w:val="31"/>
  </w:num>
  <w:num w:numId="32" w16cid:durableId="1381783465">
    <w:abstractNumId w:val="29"/>
  </w:num>
  <w:num w:numId="33" w16cid:durableId="904997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72F6"/>
    <w:rsid w:val="00037E6F"/>
    <w:rsid w:val="000408E3"/>
    <w:rsid w:val="00040BB8"/>
    <w:rsid w:val="00041B5B"/>
    <w:rsid w:val="00042E2C"/>
    <w:rsid w:val="00045D5F"/>
    <w:rsid w:val="00050910"/>
    <w:rsid w:val="00051573"/>
    <w:rsid w:val="00052E7B"/>
    <w:rsid w:val="00053A5F"/>
    <w:rsid w:val="000576DF"/>
    <w:rsid w:val="000674C0"/>
    <w:rsid w:val="00071436"/>
    <w:rsid w:val="00081FC0"/>
    <w:rsid w:val="00091575"/>
    <w:rsid w:val="000A63B9"/>
    <w:rsid w:val="000B3767"/>
    <w:rsid w:val="000B7D0C"/>
    <w:rsid w:val="000D5843"/>
    <w:rsid w:val="000E2A8A"/>
    <w:rsid w:val="000E46E9"/>
    <w:rsid w:val="000E4CBE"/>
    <w:rsid w:val="000E5D52"/>
    <w:rsid w:val="000E5D83"/>
    <w:rsid w:val="000F0714"/>
    <w:rsid w:val="000F0B20"/>
    <w:rsid w:val="00102763"/>
    <w:rsid w:val="00102D19"/>
    <w:rsid w:val="001040E4"/>
    <w:rsid w:val="00105063"/>
    <w:rsid w:val="0010768E"/>
    <w:rsid w:val="00122CF0"/>
    <w:rsid w:val="001254E2"/>
    <w:rsid w:val="0013141E"/>
    <w:rsid w:val="00131FCC"/>
    <w:rsid w:val="00140E32"/>
    <w:rsid w:val="00147A35"/>
    <w:rsid w:val="00147B11"/>
    <w:rsid w:val="00152D7D"/>
    <w:rsid w:val="001537D5"/>
    <w:rsid w:val="00162972"/>
    <w:rsid w:val="001735D3"/>
    <w:rsid w:val="0017412E"/>
    <w:rsid w:val="00180673"/>
    <w:rsid w:val="00180A28"/>
    <w:rsid w:val="00181BF5"/>
    <w:rsid w:val="00192ACD"/>
    <w:rsid w:val="001957E9"/>
    <w:rsid w:val="001A0DF5"/>
    <w:rsid w:val="001A138A"/>
    <w:rsid w:val="001A1ABF"/>
    <w:rsid w:val="001A1FEC"/>
    <w:rsid w:val="001D0C8A"/>
    <w:rsid w:val="001D0DB6"/>
    <w:rsid w:val="001D2660"/>
    <w:rsid w:val="001E5DFF"/>
    <w:rsid w:val="001E6438"/>
    <w:rsid w:val="001F6344"/>
    <w:rsid w:val="002015FA"/>
    <w:rsid w:val="002043F8"/>
    <w:rsid w:val="002241DB"/>
    <w:rsid w:val="00224B0B"/>
    <w:rsid w:val="00231E7F"/>
    <w:rsid w:val="00246CB4"/>
    <w:rsid w:val="00257E43"/>
    <w:rsid w:val="002622BC"/>
    <w:rsid w:val="0027526D"/>
    <w:rsid w:val="00292052"/>
    <w:rsid w:val="002A1DE8"/>
    <w:rsid w:val="002A78A0"/>
    <w:rsid w:val="002B02ED"/>
    <w:rsid w:val="002B100C"/>
    <w:rsid w:val="002B5AE6"/>
    <w:rsid w:val="002C4450"/>
    <w:rsid w:val="002D64A4"/>
    <w:rsid w:val="002E1C61"/>
    <w:rsid w:val="002E4FA8"/>
    <w:rsid w:val="002F13EA"/>
    <w:rsid w:val="002F5132"/>
    <w:rsid w:val="002F52A9"/>
    <w:rsid w:val="003045F8"/>
    <w:rsid w:val="00322FF9"/>
    <w:rsid w:val="00332215"/>
    <w:rsid w:val="00332EC1"/>
    <w:rsid w:val="00333B53"/>
    <w:rsid w:val="003504C4"/>
    <w:rsid w:val="00350CB0"/>
    <w:rsid w:val="00350DE3"/>
    <w:rsid w:val="00352033"/>
    <w:rsid w:val="00363A85"/>
    <w:rsid w:val="003664F0"/>
    <w:rsid w:val="00370E3F"/>
    <w:rsid w:val="003757C4"/>
    <w:rsid w:val="0037658D"/>
    <w:rsid w:val="00376FB2"/>
    <w:rsid w:val="00382F39"/>
    <w:rsid w:val="003873FF"/>
    <w:rsid w:val="003B0C9A"/>
    <w:rsid w:val="003B1D32"/>
    <w:rsid w:val="003C20B4"/>
    <w:rsid w:val="003C4CA3"/>
    <w:rsid w:val="003D0FE4"/>
    <w:rsid w:val="003D418D"/>
    <w:rsid w:val="003D51F2"/>
    <w:rsid w:val="003D5267"/>
    <w:rsid w:val="003D5B12"/>
    <w:rsid w:val="003E0B6D"/>
    <w:rsid w:val="003E1E69"/>
    <w:rsid w:val="003E514B"/>
    <w:rsid w:val="003F2781"/>
    <w:rsid w:val="004127D7"/>
    <w:rsid w:val="00413A8A"/>
    <w:rsid w:val="004144E6"/>
    <w:rsid w:val="00414B79"/>
    <w:rsid w:val="00423383"/>
    <w:rsid w:val="00441014"/>
    <w:rsid w:val="004415B7"/>
    <w:rsid w:val="004430BB"/>
    <w:rsid w:val="00452F4C"/>
    <w:rsid w:val="00457151"/>
    <w:rsid w:val="00463053"/>
    <w:rsid w:val="00464423"/>
    <w:rsid w:val="00470DC3"/>
    <w:rsid w:val="004723ED"/>
    <w:rsid w:val="00473800"/>
    <w:rsid w:val="004A6E71"/>
    <w:rsid w:val="004B25E1"/>
    <w:rsid w:val="004B38E1"/>
    <w:rsid w:val="004C49E3"/>
    <w:rsid w:val="004D0EE6"/>
    <w:rsid w:val="004D2159"/>
    <w:rsid w:val="004D2BE0"/>
    <w:rsid w:val="004D7998"/>
    <w:rsid w:val="004F3E9A"/>
    <w:rsid w:val="00500023"/>
    <w:rsid w:val="0050415F"/>
    <w:rsid w:val="005104A1"/>
    <w:rsid w:val="00511137"/>
    <w:rsid w:val="005244E8"/>
    <w:rsid w:val="00525A06"/>
    <w:rsid w:val="00525C75"/>
    <w:rsid w:val="00541F5A"/>
    <w:rsid w:val="0054556E"/>
    <w:rsid w:val="00545FF8"/>
    <w:rsid w:val="00547ADF"/>
    <w:rsid w:val="00553B87"/>
    <w:rsid w:val="0055651E"/>
    <w:rsid w:val="00557E43"/>
    <w:rsid w:val="00560079"/>
    <w:rsid w:val="00564685"/>
    <w:rsid w:val="005649EC"/>
    <w:rsid w:val="005703AB"/>
    <w:rsid w:val="005738ED"/>
    <w:rsid w:val="00573A3D"/>
    <w:rsid w:val="005758D8"/>
    <w:rsid w:val="00577FA9"/>
    <w:rsid w:val="005859FB"/>
    <w:rsid w:val="00590C60"/>
    <w:rsid w:val="005A03C1"/>
    <w:rsid w:val="005A09EF"/>
    <w:rsid w:val="005A5C5C"/>
    <w:rsid w:val="005A612B"/>
    <w:rsid w:val="005B5914"/>
    <w:rsid w:val="005B5C34"/>
    <w:rsid w:val="005C15C5"/>
    <w:rsid w:val="005C3DBA"/>
    <w:rsid w:val="005E2BCC"/>
    <w:rsid w:val="005E4006"/>
    <w:rsid w:val="00611E7C"/>
    <w:rsid w:val="00620C28"/>
    <w:rsid w:val="00644E20"/>
    <w:rsid w:val="006464C6"/>
    <w:rsid w:val="00647006"/>
    <w:rsid w:val="00650F00"/>
    <w:rsid w:val="0065542A"/>
    <w:rsid w:val="006616B3"/>
    <w:rsid w:val="006626D7"/>
    <w:rsid w:val="00667F87"/>
    <w:rsid w:val="006724AD"/>
    <w:rsid w:val="00674AC7"/>
    <w:rsid w:val="00676E5C"/>
    <w:rsid w:val="00683E5F"/>
    <w:rsid w:val="00686AED"/>
    <w:rsid w:val="00696054"/>
    <w:rsid w:val="006A4F70"/>
    <w:rsid w:val="006B5D3A"/>
    <w:rsid w:val="006C182A"/>
    <w:rsid w:val="006C2418"/>
    <w:rsid w:val="006D1A97"/>
    <w:rsid w:val="006E7F3A"/>
    <w:rsid w:val="00701F3E"/>
    <w:rsid w:val="00702795"/>
    <w:rsid w:val="00704A2C"/>
    <w:rsid w:val="00707E82"/>
    <w:rsid w:val="0071121B"/>
    <w:rsid w:val="0071388E"/>
    <w:rsid w:val="0071437D"/>
    <w:rsid w:val="007176E3"/>
    <w:rsid w:val="0072491E"/>
    <w:rsid w:val="00742899"/>
    <w:rsid w:val="007527C8"/>
    <w:rsid w:val="0075505C"/>
    <w:rsid w:val="0075730D"/>
    <w:rsid w:val="00761065"/>
    <w:rsid w:val="0076122F"/>
    <w:rsid w:val="007706AB"/>
    <w:rsid w:val="00771F35"/>
    <w:rsid w:val="00773B30"/>
    <w:rsid w:val="0077631B"/>
    <w:rsid w:val="00776C5D"/>
    <w:rsid w:val="007837D8"/>
    <w:rsid w:val="00784315"/>
    <w:rsid w:val="007866BC"/>
    <w:rsid w:val="0078767D"/>
    <w:rsid w:val="0079386C"/>
    <w:rsid w:val="00797551"/>
    <w:rsid w:val="007A3046"/>
    <w:rsid w:val="007A578C"/>
    <w:rsid w:val="007B23FB"/>
    <w:rsid w:val="007B685A"/>
    <w:rsid w:val="007C00D0"/>
    <w:rsid w:val="007C744D"/>
    <w:rsid w:val="007D2C38"/>
    <w:rsid w:val="007E7482"/>
    <w:rsid w:val="007F1C81"/>
    <w:rsid w:val="00807345"/>
    <w:rsid w:val="008075B2"/>
    <w:rsid w:val="00813D87"/>
    <w:rsid w:val="00823301"/>
    <w:rsid w:val="00825110"/>
    <w:rsid w:val="008267C5"/>
    <w:rsid w:val="00830E02"/>
    <w:rsid w:val="00831703"/>
    <w:rsid w:val="00834839"/>
    <w:rsid w:val="00843997"/>
    <w:rsid w:val="0084695A"/>
    <w:rsid w:val="008542C4"/>
    <w:rsid w:val="00854ED8"/>
    <w:rsid w:val="0086273D"/>
    <w:rsid w:val="00863385"/>
    <w:rsid w:val="00871013"/>
    <w:rsid w:val="00881903"/>
    <w:rsid w:val="008B48A8"/>
    <w:rsid w:val="008B625E"/>
    <w:rsid w:val="008C56C6"/>
    <w:rsid w:val="008D14C7"/>
    <w:rsid w:val="008E4302"/>
    <w:rsid w:val="008E4C9F"/>
    <w:rsid w:val="008E5D69"/>
    <w:rsid w:val="008E7228"/>
    <w:rsid w:val="008F42AC"/>
    <w:rsid w:val="008F5D03"/>
    <w:rsid w:val="00902125"/>
    <w:rsid w:val="00911012"/>
    <w:rsid w:val="0091111B"/>
    <w:rsid w:val="00911B41"/>
    <w:rsid w:val="0091205A"/>
    <w:rsid w:val="00912993"/>
    <w:rsid w:val="009252DB"/>
    <w:rsid w:val="0092637C"/>
    <w:rsid w:val="00926581"/>
    <w:rsid w:val="00933D23"/>
    <w:rsid w:val="009459B4"/>
    <w:rsid w:val="00945B70"/>
    <w:rsid w:val="00946B2D"/>
    <w:rsid w:val="00954F24"/>
    <w:rsid w:val="00960E56"/>
    <w:rsid w:val="0096474B"/>
    <w:rsid w:val="0097437D"/>
    <w:rsid w:val="00974E55"/>
    <w:rsid w:val="00980F8E"/>
    <w:rsid w:val="00983C8A"/>
    <w:rsid w:val="0098690D"/>
    <w:rsid w:val="0098747B"/>
    <w:rsid w:val="00990C3D"/>
    <w:rsid w:val="0099187B"/>
    <w:rsid w:val="0099689E"/>
    <w:rsid w:val="00997D62"/>
    <w:rsid w:val="009B3179"/>
    <w:rsid w:val="009B7685"/>
    <w:rsid w:val="009C3D6A"/>
    <w:rsid w:val="009D7B08"/>
    <w:rsid w:val="009E2F2F"/>
    <w:rsid w:val="009F15CB"/>
    <w:rsid w:val="009F313A"/>
    <w:rsid w:val="009F6603"/>
    <w:rsid w:val="009F66F7"/>
    <w:rsid w:val="00A04082"/>
    <w:rsid w:val="00A127BD"/>
    <w:rsid w:val="00A1311D"/>
    <w:rsid w:val="00A24E55"/>
    <w:rsid w:val="00A25AA1"/>
    <w:rsid w:val="00A40D57"/>
    <w:rsid w:val="00A50C42"/>
    <w:rsid w:val="00A50ED4"/>
    <w:rsid w:val="00A60321"/>
    <w:rsid w:val="00A63331"/>
    <w:rsid w:val="00A64338"/>
    <w:rsid w:val="00A65908"/>
    <w:rsid w:val="00A7785F"/>
    <w:rsid w:val="00A84CEC"/>
    <w:rsid w:val="00A8677D"/>
    <w:rsid w:val="00A95F56"/>
    <w:rsid w:val="00A961AC"/>
    <w:rsid w:val="00AA227D"/>
    <w:rsid w:val="00AA4460"/>
    <w:rsid w:val="00AB30DD"/>
    <w:rsid w:val="00AB5659"/>
    <w:rsid w:val="00AB79FC"/>
    <w:rsid w:val="00AC25B5"/>
    <w:rsid w:val="00AD12FC"/>
    <w:rsid w:val="00AE4EA8"/>
    <w:rsid w:val="00AF3B1E"/>
    <w:rsid w:val="00AF4034"/>
    <w:rsid w:val="00AF5BF6"/>
    <w:rsid w:val="00B03A41"/>
    <w:rsid w:val="00B04BAA"/>
    <w:rsid w:val="00B12E6A"/>
    <w:rsid w:val="00B17881"/>
    <w:rsid w:val="00B25419"/>
    <w:rsid w:val="00B25A19"/>
    <w:rsid w:val="00B268D5"/>
    <w:rsid w:val="00B306C2"/>
    <w:rsid w:val="00B34AA7"/>
    <w:rsid w:val="00B4330B"/>
    <w:rsid w:val="00B43C60"/>
    <w:rsid w:val="00B53615"/>
    <w:rsid w:val="00B67268"/>
    <w:rsid w:val="00B847D5"/>
    <w:rsid w:val="00B90033"/>
    <w:rsid w:val="00B954C5"/>
    <w:rsid w:val="00BA5B5E"/>
    <w:rsid w:val="00BA729F"/>
    <w:rsid w:val="00BA7F01"/>
    <w:rsid w:val="00BB332B"/>
    <w:rsid w:val="00BB407A"/>
    <w:rsid w:val="00BB66B5"/>
    <w:rsid w:val="00BC3ED3"/>
    <w:rsid w:val="00BC55CF"/>
    <w:rsid w:val="00BD083F"/>
    <w:rsid w:val="00BF01F5"/>
    <w:rsid w:val="00BF4C05"/>
    <w:rsid w:val="00C13854"/>
    <w:rsid w:val="00C16500"/>
    <w:rsid w:val="00C311BE"/>
    <w:rsid w:val="00C31ECA"/>
    <w:rsid w:val="00C33CC5"/>
    <w:rsid w:val="00C40554"/>
    <w:rsid w:val="00C43588"/>
    <w:rsid w:val="00C44A1B"/>
    <w:rsid w:val="00C5755D"/>
    <w:rsid w:val="00C61357"/>
    <w:rsid w:val="00C64897"/>
    <w:rsid w:val="00C655EF"/>
    <w:rsid w:val="00C74FCB"/>
    <w:rsid w:val="00C80F2E"/>
    <w:rsid w:val="00C87FBA"/>
    <w:rsid w:val="00C91165"/>
    <w:rsid w:val="00C96814"/>
    <w:rsid w:val="00CA74F9"/>
    <w:rsid w:val="00CB102C"/>
    <w:rsid w:val="00CB5A81"/>
    <w:rsid w:val="00CC43B2"/>
    <w:rsid w:val="00CC69B4"/>
    <w:rsid w:val="00CD4DCE"/>
    <w:rsid w:val="00CD6D22"/>
    <w:rsid w:val="00CE0A50"/>
    <w:rsid w:val="00CE4484"/>
    <w:rsid w:val="00CF2EBA"/>
    <w:rsid w:val="00D06DE9"/>
    <w:rsid w:val="00D20DE3"/>
    <w:rsid w:val="00D31975"/>
    <w:rsid w:val="00D33E0C"/>
    <w:rsid w:val="00D35A2C"/>
    <w:rsid w:val="00D44766"/>
    <w:rsid w:val="00D5114B"/>
    <w:rsid w:val="00D66192"/>
    <w:rsid w:val="00D6694E"/>
    <w:rsid w:val="00D66ECF"/>
    <w:rsid w:val="00D67F1F"/>
    <w:rsid w:val="00D725A0"/>
    <w:rsid w:val="00D85007"/>
    <w:rsid w:val="00D855AA"/>
    <w:rsid w:val="00D86597"/>
    <w:rsid w:val="00D87683"/>
    <w:rsid w:val="00D87A3F"/>
    <w:rsid w:val="00D94F19"/>
    <w:rsid w:val="00D95767"/>
    <w:rsid w:val="00DA348D"/>
    <w:rsid w:val="00DA3C93"/>
    <w:rsid w:val="00DB46CC"/>
    <w:rsid w:val="00DD7190"/>
    <w:rsid w:val="00DD72B2"/>
    <w:rsid w:val="00DE207C"/>
    <w:rsid w:val="00DE745A"/>
    <w:rsid w:val="00DF173D"/>
    <w:rsid w:val="00DF2436"/>
    <w:rsid w:val="00E00AD2"/>
    <w:rsid w:val="00E02A2F"/>
    <w:rsid w:val="00E036DA"/>
    <w:rsid w:val="00E149BA"/>
    <w:rsid w:val="00E14ADF"/>
    <w:rsid w:val="00E166AD"/>
    <w:rsid w:val="00E17726"/>
    <w:rsid w:val="00E21235"/>
    <w:rsid w:val="00E225C6"/>
    <w:rsid w:val="00E40567"/>
    <w:rsid w:val="00E406BB"/>
    <w:rsid w:val="00E5631A"/>
    <w:rsid w:val="00E61154"/>
    <w:rsid w:val="00E84FFA"/>
    <w:rsid w:val="00E86FBC"/>
    <w:rsid w:val="00EA00C0"/>
    <w:rsid w:val="00EA268C"/>
    <w:rsid w:val="00EA6390"/>
    <w:rsid w:val="00EA6454"/>
    <w:rsid w:val="00EB67EB"/>
    <w:rsid w:val="00EB789F"/>
    <w:rsid w:val="00EC0BCC"/>
    <w:rsid w:val="00EC76B1"/>
    <w:rsid w:val="00ED12B6"/>
    <w:rsid w:val="00EE02E1"/>
    <w:rsid w:val="00EE421A"/>
    <w:rsid w:val="00EE646E"/>
    <w:rsid w:val="00EF083E"/>
    <w:rsid w:val="00EF0FC1"/>
    <w:rsid w:val="00EF26D0"/>
    <w:rsid w:val="00EF2D1C"/>
    <w:rsid w:val="00EF4F3F"/>
    <w:rsid w:val="00F014A2"/>
    <w:rsid w:val="00F02DBB"/>
    <w:rsid w:val="00F035C0"/>
    <w:rsid w:val="00F06B1A"/>
    <w:rsid w:val="00F13E06"/>
    <w:rsid w:val="00F3151F"/>
    <w:rsid w:val="00F41226"/>
    <w:rsid w:val="00F45E9C"/>
    <w:rsid w:val="00F53069"/>
    <w:rsid w:val="00F5679E"/>
    <w:rsid w:val="00F65E11"/>
    <w:rsid w:val="00F673C0"/>
    <w:rsid w:val="00F801FF"/>
    <w:rsid w:val="00F814A4"/>
    <w:rsid w:val="00F92F84"/>
    <w:rsid w:val="00F97A5A"/>
    <w:rsid w:val="00F97A64"/>
    <w:rsid w:val="00FA1219"/>
    <w:rsid w:val="00FA64E1"/>
    <w:rsid w:val="00FB0914"/>
    <w:rsid w:val="00FB353A"/>
    <w:rsid w:val="00FB60AE"/>
    <w:rsid w:val="00FB6309"/>
    <w:rsid w:val="00FB7F8C"/>
    <w:rsid w:val="00FC11A6"/>
    <w:rsid w:val="00FC25DD"/>
    <w:rsid w:val="00FC4968"/>
    <w:rsid w:val="00FC4EBB"/>
    <w:rsid w:val="00FC5552"/>
    <w:rsid w:val="00FD4F36"/>
    <w:rsid w:val="00FD5A49"/>
    <w:rsid w:val="00FE0943"/>
    <w:rsid w:val="00FE28CF"/>
    <w:rsid w:val="00FE505D"/>
    <w:rsid w:val="00FF59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380717665">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044907368">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06795648">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riffith.edu.au/resources/corporate-services/organisational-reviews/organisational-reviews-documents/organisational-reviews-documents/Terms-of-Reference-_-Academic-Review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harepointpubstor.blob.core.windows.net/policylibrary-prod/Research%20Entity%20Policy.pdf" TargetMode="External"/><Relationship Id="rId2" Type="http://schemas.openxmlformats.org/officeDocument/2006/relationships/customXml" Target="../customXml/item2.xml"/><Relationship Id="rId16" Type="http://schemas.openxmlformats.org/officeDocument/2006/relationships/hyperlink" Target="http://policies.griffith.edu.au/pdf/Framework%20for%20Quality%20Assur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eqsa.gov.au/higher-education-standards-framework-20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2021-02-05T11:17:42+00:00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To establish the principles that guide the University’s regular, seven-yearly cycle of systematic, independent reviews across its academic areas and its thematic reviews. </policysummary>
    <PolicyCategoryPath xmlns="2f261a70-825f-4a37-b7b5-f6ecc2f4c5fa">Governance</PolicyCategoryPath>
    <PolicyCategory0 xmlns="2f261a70-825f-4a37-b7b5-f6ecc2f4c5fa">General</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bf18eb1e-8f44-438e-897b-4736b1e3ad25</TermId>
        </TermInfo>
      </Terms>
    </cb2cae79e6954dd59be5b9155b36b74a>
    <GlossaryValues xmlns="2f261a70-825f-4a37-b7b5-f6ecc2f4c5fa" xsi:nil="true"/>
    <TaxCatchAll xmlns="b40c662e-0380-4817-843d-2c7e10d40c39">
      <Value>559</Value>
      <Value>116</Value>
      <Value>523</Value>
      <Value>9</Value>
      <Value>75</Value>
      <Value>69</Value>
    </TaxCatchAll>
    <PolicyCategoryParent xmlns="2f261a70-825f-4a37-b7b5-f6ecc2f4c5fa">Governance</PolicyCategoryParent>
    <LastPublished xmlns="2f261a70-825f-4a37-b7b5-f6ecc2f4c5fa" xsi:nil="true"/>
    <doccomments xmlns="2f261a70-825f-4a37-b7b5-f6ecc2f4c5fa">25/07/2023 - Swapped the dates around for 'Approval date' and 'Effective date' to correct an administrative error, at the request of Manager, Committee Services.
07/04/2022 - COO approved administrative updates for policy references from DVC(E) to Provost.
27/03/2024 - Related Policy Documents - update to rescinded Research Centres and Institutes Policy now Research Entity Policy.</doccomments>
    <datedeclared xmlns="2f261a70-825f-4a37-b7b5-f6ecc2f4c5fa">2016-12-04T14:00:00+00:00</datedeclared>
    <PrivatePolicy xmlns="2f261a70-825f-4a37-b7b5-f6ecc2f4c5fa">false</PrivatePolicy>
    <policyadvisor xmlns="2f261a70-825f-4a37-b7b5-f6ecc2f4c5fa">
      <UserInfo>
        <DisplayName>Rosemary Marson</DisplayName>
        <AccountId>85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1EF6D-DC33-46E7-8058-16E6A8E4F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F7AD6-2D24-452C-BA2D-4C1DD94A6C30}">
  <ds:schemaRefs>
    <ds:schemaRef ds:uri="http://purl.org/dc/terms/"/>
    <ds:schemaRef ds:uri="http://purl.org/dc/dcmitype/"/>
    <ds:schemaRef ds:uri="b40c662e-0380-4817-843d-2c7e10d40c39"/>
    <ds:schemaRef ds:uri="http://schemas.microsoft.com/office/infopath/2007/PartnerControls"/>
    <ds:schemaRef ds:uri="http://schemas.microsoft.com/office/2006/documentManagement/types"/>
    <ds:schemaRef ds:uri="http://schemas.openxmlformats.org/package/2006/metadata/core-properties"/>
    <ds:schemaRef ds:uri="2f261a70-825f-4a37-b7b5-f6ecc2f4c5fa"/>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4</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Reviews Policy</dc:title>
  <dc:subject/>
  <dc:creator>Rebecca Voisey</dc:creator>
  <cp:keywords/>
  <dc:description/>
  <cp:lastModifiedBy>Donna Kalaentzis</cp:lastModifiedBy>
  <cp:revision>4</cp:revision>
  <cp:lastPrinted>2019-10-02T04:35:00Z</cp:lastPrinted>
  <dcterms:created xsi:type="dcterms:W3CDTF">2023-12-11T00:00:00Z</dcterms:created>
  <dcterms:modified xsi:type="dcterms:W3CDTF">2024-03-27T03:52:00Z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9;#Quality Assurance|bf18eb1e-8f44-438e-897b-4736b1e3ad25</vt:lpwstr>
  </property>
  <property fmtid="{D5CDD505-2E9C-101B-9397-08002B2CF9AE}" pid="11" name="_dlc_policyId">
    <vt:lpwstr>0x010100CCB10AA9A57F62429EA6968F7587FFF2|1453938073</vt:lpwstr>
  </property>
  <property fmtid="{D5CDD505-2E9C-101B-9397-08002B2CF9AE}" pid="12" name="appauthority">
    <vt:lpwstr>559;#Provost|bee6e04a-89d5-44a2-a3ef-d33cdfe1b4af</vt:lpwstr>
  </property>
  <property fmtid="{D5CDD505-2E9C-101B-9397-08002B2CF9AE}" pid="13" name="policycategory">
    <vt:lpwstr>69;#Policy|9279309a-7669-47c5-bf96-cc165d8b3ede</vt:lpwstr>
  </property>
  <property fmtid="{D5CDD505-2E9C-101B-9397-08002B2CF9AE}" pid="14" name="officearea">
    <vt:lpwstr/>
  </property>
  <property fmtid="{D5CDD505-2E9C-101B-9397-08002B2CF9AE}" pid="15" name="DelayPublish">
    <vt:lpwstr>No</vt:lpwstr>
  </property>
  <property fmtid="{D5CDD505-2E9C-101B-9397-08002B2CF9AE}" pid="16" name="source_item_id">
    <vt:lpwstr>33</vt:lpwstr>
  </property>
  <property fmtid="{D5CDD505-2E9C-101B-9397-08002B2CF9AE}" pid="17" name="Category Type">
    <vt:lpwstr>22;#Policy|6ea67854-4618-4b05-bd31-1dfafb0e2b14</vt:lpwstr>
  </property>
  <property fmtid="{D5CDD505-2E9C-101B-9397-08002B2CF9AE}" pid="18" name="Audience1">
    <vt:lpwstr>18;#Public|2e32f779-957b-4e5f-8f16-2a5213d3cb23;#19;#Staff|234b4c02-4f11-4558-b1da-d19b9b209556</vt:lpwstr>
  </property>
  <property fmtid="{D5CDD505-2E9C-101B-9397-08002B2CF9AE}" pid="19" name="HTML Link">
    <vt:lpwstr>https://policies-admin.griffith.edu.au/pdf/University%20Reviews%20Policy.pdf, View PDF Version</vt:lpwstr>
  </property>
  <property fmtid="{D5CDD505-2E9C-101B-9397-08002B2CF9AE}" pid="20" name="xd_Signature">
    <vt:bool>false</vt:bool>
  </property>
  <property fmtid="{D5CDD505-2E9C-101B-9397-08002B2CF9AE}" pid="21" name="policy_x002d_category">
    <vt:lpwstr/>
  </property>
  <property fmtid="{D5CDD505-2E9C-101B-9397-08002B2CF9AE}" pid="2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23" name="glossaryterms">
    <vt:lpwstr/>
  </property>
  <property fmtid="{D5CDD505-2E9C-101B-9397-08002B2CF9AE}" pid="24" name="policyreview">
    <vt:lpwstr>116;#2025|fa1cf741-e18b-4093-9127-a4b8f49df0e9</vt:lpwstr>
  </property>
  <property fmtid="{D5CDD505-2E9C-101B-9397-08002B2CF9AE}" pid="25" name="policyaudience">
    <vt:lpwstr>75;#Public|57bf670e-9d88-4715-a670-60ecbe232471</vt:lpwstr>
  </property>
  <property fmtid="{D5CDD505-2E9C-101B-9397-08002B2CF9AE}" pid="26" name="Managed_Testing_Field">
    <vt:lpwstr/>
  </property>
  <property fmtid="{D5CDD505-2E9C-101B-9397-08002B2CF9AE}" pid="27" name="policy-category">
    <vt:lpwstr>523;#Governance|e8af2691-64d4-44bf-9420-48218dcedae8</vt:lpwstr>
  </property>
  <property fmtid="{D5CDD505-2E9C-101B-9397-08002B2CF9AE}" pid="28" name="MSIP_Label_adaa4be3-f650-4692-881a-64ae220cbceb_Enabled">
    <vt:lpwstr>true</vt:lpwstr>
  </property>
  <property fmtid="{D5CDD505-2E9C-101B-9397-08002B2CF9AE}" pid="29" name="MSIP_Label_adaa4be3-f650-4692-881a-64ae220cbceb_SetDate">
    <vt:lpwstr>2022-12-12T04:54:36Z</vt:lpwstr>
  </property>
  <property fmtid="{D5CDD505-2E9C-101B-9397-08002B2CF9AE}" pid="30" name="MSIP_Label_adaa4be3-f650-4692-881a-64ae220cbceb_Method">
    <vt:lpwstr>Standard</vt:lpwstr>
  </property>
  <property fmtid="{D5CDD505-2E9C-101B-9397-08002B2CF9AE}" pid="31" name="MSIP_Label_adaa4be3-f650-4692-881a-64ae220cbceb_Name">
    <vt:lpwstr>OFFICIAL  Internal (External sharing)</vt:lpwstr>
  </property>
  <property fmtid="{D5CDD505-2E9C-101B-9397-08002B2CF9AE}" pid="32" name="MSIP_Label_adaa4be3-f650-4692-881a-64ae220cbceb_SiteId">
    <vt:lpwstr>5a7cc8ab-a4dc-4f9b-bf60-66714049ad62</vt:lpwstr>
  </property>
  <property fmtid="{D5CDD505-2E9C-101B-9397-08002B2CF9AE}" pid="33" name="MSIP_Label_adaa4be3-f650-4692-881a-64ae220cbceb_ActionId">
    <vt:lpwstr>56559e8b-1092-43c9-9af8-a4635854e873</vt:lpwstr>
  </property>
  <property fmtid="{D5CDD505-2E9C-101B-9397-08002B2CF9AE}" pid="34" name="MSIP_Label_adaa4be3-f650-4692-881a-64ae220cbceb_ContentBits">
    <vt:lpwstr>0</vt:lpwstr>
  </property>
</Properties>
</file>