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08DB653" w:rsidR="00ED6047" w:rsidRPr="00372624" w:rsidRDefault="00237C78" w:rsidP="00A144B2">
      <w:pPr>
        <w:pStyle w:val="Heading1"/>
        <w:spacing w:before="0" w:after="240"/>
        <w:rPr>
          <w:rFonts w:ascii="Arial" w:hAnsi="Arial" w:cs="Arial"/>
          <w:sz w:val="52"/>
          <w:szCs w:val="32"/>
        </w:rPr>
      </w:pPr>
      <w:r w:rsidRPr="00372624">
        <w:rPr>
          <w:rFonts w:ascii="Arial" w:hAnsi="Arial" w:cs="Arial"/>
          <w:sz w:val="52"/>
          <w:szCs w:val="32"/>
        </w:rPr>
        <w:t>Transition and Teach Out</w:t>
      </w:r>
    </w:p>
    <w:p w14:paraId="4B56D564" w14:textId="33010313" w:rsidR="00A144B2" w:rsidRPr="00F76B24" w:rsidRDefault="00D30451" w:rsidP="00F76B24">
      <w:pPr>
        <w:spacing w:after="0"/>
        <w:rPr>
          <w:rStyle w:val="Hyperlink"/>
          <w:sz w:val="24"/>
          <w:szCs w:val="18"/>
        </w:rPr>
      </w:pPr>
      <w:hyperlink w:anchor="_1.0_Purpose" w:history="1">
        <w:r w:rsidR="00A144B2" w:rsidRPr="00F76B24">
          <w:rPr>
            <w:rStyle w:val="Hyperlink"/>
            <w:sz w:val="24"/>
            <w:szCs w:val="18"/>
          </w:rPr>
          <w:t>1.0 Purpose</w:t>
        </w:r>
      </w:hyperlink>
    </w:p>
    <w:p w14:paraId="1240B968" w14:textId="4A74855E" w:rsidR="00732202" w:rsidRPr="00F76B24" w:rsidRDefault="00D30451" w:rsidP="00F76B24">
      <w:pPr>
        <w:spacing w:after="0"/>
        <w:rPr>
          <w:rStyle w:val="Hyperlink"/>
          <w:sz w:val="24"/>
          <w:szCs w:val="18"/>
        </w:rPr>
      </w:pPr>
      <w:hyperlink w:anchor="_2.0_Scope" w:history="1">
        <w:r w:rsidR="00732202" w:rsidRPr="00F76B24">
          <w:rPr>
            <w:rStyle w:val="Hyperlink"/>
            <w:sz w:val="24"/>
            <w:szCs w:val="18"/>
          </w:rPr>
          <w:t>2.0 Scope</w:t>
        </w:r>
      </w:hyperlink>
    </w:p>
    <w:p w14:paraId="636BA11E" w14:textId="040CCB8A" w:rsidR="00732202" w:rsidRPr="00F76B24" w:rsidRDefault="00FF586B" w:rsidP="00F76B24">
      <w:pPr>
        <w:spacing w:after="0"/>
        <w:rPr>
          <w:rStyle w:val="Hyperlink"/>
          <w:sz w:val="24"/>
          <w:szCs w:val="18"/>
        </w:rPr>
      </w:pPr>
      <w:r w:rsidRPr="00F76B24">
        <w:rPr>
          <w:rStyle w:val="Hyperlink"/>
          <w:sz w:val="24"/>
          <w:szCs w:val="18"/>
        </w:rPr>
        <w:fldChar w:fldCharType="begin"/>
      </w:r>
      <w:r w:rsidR="0065502D" w:rsidRPr="00F76B24">
        <w:rPr>
          <w:rStyle w:val="Hyperlink"/>
          <w:sz w:val="24"/>
          <w:szCs w:val="18"/>
        </w:rPr>
        <w:instrText>HYPERLINK  \l "_3.0_Policy_statement"</w:instrText>
      </w:r>
      <w:r w:rsidRPr="00F76B24">
        <w:rPr>
          <w:rStyle w:val="Hyperlink"/>
          <w:sz w:val="24"/>
          <w:szCs w:val="18"/>
        </w:rPr>
      </w:r>
      <w:r w:rsidRPr="00F76B24">
        <w:rPr>
          <w:rStyle w:val="Hyperlink"/>
          <w:sz w:val="24"/>
          <w:szCs w:val="18"/>
        </w:rPr>
        <w:fldChar w:fldCharType="separate"/>
      </w:r>
      <w:r w:rsidR="00732202" w:rsidRPr="00F76B24">
        <w:rPr>
          <w:rStyle w:val="Hyperlink"/>
          <w:sz w:val="24"/>
          <w:szCs w:val="18"/>
        </w:rPr>
        <w:t>3.0 P</w:t>
      </w:r>
      <w:r w:rsidR="005632E8" w:rsidRPr="00F76B24">
        <w:rPr>
          <w:rStyle w:val="Hyperlink"/>
          <w:sz w:val="24"/>
          <w:szCs w:val="18"/>
        </w:rPr>
        <w:t>rocedure</w:t>
      </w:r>
      <w:r w:rsidR="00C76573" w:rsidRPr="00F76B24">
        <w:rPr>
          <w:rStyle w:val="Hyperlink"/>
          <w:sz w:val="24"/>
          <w:szCs w:val="18"/>
        </w:rPr>
        <w:t xml:space="preserve"> </w:t>
      </w:r>
    </w:p>
    <w:bookmarkStart w:id="0" w:name="_3.1_Transition_or"/>
    <w:bookmarkEnd w:id="0"/>
    <w:p w14:paraId="2655DE31" w14:textId="0F607EBE" w:rsidR="00C76573" w:rsidRPr="00F76B24" w:rsidRDefault="00FF586B" w:rsidP="00F76B24">
      <w:pPr>
        <w:spacing w:after="0"/>
        <w:ind w:left="720"/>
        <w:rPr>
          <w:rStyle w:val="Hyperlink"/>
          <w:sz w:val="24"/>
          <w:szCs w:val="18"/>
        </w:rPr>
      </w:pPr>
      <w:r w:rsidRPr="00F76B24">
        <w:rPr>
          <w:rStyle w:val="Hyperlink"/>
          <w:sz w:val="24"/>
          <w:szCs w:val="18"/>
        </w:rPr>
        <w:fldChar w:fldCharType="end"/>
      </w:r>
      <w:hyperlink w:anchor="_3.1_Transition_or" w:history="1">
        <w:r w:rsidR="00237C78" w:rsidRPr="00AE0EAE">
          <w:rPr>
            <w:rStyle w:val="Hyperlink"/>
            <w:sz w:val="24"/>
            <w:szCs w:val="18"/>
          </w:rPr>
          <w:t>3.1 Transition or teach out</w:t>
        </w:r>
      </w:hyperlink>
      <w:r w:rsidR="00904689" w:rsidRPr="00AE0EAE">
        <w:rPr>
          <w:rStyle w:val="Hyperlink"/>
          <w:sz w:val="24"/>
          <w:szCs w:val="18"/>
        </w:rPr>
        <w:t xml:space="preserve"> | </w:t>
      </w:r>
      <w:hyperlink w:anchor="_3.2_Program_requirement" w:history="1">
        <w:r w:rsidR="00237C78" w:rsidRPr="00F76B24">
          <w:rPr>
            <w:rStyle w:val="Hyperlink"/>
            <w:sz w:val="24"/>
            <w:szCs w:val="18"/>
          </w:rPr>
          <w:t>3.2 Program requirement changes</w:t>
        </w:r>
      </w:hyperlink>
      <w:r w:rsidR="00237C78" w:rsidRPr="00AE0EAE">
        <w:rPr>
          <w:rStyle w:val="Hyperlink"/>
          <w:sz w:val="24"/>
          <w:szCs w:val="18"/>
        </w:rPr>
        <w:t xml:space="preserve"> | </w:t>
      </w:r>
      <w:hyperlink w:anchor="_3.3_Managing_teach" w:history="1">
        <w:r w:rsidR="00237C78" w:rsidRPr="00F76B24">
          <w:rPr>
            <w:rStyle w:val="Hyperlink"/>
            <w:sz w:val="24"/>
            <w:szCs w:val="18"/>
          </w:rPr>
          <w:t>3.3 Managing teach out</w:t>
        </w:r>
      </w:hyperlink>
      <w:r w:rsidR="00237C78" w:rsidRPr="00AE0EAE">
        <w:rPr>
          <w:rStyle w:val="Hyperlink"/>
          <w:sz w:val="24"/>
          <w:szCs w:val="18"/>
        </w:rPr>
        <w:t xml:space="preserve"> | </w:t>
      </w:r>
      <w:hyperlink w:anchor="_3.4_Managing_transition" w:history="1">
        <w:r w:rsidR="00237C78" w:rsidRPr="00F76B24">
          <w:rPr>
            <w:rStyle w:val="Hyperlink"/>
            <w:sz w:val="24"/>
            <w:szCs w:val="18"/>
          </w:rPr>
          <w:t>3.4 Managing transition</w:t>
        </w:r>
      </w:hyperlink>
      <w:r w:rsidR="00237C78" w:rsidRPr="00AE0EAE">
        <w:rPr>
          <w:rStyle w:val="Hyperlink"/>
          <w:sz w:val="24"/>
          <w:szCs w:val="18"/>
        </w:rPr>
        <w:t xml:space="preserve"> | </w:t>
      </w:r>
      <w:hyperlink w:anchor="_3.5_Student_communication" w:history="1">
        <w:r w:rsidR="00237C78" w:rsidRPr="00F76B24">
          <w:rPr>
            <w:rStyle w:val="Hyperlink"/>
            <w:sz w:val="24"/>
            <w:szCs w:val="18"/>
          </w:rPr>
          <w:t>3.5 Student communication</w:t>
        </w:r>
      </w:hyperlink>
    </w:p>
    <w:p w14:paraId="574A747E" w14:textId="5B26E8C5" w:rsidR="00A144B2" w:rsidRPr="00F76B24" w:rsidRDefault="00FF586B" w:rsidP="00F76B24">
      <w:pPr>
        <w:spacing w:after="0"/>
        <w:rPr>
          <w:rStyle w:val="Hyperlink"/>
          <w:sz w:val="24"/>
          <w:szCs w:val="18"/>
        </w:rPr>
      </w:pPr>
      <w:r w:rsidRPr="00F76B24">
        <w:rPr>
          <w:rStyle w:val="Hyperlink"/>
          <w:sz w:val="24"/>
          <w:szCs w:val="18"/>
        </w:rPr>
        <w:fldChar w:fldCharType="begin"/>
      </w:r>
      <w:r w:rsidR="0065502D" w:rsidRPr="00F76B24">
        <w:rPr>
          <w:rStyle w:val="Hyperlink"/>
          <w:sz w:val="24"/>
          <w:szCs w:val="18"/>
        </w:rPr>
        <w:instrText>HYPERLINK  \l "_4.0_Roles,_responsibilities"</w:instrText>
      </w:r>
      <w:r w:rsidRPr="00F76B24">
        <w:rPr>
          <w:rStyle w:val="Hyperlink"/>
          <w:sz w:val="24"/>
          <w:szCs w:val="18"/>
        </w:rPr>
      </w:r>
      <w:r w:rsidRPr="00F76B24">
        <w:rPr>
          <w:rStyle w:val="Hyperlink"/>
          <w:sz w:val="24"/>
          <w:szCs w:val="18"/>
        </w:rPr>
        <w:fldChar w:fldCharType="separate"/>
      </w:r>
      <w:r w:rsidR="007418A5" w:rsidRPr="00F76B24">
        <w:rPr>
          <w:rStyle w:val="Hyperlink"/>
          <w:sz w:val="24"/>
          <w:szCs w:val="18"/>
        </w:rPr>
        <w:t>4</w:t>
      </w:r>
      <w:r w:rsidR="00732202" w:rsidRPr="00F76B24">
        <w:rPr>
          <w:rStyle w:val="Hyperlink"/>
          <w:sz w:val="24"/>
          <w:szCs w:val="18"/>
        </w:rPr>
        <w:t>.0 Definitions</w:t>
      </w:r>
    </w:p>
    <w:p w14:paraId="55C75591" w14:textId="5E684B7A" w:rsidR="00FC349F" w:rsidRPr="00F76B24" w:rsidRDefault="00FF586B" w:rsidP="00F76B24">
      <w:pPr>
        <w:spacing w:after="0"/>
        <w:rPr>
          <w:rStyle w:val="Hyperlink"/>
          <w:sz w:val="24"/>
          <w:szCs w:val="18"/>
        </w:rPr>
      </w:pPr>
      <w:r w:rsidRPr="00F76B24">
        <w:rPr>
          <w:rStyle w:val="Hyperlink"/>
          <w:sz w:val="24"/>
          <w:szCs w:val="18"/>
        </w:rPr>
        <w:fldChar w:fldCharType="end"/>
      </w:r>
      <w:r w:rsidR="0065502D" w:rsidRPr="00F76B24">
        <w:rPr>
          <w:rStyle w:val="Hyperlink"/>
          <w:sz w:val="24"/>
          <w:szCs w:val="18"/>
        </w:rPr>
        <w:fldChar w:fldCharType="begin"/>
      </w:r>
      <w:r w:rsidR="0065502D" w:rsidRPr="00F76B24">
        <w:rPr>
          <w:rStyle w:val="Hyperlink"/>
          <w:sz w:val="24"/>
          <w:szCs w:val="18"/>
        </w:rPr>
        <w:instrText>HYPERLINK  \l "_6.0_Information"</w:instrText>
      </w:r>
      <w:r w:rsidR="0065502D" w:rsidRPr="00F76B24">
        <w:rPr>
          <w:rStyle w:val="Hyperlink"/>
          <w:sz w:val="24"/>
          <w:szCs w:val="18"/>
        </w:rPr>
      </w:r>
      <w:r w:rsidR="0065502D" w:rsidRPr="00F76B24">
        <w:rPr>
          <w:rStyle w:val="Hyperlink"/>
          <w:sz w:val="24"/>
          <w:szCs w:val="18"/>
        </w:rPr>
        <w:fldChar w:fldCharType="separate"/>
      </w:r>
      <w:r w:rsidR="007418A5" w:rsidRPr="000C7000">
        <w:rPr>
          <w:rStyle w:val="Hyperlink"/>
          <w:sz w:val="24"/>
          <w:szCs w:val="18"/>
        </w:rPr>
        <w:t>5</w:t>
      </w:r>
      <w:r w:rsidR="00FC349F" w:rsidRPr="000C7000">
        <w:rPr>
          <w:rStyle w:val="Hyperlink"/>
          <w:sz w:val="24"/>
          <w:szCs w:val="18"/>
        </w:rPr>
        <w:t>.0</w:t>
      </w:r>
      <w:r w:rsidR="00274580" w:rsidRPr="000C7000">
        <w:rPr>
          <w:rStyle w:val="Hyperlink"/>
          <w:sz w:val="24"/>
          <w:szCs w:val="18"/>
        </w:rPr>
        <w:t xml:space="preserve"> Information</w:t>
      </w:r>
    </w:p>
    <w:p w14:paraId="3005F60D" w14:textId="6D0134BD" w:rsidR="00D434E9" w:rsidRPr="00F76B24" w:rsidRDefault="0065502D" w:rsidP="00F76B24">
      <w:pPr>
        <w:rPr>
          <w:rStyle w:val="Hyperlink"/>
          <w:sz w:val="24"/>
          <w:szCs w:val="18"/>
        </w:rPr>
      </w:pPr>
      <w:r w:rsidRPr="00F76B24">
        <w:rPr>
          <w:rStyle w:val="Hyperlink"/>
          <w:sz w:val="24"/>
          <w:szCs w:val="18"/>
        </w:rPr>
        <w:fldChar w:fldCharType="end"/>
      </w:r>
      <w:hyperlink w:anchor="_7.0_Related_Policy" w:history="1">
        <w:r w:rsidR="007418A5" w:rsidRPr="000C7000">
          <w:rPr>
            <w:rStyle w:val="Hyperlink"/>
            <w:sz w:val="24"/>
            <w:szCs w:val="18"/>
          </w:rPr>
          <w:t>6</w:t>
        </w:r>
        <w:r w:rsidR="00274580" w:rsidRPr="000C7000">
          <w:rPr>
            <w:rStyle w:val="Hyperlink"/>
            <w:sz w:val="24"/>
            <w:szCs w:val="18"/>
          </w:rPr>
          <w:t xml:space="preserve">.0 Related </w:t>
        </w:r>
        <w:r w:rsidR="00456A0E" w:rsidRPr="000C7000">
          <w:rPr>
            <w:rStyle w:val="Hyperlink"/>
            <w:sz w:val="24"/>
            <w:szCs w:val="18"/>
          </w:rPr>
          <w:t>policy documents and supporting documents</w:t>
        </w:r>
      </w:hyperlink>
      <w:r w:rsidR="00613014" w:rsidRPr="00F76B24">
        <w:rPr>
          <w:rStyle w:val="Hyperlink"/>
          <w:sz w:val="24"/>
          <w:szCs w:val="18"/>
        </w:rPr>
        <w:t xml:space="preserve"> </w:t>
      </w:r>
    </w:p>
    <w:p w14:paraId="2DF7559D" w14:textId="403D7944" w:rsidR="00A144B2" w:rsidRPr="00372624" w:rsidRDefault="00A144B2" w:rsidP="00CA6AC5">
      <w:pPr>
        <w:pStyle w:val="Heading2"/>
        <w:rPr>
          <w:rFonts w:ascii="Arial" w:hAnsi="Arial" w:cs="Arial"/>
        </w:rPr>
      </w:pPr>
      <w:bookmarkStart w:id="1" w:name="_1.0_Purpose"/>
      <w:bookmarkEnd w:id="1"/>
      <w:r w:rsidRPr="00372624">
        <w:rPr>
          <w:rFonts w:ascii="Arial" w:hAnsi="Arial" w:cs="Arial"/>
        </w:rPr>
        <w:t>1.0 Purpose</w:t>
      </w:r>
    </w:p>
    <w:p w14:paraId="6BCC1719" w14:textId="77777777" w:rsidR="00237C78" w:rsidRPr="00237C78" w:rsidRDefault="00237C78" w:rsidP="00237C78">
      <w:pPr>
        <w:spacing w:after="120"/>
        <w:rPr>
          <w:rFonts w:ascii="Arial" w:hAnsi="Arial" w:cs="Arial"/>
          <w:sz w:val="22"/>
        </w:rPr>
      </w:pPr>
      <w:bookmarkStart w:id="2" w:name="_2.0_Scope"/>
      <w:bookmarkEnd w:id="2"/>
      <w:r w:rsidRPr="00237C78">
        <w:rPr>
          <w:rFonts w:ascii="Arial" w:hAnsi="Arial" w:cs="Arial"/>
          <w:sz w:val="22"/>
        </w:rPr>
        <w:t xml:space="preserve">This Procedure outlines the processes undertaken </w:t>
      </w:r>
      <w:proofErr w:type="gramStart"/>
      <w:r w:rsidRPr="00237C78">
        <w:rPr>
          <w:rFonts w:ascii="Arial" w:hAnsi="Arial" w:cs="Arial"/>
          <w:sz w:val="22"/>
        </w:rPr>
        <w:t>in the event that</w:t>
      </w:r>
      <w:proofErr w:type="gramEnd"/>
      <w:r w:rsidRPr="00237C78">
        <w:rPr>
          <w:rFonts w:ascii="Arial" w:hAnsi="Arial" w:cs="Arial"/>
          <w:sz w:val="22"/>
        </w:rPr>
        <w:t xml:space="preserve"> a program is withdrawn or undergoes a major change. The Procedure ensures that students are not disadvantaged by such processes, whilst enabling the University to consolidate program versions and where appropriate, transition students to a replacement program if their program is withdrawn or undergoes a major change.</w:t>
      </w:r>
    </w:p>
    <w:p w14:paraId="0F9EFF17" w14:textId="77777777" w:rsidR="00237C78" w:rsidRPr="00237C78" w:rsidRDefault="00237C78" w:rsidP="00237C78">
      <w:pPr>
        <w:spacing w:after="120"/>
        <w:rPr>
          <w:rFonts w:ascii="Arial" w:hAnsi="Arial" w:cs="Arial"/>
          <w:sz w:val="22"/>
        </w:rPr>
      </w:pPr>
      <w:r w:rsidRPr="00237C78">
        <w:rPr>
          <w:rFonts w:ascii="Arial" w:hAnsi="Arial" w:cs="Arial"/>
          <w:sz w:val="22"/>
        </w:rPr>
        <w:t>The Procedure outlines the various factors that must be considered when establishing transition or teach out arrangements for a program, to guide the School or Department (hereafter ‘School’) in their planning, consultation, and submission to Programs Committee.</w:t>
      </w:r>
    </w:p>
    <w:p w14:paraId="7F0EA822" w14:textId="07CBBBFC" w:rsidR="00A144B2" w:rsidRPr="00372624" w:rsidRDefault="00A144B2" w:rsidP="00CA6AC5">
      <w:pPr>
        <w:pStyle w:val="Heading2"/>
        <w:rPr>
          <w:rFonts w:ascii="Arial" w:hAnsi="Arial" w:cs="Arial"/>
        </w:rPr>
      </w:pPr>
      <w:r w:rsidRPr="00372624">
        <w:rPr>
          <w:rFonts w:ascii="Arial" w:hAnsi="Arial" w:cs="Arial"/>
        </w:rPr>
        <w:t>2.0 Scope</w:t>
      </w:r>
    </w:p>
    <w:p w14:paraId="30CBB940" w14:textId="77777777" w:rsidR="00237C78" w:rsidRPr="00237C78" w:rsidRDefault="00237C78" w:rsidP="00237C78">
      <w:pPr>
        <w:spacing w:after="120"/>
        <w:rPr>
          <w:rFonts w:ascii="Arial" w:hAnsi="Arial" w:cs="Arial"/>
          <w:sz w:val="22"/>
        </w:rPr>
      </w:pPr>
      <w:bookmarkStart w:id="3" w:name="_3.0_Policy_statement"/>
      <w:bookmarkStart w:id="4" w:name="_3.0_Procedure"/>
      <w:bookmarkEnd w:id="3"/>
      <w:bookmarkEnd w:id="4"/>
      <w:r w:rsidRPr="00237C78">
        <w:rPr>
          <w:rFonts w:ascii="Arial" w:hAnsi="Arial" w:cs="Arial"/>
          <w:sz w:val="22"/>
        </w:rPr>
        <w:t>This Procedure applies to all programs and students at Griffith University.</w:t>
      </w:r>
    </w:p>
    <w:p w14:paraId="738A9BC3" w14:textId="48FE5F59" w:rsidR="00A144B2" w:rsidRPr="00372624" w:rsidRDefault="00A144B2" w:rsidP="00CA6AC5">
      <w:pPr>
        <w:pStyle w:val="Heading2"/>
        <w:rPr>
          <w:rFonts w:ascii="Arial" w:hAnsi="Arial" w:cs="Arial"/>
        </w:rPr>
      </w:pPr>
      <w:r w:rsidRPr="00372624">
        <w:rPr>
          <w:rFonts w:ascii="Arial" w:hAnsi="Arial" w:cs="Arial"/>
        </w:rPr>
        <w:t xml:space="preserve">3.0 </w:t>
      </w:r>
      <w:r w:rsidR="007418A5" w:rsidRPr="00372624">
        <w:rPr>
          <w:rFonts w:ascii="Arial" w:hAnsi="Arial" w:cs="Arial"/>
        </w:rPr>
        <w:t>Procedure</w:t>
      </w:r>
    </w:p>
    <w:p w14:paraId="4FE731E5" w14:textId="77777777" w:rsidR="00237C78" w:rsidRPr="00237C78" w:rsidRDefault="00237C78" w:rsidP="00237C78">
      <w:pPr>
        <w:pStyle w:val="NormalWhite"/>
        <w:spacing w:after="120"/>
        <w:rPr>
          <w:rFonts w:cs="Arial"/>
          <w:color w:val="auto"/>
          <w:kern w:val="2"/>
          <w:sz w:val="22"/>
        </w:rPr>
      </w:pPr>
      <w:r w:rsidRPr="00237C78">
        <w:rPr>
          <w:rFonts w:cs="Arial"/>
          <w:color w:val="auto"/>
          <w:kern w:val="2"/>
          <w:sz w:val="22"/>
        </w:rPr>
        <w:t>Programs that are withdrawn or undergo a major change must have arrangements in place to ensure that all existing students can either complete the program (teach out), or preferably, transfer to a new version of the program, at no disadvantage (transition).</w:t>
      </w:r>
    </w:p>
    <w:p w14:paraId="73721134" w14:textId="77777777" w:rsidR="00237C78" w:rsidRPr="00237C78" w:rsidRDefault="00237C78" w:rsidP="00237C78">
      <w:pPr>
        <w:pStyle w:val="NormalWhite"/>
        <w:spacing w:after="120"/>
        <w:rPr>
          <w:rFonts w:cs="Arial"/>
          <w:color w:val="auto"/>
          <w:kern w:val="2"/>
          <w:sz w:val="22"/>
        </w:rPr>
      </w:pPr>
      <w:r w:rsidRPr="00237C78">
        <w:rPr>
          <w:rFonts w:cs="Arial"/>
          <w:color w:val="auto"/>
          <w:kern w:val="2"/>
          <w:sz w:val="22"/>
        </w:rPr>
        <w:t>Students will be transferred to the replacement program if their current program is withdrawn, or transferred to a new version of their program if their current program undergoes a major change, if:</w:t>
      </w:r>
    </w:p>
    <w:p w14:paraId="7A0AF11F" w14:textId="77777777" w:rsidR="00237C78" w:rsidRPr="00237C78" w:rsidRDefault="00237C78" w:rsidP="00237C78">
      <w:pPr>
        <w:pStyle w:val="NormalWhite"/>
        <w:numPr>
          <w:ilvl w:val="0"/>
          <w:numId w:val="37"/>
        </w:numPr>
        <w:spacing w:after="120"/>
        <w:jc w:val="left"/>
        <w:rPr>
          <w:rFonts w:cs="Arial"/>
          <w:color w:val="auto"/>
          <w:kern w:val="2"/>
          <w:sz w:val="22"/>
        </w:rPr>
      </w:pPr>
      <w:r w:rsidRPr="00237C78">
        <w:rPr>
          <w:rFonts w:cs="Arial"/>
          <w:color w:val="auto"/>
          <w:kern w:val="2"/>
          <w:sz w:val="22"/>
        </w:rPr>
        <w:t>it is deemed that the student is not disadvantaged by the transition; and</w:t>
      </w:r>
    </w:p>
    <w:p w14:paraId="10D12E92" w14:textId="77777777" w:rsidR="00237C78" w:rsidRPr="00237C78" w:rsidRDefault="00237C78" w:rsidP="00237C78">
      <w:pPr>
        <w:pStyle w:val="NormalWhite"/>
        <w:numPr>
          <w:ilvl w:val="0"/>
          <w:numId w:val="37"/>
        </w:numPr>
        <w:spacing w:after="120"/>
        <w:jc w:val="left"/>
        <w:rPr>
          <w:rFonts w:cs="Arial"/>
          <w:color w:val="auto"/>
          <w:kern w:val="2"/>
          <w:sz w:val="22"/>
        </w:rPr>
      </w:pPr>
      <w:r w:rsidRPr="00237C78">
        <w:rPr>
          <w:rFonts w:cs="Arial"/>
          <w:color w:val="auto"/>
          <w:kern w:val="2"/>
          <w:sz w:val="22"/>
        </w:rPr>
        <w:t xml:space="preserve">the University remains compliant with </w:t>
      </w:r>
      <w:r w:rsidRPr="00237C78">
        <w:rPr>
          <w:rFonts w:cs="Arial"/>
          <w:i/>
          <w:iCs/>
          <w:color w:val="auto"/>
          <w:kern w:val="2"/>
          <w:sz w:val="22"/>
        </w:rPr>
        <w:t>the Higher Education Standards Framework (Threshold Standards)</w:t>
      </w:r>
      <w:r w:rsidRPr="00237C78">
        <w:rPr>
          <w:rFonts w:cs="Arial"/>
          <w:color w:val="auto"/>
          <w:kern w:val="2"/>
          <w:sz w:val="22"/>
        </w:rPr>
        <w:t>; and</w:t>
      </w:r>
    </w:p>
    <w:p w14:paraId="43F457B4" w14:textId="77777777" w:rsidR="00237C78" w:rsidRPr="00237C78" w:rsidRDefault="00237C78" w:rsidP="00237C78">
      <w:pPr>
        <w:pStyle w:val="NormalWhite"/>
        <w:numPr>
          <w:ilvl w:val="0"/>
          <w:numId w:val="37"/>
        </w:numPr>
        <w:spacing w:after="120"/>
        <w:jc w:val="left"/>
        <w:rPr>
          <w:rFonts w:cs="Arial"/>
          <w:color w:val="auto"/>
          <w:kern w:val="2"/>
          <w:sz w:val="22"/>
        </w:rPr>
      </w:pPr>
      <w:r w:rsidRPr="00237C78">
        <w:rPr>
          <w:rFonts w:cs="Arial"/>
          <w:color w:val="auto"/>
          <w:kern w:val="2"/>
          <w:sz w:val="22"/>
        </w:rPr>
        <w:t xml:space="preserve">the University remains compliant with the </w:t>
      </w:r>
      <w:r w:rsidRPr="00237C78">
        <w:rPr>
          <w:rFonts w:cs="Arial"/>
          <w:i/>
          <w:iCs/>
          <w:color w:val="auto"/>
          <w:kern w:val="2"/>
          <w:sz w:val="22"/>
        </w:rPr>
        <w:t>Education Services for Overseas Students Act</w:t>
      </w:r>
      <w:r w:rsidRPr="00237C78">
        <w:rPr>
          <w:rFonts w:cs="Arial"/>
          <w:color w:val="auto"/>
          <w:kern w:val="2"/>
          <w:sz w:val="22"/>
        </w:rPr>
        <w:t xml:space="preserve"> and the </w:t>
      </w:r>
      <w:r w:rsidRPr="00237C78">
        <w:rPr>
          <w:rFonts w:cs="Arial"/>
          <w:i/>
          <w:iCs/>
          <w:color w:val="auto"/>
          <w:kern w:val="2"/>
          <w:sz w:val="22"/>
        </w:rPr>
        <w:t>National Code of Practice for Providers of Education and Training to Overseas Students</w:t>
      </w:r>
      <w:r w:rsidRPr="00237C78">
        <w:rPr>
          <w:rFonts w:cs="Arial"/>
          <w:color w:val="auto"/>
          <w:kern w:val="2"/>
          <w:sz w:val="22"/>
        </w:rPr>
        <w:t>.</w:t>
      </w:r>
    </w:p>
    <w:p w14:paraId="0465E1FF" w14:textId="0EC7458E" w:rsidR="00237C78" w:rsidRPr="00F76B24" w:rsidRDefault="00237C78" w:rsidP="00237C78">
      <w:pPr>
        <w:rPr>
          <w:rFonts w:ascii="Arial" w:hAnsi="Arial" w:cs="Arial"/>
          <w:sz w:val="22"/>
        </w:rPr>
      </w:pPr>
      <w:bookmarkStart w:id="5" w:name="_3.1_Transition_versus"/>
      <w:bookmarkEnd w:id="5"/>
      <w:r w:rsidRPr="00237C78">
        <w:rPr>
          <w:rFonts w:ascii="Arial" w:hAnsi="Arial" w:cs="Arial"/>
          <w:sz w:val="22"/>
        </w:rPr>
        <w:t>Where it is identified that a student will be disadvantaged by transitioning to a new program, the student will have the option to remain in their current program for the duration of the teach out period. Alternatively, the student can elect to be transitioned to the new program on the condition that they are fully aware and accept any disadvantage resulting from the transition.</w:t>
      </w:r>
    </w:p>
    <w:p w14:paraId="301FA844" w14:textId="51C08EBE" w:rsidR="00A144B2" w:rsidRPr="00372624" w:rsidRDefault="00A144B2" w:rsidP="001520D3">
      <w:pPr>
        <w:pStyle w:val="Heading3"/>
        <w:ind w:left="567"/>
        <w:rPr>
          <w:rFonts w:ascii="Arial" w:hAnsi="Arial" w:cs="Arial"/>
        </w:rPr>
      </w:pPr>
      <w:bookmarkStart w:id="6" w:name="_3.1_[Insert_sub-heading]"/>
      <w:bookmarkEnd w:id="6"/>
      <w:r w:rsidRPr="00372624">
        <w:rPr>
          <w:rFonts w:ascii="Arial" w:hAnsi="Arial" w:cs="Arial"/>
        </w:rPr>
        <w:lastRenderedPageBreak/>
        <w:t xml:space="preserve">3.1 </w:t>
      </w:r>
      <w:r w:rsidR="00D94ACC" w:rsidRPr="00372624">
        <w:rPr>
          <w:rFonts w:ascii="Arial" w:hAnsi="Arial" w:cs="Arial"/>
        </w:rPr>
        <w:t xml:space="preserve">Transition or teach </w:t>
      </w:r>
      <w:proofErr w:type="gramStart"/>
      <w:r w:rsidR="00D94ACC" w:rsidRPr="00372624">
        <w:rPr>
          <w:rFonts w:ascii="Arial" w:hAnsi="Arial" w:cs="Arial"/>
        </w:rPr>
        <w:t>out</w:t>
      </w:r>
      <w:proofErr w:type="gramEnd"/>
    </w:p>
    <w:p w14:paraId="141D4DBF" w14:textId="69FA461B" w:rsidR="0059325A" w:rsidRDefault="00A3242E" w:rsidP="00D94ACC">
      <w:pPr>
        <w:pStyle w:val="Heading4"/>
        <w:ind w:firstLine="720"/>
      </w:pPr>
      <w:r w:rsidRPr="004922AF">
        <w:t xml:space="preserve">3.1.1 </w:t>
      </w:r>
      <w:r w:rsidR="00D94ACC">
        <w:t>Transition</w:t>
      </w:r>
    </w:p>
    <w:p w14:paraId="528399E8" w14:textId="724302FB" w:rsidR="00F836D1" w:rsidRPr="00F836D1" w:rsidRDefault="00F836D1" w:rsidP="00F836D1">
      <w:pPr>
        <w:pStyle w:val="Default"/>
        <w:spacing w:after="240" w:line="276" w:lineRule="auto"/>
        <w:ind w:left="720"/>
        <w:rPr>
          <w:rFonts w:ascii="Arial" w:hAnsi="Arial" w:cs="Arial"/>
          <w:color w:val="auto"/>
          <w:kern w:val="2"/>
          <w:sz w:val="22"/>
          <w:szCs w:val="22"/>
          <w:lang w:val="en-AU" w:eastAsia="en-AU"/>
        </w:rPr>
      </w:pPr>
      <w:r w:rsidRPr="00F836D1">
        <w:rPr>
          <w:rFonts w:ascii="Arial" w:hAnsi="Arial" w:cs="Arial"/>
          <w:color w:val="auto"/>
          <w:kern w:val="2"/>
          <w:sz w:val="22"/>
          <w:szCs w:val="22"/>
          <w:lang w:val="en-AU" w:eastAsia="en-AU"/>
        </w:rPr>
        <w:t>Transition refers to students being moved into a replacement program when their existing program is withdrawn or undergoes a major change.</w:t>
      </w:r>
    </w:p>
    <w:p w14:paraId="75E8C8BB" w14:textId="465B69F0" w:rsidR="00F836D1" w:rsidRPr="00F836D1" w:rsidRDefault="00F836D1" w:rsidP="00806DDA">
      <w:pPr>
        <w:pStyle w:val="Default"/>
        <w:spacing w:after="240" w:line="276" w:lineRule="auto"/>
        <w:ind w:left="720"/>
        <w:rPr>
          <w:rFonts w:ascii="Arial" w:hAnsi="Arial" w:cs="Arial"/>
          <w:color w:val="auto"/>
          <w:kern w:val="2"/>
          <w:sz w:val="22"/>
          <w:szCs w:val="22"/>
          <w:lang w:val="en-AU" w:eastAsia="en-AU"/>
        </w:rPr>
      </w:pPr>
      <w:r w:rsidRPr="00F836D1">
        <w:rPr>
          <w:rFonts w:ascii="Arial" w:hAnsi="Arial" w:cs="Arial"/>
          <w:color w:val="auto"/>
          <w:kern w:val="2"/>
          <w:sz w:val="22"/>
          <w:szCs w:val="22"/>
          <w:lang w:val="en-AU" w:eastAsia="en-AU"/>
        </w:rPr>
        <w:t>Transition is the preferable approach, providing students are not disadvantaged by the transition.</w:t>
      </w:r>
    </w:p>
    <w:p w14:paraId="16CA74F1" w14:textId="61B02C79" w:rsidR="00D94ACC" w:rsidRDefault="00D94ACC" w:rsidP="00D94ACC">
      <w:pPr>
        <w:pStyle w:val="Heading4"/>
      </w:pPr>
      <w:r>
        <w:tab/>
        <w:t xml:space="preserve">3.1.2 Teach </w:t>
      </w:r>
      <w:proofErr w:type="gramStart"/>
      <w:r>
        <w:t>out</w:t>
      </w:r>
      <w:proofErr w:type="gramEnd"/>
    </w:p>
    <w:p w14:paraId="0EBD963B" w14:textId="77777777" w:rsidR="00F836D1" w:rsidRPr="00F836D1" w:rsidRDefault="00F836D1" w:rsidP="00F836D1">
      <w:pPr>
        <w:ind w:left="720"/>
        <w:rPr>
          <w:rFonts w:ascii="Arial" w:hAnsi="Arial" w:cs="Arial"/>
          <w:sz w:val="22"/>
        </w:rPr>
      </w:pPr>
      <w:r w:rsidRPr="00F836D1">
        <w:rPr>
          <w:rFonts w:ascii="Arial" w:hAnsi="Arial" w:cs="Arial"/>
          <w:sz w:val="22"/>
        </w:rPr>
        <w:t>Teach out is the alternative option when transition to a new program is not a viable approach.</w:t>
      </w:r>
    </w:p>
    <w:p w14:paraId="1A390B3C" w14:textId="5B74B15D" w:rsidR="00F836D1" w:rsidRPr="00F836D1" w:rsidRDefault="00F836D1" w:rsidP="00F836D1">
      <w:pPr>
        <w:ind w:left="720"/>
        <w:rPr>
          <w:rFonts w:ascii="Arial" w:hAnsi="Arial" w:cs="Arial"/>
          <w:sz w:val="22"/>
        </w:rPr>
      </w:pPr>
      <w:r w:rsidRPr="00F836D1">
        <w:rPr>
          <w:rFonts w:ascii="Arial" w:hAnsi="Arial" w:cs="Arial"/>
          <w:sz w:val="22"/>
        </w:rPr>
        <w:t>Teach out refers to the phasing out of a withdrawn program in which students remain active. Students that have received and accepted an offer prior to a program being withdrawn, will have the option to continue in the program under the teach out arrangement. No new students can be admitted into the withdrawn program</w:t>
      </w:r>
      <w:r w:rsidR="0030556F">
        <w:rPr>
          <w:rFonts w:ascii="Arial" w:hAnsi="Arial" w:cs="Arial"/>
          <w:sz w:val="22"/>
        </w:rPr>
        <w:t xml:space="preserve">. Students who have discontinued their enrolment in a withdrawn program and request to be readmitted to the same program must meet certain conditions, as per the </w:t>
      </w:r>
      <w:r w:rsidR="0030556F" w:rsidRPr="000A119D">
        <w:rPr>
          <w:rFonts w:ascii="Arial" w:hAnsi="Arial" w:cs="Arial"/>
          <w:i/>
          <w:iCs/>
          <w:sz w:val="22"/>
        </w:rPr>
        <w:t>Admission Procedure</w:t>
      </w:r>
      <w:r w:rsidR="0030556F">
        <w:rPr>
          <w:rFonts w:ascii="Arial" w:hAnsi="Arial" w:cs="Arial"/>
          <w:sz w:val="22"/>
        </w:rPr>
        <w:t>.</w:t>
      </w:r>
    </w:p>
    <w:p w14:paraId="158E636E" w14:textId="715AC78B" w:rsidR="00F836D1" w:rsidRPr="00F836D1" w:rsidRDefault="00F836D1" w:rsidP="00F836D1">
      <w:pPr>
        <w:ind w:left="720"/>
        <w:rPr>
          <w:rFonts w:ascii="Arial" w:hAnsi="Arial" w:cs="Arial"/>
          <w:sz w:val="22"/>
        </w:rPr>
      </w:pPr>
      <w:r w:rsidRPr="00F836D1">
        <w:rPr>
          <w:rFonts w:ascii="Arial" w:hAnsi="Arial" w:cs="Arial"/>
          <w:sz w:val="22"/>
        </w:rPr>
        <w:t xml:space="preserve">When a program is withdrawn and there is no replacement, teach out arrangements must ensure that all existing enrolled students can either complete the program of study within the teach out period or transition to a </w:t>
      </w:r>
      <w:r w:rsidR="00822F14">
        <w:rPr>
          <w:rFonts w:ascii="Arial" w:hAnsi="Arial" w:cs="Arial"/>
          <w:sz w:val="22"/>
        </w:rPr>
        <w:t>different</w:t>
      </w:r>
      <w:r w:rsidRPr="00F836D1">
        <w:rPr>
          <w:rFonts w:ascii="Arial" w:hAnsi="Arial" w:cs="Arial"/>
          <w:sz w:val="22"/>
        </w:rPr>
        <w:t xml:space="preserve"> program.</w:t>
      </w:r>
    </w:p>
    <w:p w14:paraId="3C29AF4C" w14:textId="3898AED1" w:rsidR="00F836D1" w:rsidRPr="00F836D1" w:rsidRDefault="00F836D1" w:rsidP="00F836D1">
      <w:pPr>
        <w:ind w:left="720"/>
        <w:rPr>
          <w:rFonts w:ascii="Arial" w:hAnsi="Arial" w:cs="Arial"/>
          <w:sz w:val="22"/>
        </w:rPr>
      </w:pPr>
      <w:r w:rsidRPr="00F836D1">
        <w:rPr>
          <w:rFonts w:ascii="Arial" w:hAnsi="Arial" w:cs="Arial"/>
          <w:sz w:val="22"/>
        </w:rPr>
        <w:t xml:space="preserve">When a program undergoes a major change and is replaced with a new program version, it is preferable that students transition to the replacement version rather than remain in teach out of the old version, if they are not disadvantaged by the transition. Students that remain in the old version will </w:t>
      </w:r>
      <w:r w:rsidR="00822F14">
        <w:rPr>
          <w:rFonts w:ascii="Arial" w:hAnsi="Arial" w:cs="Arial"/>
          <w:sz w:val="22"/>
        </w:rPr>
        <w:t>need to complete the program within the teach out period and comp</w:t>
      </w:r>
      <w:r w:rsidR="000A119D">
        <w:rPr>
          <w:rFonts w:ascii="Arial" w:hAnsi="Arial" w:cs="Arial"/>
          <w:sz w:val="22"/>
        </w:rPr>
        <w:t>l</w:t>
      </w:r>
      <w:r w:rsidR="00822F14">
        <w:rPr>
          <w:rFonts w:ascii="Arial" w:hAnsi="Arial" w:cs="Arial"/>
          <w:sz w:val="22"/>
        </w:rPr>
        <w:t xml:space="preserve">y with section 3.11 of </w:t>
      </w:r>
      <w:r w:rsidRPr="00F836D1">
        <w:rPr>
          <w:rFonts w:ascii="Arial" w:hAnsi="Arial" w:cs="Arial"/>
          <w:i/>
          <w:iCs/>
          <w:sz w:val="22"/>
        </w:rPr>
        <w:t>Enrolment Procedure</w:t>
      </w:r>
      <w:r w:rsidRPr="00F836D1">
        <w:rPr>
          <w:rFonts w:ascii="Arial" w:hAnsi="Arial" w:cs="Arial"/>
          <w:sz w:val="22"/>
        </w:rPr>
        <w:t>.</w:t>
      </w:r>
      <w:r w:rsidR="000A119D">
        <w:rPr>
          <w:rFonts w:ascii="Arial" w:hAnsi="Arial" w:cs="Arial"/>
          <w:sz w:val="22"/>
        </w:rPr>
        <w:t xml:space="preserve"> In some instances, it may be determined by the school that a student’s requirements term will need to be updated to a new offering of the enrolled program.</w:t>
      </w:r>
    </w:p>
    <w:p w14:paraId="4F8FB8D2" w14:textId="64780335" w:rsidR="00D94ACC" w:rsidRDefault="00D94ACC" w:rsidP="00D94ACC">
      <w:pPr>
        <w:pStyle w:val="Heading4"/>
      </w:pPr>
      <w:r>
        <w:tab/>
        <w:t xml:space="preserve">3.1.3 Determining the best </w:t>
      </w:r>
      <w:proofErr w:type="gramStart"/>
      <w:r>
        <w:t>approach</w:t>
      </w:r>
      <w:proofErr w:type="gramEnd"/>
    </w:p>
    <w:p w14:paraId="4A5BAC29" w14:textId="1674254A" w:rsidR="00F836D1" w:rsidRDefault="00F836D1" w:rsidP="00F836D1">
      <w:pPr>
        <w:ind w:left="720"/>
        <w:rPr>
          <w:rFonts w:ascii="Arial" w:hAnsi="Arial" w:cs="Arial"/>
          <w:sz w:val="22"/>
        </w:rPr>
      </w:pPr>
      <w:r w:rsidRPr="00F836D1">
        <w:rPr>
          <w:rFonts w:ascii="Arial" w:hAnsi="Arial" w:cs="Arial"/>
          <w:sz w:val="22"/>
        </w:rPr>
        <w:t xml:space="preserve">To meet the requirements to transition a student </w:t>
      </w:r>
      <w:r w:rsidR="00A477AF">
        <w:rPr>
          <w:rFonts w:ascii="Arial" w:hAnsi="Arial" w:cs="Arial"/>
          <w:sz w:val="22"/>
        </w:rPr>
        <w:t>must not be d</w:t>
      </w:r>
      <w:r w:rsidRPr="00F836D1">
        <w:rPr>
          <w:rFonts w:ascii="Arial" w:hAnsi="Arial" w:cs="Arial"/>
          <w:sz w:val="22"/>
        </w:rPr>
        <w:t xml:space="preserve">isadvantaged. The table </w:t>
      </w:r>
      <w:r w:rsidR="00935AA0">
        <w:rPr>
          <w:rFonts w:ascii="Arial" w:hAnsi="Arial" w:cs="Arial"/>
          <w:sz w:val="22"/>
        </w:rPr>
        <w:t xml:space="preserve">below outlines options for the </w:t>
      </w:r>
      <w:r w:rsidRPr="00F836D1">
        <w:rPr>
          <w:rFonts w:ascii="Arial" w:hAnsi="Arial" w:cs="Arial"/>
          <w:sz w:val="22"/>
        </w:rPr>
        <w:t xml:space="preserve">best approach for each student </w:t>
      </w:r>
      <w:r w:rsidR="00935AA0">
        <w:rPr>
          <w:rFonts w:ascii="Arial" w:hAnsi="Arial" w:cs="Arial"/>
          <w:sz w:val="22"/>
        </w:rPr>
        <w:t xml:space="preserve">cohort </w:t>
      </w:r>
      <w:r w:rsidRPr="00F836D1">
        <w:rPr>
          <w:rFonts w:ascii="Arial" w:hAnsi="Arial" w:cs="Arial"/>
          <w:sz w:val="22"/>
        </w:rPr>
        <w:t>and identifies where there may be disadvantage. In most cases, particular cohorts may be disadvantaged where others are not (such as international students with specific visa requirements compared to domestic students), in which case a combination of some students transitioning and some remaining in teach out will be the best option. This ensures students are not disadvantaged, whilst maintaining the University’s preference for transition over teach out, where feasible.</w:t>
      </w:r>
    </w:p>
    <w:p w14:paraId="34437CAB" w14:textId="77777777" w:rsidR="00F76B24" w:rsidRDefault="00F76B24" w:rsidP="00F836D1">
      <w:pPr>
        <w:ind w:left="720"/>
        <w:rPr>
          <w:rFonts w:ascii="Arial" w:hAnsi="Arial" w:cs="Arial"/>
          <w:sz w:val="22"/>
        </w:rPr>
      </w:pPr>
    </w:p>
    <w:p w14:paraId="0B73B985" w14:textId="77777777" w:rsidR="00F76B24" w:rsidRPr="00F836D1" w:rsidRDefault="00F76B24" w:rsidP="00F836D1">
      <w:pPr>
        <w:ind w:left="720"/>
        <w:rPr>
          <w:rFonts w:ascii="Arial" w:hAnsi="Arial" w:cs="Arial"/>
          <w:sz w:val="22"/>
        </w:rPr>
      </w:pPr>
    </w:p>
    <w:tbl>
      <w:tblPr>
        <w:tblStyle w:val="TableGrid"/>
        <w:tblW w:w="10774" w:type="dxa"/>
        <w:tblInd w:w="-284"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403"/>
        <w:gridCol w:w="4252"/>
        <w:gridCol w:w="567"/>
        <w:gridCol w:w="1276"/>
        <w:gridCol w:w="1276"/>
      </w:tblGrid>
      <w:tr w:rsidR="00384D02" w14:paraId="6603B810" w14:textId="109B06B0" w:rsidTr="00C119C5">
        <w:trPr>
          <w:trHeight w:val="256"/>
        </w:trPr>
        <w:tc>
          <w:tcPr>
            <w:tcW w:w="3403" w:type="dxa"/>
            <w:shd w:val="clear" w:color="auto" w:fill="C00000"/>
          </w:tcPr>
          <w:p w14:paraId="686FB3C3" w14:textId="7A33F22A" w:rsidR="00384D02" w:rsidRPr="00C62871" w:rsidRDefault="00384D02" w:rsidP="00720391">
            <w:pPr>
              <w:pStyle w:val="Heading4"/>
            </w:pPr>
            <w:r>
              <w:lastRenderedPageBreak/>
              <w:t>COHORT EFFECTED</w:t>
            </w:r>
          </w:p>
        </w:tc>
        <w:tc>
          <w:tcPr>
            <w:tcW w:w="4252" w:type="dxa"/>
            <w:shd w:val="clear" w:color="auto" w:fill="C00000"/>
          </w:tcPr>
          <w:p w14:paraId="20502D2A" w14:textId="51AD4CF3" w:rsidR="00384D02" w:rsidRPr="00786706" w:rsidRDefault="00384D02" w:rsidP="00720391">
            <w:pPr>
              <w:pStyle w:val="Heading4"/>
              <w:rPr>
                <w:lang w:val="en-GB"/>
              </w:rPr>
            </w:pPr>
            <w:r>
              <w:rPr>
                <w:lang w:val="en-GB"/>
              </w:rPr>
              <w:t>DETERMINING FACTOR</w:t>
            </w:r>
          </w:p>
        </w:tc>
        <w:tc>
          <w:tcPr>
            <w:tcW w:w="567" w:type="dxa"/>
            <w:shd w:val="clear" w:color="auto" w:fill="C00000"/>
          </w:tcPr>
          <w:p w14:paraId="4D1345E2" w14:textId="77777777" w:rsidR="00384D02" w:rsidRDefault="00384D02" w:rsidP="00720391">
            <w:pPr>
              <w:pStyle w:val="Heading4"/>
            </w:pPr>
          </w:p>
        </w:tc>
        <w:tc>
          <w:tcPr>
            <w:tcW w:w="1276" w:type="dxa"/>
            <w:shd w:val="clear" w:color="auto" w:fill="C00000"/>
          </w:tcPr>
          <w:p w14:paraId="3EE15842" w14:textId="2D1D0345" w:rsidR="00384D02" w:rsidRPr="00786706" w:rsidRDefault="00384D02" w:rsidP="00720391">
            <w:pPr>
              <w:pStyle w:val="Heading4"/>
              <w:rPr>
                <w:lang w:val="en-GB"/>
              </w:rPr>
            </w:pPr>
            <w:r>
              <w:t>NO</w:t>
            </w:r>
          </w:p>
        </w:tc>
        <w:tc>
          <w:tcPr>
            <w:tcW w:w="1276" w:type="dxa"/>
            <w:shd w:val="clear" w:color="auto" w:fill="C00000"/>
          </w:tcPr>
          <w:p w14:paraId="265C4370" w14:textId="69EC207A" w:rsidR="00384D02" w:rsidRDefault="00384D02" w:rsidP="00720391">
            <w:pPr>
              <w:pStyle w:val="Heading4"/>
            </w:pPr>
            <w:r>
              <w:t>YES</w:t>
            </w:r>
          </w:p>
        </w:tc>
      </w:tr>
      <w:tr w:rsidR="00384D02" w14:paraId="68FC1265" w14:textId="3C93EDB0" w:rsidTr="00C119C5">
        <w:tc>
          <w:tcPr>
            <w:tcW w:w="3403" w:type="dxa"/>
          </w:tcPr>
          <w:p w14:paraId="37B920B8" w14:textId="5AD1CAD6" w:rsidR="00384D02" w:rsidRPr="00F76B24" w:rsidRDefault="00384D02" w:rsidP="00F76B24">
            <w:pPr>
              <w:rPr>
                <w:rFonts w:ascii="Arial" w:hAnsi="Arial" w:cs="Arial"/>
                <w:sz w:val="22"/>
              </w:rPr>
            </w:pPr>
            <w:r w:rsidRPr="00F76B24">
              <w:rPr>
                <w:rFonts w:ascii="Arial" w:hAnsi="Arial" w:cs="Arial"/>
                <w:sz w:val="22"/>
              </w:rPr>
              <w:t>All students</w:t>
            </w:r>
          </w:p>
        </w:tc>
        <w:tc>
          <w:tcPr>
            <w:tcW w:w="4252" w:type="dxa"/>
          </w:tcPr>
          <w:p w14:paraId="542903B1" w14:textId="15C7C1B6" w:rsidR="00384D02" w:rsidRPr="00F76B24" w:rsidRDefault="00384D02" w:rsidP="00F76B24">
            <w:pPr>
              <w:rPr>
                <w:rFonts w:ascii="Arial" w:hAnsi="Arial" w:cs="Arial"/>
                <w:sz w:val="22"/>
                <w:lang w:val="en-GB"/>
              </w:rPr>
            </w:pPr>
            <w:r w:rsidRPr="00F76B24">
              <w:rPr>
                <w:rFonts w:ascii="Arial" w:hAnsi="Arial" w:cs="Arial"/>
                <w:sz w:val="22"/>
              </w:rPr>
              <w:t>Is the replacement program at the same AQF level?</w:t>
            </w:r>
            <w:r w:rsidRPr="00F76B24">
              <w:rPr>
                <w:rFonts w:ascii="Arial" w:hAnsi="Arial" w:cs="Arial"/>
                <w:color w:val="000000" w:themeColor="text1"/>
                <w:sz w:val="22"/>
              </w:rPr>
              <w:t> </w:t>
            </w:r>
          </w:p>
        </w:tc>
        <w:tc>
          <w:tcPr>
            <w:tcW w:w="567" w:type="dxa"/>
          </w:tcPr>
          <w:p w14:paraId="22B91EFC" w14:textId="77777777" w:rsidR="00384D02" w:rsidRPr="00F76B24" w:rsidRDefault="00384D02" w:rsidP="00F76B24">
            <w:pPr>
              <w:rPr>
                <w:rFonts w:ascii="Arial" w:hAnsi="Arial" w:cs="Arial"/>
                <w:sz w:val="22"/>
                <w:lang w:val="en-GB"/>
              </w:rPr>
            </w:pPr>
          </w:p>
        </w:tc>
        <w:tc>
          <w:tcPr>
            <w:tcW w:w="1276" w:type="dxa"/>
          </w:tcPr>
          <w:p w14:paraId="447F76C4" w14:textId="776CC471" w:rsidR="00384D02" w:rsidRPr="00F76B24" w:rsidRDefault="00384D02" w:rsidP="00F76B24">
            <w:pPr>
              <w:rPr>
                <w:rFonts w:ascii="Arial" w:hAnsi="Arial" w:cs="Arial"/>
                <w:sz w:val="22"/>
                <w:lang w:val="en-GB"/>
              </w:rPr>
            </w:pPr>
            <w:r w:rsidRPr="00F76B24">
              <w:rPr>
                <w:rFonts w:ascii="Arial" w:hAnsi="Arial" w:cs="Arial"/>
                <w:sz w:val="22"/>
                <w:lang w:val="en-GB"/>
              </w:rPr>
              <w:t>Teach out</w:t>
            </w:r>
          </w:p>
        </w:tc>
        <w:tc>
          <w:tcPr>
            <w:tcW w:w="1276" w:type="dxa"/>
          </w:tcPr>
          <w:p w14:paraId="12125627" w14:textId="688B89A0"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13D5A3FE" w14:textId="77777777" w:rsidTr="00C119C5">
        <w:tc>
          <w:tcPr>
            <w:tcW w:w="3403" w:type="dxa"/>
          </w:tcPr>
          <w:p w14:paraId="100B2A0E" w14:textId="4C81A1BD" w:rsidR="00384D02" w:rsidRPr="00F76B24" w:rsidRDefault="00384D02" w:rsidP="00F76B24">
            <w:pPr>
              <w:rPr>
                <w:rFonts w:ascii="Arial" w:hAnsi="Arial" w:cs="Arial"/>
                <w:sz w:val="22"/>
              </w:rPr>
            </w:pPr>
            <w:r w:rsidRPr="00F76B24">
              <w:rPr>
                <w:rFonts w:ascii="Arial" w:hAnsi="Arial" w:cs="Arial"/>
                <w:sz w:val="22"/>
              </w:rPr>
              <w:t>All students</w:t>
            </w:r>
          </w:p>
        </w:tc>
        <w:tc>
          <w:tcPr>
            <w:tcW w:w="4252" w:type="dxa"/>
          </w:tcPr>
          <w:p w14:paraId="1759087F" w14:textId="07BD2D0A" w:rsidR="00384D02" w:rsidRPr="00F76B24" w:rsidRDefault="00384D02" w:rsidP="00F76B24">
            <w:pPr>
              <w:rPr>
                <w:rFonts w:ascii="Arial" w:hAnsi="Arial" w:cs="Arial"/>
                <w:sz w:val="22"/>
              </w:rPr>
            </w:pPr>
            <w:r w:rsidRPr="00F76B24">
              <w:rPr>
                <w:rFonts w:ascii="Arial" w:hAnsi="Arial" w:cs="Arial"/>
                <w:sz w:val="22"/>
              </w:rPr>
              <w:t>Does the replacement program have the same volume of learning/credit points? </w:t>
            </w:r>
          </w:p>
        </w:tc>
        <w:tc>
          <w:tcPr>
            <w:tcW w:w="567" w:type="dxa"/>
          </w:tcPr>
          <w:p w14:paraId="4D0F63E2" w14:textId="77777777" w:rsidR="00384D02" w:rsidRPr="00F76B24" w:rsidRDefault="00384D02" w:rsidP="00F76B24">
            <w:pPr>
              <w:rPr>
                <w:rFonts w:ascii="Arial" w:hAnsi="Arial" w:cs="Arial"/>
                <w:sz w:val="22"/>
                <w:lang w:val="en-GB"/>
              </w:rPr>
            </w:pPr>
          </w:p>
        </w:tc>
        <w:tc>
          <w:tcPr>
            <w:tcW w:w="1276" w:type="dxa"/>
          </w:tcPr>
          <w:p w14:paraId="4DA7A676" w14:textId="32E66DCF"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33A9CACB" w14:textId="6631B741"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1D4365EE" w14:textId="77777777" w:rsidTr="00C119C5">
        <w:tc>
          <w:tcPr>
            <w:tcW w:w="3403" w:type="dxa"/>
          </w:tcPr>
          <w:p w14:paraId="5D2E34CD" w14:textId="76CE86C8" w:rsidR="00384D02" w:rsidRPr="00F76B24" w:rsidRDefault="00384D02" w:rsidP="00F76B24">
            <w:pPr>
              <w:rPr>
                <w:rFonts w:ascii="Arial" w:hAnsi="Arial" w:cs="Arial"/>
                <w:sz w:val="22"/>
              </w:rPr>
            </w:pPr>
            <w:r w:rsidRPr="00F76B24">
              <w:rPr>
                <w:rFonts w:ascii="Arial" w:hAnsi="Arial" w:cs="Arial"/>
                <w:sz w:val="22"/>
              </w:rPr>
              <w:t>All students</w:t>
            </w:r>
          </w:p>
        </w:tc>
        <w:tc>
          <w:tcPr>
            <w:tcW w:w="4252" w:type="dxa"/>
          </w:tcPr>
          <w:p w14:paraId="50AC8034" w14:textId="40A8E580" w:rsidR="00384D02" w:rsidRPr="00F76B24" w:rsidRDefault="00384D02" w:rsidP="00F76B24">
            <w:pPr>
              <w:rPr>
                <w:rFonts w:ascii="Arial" w:hAnsi="Arial" w:cs="Arial"/>
                <w:sz w:val="22"/>
              </w:rPr>
            </w:pPr>
            <w:r w:rsidRPr="00F76B24">
              <w:rPr>
                <w:rFonts w:ascii="Arial" w:hAnsi="Arial" w:cs="Arial"/>
                <w:sz w:val="22"/>
              </w:rPr>
              <w:t>Does the replacement program have the same learning outcomes, or could these be achieved by transferring?</w:t>
            </w:r>
          </w:p>
        </w:tc>
        <w:tc>
          <w:tcPr>
            <w:tcW w:w="567" w:type="dxa"/>
          </w:tcPr>
          <w:p w14:paraId="2411EA24" w14:textId="77777777" w:rsidR="00384D02" w:rsidRPr="00F76B24" w:rsidRDefault="00384D02" w:rsidP="00F76B24">
            <w:pPr>
              <w:rPr>
                <w:rFonts w:ascii="Arial" w:hAnsi="Arial" w:cs="Arial"/>
                <w:sz w:val="22"/>
                <w:lang w:val="en-GB"/>
              </w:rPr>
            </w:pPr>
          </w:p>
        </w:tc>
        <w:tc>
          <w:tcPr>
            <w:tcW w:w="1276" w:type="dxa"/>
          </w:tcPr>
          <w:p w14:paraId="04BF1BAB" w14:textId="6277AC17"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32951B41" w14:textId="0A1563A1"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1A51608D" w14:textId="77777777" w:rsidTr="00C119C5">
        <w:tc>
          <w:tcPr>
            <w:tcW w:w="3403" w:type="dxa"/>
          </w:tcPr>
          <w:p w14:paraId="03158C54" w14:textId="288B52BE" w:rsidR="00384D02" w:rsidRPr="00F76B24" w:rsidRDefault="00384D02" w:rsidP="00F76B24">
            <w:pPr>
              <w:rPr>
                <w:rFonts w:ascii="Arial" w:hAnsi="Arial" w:cs="Arial"/>
                <w:sz w:val="22"/>
              </w:rPr>
            </w:pPr>
            <w:r w:rsidRPr="00F76B24">
              <w:rPr>
                <w:rFonts w:ascii="Arial" w:hAnsi="Arial" w:cs="Arial"/>
                <w:sz w:val="22"/>
              </w:rPr>
              <w:t>All students</w:t>
            </w:r>
          </w:p>
        </w:tc>
        <w:tc>
          <w:tcPr>
            <w:tcW w:w="4252" w:type="dxa"/>
          </w:tcPr>
          <w:p w14:paraId="6CB519B3" w14:textId="7B9F943E" w:rsidR="00384D02" w:rsidRPr="00F76B24" w:rsidRDefault="00384D02" w:rsidP="00F76B24">
            <w:pPr>
              <w:rPr>
                <w:rFonts w:ascii="Arial" w:hAnsi="Arial" w:cs="Arial"/>
                <w:sz w:val="22"/>
              </w:rPr>
            </w:pPr>
            <w:r w:rsidRPr="00F76B24">
              <w:rPr>
                <w:rFonts w:ascii="Arial" w:hAnsi="Arial" w:cs="Arial"/>
                <w:sz w:val="22"/>
              </w:rPr>
              <w:t>Does the replacement program have identical professional accreditation status?</w:t>
            </w:r>
          </w:p>
        </w:tc>
        <w:tc>
          <w:tcPr>
            <w:tcW w:w="567" w:type="dxa"/>
          </w:tcPr>
          <w:p w14:paraId="427F069A" w14:textId="77777777" w:rsidR="00384D02" w:rsidRPr="00F76B24" w:rsidRDefault="00384D02" w:rsidP="00F76B24">
            <w:pPr>
              <w:rPr>
                <w:rFonts w:ascii="Arial" w:hAnsi="Arial" w:cs="Arial"/>
                <w:sz w:val="22"/>
                <w:lang w:val="en-GB"/>
              </w:rPr>
            </w:pPr>
          </w:p>
        </w:tc>
        <w:tc>
          <w:tcPr>
            <w:tcW w:w="1276" w:type="dxa"/>
          </w:tcPr>
          <w:p w14:paraId="7AA7E827" w14:textId="5E501D40"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16822851" w14:textId="2C9BA323"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11755C67" w14:textId="77777777" w:rsidTr="00C119C5">
        <w:tc>
          <w:tcPr>
            <w:tcW w:w="3403" w:type="dxa"/>
          </w:tcPr>
          <w:p w14:paraId="0391C6A9" w14:textId="00E8A12B" w:rsidR="00384D02" w:rsidRPr="00F76B24" w:rsidRDefault="00384D02" w:rsidP="00F76B24">
            <w:pPr>
              <w:rPr>
                <w:rFonts w:ascii="Arial" w:hAnsi="Arial" w:cs="Arial"/>
                <w:sz w:val="22"/>
              </w:rPr>
            </w:pPr>
            <w:r w:rsidRPr="00F76B24">
              <w:rPr>
                <w:rFonts w:ascii="Arial" w:hAnsi="Arial" w:cs="Arial"/>
                <w:sz w:val="22"/>
              </w:rPr>
              <w:t>All students</w:t>
            </w:r>
          </w:p>
        </w:tc>
        <w:tc>
          <w:tcPr>
            <w:tcW w:w="4252" w:type="dxa"/>
          </w:tcPr>
          <w:p w14:paraId="0A7F00DD" w14:textId="3E5D73B2" w:rsidR="00384D02" w:rsidRPr="00F76B24" w:rsidRDefault="00384D02" w:rsidP="00F76B24">
            <w:pPr>
              <w:rPr>
                <w:rFonts w:ascii="Arial" w:hAnsi="Arial" w:cs="Arial"/>
                <w:sz w:val="22"/>
              </w:rPr>
            </w:pPr>
            <w:r w:rsidRPr="00F76B24">
              <w:rPr>
                <w:rFonts w:ascii="Arial" w:hAnsi="Arial" w:cs="Arial"/>
                <w:sz w:val="22"/>
              </w:rPr>
              <w:t>Does the replacement program have similar graduate outcomes?</w:t>
            </w:r>
          </w:p>
        </w:tc>
        <w:tc>
          <w:tcPr>
            <w:tcW w:w="567" w:type="dxa"/>
          </w:tcPr>
          <w:p w14:paraId="4441F7AC" w14:textId="77777777" w:rsidR="00384D02" w:rsidRPr="00F76B24" w:rsidRDefault="00384D02" w:rsidP="00F76B24">
            <w:pPr>
              <w:rPr>
                <w:rFonts w:ascii="Arial" w:hAnsi="Arial" w:cs="Arial"/>
                <w:sz w:val="22"/>
                <w:lang w:val="en-GB"/>
              </w:rPr>
            </w:pPr>
          </w:p>
        </w:tc>
        <w:tc>
          <w:tcPr>
            <w:tcW w:w="1276" w:type="dxa"/>
          </w:tcPr>
          <w:p w14:paraId="4550CBFE" w14:textId="1E2D206F"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47AEA178" w14:textId="3258B305"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11AC5501" w14:textId="77777777" w:rsidTr="00C119C5">
        <w:tc>
          <w:tcPr>
            <w:tcW w:w="3403" w:type="dxa"/>
          </w:tcPr>
          <w:p w14:paraId="38143FB2" w14:textId="47E995E2" w:rsidR="00384D02" w:rsidRPr="00F76B24" w:rsidRDefault="00384D02" w:rsidP="00F76B24">
            <w:pPr>
              <w:rPr>
                <w:rFonts w:ascii="Arial" w:hAnsi="Arial" w:cs="Arial"/>
                <w:sz w:val="22"/>
              </w:rPr>
            </w:pPr>
            <w:r w:rsidRPr="00F76B24">
              <w:rPr>
                <w:rFonts w:ascii="Arial" w:hAnsi="Arial" w:cs="Arial"/>
                <w:sz w:val="22"/>
              </w:rPr>
              <w:t>All students</w:t>
            </w:r>
          </w:p>
        </w:tc>
        <w:tc>
          <w:tcPr>
            <w:tcW w:w="4252" w:type="dxa"/>
          </w:tcPr>
          <w:p w14:paraId="7BDC6454" w14:textId="307092B7" w:rsidR="00384D02" w:rsidRPr="00F76B24" w:rsidRDefault="00384D02" w:rsidP="00F76B24">
            <w:pPr>
              <w:rPr>
                <w:rFonts w:ascii="Arial" w:hAnsi="Arial" w:cs="Arial"/>
                <w:sz w:val="22"/>
              </w:rPr>
            </w:pPr>
            <w:r w:rsidRPr="00F76B24">
              <w:rPr>
                <w:rFonts w:ascii="Arial" w:hAnsi="Arial" w:cs="Arial"/>
                <w:sz w:val="22"/>
              </w:rPr>
              <w:t>Does the replacement program have similar content? (In most cases, this will not include the same minors or electives).</w:t>
            </w:r>
          </w:p>
        </w:tc>
        <w:tc>
          <w:tcPr>
            <w:tcW w:w="567" w:type="dxa"/>
          </w:tcPr>
          <w:p w14:paraId="49EA3B19" w14:textId="77777777" w:rsidR="00384D02" w:rsidRPr="00F76B24" w:rsidRDefault="00384D02" w:rsidP="00F76B24">
            <w:pPr>
              <w:rPr>
                <w:rFonts w:ascii="Arial" w:hAnsi="Arial" w:cs="Arial"/>
                <w:sz w:val="22"/>
                <w:lang w:val="en-GB"/>
              </w:rPr>
            </w:pPr>
          </w:p>
        </w:tc>
        <w:tc>
          <w:tcPr>
            <w:tcW w:w="1276" w:type="dxa"/>
          </w:tcPr>
          <w:p w14:paraId="5101F475" w14:textId="31C767EA"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530C15C7" w14:textId="5DB02C09"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4EA5BD3B" w14:textId="77777777" w:rsidTr="00C119C5">
        <w:tc>
          <w:tcPr>
            <w:tcW w:w="3403" w:type="dxa"/>
          </w:tcPr>
          <w:p w14:paraId="35EDC1E4" w14:textId="4812752D" w:rsidR="00384D02" w:rsidRPr="00F76B24" w:rsidRDefault="00384D02" w:rsidP="00F76B24">
            <w:pPr>
              <w:rPr>
                <w:rFonts w:ascii="Arial" w:hAnsi="Arial" w:cs="Arial"/>
                <w:sz w:val="22"/>
              </w:rPr>
            </w:pPr>
            <w:r w:rsidRPr="00F76B24">
              <w:rPr>
                <w:rFonts w:ascii="Arial" w:hAnsi="Arial" w:cs="Arial"/>
                <w:sz w:val="22"/>
              </w:rPr>
              <w:t>All students, particularly international students</w:t>
            </w:r>
          </w:p>
        </w:tc>
        <w:tc>
          <w:tcPr>
            <w:tcW w:w="4252" w:type="dxa"/>
          </w:tcPr>
          <w:p w14:paraId="7D340A96" w14:textId="7A4DFFD4" w:rsidR="00384D02" w:rsidRPr="00F76B24" w:rsidRDefault="00384D02" w:rsidP="00F76B24">
            <w:pPr>
              <w:rPr>
                <w:rFonts w:ascii="Arial" w:hAnsi="Arial" w:cs="Arial"/>
                <w:sz w:val="22"/>
              </w:rPr>
            </w:pPr>
            <w:r w:rsidRPr="00F76B24">
              <w:rPr>
                <w:rFonts w:ascii="Arial" w:hAnsi="Arial" w:cs="Arial"/>
                <w:sz w:val="22"/>
              </w:rPr>
              <w:t>Does the replacement program have the same mode of delivery?</w:t>
            </w:r>
          </w:p>
        </w:tc>
        <w:tc>
          <w:tcPr>
            <w:tcW w:w="567" w:type="dxa"/>
          </w:tcPr>
          <w:p w14:paraId="61E87E49" w14:textId="77777777" w:rsidR="00384D02" w:rsidRPr="00F76B24" w:rsidRDefault="00384D02" w:rsidP="00F76B24">
            <w:pPr>
              <w:rPr>
                <w:rFonts w:ascii="Arial" w:hAnsi="Arial" w:cs="Arial"/>
                <w:sz w:val="22"/>
                <w:lang w:val="en-GB"/>
              </w:rPr>
            </w:pPr>
          </w:p>
        </w:tc>
        <w:tc>
          <w:tcPr>
            <w:tcW w:w="1276" w:type="dxa"/>
          </w:tcPr>
          <w:p w14:paraId="508716A0" w14:textId="39EA05AD"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697BD4F5" w14:textId="2321A718"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43C0345A" w14:textId="77777777" w:rsidTr="00C119C5">
        <w:tc>
          <w:tcPr>
            <w:tcW w:w="3403" w:type="dxa"/>
          </w:tcPr>
          <w:p w14:paraId="17BB4CC2" w14:textId="73FFDBC9" w:rsidR="00384D02" w:rsidRPr="00F76B24" w:rsidRDefault="00384D02" w:rsidP="00F76B24">
            <w:pPr>
              <w:rPr>
                <w:rFonts w:ascii="Arial" w:hAnsi="Arial" w:cs="Arial"/>
                <w:sz w:val="22"/>
              </w:rPr>
            </w:pPr>
            <w:r w:rsidRPr="00F76B24">
              <w:rPr>
                <w:rFonts w:ascii="Arial" w:hAnsi="Arial" w:cs="Arial"/>
                <w:sz w:val="22"/>
              </w:rPr>
              <w:t>All students, particularly international students</w:t>
            </w:r>
          </w:p>
        </w:tc>
        <w:tc>
          <w:tcPr>
            <w:tcW w:w="4252" w:type="dxa"/>
          </w:tcPr>
          <w:p w14:paraId="077C6195" w14:textId="6078568A" w:rsidR="00384D02" w:rsidRPr="00F76B24" w:rsidRDefault="00384D02" w:rsidP="00F76B24">
            <w:pPr>
              <w:rPr>
                <w:rFonts w:ascii="Arial" w:hAnsi="Arial" w:cs="Arial"/>
                <w:sz w:val="22"/>
              </w:rPr>
            </w:pPr>
            <w:r w:rsidRPr="00F76B24">
              <w:rPr>
                <w:rFonts w:ascii="Arial" w:hAnsi="Arial" w:cs="Arial"/>
                <w:sz w:val="22"/>
              </w:rPr>
              <w:t>Will students be eligible for credit into the new program that has been granted towards their existing program?</w:t>
            </w:r>
          </w:p>
        </w:tc>
        <w:tc>
          <w:tcPr>
            <w:tcW w:w="567" w:type="dxa"/>
          </w:tcPr>
          <w:p w14:paraId="02825D21" w14:textId="77777777" w:rsidR="00384D02" w:rsidRPr="00F76B24" w:rsidRDefault="00384D02" w:rsidP="00F76B24">
            <w:pPr>
              <w:rPr>
                <w:rFonts w:ascii="Arial" w:hAnsi="Arial" w:cs="Arial"/>
                <w:sz w:val="22"/>
                <w:lang w:val="en-GB"/>
              </w:rPr>
            </w:pPr>
          </w:p>
        </w:tc>
        <w:tc>
          <w:tcPr>
            <w:tcW w:w="1276" w:type="dxa"/>
          </w:tcPr>
          <w:p w14:paraId="49B83FF5" w14:textId="2F419874"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3C7A8800" w14:textId="294C0E7C"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5C9B0F13" w14:textId="77777777" w:rsidTr="00C119C5">
        <w:tc>
          <w:tcPr>
            <w:tcW w:w="3403" w:type="dxa"/>
          </w:tcPr>
          <w:p w14:paraId="28EA9471" w14:textId="20C7271D" w:rsidR="00384D02" w:rsidRPr="00F76B24" w:rsidRDefault="00384D02" w:rsidP="00F76B24">
            <w:pPr>
              <w:rPr>
                <w:rFonts w:ascii="Arial" w:hAnsi="Arial" w:cs="Arial"/>
                <w:sz w:val="22"/>
              </w:rPr>
            </w:pPr>
            <w:r w:rsidRPr="00F76B24">
              <w:rPr>
                <w:rFonts w:ascii="Arial" w:hAnsi="Arial" w:cs="Arial"/>
                <w:sz w:val="22"/>
              </w:rPr>
              <w:t>All students, particularly international students</w:t>
            </w:r>
          </w:p>
        </w:tc>
        <w:tc>
          <w:tcPr>
            <w:tcW w:w="4252" w:type="dxa"/>
          </w:tcPr>
          <w:p w14:paraId="4A4D8818" w14:textId="74054867" w:rsidR="00384D02" w:rsidRPr="00F76B24" w:rsidRDefault="00384D02" w:rsidP="00F76B24">
            <w:pPr>
              <w:rPr>
                <w:rFonts w:ascii="Arial" w:hAnsi="Arial" w:cs="Arial"/>
                <w:sz w:val="22"/>
              </w:rPr>
            </w:pPr>
            <w:r w:rsidRPr="00F76B24">
              <w:rPr>
                <w:rFonts w:ascii="Arial" w:hAnsi="Arial" w:cs="Arial"/>
                <w:sz w:val="22"/>
              </w:rPr>
              <w:t>Have current students met the entry requirements to the replacement program, including English language proficiency?</w:t>
            </w:r>
          </w:p>
        </w:tc>
        <w:tc>
          <w:tcPr>
            <w:tcW w:w="567" w:type="dxa"/>
          </w:tcPr>
          <w:p w14:paraId="2B42C34D" w14:textId="77777777" w:rsidR="00384D02" w:rsidRPr="00F76B24" w:rsidRDefault="00384D02" w:rsidP="00F76B24">
            <w:pPr>
              <w:rPr>
                <w:rFonts w:ascii="Arial" w:hAnsi="Arial" w:cs="Arial"/>
                <w:sz w:val="22"/>
                <w:lang w:val="en-GB"/>
              </w:rPr>
            </w:pPr>
          </w:p>
        </w:tc>
        <w:tc>
          <w:tcPr>
            <w:tcW w:w="1276" w:type="dxa"/>
          </w:tcPr>
          <w:p w14:paraId="1B6AE0C8" w14:textId="5E3B7D4C"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6E3E06E2" w14:textId="5F33CF96"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7E5472F9" w14:textId="77777777" w:rsidTr="00C119C5">
        <w:tc>
          <w:tcPr>
            <w:tcW w:w="3403" w:type="dxa"/>
          </w:tcPr>
          <w:p w14:paraId="11F50562" w14:textId="5052FE69" w:rsidR="00384D02" w:rsidRPr="00F76B24" w:rsidRDefault="00384D02" w:rsidP="00F76B24">
            <w:pPr>
              <w:rPr>
                <w:rFonts w:ascii="Arial" w:hAnsi="Arial" w:cs="Arial"/>
                <w:sz w:val="22"/>
              </w:rPr>
            </w:pPr>
            <w:r w:rsidRPr="00F76B24">
              <w:rPr>
                <w:rFonts w:ascii="Arial" w:hAnsi="Arial" w:cs="Arial"/>
                <w:sz w:val="22"/>
              </w:rPr>
              <w:t>All students, particularly international students</w:t>
            </w:r>
          </w:p>
        </w:tc>
        <w:tc>
          <w:tcPr>
            <w:tcW w:w="4252" w:type="dxa"/>
          </w:tcPr>
          <w:p w14:paraId="7FDC4CE0" w14:textId="495F07B8" w:rsidR="00384D02" w:rsidRPr="00F76B24" w:rsidRDefault="00384D02" w:rsidP="00F76B24">
            <w:pPr>
              <w:rPr>
                <w:rFonts w:ascii="Arial" w:hAnsi="Arial" w:cs="Arial"/>
                <w:sz w:val="22"/>
              </w:rPr>
            </w:pPr>
            <w:r w:rsidRPr="00F76B24">
              <w:rPr>
                <w:rFonts w:ascii="Arial" w:hAnsi="Arial" w:cs="Arial"/>
                <w:sz w:val="22"/>
              </w:rPr>
              <w:t>Is the replacement program the same duration (full time equivalent)?</w:t>
            </w:r>
          </w:p>
        </w:tc>
        <w:tc>
          <w:tcPr>
            <w:tcW w:w="567" w:type="dxa"/>
          </w:tcPr>
          <w:p w14:paraId="4C30DC5E" w14:textId="77777777" w:rsidR="00384D02" w:rsidRPr="00F76B24" w:rsidRDefault="00384D02" w:rsidP="00F76B24">
            <w:pPr>
              <w:rPr>
                <w:rFonts w:ascii="Arial" w:hAnsi="Arial" w:cs="Arial"/>
                <w:sz w:val="22"/>
                <w:lang w:val="en-GB"/>
              </w:rPr>
            </w:pPr>
          </w:p>
        </w:tc>
        <w:tc>
          <w:tcPr>
            <w:tcW w:w="1276" w:type="dxa"/>
          </w:tcPr>
          <w:p w14:paraId="417E2A21" w14:textId="3B4B20AA"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20231E77" w14:textId="3DFECA66"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34B4FECA" w14:textId="77777777" w:rsidTr="00C119C5">
        <w:tc>
          <w:tcPr>
            <w:tcW w:w="3403" w:type="dxa"/>
          </w:tcPr>
          <w:p w14:paraId="4824FB1D" w14:textId="5884E804" w:rsidR="00384D02" w:rsidRPr="00F76B24" w:rsidRDefault="00384D02" w:rsidP="00F76B24">
            <w:pPr>
              <w:rPr>
                <w:rFonts w:ascii="Arial" w:hAnsi="Arial" w:cs="Arial"/>
                <w:sz w:val="22"/>
              </w:rPr>
            </w:pPr>
            <w:r w:rsidRPr="00F76B24">
              <w:rPr>
                <w:rFonts w:ascii="Arial" w:hAnsi="Arial" w:cs="Arial"/>
                <w:sz w:val="22"/>
              </w:rPr>
              <w:t xml:space="preserve">All students, particularly international </w:t>
            </w:r>
            <w:proofErr w:type="gramStart"/>
            <w:r w:rsidRPr="00F76B24">
              <w:rPr>
                <w:rFonts w:ascii="Arial" w:hAnsi="Arial" w:cs="Arial"/>
                <w:sz w:val="22"/>
              </w:rPr>
              <w:t>students</w:t>
            </w:r>
            <w:proofErr w:type="gramEnd"/>
            <w:r w:rsidRPr="00F76B24">
              <w:rPr>
                <w:rFonts w:ascii="Arial" w:hAnsi="Arial" w:cs="Arial"/>
                <w:sz w:val="22"/>
              </w:rPr>
              <w:t xml:space="preserve"> and sponsored students</w:t>
            </w:r>
          </w:p>
        </w:tc>
        <w:tc>
          <w:tcPr>
            <w:tcW w:w="4252" w:type="dxa"/>
          </w:tcPr>
          <w:p w14:paraId="4DC25430" w14:textId="74418B5B" w:rsidR="00384D02" w:rsidRPr="00F76B24" w:rsidRDefault="00384D02" w:rsidP="00F76B24">
            <w:pPr>
              <w:rPr>
                <w:rFonts w:ascii="Arial" w:hAnsi="Arial" w:cs="Arial"/>
                <w:sz w:val="22"/>
              </w:rPr>
            </w:pPr>
            <w:r w:rsidRPr="00F76B24">
              <w:rPr>
                <w:rFonts w:ascii="Arial" w:hAnsi="Arial" w:cs="Arial"/>
                <w:sz w:val="22"/>
              </w:rPr>
              <w:t>Does the replacement program have the same fees?</w:t>
            </w:r>
          </w:p>
        </w:tc>
        <w:tc>
          <w:tcPr>
            <w:tcW w:w="567" w:type="dxa"/>
          </w:tcPr>
          <w:p w14:paraId="7EFE8AE5" w14:textId="77777777" w:rsidR="00384D02" w:rsidRPr="00F76B24" w:rsidRDefault="00384D02" w:rsidP="00F76B24">
            <w:pPr>
              <w:rPr>
                <w:rFonts w:ascii="Arial" w:hAnsi="Arial" w:cs="Arial"/>
                <w:sz w:val="22"/>
                <w:lang w:val="en-GB"/>
              </w:rPr>
            </w:pPr>
          </w:p>
        </w:tc>
        <w:tc>
          <w:tcPr>
            <w:tcW w:w="1276" w:type="dxa"/>
          </w:tcPr>
          <w:p w14:paraId="3324884F" w14:textId="0982EE59" w:rsidR="00384D02" w:rsidRPr="00F76B24" w:rsidRDefault="00384D02" w:rsidP="00F76B24">
            <w:pPr>
              <w:rPr>
                <w:rFonts w:ascii="Arial" w:hAnsi="Arial" w:cs="Arial"/>
                <w:sz w:val="22"/>
              </w:rPr>
            </w:pPr>
            <w:r w:rsidRPr="00F76B24">
              <w:rPr>
                <w:rFonts w:ascii="Arial" w:hAnsi="Arial" w:cs="Arial"/>
                <w:sz w:val="22"/>
                <w:lang w:val="en-GB"/>
              </w:rPr>
              <w:t>Teach out</w:t>
            </w:r>
          </w:p>
        </w:tc>
        <w:tc>
          <w:tcPr>
            <w:tcW w:w="1276" w:type="dxa"/>
          </w:tcPr>
          <w:p w14:paraId="1B8E147F" w14:textId="31B318C6" w:rsidR="00384D02" w:rsidRPr="00F76B24" w:rsidRDefault="00384D02" w:rsidP="00F76B24">
            <w:pPr>
              <w:rPr>
                <w:rFonts w:ascii="Arial" w:hAnsi="Arial" w:cs="Arial"/>
                <w:sz w:val="22"/>
              </w:rPr>
            </w:pPr>
            <w:r w:rsidRPr="00F76B24">
              <w:rPr>
                <w:rFonts w:ascii="Arial" w:hAnsi="Arial" w:cs="Arial"/>
                <w:sz w:val="22"/>
              </w:rPr>
              <w:t>Transition</w:t>
            </w:r>
          </w:p>
        </w:tc>
      </w:tr>
      <w:tr w:rsidR="00384D02" w14:paraId="175462CE" w14:textId="647FC825" w:rsidTr="00C119C5">
        <w:tc>
          <w:tcPr>
            <w:tcW w:w="3403" w:type="dxa"/>
          </w:tcPr>
          <w:p w14:paraId="295A9AB0" w14:textId="5E14C52A" w:rsidR="00384D02" w:rsidRPr="00F76B24" w:rsidRDefault="00384D02" w:rsidP="00F76B24">
            <w:pPr>
              <w:rPr>
                <w:rFonts w:ascii="Arial" w:hAnsi="Arial" w:cs="Arial"/>
                <w:sz w:val="22"/>
              </w:rPr>
            </w:pPr>
            <w:r w:rsidRPr="00F76B24">
              <w:rPr>
                <w:rFonts w:ascii="Arial" w:hAnsi="Arial" w:cs="Arial"/>
                <w:sz w:val="22"/>
              </w:rPr>
              <w:t xml:space="preserve">All students, particularly international </w:t>
            </w:r>
            <w:proofErr w:type="gramStart"/>
            <w:r w:rsidRPr="00F76B24">
              <w:rPr>
                <w:rFonts w:ascii="Arial" w:hAnsi="Arial" w:cs="Arial"/>
                <w:sz w:val="22"/>
              </w:rPr>
              <w:t>students</w:t>
            </w:r>
            <w:proofErr w:type="gramEnd"/>
            <w:r w:rsidRPr="00F76B24">
              <w:rPr>
                <w:rFonts w:ascii="Arial" w:hAnsi="Arial" w:cs="Arial"/>
                <w:sz w:val="22"/>
              </w:rPr>
              <w:t xml:space="preserve"> and sponsored students</w:t>
            </w:r>
          </w:p>
        </w:tc>
        <w:tc>
          <w:tcPr>
            <w:tcW w:w="4252" w:type="dxa"/>
          </w:tcPr>
          <w:p w14:paraId="13ED1E4B" w14:textId="4B1948EE" w:rsidR="00384D02" w:rsidRPr="00F76B24" w:rsidRDefault="00384D02" w:rsidP="00F76B24">
            <w:pPr>
              <w:rPr>
                <w:rFonts w:ascii="Arial" w:hAnsi="Arial" w:cs="Arial"/>
                <w:sz w:val="22"/>
              </w:rPr>
            </w:pPr>
            <w:r w:rsidRPr="00F76B24">
              <w:rPr>
                <w:rFonts w:ascii="Arial" w:hAnsi="Arial" w:cs="Arial"/>
                <w:sz w:val="22"/>
              </w:rPr>
              <w:t>Does the replacement program have the same award title?</w:t>
            </w:r>
          </w:p>
        </w:tc>
        <w:tc>
          <w:tcPr>
            <w:tcW w:w="567" w:type="dxa"/>
          </w:tcPr>
          <w:p w14:paraId="1728F15F" w14:textId="77777777" w:rsidR="00384D02" w:rsidRPr="00F76B24" w:rsidRDefault="00384D02" w:rsidP="00F76B24">
            <w:pPr>
              <w:rPr>
                <w:rFonts w:ascii="Arial" w:hAnsi="Arial" w:cs="Arial"/>
                <w:sz w:val="22"/>
                <w:lang w:val="en-GB"/>
              </w:rPr>
            </w:pPr>
          </w:p>
        </w:tc>
        <w:tc>
          <w:tcPr>
            <w:tcW w:w="1276" w:type="dxa"/>
          </w:tcPr>
          <w:p w14:paraId="0AAFDA3F" w14:textId="062366BC" w:rsidR="00384D02" w:rsidRPr="00F76B24" w:rsidRDefault="00384D02" w:rsidP="00F76B24">
            <w:pPr>
              <w:rPr>
                <w:rFonts w:ascii="Arial" w:hAnsi="Arial" w:cs="Arial"/>
                <w:sz w:val="22"/>
                <w:lang w:val="en-GB"/>
              </w:rPr>
            </w:pPr>
            <w:r w:rsidRPr="00F76B24">
              <w:rPr>
                <w:rFonts w:ascii="Arial" w:hAnsi="Arial" w:cs="Arial"/>
                <w:sz w:val="22"/>
                <w:lang w:val="en-GB"/>
              </w:rPr>
              <w:t>Teach out</w:t>
            </w:r>
          </w:p>
        </w:tc>
        <w:tc>
          <w:tcPr>
            <w:tcW w:w="1276" w:type="dxa"/>
          </w:tcPr>
          <w:p w14:paraId="152E1334" w14:textId="521905EE" w:rsidR="00384D02" w:rsidRPr="00F76B24" w:rsidRDefault="00384D02" w:rsidP="00F76B24">
            <w:pPr>
              <w:rPr>
                <w:rFonts w:ascii="Arial" w:hAnsi="Arial" w:cs="Arial"/>
                <w:sz w:val="22"/>
              </w:rPr>
            </w:pPr>
            <w:r w:rsidRPr="00F76B24">
              <w:rPr>
                <w:rFonts w:ascii="Arial" w:hAnsi="Arial" w:cs="Arial"/>
                <w:sz w:val="22"/>
              </w:rPr>
              <w:t>Transition</w:t>
            </w:r>
          </w:p>
        </w:tc>
      </w:tr>
    </w:tbl>
    <w:p w14:paraId="7E71A263" w14:textId="77777777" w:rsidR="00F836D1" w:rsidRPr="00F836D1" w:rsidRDefault="00F836D1" w:rsidP="00F836D1"/>
    <w:p w14:paraId="124F75BE" w14:textId="241B93DA" w:rsidR="00E77B43" w:rsidRPr="00372624" w:rsidRDefault="00A144B2" w:rsidP="001520D3">
      <w:pPr>
        <w:pStyle w:val="Heading3"/>
        <w:ind w:left="567"/>
        <w:rPr>
          <w:rFonts w:ascii="Arial" w:hAnsi="Arial" w:cs="Arial"/>
        </w:rPr>
      </w:pPr>
      <w:bookmarkStart w:id="7" w:name="_3.2_[Insert_sub-heading]"/>
      <w:bookmarkStart w:id="8" w:name="_3.2_Program_requirement"/>
      <w:bookmarkEnd w:id="7"/>
      <w:bookmarkEnd w:id="8"/>
      <w:r w:rsidRPr="00372624">
        <w:rPr>
          <w:rFonts w:ascii="Arial" w:hAnsi="Arial" w:cs="Arial"/>
        </w:rPr>
        <w:t xml:space="preserve">3.2 </w:t>
      </w:r>
      <w:r w:rsidR="00D94ACC" w:rsidRPr="00372624">
        <w:rPr>
          <w:rFonts w:ascii="Arial" w:hAnsi="Arial" w:cs="Arial"/>
        </w:rPr>
        <w:t>Program requirement changes</w:t>
      </w:r>
    </w:p>
    <w:p w14:paraId="45C64FA0" w14:textId="315EE086" w:rsidR="00D94ACC" w:rsidRDefault="00D94ACC" w:rsidP="00D94ACC">
      <w:pPr>
        <w:pStyle w:val="Heading4"/>
        <w:ind w:firstLine="720"/>
      </w:pPr>
      <w:r>
        <w:t>3.2.1 Planning</w:t>
      </w:r>
    </w:p>
    <w:p w14:paraId="1E2C7931" w14:textId="77777777" w:rsidR="00384D02" w:rsidRDefault="00384D02" w:rsidP="00384D02">
      <w:pPr>
        <w:pStyle w:val="Default"/>
        <w:spacing w:after="240" w:line="276" w:lineRule="auto"/>
        <w:ind w:left="720"/>
        <w:rPr>
          <w:rFonts w:ascii="Arial" w:hAnsi="Arial" w:cs="Arial"/>
          <w:color w:val="auto"/>
          <w:kern w:val="2"/>
          <w:sz w:val="22"/>
          <w:szCs w:val="22"/>
          <w:lang w:val="en-AU" w:eastAsia="en-AU"/>
        </w:rPr>
      </w:pPr>
      <w:r w:rsidRPr="00384D02">
        <w:rPr>
          <w:rFonts w:ascii="Arial" w:hAnsi="Arial" w:cs="Arial"/>
          <w:color w:val="auto"/>
          <w:kern w:val="2"/>
          <w:sz w:val="22"/>
          <w:szCs w:val="22"/>
          <w:lang w:val="en-AU" w:eastAsia="en-AU"/>
        </w:rPr>
        <w:t xml:space="preserve">When planning replacement programs, consideration must be given to the feasibility of the timeline, student progression data, various student cohort profiles, current enrolments, the comparative structure of the old and new programs, impacts on existing student visas and </w:t>
      </w:r>
      <w:r w:rsidRPr="00384D02">
        <w:rPr>
          <w:rFonts w:ascii="Arial" w:hAnsi="Arial" w:cs="Arial"/>
          <w:i/>
          <w:iCs/>
          <w:color w:val="auto"/>
          <w:kern w:val="2"/>
          <w:sz w:val="22"/>
          <w:szCs w:val="22"/>
          <w:lang w:val="en-AU" w:eastAsia="en-AU"/>
        </w:rPr>
        <w:lastRenderedPageBreak/>
        <w:t xml:space="preserve">Education Services for Overseas Students Act </w:t>
      </w:r>
      <w:r w:rsidRPr="00384D02">
        <w:rPr>
          <w:rFonts w:ascii="Arial" w:hAnsi="Arial" w:cs="Arial"/>
          <w:color w:val="auto"/>
          <w:kern w:val="2"/>
          <w:sz w:val="22"/>
          <w:szCs w:val="22"/>
          <w:lang w:val="en-AU" w:eastAsia="en-AU"/>
        </w:rPr>
        <w:t>compliance, and potential issues for commencing students who may have accepted offers for future intakes.</w:t>
      </w:r>
    </w:p>
    <w:p w14:paraId="35A3B42B" w14:textId="7A944E35" w:rsidR="00384D02" w:rsidRDefault="00384D02" w:rsidP="00384D02">
      <w:pPr>
        <w:pStyle w:val="Default"/>
        <w:spacing w:after="240" w:line="276" w:lineRule="auto"/>
        <w:ind w:left="720"/>
        <w:rPr>
          <w:rFonts w:ascii="Arial" w:hAnsi="Arial" w:cs="Arial"/>
          <w:color w:val="auto"/>
          <w:kern w:val="2"/>
          <w:sz w:val="22"/>
          <w:szCs w:val="22"/>
          <w:lang w:val="en-AU" w:eastAsia="en-AU"/>
        </w:rPr>
      </w:pPr>
      <w:r w:rsidRPr="00384D02">
        <w:rPr>
          <w:rFonts w:ascii="Arial" w:hAnsi="Arial" w:cs="Arial"/>
          <w:color w:val="auto"/>
          <w:kern w:val="2"/>
          <w:sz w:val="22"/>
          <w:szCs w:val="22"/>
          <w:lang w:val="en-AU" w:eastAsia="en-AU"/>
        </w:rPr>
        <w:t xml:space="preserve">The School is responsible for consulting key stakeholders across the University, including Student Connect, Griffith International, and </w:t>
      </w:r>
      <w:r w:rsidR="00C30DFB">
        <w:rPr>
          <w:rFonts w:ascii="Arial" w:hAnsi="Arial" w:cs="Arial"/>
          <w:color w:val="auto"/>
          <w:kern w:val="2"/>
          <w:sz w:val="22"/>
          <w:szCs w:val="22"/>
          <w:lang w:val="en-AU" w:eastAsia="en-AU"/>
        </w:rPr>
        <w:t>Domestic Admissions</w:t>
      </w:r>
      <w:r w:rsidRPr="00384D02">
        <w:rPr>
          <w:rFonts w:ascii="Arial" w:hAnsi="Arial" w:cs="Arial"/>
          <w:color w:val="auto"/>
          <w:kern w:val="2"/>
          <w:sz w:val="22"/>
          <w:szCs w:val="22"/>
          <w:lang w:val="en-AU" w:eastAsia="en-AU"/>
        </w:rPr>
        <w:t>, prior to approval, to enable these teams to provide the necessary services to students involved.</w:t>
      </w:r>
    </w:p>
    <w:p w14:paraId="15DB0F93" w14:textId="3D20FD56" w:rsidR="00384D02" w:rsidRPr="00384D02" w:rsidRDefault="00384D02" w:rsidP="00384D02">
      <w:pPr>
        <w:pStyle w:val="Default"/>
        <w:spacing w:after="240" w:line="276" w:lineRule="auto"/>
        <w:ind w:left="720"/>
        <w:rPr>
          <w:rFonts w:ascii="Arial" w:hAnsi="Arial" w:cs="Arial"/>
          <w:color w:val="auto"/>
          <w:kern w:val="2"/>
          <w:sz w:val="22"/>
          <w:szCs w:val="22"/>
          <w:lang w:val="en-AU" w:eastAsia="en-AU"/>
        </w:rPr>
      </w:pPr>
      <w:r w:rsidRPr="00384D02">
        <w:rPr>
          <w:rFonts w:ascii="Arial" w:hAnsi="Arial" w:cs="Arial"/>
          <w:color w:val="auto"/>
          <w:kern w:val="2"/>
          <w:sz w:val="22"/>
          <w:szCs w:val="22"/>
          <w:lang w:val="en-AU" w:eastAsia="en-AU"/>
        </w:rPr>
        <w:t>The program change or withdrawal proposal must include the replacement program and the approach to transition (the default) and/or teach out. This includes:</w:t>
      </w:r>
    </w:p>
    <w:p w14:paraId="0FF133E0" w14:textId="77777777" w:rsidR="00384D02" w:rsidRPr="00384D02" w:rsidRDefault="00384D02" w:rsidP="00384D02">
      <w:pPr>
        <w:pStyle w:val="Default"/>
        <w:numPr>
          <w:ilvl w:val="0"/>
          <w:numId w:val="38"/>
        </w:numPr>
        <w:spacing w:line="276" w:lineRule="auto"/>
        <w:rPr>
          <w:rFonts w:ascii="Arial" w:hAnsi="Arial" w:cs="Arial"/>
          <w:color w:val="auto"/>
          <w:kern w:val="2"/>
          <w:sz w:val="22"/>
          <w:szCs w:val="22"/>
          <w:lang w:val="en-AU" w:eastAsia="en-AU"/>
        </w:rPr>
      </w:pPr>
      <w:r w:rsidRPr="00384D02">
        <w:rPr>
          <w:rFonts w:ascii="Arial" w:hAnsi="Arial" w:cs="Arial"/>
          <w:color w:val="auto"/>
          <w:kern w:val="2"/>
          <w:sz w:val="22"/>
          <w:szCs w:val="22"/>
          <w:lang w:val="en-AU" w:eastAsia="en-AU"/>
        </w:rPr>
        <w:t>the last term for admission</w:t>
      </w:r>
    </w:p>
    <w:p w14:paraId="335FD811" w14:textId="77777777" w:rsidR="00384D02" w:rsidRPr="00384D02" w:rsidRDefault="00384D02" w:rsidP="00384D02">
      <w:pPr>
        <w:pStyle w:val="Default"/>
        <w:numPr>
          <w:ilvl w:val="0"/>
          <w:numId w:val="38"/>
        </w:numPr>
        <w:spacing w:line="276" w:lineRule="auto"/>
        <w:rPr>
          <w:rFonts w:ascii="Arial" w:hAnsi="Arial" w:cs="Arial"/>
          <w:color w:val="auto"/>
          <w:kern w:val="2"/>
          <w:sz w:val="22"/>
          <w:szCs w:val="22"/>
          <w:lang w:val="en-AU" w:eastAsia="en-AU"/>
        </w:rPr>
      </w:pPr>
      <w:r w:rsidRPr="00384D02">
        <w:rPr>
          <w:rFonts w:ascii="Arial" w:hAnsi="Arial" w:cs="Arial"/>
          <w:color w:val="auto"/>
          <w:kern w:val="2"/>
          <w:sz w:val="22"/>
          <w:szCs w:val="22"/>
          <w:lang w:val="en-AU" w:eastAsia="en-AU"/>
        </w:rPr>
        <w:t>the last term of delivery for the program</w:t>
      </w:r>
    </w:p>
    <w:p w14:paraId="7EF0C6C9" w14:textId="77777777" w:rsidR="00384D02" w:rsidRPr="00384D02" w:rsidRDefault="00384D02" w:rsidP="00384D02">
      <w:pPr>
        <w:pStyle w:val="Default"/>
        <w:numPr>
          <w:ilvl w:val="0"/>
          <w:numId w:val="38"/>
        </w:numPr>
        <w:spacing w:line="276" w:lineRule="auto"/>
        <w:rPr>
          <w:rFonts w:ascii="Arial" w:hAnsi="Arial" w:cs="Arial"/>
          <w:color w:val="auto"/>
          <w:kern w:val="2"/>
          <w:sz w:val="22"/>
          <w:szCs w:val="22"/>
          <w:lang w:val="en-AU" w:eastAsia="en-AU"/>
        </w:rPr>
      </w:pPr>
      <w:r w:rsidRPr="00384D02">
        <w:rPr>
          <w:rFonts w:ascii="Arial" w:hAnsi="Arial" w:cs="Arial"/>
          <w:color w:val="auto"/>
          <w:kern w:val="2"/>
          <w:sz w:val="22"/>
          <w:szCs w:val="22"/>
          <w:lang w:val="en-AU" w:eastAsia="en-AU"/>
        </w:rPr>
        <w:t>details of prior consultation</w:t>
      </w:r>
    </w:p>
    <w:p w14:paraId="7C4E3612" w14:textId="77777777" w:rsidR="00AA783B" w:rsidRDefault="00384D02" w:rsidP="00473176">
      <w:pPr>
        <w:pStyle w:val="Default"/>
        <w:numPr>
          <w:ilvl w:val="0"/>
          <w:numId w:val="38"/>
        </w:numPr>
        <w:spacing w:line="276" w:lineRule="auto"/>
        <w:rPr>
          <w:rFonts w:ascii="Arial" w:hAnsi="Arial" w:cs="Arial"/>
          <w:color w:val="auto"/>
          <w:kern w:val="2"/>
          <w:sz w:val="22"/>
          <w:szCs w:val="22"/>
          <w:lang w:val="en-AU" w:eastAsia="en-AU"/>
        </w:rPr>
      </w:pPr>
      <w:r w:rsidRPr="00AA783B">
        <w:rPr>
          <w:rFonts w:ascii="Arial" w:hAnsi="Arial" w:cs="Arial"/>
          <w:color w:val="auto"/>
          <w:kern w:val="2"/>
          <w:sz w:val="22"/>
          <w:szCs w:val="22"/>
          <w:lang w:val="en-AU" w:eastAsia="en-AU"/>
        </w:rPr>
        <w:t>mapping of equivalent courses for credit transfer</w:t>
      </w:r>
    </w:p>
    <w:p w14:paraId="001AED2A" w14:textId="260113E2" w:rsidR="00384D02" w:rsidRDefault="00384D02" w:rsidP="00473176">
      <w:pPr>
        <w:pStyle w:val="Default"/>
        <w:numPr>
          <w:ilvl w:val="0"/>
          <w:numId w:val="38"/>
        </w:numPr>
        <w:spacing w:line="276" w:lineRule="auto"/>
        <w:rPr>
          <w:rFonts w:ascii="Arial" w:hAnsi="Arial" w:cs="Arial"/>
          <w:color w:val="auto"/>
          <w:kern w:val="2"/>
          <w:sz w:val="22"/>
          <w:szCs w:val="22"/>
          <w:lang w:val="en-AU" w:eastAsia="en-AU"/>
        </w:rPr>
      </w:pPr>
      <w:r w:rsidRPr="00AA783B">
        <w:rPr>
          <w:rFonts w:ascii="Arial" w:hAnsi="Arial" w:cs="Arial"/>
          <w:color w:val="auto"/>
          <w:kern w:val="2"/>
          <w:sz w:val="22"/>
          <w:szCs w:val="22"/>
          <w:lang w:val="en-AU" w:eastAsia="en-AU"/>
        </w:rPr>
        <w:t>the proposed management of students with a program extension, sponsored students, international students, and part time students (including those that will not complete their study in the teach-out period)</w:t>
      </w:r>
      <w:r w:rsidR="00AA783B">
        <w:rPr>
          <w:rFonts w:ascii="Arial" w:hAnsi="Arial" w:cs="Arial"/>
          <w:color w:val="auto"/>
          <w:kern w:val="2"/>
          <w:sz w:val="22"/>
          <w:szCs w:val="22"/>
          <w:lang w:val="en-AU" w:eastAsia="en-AU"/>
        </w:rPr>
        <w:t>; and</w:t>
      </w:r>
    </w:p>
    <w:p w14:paraId="36DC7020" w14:textId="59A825A3" w:rsidR="00AA783B" w:rsidRPr="00AA783B" w:rsidRDefault="00AA783B" w:rsidP="00384D02">
      <w:pPr>
        <w:pStyle w:val="Default"/>
        <w:numPr>
          <w:ilvl w:val="0"/>
          <w:numId w:val="38"/>
        </w:numPr>
        <w:spacing w:after="240" w:line="276" w:lineRule="auto"/>
        <w:rPr>
          <w:rFonts w:ascii="Arial" w:hAnsi="Arial" w:cs="Arial"/>
          <w:color w:val="auto"/>
          <w:kern w:val="2"/>
          <w:sz w:val="22"/>
          <w:szCs w:val="22"/>
          <w:lang w:val="en-AU" w:eastAsia="en-AU"/>
        </w:rPr>
      </w:pPr>
      <w:r>
        <w:rPr>
          <w:rFonts w:ascii="Arial" w:hAnsi="Arial" w:cs="Arial"/>
          <w:color w:val="auto"/>
          <w:kern w:val="2"/>
          <w:sz w:val="22"/>
          <w:szCs w:val="22"/>
          <w:lang w:val="en-AU" w:eastAsia="en-AU"/>
        </w:rPr>
        <w:t>a proposed communication plan (inclusive of transparency of communication to key sta</w:t>
      </w:r>
      <w:r w:rsidR="00473176">
        <w:rPr>
          <w:rFonts w:ascii="Arial" w:hAnsi="Arial" w:cs="Arial"/>
          <w:color w:val="auto"/>
          <w:kern w:val="2"/>
          <w:sz w:val="22"/>
          <w:szCs w:val="22"/>
          <w:lang w:val="en-AU" w:eastAsia="en-AU"/>
        </w:rPr>
        <w:t>keholders).</w:t>
      </w:r>
    </w:p>
    <w:p w14:paraId="45ED7126" w14:textId="0C9678FB" w:rsidR="00D94ACC" w:rsidRDefault="00D94ACC" w:rsidP="00D94ACC">
      <w:pPr>
        <w:pStyle w:val="Heading4"/>
        <w:ind w:firstLine="720"/>
      </w:pPr>
      <w:r>
        <w:t xml:space="preserve">3.2.2 Teach out </w:t>
      </w:r>
      <w:proofErr w:type="gramStart"/>
      <w:r>
        <w:t>period</w:t>
      </w:r>
      <w:proofErr w:type="gramEnd"/>
    </w:p>
    <w:p w14:paraId="306A0EE6" w14:textId="4EE621E4" w:rsidR="00384D02" w:rsidRPr="00384D02" w:rsidRDefault="00384D02" w:rsidP="00384D02">
      <w:pPr>
        <w:ind w:left="720"/>
        <w:rPr>
          <w:rFonts w:ascii="Arial" w:hAnsi="Arial" w:cs="Arial"/>
          <w:sz w:val="22"/>
        </w:rPr>
      </w:pPr>
      <w:r w:rsidRPr="00384D02">
        <w:rPr>
          <w:rFonts w:ascii="Arial" w:hAnsi="Arial" w:cs="Arial"/>
          <w:sz w:val="22"/>
        </w:rPr>
        <w:t xml:space="preserve">The maximum duration for a teach out period is 1.5 times the full-time equivalent duration of the program, from the last admit term for commencing students. For example, the teach out period of a four-year degree could be up to six years </w:t>
      </w:r>
      <w:r w:rsidR="00431320">
        <w:rPr>
          <w:rFonts w:ascii="Arial" w:hAnsi="Arial" w:cs="Arial"/>
          <w:sz w:val="22"/>
        </w:rPr>
        <w:t>and is calculated based on the last admit term which could be in the future.</w:t>
      </w:r>
    </w:p>
    <w:p w14:paraId="74FDED95" w14:textId="21850EB4" w:rsidR="00D94ACC" w:rsidRDefault="00D94ACC" w:rsidP="00D94ACC">
      <w:pPr>
        <w:pStyle w:val="Heading4"/>
        <w:ind w:firstLine="720"/>
      </w:pPr>
      <w:r>
        <w:t>3.2.3 Approval</w:t>
      </w:r>
    </w:p>
    <w:p w14:paraId="3ACA6E94" w14:textId="1CB2B164" w:rsidR="00384D02" w:rsidRPr="00384D02" w:rsidRDefault="00384D02" w:rsidP="00384D02">
      <w:pPr>
        <w:ind w:left="720"/>
        <w:rPr>
          <w:rFonts w:ascii="Arial" w:hAnsi="Arial" w:cs="Arial"/>
          <w:i/>
          <w:iCs/>
          <w:sz w:val="22"/>
        </w:rPr>
      </w:pPr>
      <w:r w:rsidRPr="00384D02">
        <w:rPr>
          <w:rFonts w:ascii="Arial" w:hAnsi="Arial" w:cs="Arial"/>
          <w:sz w:val="22"/>
        </w:rPr>
        <w:t>Programs Committee approves all arrangements for transition and teach out, including the teach out period, and any extensions to that period</w:t>
      </w:r>
      <w:r w:rsidR="00431320">
        <w:rPr>
          <w:rFonts w:ascii="Arial" w:hAnsi="Arial" w:cs="Arial"/>
          <w:sz w:val="22"/>
        </w:rPr>
        <w:t xml:space="preserve"> which are unusual and exceptional</w:t>
      </w:r>
      <w:r w:rsidRPr="00384D02">
        <w:rPr>
          <w:rFonts w:ascii="Arial" w:hAnsi="Arial" w:cs="Arial"/>
          <w:sz w:val="22"/>
        </w:rPr>
        <w:t xml:space="preserve">. Program approval processes are outlined in the </w:t>
      </w:r>
      <w:r w:rsidRPr="00384D02">
        <w:rPr>
          <w:rFonts w:ascii="Arial" w:hAnsi="Arial" w:cs="Arial"/>
          <w:i/>
          <w:iCs/>
          <w:sz w:val="22"/>
        </w:rPr>
        <w:t>Program Approval Procedure.</w:t>
      </w:r>
    </w:p>
    <w:p w14:paraId="1E0D0C3F" w14:textId="71D73EB9" w:rsidR="00D94ACC" w:rsidRPr="00372624" w:rsidRDefault="00D94ACC" w:rsidP="00372624">
      <w:pPr>
        <w:pStyle w:val="Heading3"/>
        <w:ind w:left="567"/>
        <w:rPr>
          <w:rFonts w:ascii="Arial" w:hAnsi="Arial" w:cs="Arial"/>
        </w:rPr>
      </w:pPr>
      <w:bookmarkStart w:id="9" w:name="_3.3_Managing_teach"/>
      <w:bookmarkEnd w:id="9"/>
      <w:r w:rsidRPr="00372624">
        <w:rPr>
          <w:rFonts w:ascii="Arial" w:hAnsi="Arial" w:cs="Arial"/>
        </w:rPr>
        <w:t xml:space="preserve">3.3 Managing teach </w:t>
      </w:r>
      <w:proofErr w:type="gramStart"/>
      <w:r w:rsidRPr="00372624">
        <w:rPr>
          <w:rFonts w:ascii="Arial" w:hAnsi="Arial" w:cs="Arial"/>
        </w:rPr>
        <w:t>out</w:t>
      </w:r>
      <w:proofErr w:type="gramEnd"/>
    </w:p>
    <w:p w14:paraId="050A14AF" w14:textId="77777777" w:rsidR="00384D02" w:rsidRDefault="00384D02" w:rsidP="00384D02">
      <w:pPr>
        <w:ind w:left="567"/>
        <w:rPr>
          <w:rFonts w:ascii="Arial" w:hAnsi="Arial" w:cs="Arial"/>
          <w:sz w:val="22"/>
        </w:rPr>
      </w:pPr>
      <w:r w:rsidRPr="00384D02">
        <w:rPr>
          <w:rFonts w:ascii="Arial" w:hAnsi="Arial" w:cs="Arial"/>
          <w:sz w:val="22"/>
        </w:rPr>
        <w:t xml:space="preserve">Students enrolled in a teach out program have the end date of the teach out period displayed on </w:t>
      </w:r>
      <w:proofErr w:type="spellStart"/>
      <w:r w:rsidRPr="00384D02">
        <w:rPr>
          <w:rFonts w:ascii="Arial" w:hAnsi="Arial" w:cs="Arial"/>
          <w:sz w:val="22"/>
        </w:rPr>
        <w:t>myGriffith</w:t>
      </w:r>
      <w:proofErr w:type="spellEnd"/>
      <w:r w:rsidRPr="00384D02">
        <w:rPr>
          <w:rFonts w:ascii="Arial" w:hAnsi="Arial" w:cs="Arial"/>
          <w:sz w:val="22"/>
        </w:rPr>
        <w:t xml:space="preserve">. Digital Solutions is responsible for ensuring that only the information with the earliest date is displayed for those students who also have a ‘must complete by’ date displayed. </w:t>
      </w:r>
    </w:p>
    <w:p w14:paraId="0A6E4D4E" w14:textId="79BE7BDC" w:rsidR="00431320" w:rsidRDefault="00431320" w:rsidP="00431320">
      <w:pPr>
        <w:pStyle w:val="Heading4"/>
        <w:ind w:firstLine="720"/>
      </w:pPr>
      <w:r>
        <w:t>3.3.1 Monitoring progression</w:t>
      </w:r>
    </w:p>
    <w:p w14:paraId="44985AB7" w14:textId="77777777" w:rsidR="00431320" w:rsidRDefault="00431320" w:rsidP="00431320">
      <w:pPr>
        <w:ind w:left="720"/>
        <w:rPr>
          <w:rFonts w:ascii="Arial" w:hAnsi="Arial" w:cs="Arial"/>
          <w:sz w:val="22"/>
        </w:rPr>
      </w:pPr>
      <w:r w:rsidRPr="00384D02">
        <w:rPr>
          <w:rFonts w:ascii="Arial" w:hAnsi="Arial" w:cs="Arial"/>
          <w:sz w:val="22"/>
        </w:rPr>
        <w:t xml:space="preserve">Progression of students enrolled in programs in teach out is actively monitored by the Academic Groups. Early intervention and support are provided to students who are at risk of not completing their program, as per the </w:t>
      </w:r>
      <w:r w:rsidRPr="00384D02">
        <w:rPr>
          <w:rFonts w:ascii="Arial" w:hAnsi="Arial" w:cs="Arial"/>
          <w:i/>
          <w:iCs/>
          <w:sz w:val="22"/>
        </w:rPr>
        <w:t>Academic Progress Procedure</w:t>
      </w:r>
      <w:r w:rsidRPr="00384D02">
        <w:rPr>
          <w:rFonts w:ascii="Arial" w:hAnsi="Arial" w:cs="Arial"/>
          <w:sz w:val="22"/>
        </w:rPr>
        <w:t>. Students who are at risk of not completing their program requirements are assessed and managed on a case-by-case basis. This is reported annually to the Group Learning and Teaching Committee.</w:t>
      </w:r>
    </w:p>
    <w:p w14:paraId="72C1A89C" w14:textId="41B1C803" w:rsidR="00431320" w:rsidRPr="00F00924" w:rsidRDefault="00F00924" w:rsidP="00F00924">
      <w:pPr>
        <w:ind w:left="720"/>
        <w:rPr>
          <w:rFonts w:ascii="Arial" w:hAnsi="Arial" w:cs="Arial"/>
          <w:sz w:val="22"/>
        </w:rPr>
      </w:pPr>
      <w:r>
        <w:rPr>
          <w:rFonts w:ascii="Arial" w:hAnsi="Arial" w:cs="Arial"/>
          <w:sz w:val="22"/>
        </w:rPr>
        <w:t>Monitoring e</w:t>
      </w:r>
      <w:r w:rsidRPr="00384D02">
        <w:rPr>
          <w:rFonts w:ascii="Arial" w:hAnsi="Arial" w:cs="Arial"/>
          <w:sz w:val="22"/>
        </w:rPr>
        <w:t xml:space="preserve">nrolled students who have reached the end of a teach out period but have not completed the program requirements to graduate are assessed on a case-by-case basis by the School. These students may be transitioned to a replacement program by the University.  Refer to the University’s </w:t>
      </w:r>
      <w:r w:rsidRPr="00384D02">
        <w:rPr>
          <w:rFonts w:ascii="Arial" w:hAnsi="Arial" w:cs="Arial"/>
          <w:i/>
          <w:iCs/>
          <w:sz w:val="22"/>
        </w:rPr>
        <w:t>Enrolment Policy</w:t>
      </w:r>
      <w:r w:rsidRPr="00384D02">
        <w:rPr>
          <w:rFonts w:ascii="Arial" w:hAnsi="Arial" w:cs="Arial"/>
          <w:sz w:val="22"/>
        </w:rPr>
        <w:t xml:space="preserve"> for more information.</w:t>
      </w:r>
    </w:p>
    <w:p w14:paraId="4AF3F882" w14:textId="49C44A71" w:rsidR="00D94ACC" w:rsidRDefault="00D94ACC" w:rsidP="00D94ACC">
      <w:pPr>
        <w:pStyle w:val="Heading4"/>
        <w:ind w:firstLine="720"/>
      </w:pPr>
      <w:r>
        <w:lastRenderedPageBreak/>
        <w:t>3.3.</w:t>
      </w:r>
      <w:r w:rsidR="00431320">
        <w:t>2</w:t>
      </w:r>
      <w:r>
        <w:t xml:space="preserve"> Study plans</w:t>
      </w:r>
    </w:p>
    <w:p w14:paraId="3932C8D7" w14:textId="2D60ACE5" w:rsidR="00384D02" w:rsidRPr="00384D02" w:rsidRDefault="00384D02" w:rsidP="00384D02">
      <w:pPr>
        <w:spacing w:after="120"/>
        <w:ind w:left="720"/>
        <w:rPr>
          <w:rFonts w:ascii="Arial" w:hAnsi="Arial" w:cs="Arial"/>
          <w:sz w:val="22"/>
        </w:rPr>
      </w:pPr>
      <w:r w:rsidRPr="00384D02">
        <w:rPr>
          <w:rFonts w:ascii="Arial" w:hAnsi="Arial" w:cs="Arial"/>
          <w:sz w:val="22"/>
        </w:rPr>
        <w:t>A customised study plan may be created by the School for students in a teach out program to ensure they can complete their study in the required time frame. The study plans must be agreed to by the student and then approved by the Program Director and then the Dean (Learning and Teaching), taking into consideration:</w:t>
      </w:r>
    </w:p>
    <w:p w14:paraId="6C4FAEA1" w14:textId="77777777" w:rsidR="00384D02" w:rsidRPr="00384D02" w:rsidRDefault="00384D02" w:rsidP="00384D02">
      <w:pPr>
        <w:pStyle w:val="ListParagraph"/>
        <w:numPr>
          <w:ilvl w:val="0"/>
          <w:numId w:val="39"/>
        </w:numPr>
        <w:spacing w:after="120"/>
        <w:contextualSpacing/>
        <w:rPr>
          <w:rFonts w:ascii="Arial" w:hAnsi="Arial" w:cs="Arial"/>
          <w:color w:val="auto"/>
          <w:sz w:val="22"/>
        </w:rPr>
      </w:pPr>
      <w:r w:rsidRPr="00384D02">
        <w:rPr>
          <w:rFonts w:ascii="Arial" w:hAnsi="Arial" w:cs="Arial"/>
          <w:color w:val="auto"/>
          <w:sz w:val="22"/>
        </w:rPr>
        <w:t>professional accreditation requirements, where applicable</w:t>
      </w:r>
    </w:p>
    <w:p w14:paraId="47EB3E1D" w14:textId="77777777" w:rsidR="00384D02" w:rsidRPr="00384D02" w:rsidRDefault="00384D02" w:rsidP="00384D02">
      <w:pPr>
        <w:pStyle w:val="ListParagraph"/>
        <w:numPr>
          <w:ilvl w:val="0"/>
          <w:numId w:val="39"/>
        </w:numPr>
        <w:spacing w:after="120"/>
        <w:contextualSpacing/>
        <w:rPr>
          <w:rFonts w:ascii="Arial" w:hAnsi="Arial" w:cs="Arial"/>
          <w:color w:val="auto"/>
          <w:sz w:val="22"/>
        </w:rPr>
      </w:pPr>
      <w:r w:rsidRPr="00384D02">
        <w:rPr>
          <w:rFonts w:ascii="Arial" w:hAnsi="Arial" w:cs="Arial"/>
          <w:color w:val="auto"/>
          <w:sz w:val="22"/>
        </w:rPr>
        <w:t>degree requirements; and</w:t>
      </w:r>
    </w:p>
    <w:p w14:paraId="5D8C1EDD" w14:textId="77777777" w:rsidR="00384D02" w:rsidRPr="00384D02" w:rsidRDefault="00384D02" w:rsidP="00F836D1">
      <w:pPr>
        <w:pStyle w:val="ListParagraph"/>
        <w:numPr>
          <w:ilvl w:val="0"/>
          <w:numId w:val="39"/>
        </w:numPr>
        <w:spacing w:after="120"/>
        <w:contextualSpacing/>
      </w:pPr>
      <w:r w:rsidRPr="00384D02">
        <w:rPr>
          <w:rFonts w:ascii="Arial" w:hAnsi="Arial" w:cs="Arial"/>
          <w:color w:val="auto"/>
          <w:sz w:val="22"/>
        </w:rPr>
        <w:t>trimester availability of courses.</w:t>
      </w:r>
    </w:p>
    <w:p w14:paraId="14A6837D" w14:textId="0FC259F5" w:rsidR="00D94ACC" w:rsidRDefault="00F836D1" w:rsidP="00F836D1">
      <w:pPr>
        <w:pStyle w:val="Heading4"/>
      </w:pPr>
      <w:r>
        <w:tab/>
        <w:t>3.3.3 Interruption of studies</w:t>
      </w:r>
    </w:p>
    <w:p w14:paraId="6613027D" w14:textId="6CE28DFC" w:rsidR="00384D02" w:rsidRPr="00384D02" w:rsidRDefault="00384D02" w:rsidP="00384D02">
      <w:pPr>
        <w:ind w:left="720"/>
        <w:rPr>
          <w:rFonts w:ascii="Arial" w:hAnsi="Arial" w:cs="Arial"/>
          <w:sz w:val="22"/>
        </w:rPr>
      </w:pPr>
      <w:r w:rsidRPr="00384D02">
        <w:rPr>
          <w:rFonts w:ascii="Arial" w:hAnsi="Arial" w:cs="Arial"/>
          <w:sz w:val="22"/>
        </w:rPr>
        <w:t>Teach out and transition arrangements for students on a leave of absence or extension</w:t>
      </w:r>
      <w:r w:rsidR="008D128F">
        <w:rPr>
          <w:rFonts w:ascii="Arial" w:hAnsi="Arial" w:cs="Arial"/>
          <w:sz w:val="22"/>
        </w:rPr>
        <w:t xml:space="preserve"> to maximum time to complete their program</w:t>
      </w:r>
      <w:r w:rsidRPr="00384D02">
        <w:rPr>
          <w:rFonts w:ascii="Arial" w:hAnsi="Arial" w:cs="Arial"/>
          <w:sz w:val="22"/>
        </w:rPr>
        <w:t xml:space="preserve">, and students who have deferred their offer to study, are detailed in section 3.10 and 3.11 of the </w:t>
      </w:r>
      <w:r w:rsidRPr="00384D02">
        <w:rPr>
          <w:rFonts w:ascii="Arial" w:hAnsi="Arial" w:cs="Arial"/>
          <w:i/>
          <w:iCs/>
          <w:sz w:val="22"/>
        </w:rPr>
        <w:t>Enrolment Procedure</w:t>
      </w:r>
      <w:r w:rsidRPr="00384D02">
        <w:rPr>
          <w:rFonts w:ascii="Arial" w:hAnsi="Arial" w:cs="Arial"/>
          <w:sz w:val="22"/>
        </w:rPr>
        <w:t xml:space="preserve">, and section 3.4 of the </w:t>
      </w:r>
      <w:r w:rsidRPr="00384D02">
        <w:rPr>
          <w:rFonts w:ascii="Arial" w:hAnsi="Arial" w:cs="Arial"/>
          <w:i/>
          <w:iCs/>
          <w:sz w:val="22"/>
        </w:rPr>
        <w:t>Admission Procedure</w:t>
      </w:r>
      <w:r w:rsidRPr="00384D02">
        <w:rPr>
          <w:rFonts w:ascii="Arial" w:hAnsi="Arial" w:cs="Arial"/>
          <w:sz w:val="22"/>
        </w:rPr>
        <w:t>, respectively.</w:t>
      </w:r>
    </w:p>
    <w:p w14:paraId="13AE6846" w14:textId="7E14C70F" w:rsidR="00F836D1" w:rsidRDefault="00F836D1" w:rsidP="00F836D1">
      <w:pPr>
        <w:pStyle w:val="Heading4"/>
        <w:ind w:firstLine="720"/>
      </w:pPr>
      <w:r>
        <w:t>3.3.4 Re-admission into withdrawn programs</w:t>
      </w:r>
    </w:p>
    <w:p w14:paraId="05C49B9D" w14:textId="10318A5E" w:rsidR="00384D02" w:rsidRPr="00384D02" w:rsidRDefault="008E31D1" w:rsidP="00384D02">
      <w:pPr>
        <w:pStyle w:val="NormalWhite"/>
        <w:spacing w:after="120"/>
        <w:ind w:left="720"/>
        <w:rPr>
          <w:rFonts w:cs="Arial"/>
          <w:color w:val="auto"/>
          <w:kern w:val="2"/>
          <w:sz w:val="22"/>
        </w:rPr>
      </w:pPr>
      <w:r>
        <w:rPr>
          <w:rFonts w:cs="Arial"/>
          <w:color w:val="auto"/>
          <w:kern w:val="2"/>
          <w:sz w:val="22"/>
        </w:rPr>
        <w:t xml:space="preserve">Students who have discontinued their enrolment in a program and request to be readmitted to the same program must meet certain conditions, as per the </w:t>
      </w:r>
      <w:r w:rsidRPr="00384D02">
        <w:rPr>
          <w:rFonts w:cs="Arial"/>
          <w:i/>
          <w:iCs/>
          <w:color w:val="auto"/>
          <w:kern w:val="2"/>
          <w:sz w:val="22"/>
        </w:rPr>
        <w:t>Admission Procedure</w:t>
      </w:r>
      <w:r>
        <w:rPr>
          <w:rFonts w:cs="Arial"/>
          <w:i/>
          <w:iCs/>
          <w:color w:val="auto"/>
          <w:kern w:val="2"/>
          <w:sz w:val="22"/>
        </w:rPr>
        <w:t>.</w:t>
      </w:r>
    </w:p>
    <w:p w14:paraId="0FCD6036" w14:textId="7E1A6759" w:rsidR="00D94ACC" w:rsidRPr="00372624" w:rsidRDefault="00D94ACC" w:rsidP="00372624">
      <w:pPr>
        <w:pStyle w:val="Heading3"/>
        <w:ind w:left="567"/>
        <w:rPr>
          <w:rFonts w:ascii="Arial" w:hAnsi="Arial" w:cs="Arial"/>
        </w:rPr>
      </w:pPr>
      <w:bookmarkStart w:id="10" w:name="_3.4_Managing_transition"/>
      <w:bookmarkEnd w:id="10"/>
      <w:r w:rsidRPr="00372624">
        <w:rPr>
          <w:rFonts w:ascii="Arial" w:hAnsi="Arial" w:cs="Arial"/>
        </w:rPr>
        <w:t xml:space="preserve">3.4 Managing </w:t>
      </w:r>
      <w:proofErr w:type="gramStart"/>
      <w:r w:rsidRPr="00372624">
        <w:rPr>
          <w:rFonts w:ascii="Arial" w:hAnsi="Arial" w:cs="Arial"/>
        </w:rPr>
        <w:t>transition</w:t>
      </w:r>
      <w:proofErr w:type="gramEnd"/>
    </w:p>
    <w:p w14:paraId="5DCD5235" w14:textId="76E785AE" w:rsidR="00F836D1" w:rsidRDefault="00F836D1" w:rsidP="00F836D1">
      <w:pPr>
        <w:pStyle w:val="Heading4"/>
      </w:pPr>
      <w:r>
        <w:tab/>
        <w:t>3.4.1 Admission for transitioned students</w:t>
      </w:r>
    </w:p>
    <w:p w14:paraId="3539131A" w14:textId="59B04512" w:rsidR="00384D02" w:rsidRPr="00384D02" w:rsidRDefault="00384D02" w:rsidP="00384D02">
      <w:pPr>
        <w:pStyle w:val="NormalWhite"/>
        <w:spacing w:after="120"/>
        <w:ind w:left="720"/>
        <w:rPr>
          <w:rFonts w:cs="Arial"/>
          <w:color w:val="auto"/>
          <w:kern w:val="2"/>
          <w:sz w:val="22"/>
        </w:rPr>
      </w:pPr>
      <w:r w:rsidRPr="00384D02">
        <w:rPr>
          <w:rFonts w:cs="Arial"/>
          <w:color w:val="auto"/>
          <w:kern w:val="2"/>
          <w:sz w:val="22"/>
        </w:rPr>
        <w:t xml:space="preserve">The transition of students into a replacement program is managed internally by the School and Student Business Services, as well as Griffith International for international students. </w:t>
      </w:r>
    </w:p>
    <w:p w14:paraId="47FF54EE" w14:textId="515F06AE" w:rsidR="00F836D1" w:rsidRPr="00384D02" w:rsidRDefault="00F836D1" w:rsidP="00384D02">
      <w:pPr>
        <w:pStyle w:val="Heading4"/>
        <w:ind w:firstLine="720"/>
      </w:pPr>
      <w:r w:rsidRPr="00384D02">
        <w:t>3.4.2 Fees</w:t>
      </w:r>
    </w:p>
    <w:p w14:paraId="5FD83A3B" w14:textId="35CFCD10" w:rsidR="00384D02" w:rsidRPr="00384D02" w:rsidRDefault="00384D02" w:rsidP="00DB3FFE">
      <w:pPr>
        <w:pStyle w:val="NormalWhite"/>
        <w:spacing w:after="120"/>
        <w:ind w:left="720"/>
        <w:rPr>
          <w:rFonts w:cs="Arial"/>
          <w:color w:val="auto"/>
          <w:kern w:val="2"/>
          <w:sz w:val="22"/>
        </w:rPr>
      </w:pPr>
      <w:r w:rsidRPr="00384D02">
        <w:rPr>
          <w:rFonts w:cs="Arial"/>
          <w:color w:val="auto"/>
          <w:kern w:val="2"/>
          <w:sz w:val="22"/>
        </w:rPr>
        <w:t xml:space="preserve">If a student transfers from one program to another, the student is liable for the tuition fee related to the new program, as per </w:t>
      </w:r>
      <w:r w:rsidR="0022121F">
        <w:rPr>
          <w:rFonts w:cs="Arial"/>
          <w:color w:val="auto"/>
          <w:kern w:val="2"/>
          <w:sz w:val="22"/>
        </w:rPr>
        <w:t>the</w:t>
      </w:r>
      <w:r w:rsidRPr="00384D02">
        <w:rPr>
          <w:rFonts w:cs="Arial"/>
          <w:color w:val="auto"/>
          <w:kern w:val="2"/>
          <w:sz w:val="22"/>
        </w:rPr>
        <w:t xml:space="preserve"> </w:t>
      </w:r>
      <w:r w:rsidRPr="00384D02">
        <w:rPr>
          <w:rFonts w:cs="Arial"/>
          <w:i/>
          <w:iCs/>
          <w:color w:val="auto"/>
          <w:kern w:val="2"/>
          <w:sz w:val="22"/>
        </w:rPr>
        <w:t>Fees and Charges Procedure</w:t>
      </w:r>
      <w:r w:rsidRPr="00384D02">
        <w:rPr>
          <w:rFonts w:cs="Arial"/>
          <w:color w:val="auto"/>
          <w:kern w:val="2"/>
          <w:sz w:val="22"/>
        </w:rPr>
        <w:t xml:space="preserve">. </w:t>
      </w:r>
    </w:p>
    <w:p w14:paraId="4408D7CB" w14:textId="446E3F3C" w:rsidR="00F836D1" w:rsidRDefault="00F836D1" w:rsidP="00F836D1">
      <w:pPr>
        <w:pStyle w:val="Heading4"/>
        <w:ind w:left="720"/>
      </w:pPr>
      <w:r>
        <w:t>3.4.3 Credit arrangements</w:t>
      </w:r>
    </w:p>
    <w:p w14:paraId="259F1D0A" w14:textId="53E82B93" w:rsidR="00384D02" w:rsidRPr="00384D02" w:rsidRDefault="00384D02" w:rsidP="00384D02">
      <w:pPr>
        <w:pStyle w:val="NormalWhite"/>
        <w:spacing w:after="120"/>
        <w:ind w:left="720"/>
        <w:rPr>
          <w:rFonts w:cs="Arial"/>
          <w:color w:val="auto"/>
          <w:kern w:val="2"/>
          <w:sz w:val="22"/>
        </w:rPr>
      </w:pPr>
      <w:r w:rsidRPr="00384D02">
        <w:rPr>
          <w:rFonts w:cs="Arial"/>
          <w:color w:val="auto"/>
          <w:kern w:val="2"/>
          <w:sz w:val="22"/>
        </w:rPr>
        <w:t>Students transitioning into a replacement program will have their previous study assessed for credit</w:t>
      </w:r>
      <w:r w:rsidR="00CA2286">
        <w:rPr>
          <w:rFonts w:cs="Arial"/>
          <w:color w:val="auto"/>
          <w:kern w:val="2"/>
          <w:sz w:val="22"/>
        </w:rPr>
        <w:t xml:space="preserve">, </w:t>
      </w:r>
      <w:r w:rsidRPr="00384D02">
        <w:rPr>
          <w:rFonts w:cs="Arial"/>
          <w:color w:val="auto"/>
          <w:kern w:val="2"/>
          <w:sz w:val="22"/>
        </w:rPr>
        <w:t>including previously granted credit</w:t>
      </w:r>
      <w:r w:rsidR="00CA2286">
        <w:rPr>
          <w:rFonts w:cs="Arial"/>
          <w:color w:val="auto"/>
          <w:kern w:val="2"/>
          <w:sz w:val="22"/>
        </w:rPr>
        <w:t xml:space="preserve"> (r</w:t>
      </w:r>
      <w:r w:rsidR="00DB3FFE">
        <w:rPr>
          <w:rFonts w:cs="Arial"/>
          <w:color w:val="auto"/>
          <w:kern w:val="2"/>
          <w:sz w:val="22"/>
        </w:rPr>
        <w:t xml:space="preserve">efer to the </w:t>
      </w:r>
      <w:r w:rsidR="00DB3FFE" w:rsidRPr="00CA2286">
        <w:rPr>
          <w:rFonts w:cs="Arial"/>
          <w:i/>
          <w:iCs/>
          <w:color w:val="auto"/>
          <w:kern w:val="2"/>
          <w:sz w:val="22"/>
        </w:rPr>
        <w:t>Credit and Recognition of Prior Learning Procedure</w:t>
      </w:r>
      <w:r w:rsidR="00DB3FFE">
        <w:rPr>
          <w:rFonts w:cs="Arial"/>
          <w:color w:val="auto"/>
          <w:kern w:val="2"/>
          <w:sz w:val="22"/>
        </w:rPr>
        <w:t xml:space="preserve"> for more information</w:t>
      </w:r>
      <w:r w:rsidR="00CA2286">
        <w:rPr>
          <w:rFonts w:cs="Arial"/>
          <w:color w:val="auto"/>
          <w:kern w:val="2"/>
          <w:sz w:val="22"/>
        </w:rPr>
        <w:t>)</w:t>
      </w:r>
      <w:r w:rsidR="00DB3FFE">
        <w:rPr>
          <w:rFonts w:cs="Arial"/>
          <w:color w:val="auto"/>
          <w:kern w:val="2"/>
          <w:sz w:val="22"/>
        </w:rPr>
        <w:t xml:space="preserve">. </w:t>
      </w:r>
      <w:r w:rsidRPr="00384D02">
        <w:rPr>
          <w:rFonts w:cs="Arial"/>
          <w:color w:val="auto"/>
          <w:kern w:val="2"/>
          <w:sz w:val="22"/>
        </w:rPr>
        <w:t xml:space="preserve">This is initiated internally by the School in close collaboration with </w:t>
      </w:r>
      <w:r w:rsidR="00DB3FFE">
        <w:rPr>
          <w:rFonts w:cs="Arial"/>
          <w:color w:val="auto"/>
          <w:kern w:val="2"/>
          <w:sz w:val="22"/>
        </w:rPr>
        <w:t>Domestic Admissions</w:t>
      </w:r>
      <w:r w:rsidRPr="00384D02">
        <w:rPr>
          <w:rFonts w:cs="Arial"/>
          <w:color w:val="auto"/>
          <w:kern w:val="2"/>
          <w:sz w:val="22"/>
        </w:rPr>
        <w:t xml:space="preserve">. </w:t>
      </w:r>
    </w:p>
    <w:p w14:paraId="4DAC8C6F" w14:textId="33A91C5D" w:rsidR="00F836D1" w:rsidRDefault="00F836D1" w:rsidP="00F836D1">
      <w:pPr>
        <w:pStyle w:val="Heading4"/>
        <w:ind w:left="720"/>
      </w:pPr>
      <w:r>
        <w:t>3.4.4 International students</w:t>
      </w:r>
    </w:p>
    <w:p w14:paraId="15CFE688" w14:textId="1F4F461A" w:rsidR="00384D02" w:rsidRPr="00384D02" w:rsidRDefault="00384D02" w:rsidP="00384D02">
      <w:pPr>
        <w:ind w:left="720"/>
        <w:rPr>
          <w:rFonts w:ascii="Arial" w:hAnsi="Arial" w:cs="Arial"/>
          <w:sz w:val="22"/>
        </w:rPr>
      </w:pPr>
      <w:r w:rsidRPr="00384D02">
        <w:rPr>
          <w:rFonts w:ascii="Arial" w:hAnsi="Arial" w:cs="Arial"/>
          <w:sz w:val="22"/>
        </w:rPr>
        <w:t xml:space="preserve">Further measures must still be taken when managing students that are studying on an international visa and opt to transition to a replacement program, to ensure their visa compliance, maintenance of eligibility for post-study work rights, and Griffith’s compliance with the </w:t>
      </w:r>
      <w:r w:rsidRPr="00806DDA">
        <w:rPr>
          <w:rFonts w:ascii="Arial" w:hAnsi="Arial" w:cs="Arial"/>
          <w:i/>
          <w:iCs/>
          <w:sz w:val="22"/>
        </w:rPr>
        <w:t>National Code</w:t>
      </w:r>
      <w:r w:rsidRPr="00384D02">
        <w:rPr>
          <w:rFonts w:ascii="Arial" w:hAnsi="Arial" w:cs="Arial"/>
          <w:sz w:val="22"/>
        </w:rPr>
        <w:t>.</w:t>
      </w:r>
    </w:p>
    <w:p w14:paraId="63CBA26E" w14:textId="3F411169" w:rsidR="00384D02" w:rsidRPr="00384D02" w:rsidRDefault="00384D02" w:rsidP="00384D02">
      <w:pPr>
        <w:ind w:firstLine="720"/>
        <w:rPr>
          <w:rFonts w:ascii="Arial" w:hAnsi="Arial" w:cs="Arial"/>
          <w:sz w:val="22"/>
        </w:rPr>
      </w:pPr>
      <w:r w:rsidRPr="00384D02">
        <w:rPr>
          <w:rFonts w:ascii="Arial" w:hAnsi="Arial" w:cs="Arial"/>
          <w:sz w:val="22"/>
        </w:rPr>
        <w:t>This includes ensuring that:</w:t>
      </w:r>
    </w:p>
    <w:p w14:paraId="16234A8D"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 xml:space="preserve">the duration of the program and CRICOS duration remains the </w:t>
      </w:r>
      <w:proofErr w:type="gramStart"/>
      <w:r w:rsidRPr="00384D02">
        <w:rPr>
          <w:rFonts w:ascii="Arial" w:hAnsi="Arial" w:cs="Arial"/>
          <w:color w:val="auto"/>
          <w:sz w:val="22"/>
        </w:rPr>
        <w:t>same;</w:t>
      </w:r>
      <w:proofErr w:type="gramEnd"/>
    </w:p>
    <w:p w14:paraId="62EFCEF9"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lastRenderedPageBreak/>
        <w:t xml:space="preserve">the fees of the new/replacement program are equal to or lower than the original </w:t>
      </w:r>
      <w:proofErr w:type="gramStart"/>
      <w:r w:rsidRPr="00384D02">
        <w:rPr>
          <w:rFonts w:ascii="Arial" w:hAnsi="Arial" w:cs="Arial"/>
          <w:color w:val="auto"/>
          <w:sz w:val="22"/>
        </w:rPr>
        <w:t>program;</w:t>
      </w:r>
      <w:proofErr w:type="gramEnd"/>
    </w:p>
    <w:p w14:paraId="24E418CD"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 xml:space="preserve">English language requirements of the new/replacement program are equal to or lower than the original </w:t>
      </w:r>
      <w:proofErr w:type="gramStart"/>
      <w:r w:rsidRPr="00384D02">
        <w:rPr>
          <w:rFonts w:ascii="Arial" w:hAnsi="Arial" w:cs="Arial"/>
          <w:color w:val="auto"/>
          <w:sz w:val="22"/>
        </w:rPr>
        <w:t>program;</w:t>
      </w:r>
      <w:proofErr w:type="gramEnd"/>
    </w:p>
    <w:p w14:paraId="5D982AFD"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 xml:space="preserve">students have been studying in the original program for a minimum of six calendar months, if the program is their principal program of </w:t>
      </w:r>
      <w:proofErr w:type="gramStart"/>
      <w:r w:rsidRPr="00384D02">
        <w:rPr>
          <w:rFonts w:ascii="Arial" w:hAnsi="Arial" w:cs="Arial"/>
          <w:color w:val="auto"/>
          <w:sz w:val="22"/>
        </w:rPr>
        <w:t>study;</w:t>
      </w:r>
      <w:proofErr w:type="gramEnd"/>
    </w:p>
    <w:p w14:paraId="31B626CB"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 xml:space="preserve">the mode is not changed to online only, and no more than one third of courses in the program is </w:t>
      </w:r>
      <w:proofErr w:type="gramStart"/>
      <w:r w:rsidRPr="00384D02">
        <w:rPr>
          <w:rFonts w:ascii="Arial" w:hAnsi="Arial" w:cs="Arial"/>
          <w:color w:val="auto"/>
          <w:sz w:val="22"/>
        </w:rPr>
        <w:t>online;</w:t>
      </w:r>
      <w:proofErr w:type="gramEnd"/>
    </w:p>
    <w:p w14:paraId="33FB0F64"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 xml:space="preserve">any credit granted towards their previous program will be granted towards the new/replacement program, and similarly, all prior study in the original program will be granted as credit towards the new/replacement program, to not change the overall duration of their </w:t>
      </w:r>
      <w:proofErr w:type="gramStart"/>
      <w:r w:rsidRPr="00384D02">
        <w:rPr>
          <w:rFonts w:ascii="Arial" w:hAnsi="Arial" w:cs="Arial"/>
          <w:color w:val="auto"/>
          <w:sz w:val="22"/>
        </w:rPr>
        <w:t>study;</w:t>
      </w:r>
      <w:proofErr w:type="gramEnd"/>
    </w:p>
    <w:p w14:paraId="418A3A68" w14:textId="77777777"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student eligibility for post-study work rights is not compromised; and</w:t>
      </w:r>
    </w:p>
    <w:p w14:paraId="40D946C1" w14:textId="124E545D" w:rsidR="00384D02" w:rsidRPr="00384D02" w:rsidRDefault="00384D02" w:rsidP="00384D02">
      <w:pPr>
        <w:pStyle w:val="ListParagraph"/>
        <w:numPr>
          <w:ilvl w:val="0"/>
          <w:numId w:val="40"/>
        </w:numPr>
        <w:contextualSpacing/>
        <w:rPr>
          <w:rFonts w:ascii="Arial" w:hAnsi="Arial" w:cs="Arial"/>
          <w:color w:val="auto"/>
          <w:sz w:val="22"/>
        </w:rPr>
      </w:pPr>
      <w:r w:rsidRPr="00384D02">
        <w:rPr>
          <w:rFonts w:ascii="Arial" w:hAnsi="Arial" w:cs="Arial"/>
          <w:color w:val="auto"/>
          <w:sz w:val="22"/>
        </w:rPr>
        <w:t>where applicable, adequate management of agents is maintained.</w:t>
      </w:r>
    </w:p>
    <w:p w14:paraId="3BF4E39E" w14:textId="0A5DEC40" w:rsidR="00F836D1" w:rsidRDefault="00F836D1" w:rsidP="00F836D1">
      <w:pPr>
        <w:pStyle w:val="Heading4"/>
        <w:ind w:left="720"/>
      </w:pPr>
      <w:r>
        <w:t>3.4.5 Sponsored students</w:t>
      </w:r>
    </w:p>
    <w:p w14:paraId="30B361DC" w14:textId="7BE040C3" w:rsidR="00384D02" w:rsidRPr="00806DDA" w:rsidRDefault="00806DDA" w:rsidP="00806DDA">
      <w:pPr>
        <w:ind w:left="720"/>
        <w:rPr>
          <w:rFonts w:ascii="Arial" w:hAnsi="Arial" w:cs="Arial"/>
          <w:sz w:val="22"/>
        </w:rPr>
      </w:pPr>
      <w:r w:rsidRPr="00806DDA">
        <w:rPr>
          <w:rFonts w:ascii="Arial" w:hAnsi="Arial" w:cs="Arial"/>
          <w:sz w:val="22"/>
        </w:rPr>
        <w:t>Sponsored students are considered disadvantaged by a transition if the sponsor does not agree to continue sponsoring the student in the replacement program, and therefore must not be transitioned unless the sponsor agrees to continue sponsoring the student in the replacement program.</w:t>
      </w:r>
    </w:p>
    <w:p w14:paraId="377E6808" w14:textId="64EDE80B" w:rsidR="00D94ACC" w:rsidRPr="00372624" w:rsidRDefault="00D94ACC" w:rsidP="00372624">
      <w:pPr>
        <w:pStyle w:val="Heading3"/>
        <w:ind w:left="567"/>
        <w:rPr>
          <w:rFonts w:ascii="Arial" w:hAnsi="Arial" w:cs="Arial"/>
        </w:rPr>
      </w:pPr>
      <w:bookmarkStart w:id="11" w:name="_3.5_Student_communication"/>
      <w:bookmarkEnd w:id="11"/>
      <w:r w:rsidRPr="00372624">
        <w:rPr>
          <w:rFonts w:ascii="Arial" w:hAnsi="Arial" w:cs="Arial"/>
        </w:rPr>
        <w:t>3.5 Student communication</w:t>
      </w:r>
    </w:p>
    <w:p w14:paraId="551DA584" w14:textId="4B0372ED" w:rsidR="00806DDA" w:rsidRPr="00806DDA" w:rsidRDefault="00806DDA" w:rsidP="00806DDA">
      <w:pPr>
        <w:pStyle w:val="Default"/>
        <w:spacing w:before="80" w:after="80" w:line="276" w:lineRule="auto"/>
        <w:ind w:left="56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 xml:space="preserve">Student communication must be clear and </w:t>
      </w:r>
      <w:r w:rsidR="00317192">
        <w:rPr>
          <w:rFonts w:ascii="Arial" w:hAnsi="Arial" w:cs="Arial"/>
          <w:color w:val="auto"/>
          <w:kern w:val="2"/>
          <w:sz w:val="22"/>
          <w:szCs w:val="22"/>
          <w:lang w:val="en-AU" w:eastAsia="en-AU"/>
        </w:rPr>
        <w:t>sent before</w:t>
      </w:r>
      <w:r w:rsidRPr="00806DDA">
        <w:rPr>
          <w:rFonts w:ascii="Arial" w:hAnsi="Arial" w:cs="Arial"/>
          <w:color w:val="auto"/>
          <w:kern w:val="2"/>
          <w:sz w:val="22"/>
          <w:szCs w:val="22"/>
          <w:lang w:val="en-AU" w:eastAsia="en-AU"/>
        </w:rPr>
        <w:t xml:space="preserve"> the program withdrawal or major change</w:t>
      </w:r>
      <w:r w:rsidR="00317192">
        <w:rPr>
          <w:rFonts w:ascii="Arial" w:hAnsi="Arial" w:cs="Arial"/>
          <w:color w:val="auto"/>
          <w:kern w:val="2"/>
          <w:sz w:val="22"/>
          <w:szCs w:val="22"/>
          <w:lang w:val="en-AU" w:eastAsia="en-AU"/>
        </w:rPr>
        <w:t>, and before key open enrolment periods</w:t>
      </w:r>
      <w:r w:rsidRPr="00806DDA">
        <w:rPr>
          <w:rFonts w:ascii="Arial" w:hAnsi="Arial" w:cs="Arial"/>
          <w:color w:val="auto"/>
          <w:kern w:val="2"/>
          <w:sz w:val="22"/>
          <w:szCs w:val="22"/>
          <w:lang w:val="en-AU" w:eastAsia="en-AU"/>
        </w:rPr>
        <w:t xml:space="preserve">. </w:t>
      </w:r>
      <w:r w:rsidR="00B87884">
        <w:rPr>
          <w:rFonts w:ascii="Arial" w:hAnsi="Arial" w:cs="Arial"/>
          <w:color w:val="auto"/>
          <w:kern w:val="2"/>
          <w:sz w:val="22"/>
          <w:szCs w:val="22"/>
          <w:lang w:val="en-AU" w:eastAsia="en-AU"/>
        </w:rPr>
        <w:t xml:space="preserve">Other key dates/activities may need to be considered when drafting communications (i.e., potential graduands). </w:t>
      </w:r>
      <w:r w:rsidRPr="00806DDA">
        <w:rPr>
          <w:rFonts w:ascii="Arial" w:hAnsi="Arial" w:cs="Arial"/>
          <w:color w:val="auto"/>
          <w:kern w:val="2"/>
          <w:sz w:val="22"/>
          <w:szCs w:val="22"/>
          <w:lang w:val="en-AU" w:eastAsia="en-AU"/>
        </w:rPr>
        <w:t>At minimum, students must be informed about:</w:t>
      </w:r>
    </w:p>
    <w:p w14:paraId="6D639A95"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the reason for the change</w:t>
      </w:r>
    </w:p>
    <w:p w14:paraId="212E39F8"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 xml:space="preserve">what is being </w:t>
      </w:r>
      <w:proofErr w:type="gramStart"/>
      <w:r w:rsidRPr="00806DDA">
        <w:rPr>
          <w:rFonts w:ascii="Arial" w:hAnsi="Arial" w:cs="Arial"/>
          <w:color w:val="auto"/>
          <w:kern w:val="2"/>
          <w:sz w:val="22"/>
          <w:szCs w:val="22"/>
          <w:lang w:val="en-AU" w:eastAsia="en-AU"/>
        </w:rPr>
        <w:t>changed</w:t>
      </w:r>
      <w:proofErr w:type="gramEnd"/>
    </w:p>
    <w:p w14:paraId="0572B20B"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when the change will take place</w:t>
      </w:r>
    </w:p>
    <w:p w14:paraId="1C250666"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not being disadvantaged</w:t>
      </w:r>
    </w:p>
    <w:p w14:paraId="53732596"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professional accreditation status (if applicable)</w:t>
      </w:r>
    </w:p>
    <w:p w14:paraId="0375BD9E"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arrangements of any customised study plans</w:t>
      </w:r>
    </w:p>
    <w:p w14:paraId="56F80CDF"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who they can contact for help; and</w:t>
      </w:r>
    </w:p>
    <w:p w14:paraId="0512A2E1" w14:textId="77777777" w:rsidR="00806DDA" w:rsidRPr="00806DDA" w:rsidRDefault="00806DDA" w:rsidP="00806DDA">
      <w:pPr>
        <w:pStyle w:val="Default"/>
        <w:numPr>
          <w:ilvl w:val="0"/>
          <w:numId w:val="41"/>
        </w:numPr>
        <w:spacing w:before="80" w:after="80" w:line="276" w:lineRule="auto"/>
        <w:ind w:left="128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where they can find further information.</w:t>
      </w:r>
    </w:p>
    <w:p w14:paraId="36FF3960" w14:textId="77777777" w:rsidR="00806DDA" w:rsidRPr="00806DDA" w:rsidRDefault="00806DDA" w:rsidP="00806DDA">
      <w:pPr>
        <w:pStyle w:val="Default"/>
        <w:spacing w:before="80" w:after="80" w:line="276" w:lineRule="auto"/>
        <w:ind w:left="56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When communicating with students, Schools may consider the following cohorts for streamlined communication:</w:t>
      </w:r>
    </w:p>
    <w:p w14:paraId="7848F515"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Domestic (enrolled)</w:t>
      </w:r>
    </w:p>
    <w:p w14:paraId="21EF2556"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International (enrolled)</w:t>
      </w:r>
    </w:p>
    <w:p w14:paraId="6E780DB6"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Third party arrangement (enrolled), including academic delivery with other parties, work integrated learning, etc.</w:t>
      </w:r>
    </w:p>
    <w:p w14:paraId="0EB2E52C"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Sponsored students</w:t>
      </w:r>
    </w:p>
    <w:p w14:paraId="000E8BC0"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Leave of Absence</w:t>
      </w:r>
    </w:p>
    <w:p w14:paraId="4913F228"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lastRenderedPageBreak/>
        <w:t>Deferred</w:t>
      </w:r>
    </w:p>
    <w:p w14:paraId="1D3DC539"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Offered</w:t>
      </w:r>
    </w:p>
    <w:p w14:paraId="65C3D0E7"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 xml:space="preserve">Accepted </w:t>
      </w:r>
      <w:proofErr w:type="gramStart"/>
      <w:r w:rsidRPr="00806DDA">
        <w:rPr>
          <w:rFonts w:ascii="Arial" w:hAnsi="Arial" w:cs="Arial"/>
          <w:color w:val="auto"/>
          <w:kern w:val="2"/>
          <w:sz w:val="22"/>
          <w:szCs w:val="22"/>
          <w:lang w:val="en-AU" w:eastAsia="en-AU"/>
        </w:rPr>
        <w:t>offer</w:t>
      </w:r>
      <w:proofErr w:type="gramEnd"/>
    </w:p>
    <w:p w14:paraId="24322CC6" w14:textId="77777777" w:rsidR="00806DDA" w:rsidRPr="00806DDA" w:rsidRDefault="00806DDA" w:rsidP="00806DDA">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International pathway pipeline</w:t>
      </w:r>
    </w:p>
    <w:p w14:paraId="0AC3B5F0" w14:textId="50F715F9" w:rsidR="00483949" w:rsidRPr="007C4EB2" w:rsidRDefault="00806DDA" w:rsidP="00483949">
      <w:pPr>
        <w:pStyle w:val="Default"/>
        <w:numPr>
          <w:ilvl w:val="0"/>
          <w:numId w:val="42"/>
        </w:numPr>
        <w:spacing w:before="80" w:after="80" w:line="276" w:lineRule="auto"/>
        <w:ind w:left="1281" w:hanging="357"/>
        <w:rPr>
          <w:rFonts w:ascii="Arial" w:hAnsi="Arial" w:cs="Arial"/>
          <w:color w:val="auto"/>
          <w:kern w:val="2"/>
          <w:sz w:val="22"/>
          <w:szCs w:val="22"/>
          <w:lang w:val="en-AU" w:eastAsia="en-AU"/>
        </w:rPr>
      </w:pPr>
      <w:r w:rsidRPr="00806DDA">
        <w:rPr>
          <w:rFonts w:ascii="Arial" w:hAnsi="Arial" w:cs="Arial"/>
          <w:color w:val="auto"/>
          <w:kern w:val="2"/>
          <w:sz w:val="22"/>
          <w:szCs w:val="22"/>
          <w:lang w:val="en-AU" w:eastAsia="en-AU"/>
        </w:rPr>
        <w:t>Domestic pathway pipeline</w:t>
      </w:r>
    </w:p>
    <w:p w14:paraId="003E8D39" w14:textId="17612AF9" w:rsidR="00AA391D" w:rsidRPr="00372624" w:rsidRDefault="00F836D1" w:rsidP="00F836D1">
      <w:pPr>
        <w:pStyle w:val="Heading2"/>
        <w:rPr>
          <w:rFonts w:ascii="Arial" w:hAnsi="Arial" w:cs="Arial"/>
        </w:rPr>
      </w:pPr>
      <w:r w:rsidRPr="00372624">
        <w:rPr>
          <w:rFonts w:ascii="Arial" w:hAnsi="Arial" w:cs="Arial"/>
        </w:rPr>
        <w:t>4.0 Roles and Responsibilities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4518"/>
        <w:gridCol w:w="650"/>
        <w:gridCol w:w="4582"/>
      </w:tblGrid>
      <w:tr w:rsidR="00806DDA" w14:paraId="735D50C3" w14:textId="77777777" w:rsidTr="00806DDA">
        <w:trPr>
          <w:trHeight w:val="602"/>
        </w:trPr>
        <w:tc>
          <w:tcPr>
            <w:tcW w:w="4518" w:type="dxa"/>
            <w:shd w:val="clear" w:color="auto" w:fill="C00000"/>
          </w:tcPr>
          <w:p w14:paraId="00C648D6" w14:textId="47E828AE" w:rsidR="00806DDA" w:rsidRPr="00786706" w:rsidRDefault="00806DDA" w:rsidP="0056680F">
            <w:pPr>
              <w:pStyle w:val="Heading4"/>
              <w:rPr>
                <w:lang w:val="en-GB"/>
              </w:rPr>
            </w:pPr>
            <w:r>
              <w:rPr>
                <w:lang w:val="en-GB"/>
              </w:rPr>
              <w:t>ROLE</w:t>
            </w:r>
          </w:p>
        </w:tc>
        <w:tc>
          <w:tcPr>
            <w:tcW w:w="650" w:type="dxa"/>
            <w:shd w:val="clear" w:color="auto" w:fill="C00000"/>
          </w:tcPr>
          <w:p w14:paraId="44E8E047" w14:textId="77777777" w:rsidR="00806DDA" w:rsidRDefault="00806DDA" w:rsidP="0056680F">
            <w:pPr>
              <w:pStyle w:val="Heading4"/>
            </w:pPr>
          </w:p>
        </w:tc>
        <w:tc>
          <w:tcPr>
            <w:tcW w:w="4582" w:type="dxa"/>
            <w:shd w:val="clear" w:color="auto" w:fill="C00000"/>
          </w:tcPr>
          <w:p w14:paraId="095740CB" w14:textId="73C76E8C" w:rsidR="00806DDA" w:rsidRPr="00786706" w:rsidRDefault="00806DDA" w:rsidP="0056680F">
            <w:pPr>
              <w:pStyle w:val="Heading4"/>
              <w:rPr>
                <w:lang w:val="en-GB"/>
              </w:rPr>
            </w:pPr>
            <w:r>
              <w:t>RESPONSIBILITY</w:t>
            </w:r>
          </w:p>
        </w:tc>
      </w:tr>
      <w:tr w:rsidR="00806DDA" w14:paraId="65840391" w14:textId="77777777" w:rsidTr="00806DDA">
        <w:trPr>
          <w:trHeight w:val="485"/>
        </w:trPr>
        <w:tc>
          <w:tcPr>
            <w:tcW w:w="4518" w:type="dxa"/>
          </w:tcPr>
          <w:p w14:paraId="7F529899" w14:textId="715A1E64" w:rsidR="00806DDA" w:rsidRPr="00806DDA" w:rsidRDefault="00806DDA" w:rsidP="004922AF">
            <w:pPr>
              <w:spacing w:before="120" w:after="120"/>
              <w:rPr>
                <w:rFonts w:ascii="Arial" w:hAnsi="Arial" w:cs="Arial"/>
                <w:sz w:val="22"/>
                <w:szCs w:val="28"/>
              </w:rPr>
            </w:pPr>
            <w:r w:rsidRPr="00806DDA">
              <w:rPr>
                <w:rFonts w:ascii="Arial" w:hAnsi="Arial" w:cs="Arial"/>
                <w:sz w:val="22"/>
                <w:szCs w:val="28"/>
              </w:rPr>
              <w:t>Program Director and then the Dean (Learning and Teaching)</w:t>
            </w:r>
          </w:p>
        </w:tc>
        <w:tc>
          <w:tcPr>
            <w:tcW w:w="650" w:type="dxa"/>
          </w:tcPr>
          <w:p w14:paraId="1808DACD" w14:textId="77777777" w:rsidR="00806DDA" w:rsidRPr="00806DDA" w:rsidRDefault="00806DDA" w:rsidP="004922AF">
            <w:pPr>
              <w:spacing w:before="120" w:after="120"/>
              <w:rPr>
                <w:rFonts w:ascii="Arial" w:hAnsi="Arial" w:cs="Arial"/>
                <w:sz w:val="22"/>
                <w:szCs w:val="28"/>
              </w:rPr>
            </w:pPr>
          </w:p>
        </w:tc>
        <w:tc>
          <w:tcPr>
            <w:tcW w:w="4582" w:type="dxa"/>
          </w:tcPr>
          <w:p w14:paraId="6254AD2A" w14:textId="34F0E187" w:rsidR="00806DDA" w:rsidRPr="00806DDA" w:rsidRDefault="00806DDA" w:rsidP="004922AF">
            <w:pPr>
              <w:spacing w:before="120" w:after="120"/>
              <w:rPr>
                <w:rFonts w:ascii="Arial" w:hAnsi="Arial" w:cs="Arial"/>
                <w:sz w:val="22"/>
                <w:szCs w:val="28"/>
              </w:rPr>
            </w:pPr>
            <w:r w:rsidRPr="00806DDA">
              <w:rPr>
                <w:rFonts w:ascii="Arial" w:hAnsi="Arial" w:cs="Arial"/>
                <w:sz w:val="22"/>
                <w:szCs w:val="28"/>
              </w:rPr>
              <w:t>Planning program requirement changes, including teach out or transition arrangements.</w:t>
            </w:r>
          </w:p>
        </w:tc>
      </w:tr>
      <w:tr w:rsidR="00806DDA" w14:paraId="45027028" w14:textId="77777777" w:rsidTr="00806DDA">
        <w:trPr>
          <w:trHeight w:val="485"/>
        </w:trPr>
        <w:tc>
          <w:tcPr>
            <w:tcW w:w="4518" w:type="dxa"/>
          </w:tcPr>
          <w:p w14:paraId="393EC298" w14:textId="267F27CC"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Programs Committee</w:t>
            </w:r>
          </w:p>
        </w:tc>
        <w:tc>
          <w:tcPr>
            <w:tcW w:w="650" w:type="dxa"/>
          </w:tcPr>
          <w:p w14:paraId="7C0E6A4E" w14:textId="77777777" w:rsidR="00806DDA" w:rsidRPr="00806DDA" w:rsidRDefault="00806DDA" w:rsidP="004922AF">
            <w:pPr>
              <w:spacing w:before="120" w:after="120"/>
              <w:rPr>
                <w:rFonts w:ascii="Arial" w:hAnsi="Arial" w:cs="Arial"/>
                <w:sz w:val="22"/>
                <w:szCs w:val="28"/>
              </w:rPr>
            </w:pPr>
          </w:p>
        </w:tc>
        <w:tc>
          <w:tcPr>
            <w:tcW w:w="4582" w:type="dxa"/>
          </w:tcPr>
          <w:p w14:paraId="37BC11C4" w14:textId="26BEAD63"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Approving program requirement changes, including teach out or transition arrangements.</w:t>
            </w:r>
          </w:p>
        </w:tc>
      </w:tr>
      <w:tr w:rsidR="00806DDA" w14:paraId="1BB48E31" w14:textId="77777777" w:rsidTr="00806DDA">
        <w:trPr>
          <w:trHeight w:val="485"/>
        </w:trPr>
        <w:tc>
          <w:tcPr>
            <w:tcW w:w="4518" w:type="dxa"/>
          </w:tcPr>
          <w:p w14:paraId="69D188DF" w14:textId="01E9E365"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The School with assistance from Student Connect</w:t>
            </w:r>
          </w:p>
        </w:tc>
        <w:tc>
          <w:tcPr>
            <w:tcW w:w="650" w:type="dxa"/>
          </w:tcPr>
          <w:p w14:paraId="3DFDB331" w14:textId="77777777" w:rsidR="00806DDA" w:rsidRPr="00806DDA" w:rsidRDefault="00806DDA" w:rsidP="004922AF">
            <w:pPr>
              <w:spacing w:before="120" w:after="120"/>
              <w:rPr>
                <w:rFonts w:ascii="Arial" w:hAnsi="Arial" w:cs="Arial"/>
                <w:sz w:val="22"/>
                <w:szCs w:val="28"/>
              </w:rPr>
            </w:pPr>
          </w:p>
        </w:tc>
        <w:tc>
          <w:tcPr>
            <w:tcW w:w="4582" w:type="dxa"/>
          </w:tcPr>
          <w:p w14:paraId="267CC594" w14:textId="1D832330"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Approving program requirement changes, including teach out or transition arrangements</w:t>
            </w:r>
            <w:r w:rsidR="00B87884">
              <w:rPr>
                <w:rFonts w:ascii="Arial" w:hAnsi="Arial" w:cs="Arial"/>
                <w:sz w:val="22"/>
                <w:szCs w:val="28"/>
              </w:rPr>
              <w:t xml:space="preserve"> and requirement term changes</w:t>
            </w:r>
            <w:r w:rsidRPr="00806DDA">
              <w:rPr>
                <w:rFonts w:ascii="Arial" w:hAnsi="Arial" w:cs="Arial"/>
                <w:sz w:val="22"/>
                <w:szCs w:val="28"/>
              </w:rPr>
              <w:t>.</w:t>
            </w:r>
          </w:p>
        </w:tc>
      </w:tr>
      <w:tr w:rsidR="00806DDA" w14:paraId="49F2C2B2" w14:textId="77777777" w:rsidTr="00806DDA">
        <w:trPr>
          <w:trHeight w:val="485"/>
        </w:trPr>
        <w:tc>
          <w:tcPr>
            <w:tcW w:w="4518" w:type="dxa"/>
          </w:tcPr>
          <w:p w14:paraId="4D38D183" w14:textId="6DA5A0A8" w:rsidR="00806DDA" w:rsidRPr="00806DDA" w:rsidRDefault="00806DDA" w:rsidP="004922AF">
            <w:pPr>
              <w:spacing w:before="120" w:after="120"/>
              <w:rPr>
                <w:rFonts w:ascii="Arial" w:hAnsi="Arial" w:cs="Arial"/>
                <w:sz w:val="22"/>
                <w:szCs w:val="28"/>
              </w:rPr>
            </w:pPr>
            <w:r w:rsidRPr="00806DDA">
              <w:rPr>
                <w:rFonts w:ascii="Arial" w:hAnsi="Arial" w:cs="Arial"/>
                <w:sz w:val="22"/>
                <w:szCs w:val="28"/>
              </w:rPr>
              <w:t xml:space="preserve">Manager Group Program Services </w:t>
            </w:r>
          </w:p>
        </w:tc>
        <w:tc>
          <w:tcPr>
            <w:tcW w:w="650" w:type="dxa"/>
          </w:tcPr>
          <w:p w14:paraId="2C0F1CDF" w14:textId="77777777" w:rsidR="00806DDA" w:rsidRPr="00806DDA" w:rsidRDefault="00806DDA" w:rsidP="004922AF">
            <w:pPr>
              <w:spacing w:before="120" w:after="120"/>
              <w:rPr>
                <w:rFonts w:ascii="Arial" w:hAnsi="Arial" w:cs="Arial"/>
                <w:sz w:val="22"/>
                <w:szCs w:val="28"/>
              </w:rPr>
            </w:pPr>
          </w:p>
        </w:tc>
        <w:tc>
          <w:tcPr>
            <w:tcW w:w="4582" w:type="dxa"/>
          </w:tcPr>
          <w:p w14:paraId="17CA60DD" w14:textId="1603D500"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Managing withdrawn programs in teach out.</w:t>
            </w:r>
          </w:p>
        </w:tc>
      </w:tr>
      <w:tr w:rsidR="00806DDA" w14:paraId="4B239C86" w14:textId="77777777" w:rsidTr="00806DDA">
        <w:trPr>
          <w:trHeight w:val="485"/>
        </w:trPr>
        <w:tc>
          <w:tcPr>
            <w:tcW w:w="4518" w:type="dxa"/>
          </w:tcPr>
          <w:p w14:paraId="3E7CE073" w14:textId="6FDD3DA8" w:rsidR="00806DDA" w:rsidRPr="00806DDA" w:rsidRDefault="00806DDA" w:rsidP="004922AF">
            <w:pPr>
              <w:spacing w:before="120" w:after="120"/>
              <w:rPr>
                <w:rFonts w:ascii="Arial" w:hAnsi="Arial" w:cs="Arial"/>
                <w:sz w:val="22"/>
                <w:szCs w:val="28"/>
              </w:rPr>
            </w:pPr>
            <w:r w:rsidRPr="00806DDA">
              <w:rPr>
                <w:rFonts w:ascii="Arial" w:hAnsi="Arial" w:cs="Arial"/>
                <w:sz w:val="22"/>
                <w:szCs w:val="28"/>
              </w:rPr>
              <w:t>Deans (Learning and Teaching) with assistance from Student Connect </w:t>
            </w:r>
          </w:p>
        </w:tc>
        <w:tc>
          <w:tcPr>
            <w:tcW w:w="650" w:type="dxa"/>
          </w:tcPr>
          <w:p w14:paraId="779E066A" w14:textId="77777777" w:rsidR="00806DDA" w:rsidRPr="00806DDA" w:rsidRDefault="00806DDA" w:rsidP="004922AF">
            <w:pPr>
              <w:spacing w:before="120" w:after="120"/>
              <w:rPr>
                <w:rFonts w:ascii="Arial" w:hAnsi="Arial" w:cs="Arial"/>
                <w:sz w:val="22"/>
                <w:szCs w:val="28"/>
              </w:rPr>
            </w:pPr>
          </w:p>
        </w:tc>
        <w:tc>
          <w:tcPr>
            <w:tcW w:w="4582" w:type="dxa"/>
          </w:tcPr>
          <w:p w14:paraId="57BB6522" w14:textId="5AD34F82"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Re-admission into withdrawn programs.</w:t>
            </w:r>
          </w:p>
        </w:tc>
      </w:tr>
      <w:tr w:rsidR="00806DDA" w14:paraId="78281888" w14:textId="77777777" w:rsidTr="00806DDA">
        <w:trPr>
          <w:trHeight w:val="485"/>
        </w:trPr>
        <w:tc>
          <w:tcPr>
            <w:tcW w:w="4518" w:type="dxa"/>
          </w:tcPr>
          <w:p w14:paraId="5FE65A8B" w14:textId="060BB633" w:rsidR="00806DDA" w:rsidRPr="00806DDA" w:rsidRDefault="00806DDA" w:rsidP="004922AF">
            <w:pPr>
              <w:spacing w:before="120" w:after="120"/>
              <w:rPr>
                <w:rFonts w:ascii="Arial" w:hAnsi="Arial" w:cs="Arial"/>
                <w:sz w:val="22"/>
                <w:szCs w:val="28"/>
              </w:rPr>
            </w:pPr>
            <w:r w:rsidRPr="00806DDA">
              <w:rPr>
                <w:rFonts w:ascii="Arial" w:hAnsi="Arial" w:cs="Arial"/>
                <w:sz w:val="22"/>
                <w:szCs w:val="28"/>
              </w:rPr>
              <w:t>Student Credentials</w:t>
            </w:r>
          </w:p>
        </w:tc>
        <w:tc>
          <w:tcPr>
            <w:tcW w:w="650" w:type="dxa"/>
          </w:tcPr>
          <w:p w14:paraId="4C7F55A0" w14:textId="77777777" w:rsidR="00806DDA" w:rsidRPr="00806DDA" w:rsidRDefault="00806DDA" w:rsidP="004922AF">
            <w:pPr>
              <w:spacing w:before="120" w:after="120"/>
              <w:rPr>
                <w:rFonts w:ascii="Arial" w:hAnsi="Arial" w:cs="Arial"/>
                <w:sz w:val="22"/>
                <w:szCs w:val="28"/>
              </w:rPr>
            </w:pPr>
          </w:p>
        </w:tc>
        <w:tc>
          <w:tcPr>
            <w:tcW w:w="4582" w:type="dxa"/>
          </w:tcPr>
          <w:p w14:paraId="232C5E3D" w14:textId="046908B2" w:rsidR="00806DDA" w:rsidRPr="004922AF" w:rsidRDefault="00806DDA" w:rsidP="004922AF">
            <w:pPr>
              <w:spacing w:before="120" w:after="120"/>
              <w:rPr>
                <w:rFonts w:ascii="Arial" w:hAnsi="Arial" w:cs="Arial"/>
                <w:sz w:val="22"/>
                <w:szCs w:val="28"/>
              </w:rPr>
            </w:pPr>
            <w:r w:rsidRPr="00806DDA">
              <w:rPr>
                <w:rFonts w:ascii="Arial" w:hAnsi="Arial" w:cs="Arial"/>
                <w:sz w:val="22"/>
                <w:szCs w:val="28"/>
              </w:rPr>
              <w:t>Archiving program structures.</w:t>
            </w:r>
          </w:p>
        </w:tc>
      </w:tr>
    </w:tbl>
    <w:p w14:paraId="6268D2D3" w14:textId="77777777" w:rsidR="0056680F" w:rsidRPr="00AA391D" w:rsidRDefault="0056680F" w:rsidP="00DB0FC8">
      <w:pPr>
        <w:spacing w:after="120"/>
        <w:rPr>
          <w:rFonts w:ascii="Arial" w:hAnsi="Arial" w:cs="Arial"/>
          <w:sz w:val="20"/>
          <w:szCs w:val="24"/>
        </w:rPr>
      </w:pPr>
    </w:p>
    <w:p w14:paraId="5EB8F927" w14:textId="44A2F9EC" w:rsidR="00A144B2" w:rsidRPr="00372624" w:rsidRDefault="00F836D1" w:rsidP="00CA6AC5">
      <w:pPr>
        <w:pStyle w:val="Heading2"/>
        <w:rPr>
          <w:rFonts w:ascii="Arial" w:hAnsi="Arial" w:cs="Arial"/>
        </w:rPr>
      </w:pPr>
      <w:bookmarkStart w:id="12" w:name="_4.0_Roles,_responsibilities"/>
      <w:bookmarkStart w:id="13" w:name="_5.0_Definitions"/>
      <w:bookmarkStart w:id="14" w:name="_4.0_Definitions"/>
      <w:bookmarkEnd w:id="12"/>
      <w:bookmarkEnd w:id="13"/>
      <w:bookmarkEnd w:id="14"/>
      <w:r w:rsidRPr="00372624">
        <w:rPr>
          <w:rFonts w:ascii="Arial" w:hAnsi="Arial" w:cs="Arial"/>
        </w:rPr>
        <w:t>5</w:t>
      </w:r>
      <w:r w:rsidR="00A144B2" w:rsidRPr="00372624">
        <w:rPr>
          <w:rFonts w:ascii="Arial" w:hAnsi="Arial" w:cs="Arial"/>
        </w:rPr>
        <w:t>.0 Definitions</w:t>
      </w:r>
    </w:p>
    <w:p w14:paraId="5C716AA2" w14:textId="13F0B0B2" w:rsidR="00F87B25" w:rsidRDefault="00E70A22" w:rsidP="00806DDA">
      <w:pPr>
        <w:rPr>
          <w:rFonts w:ascii="Arial" w:hAnsi="Arial" w:cs="Arial"/>
          <w:b/>
          <w:bCs/>
          <w:sz w:val="22"/>
        </w:rPr>
      </w:pPr>
      <w:r>
        <w:rPr>
          <w:rFonts w:ascii="Arial" w:hAnsi="Arial" w:cs="Arial"/>
          <w:b/>
          <w:bCs/>
          <w:sz w:val="22"/>
        </w:rPr>
        <w:t xml:space="preserve">Cohort </w:t>
      </w:r>
      <w:r w:rsidR="00F773C2" w:rsidRPr="00683D1A">
        <w:rPr>
          <w:rFonts w:ascii="Arial" w:hAnsi="Arial" w:cs="Arial"/>
          <w:sz w:val="22"/>
        </w:rPr>
        <w:t>refers</w:t>
      </w:r>
      <w:r w:rsidR="00F773C2">
        <w:rPr>
          <w:rFonts w:ascii="Arial" w:hAnsi="Arial" w:cs="Arial"/>
          <w:b/>
          <w:bCs/>
          <w:sz w:val="22"/>
        </w:rPr>
        <w:t xml:space="preserve"> </w:t>
      </w:r>
      <w:r w:rsidR="00F773C2" w:rsidRPr="00F773C2">
        <w:rPr>
          <w:rFonts w:ascii="Arial" w:hAnsi="Arial" w:cs="Arial"/>
          <w:sz w:val="22"/>
        </w:rPr>
        <w:t>to a</w:t>
      </w:r>
      <w:r w:rsidR="00E8611D">
        <w:rPr>
          <w:rFonts w:ascii="Arial" w:hAnsi="Arial" w:cs="Arial"/>
          <w:sz w:val="22"/>
        </w:rPr>
        <w:t xml:space="preserve"> </w:t>
      </w:r>
      <w:r w:rsidR="00F87B25">
        <w:rPr>
          <w:rFonts w:ascii="Arial" w:hAnsi="Arial" w:cs="Arial"/>
          <w:sz w:val="22"/>
        </w:rPr>
        <w:t>group</w:t>
      </w:r>
      <w:r w:rsidR="00F773C2" w:rsidRPr="00F773C2">
        <w:rPr>
          <w:rFonts w:ascii="Arial" w:hAnsi="Arial" w:cs="Arial"/>
          <w:sz w:val="22"/>
        </w:rPr>
        <w:t xml:space="preserve"> </w:t>
      </w:r>
      <w:r w:rsidR="00F87B25" w:rsidRPr="00F87B25">
        <w:rPr>
          <w:rFonts w:ascii="Arial" w:hAnsi="Arial" w:cs="Arial"/>
          <w:sz w:val="22"/>
        </w:rPr>
        <w:t xml:space="preserve">of students who share a program version and enrolment status, </w:t>
      </w:r>
      <w:r w:rsidR="00F87B25">
        <w:rPr>
          <w:rFonts w:ascii="Arial" w:hAnsi="Arial" w:cs="Arial"/>
          <w:sz w:val="22"/>
        </w:rPr>
        <w:t xml:space="preserve">for example: </w:t>
      </w:r>
      <w:r w:rsidR="00F87B25" w:rsidRPr="00F87B25">
        <w:rPr>
          <w:rFonts w:ascii="Arial" w:hAnsi="Arial" w:cs="Arial"/>
          <w:sz w:val="22"/>
        </w:rPr>
        <w:t>international (enrolled), domestic (</w:t>
      </w:r>
      <w:r w:rsidR="00534480">
        <w:rPr>
          <w:rFonts w:ascii="Arial" w:hAnsi="Arial" w:cs="Arial"/>
          <w:sz w:val="22"/>
        </w:rPr>
        <w:t>applied</w:t>
      </w:r>
      <w:r w:rsidR="00F87B25" w:rsidRPr="00F87B25">
        <w:rPr>
          <w:rFonts w:ascii="Arial" w:hAnsi="Arial" w:cs="Arial"/>
          <w:sz w:val="22"/>
        </w:rPr>
        <w:t xml:space="preserve">), leave of absence, </w:t>
      </w:r>
      <w:r w:rsidR="00B36DD8">
        <w:rPr>
          <w:rFonts w:ascii="Arial" w:hAnsi="Arial" w:cs="Arial"/>
          <w:sz w:val="22"/>
        </w:rPr>
        <w:t xml:space="preserve">or </w:t>
      </w:r>
      <w:r w:rsidR="00C82BA5">
        <w:rPr>
          <w:rFonts w:ascii="Arial" w:hAnsi="Arial" w:cs="Arial"/>
          <w:sz w:val="22"/>
        </w:rPr>
        <w:t xml:space="preserve">sponsored student, </w:t>
      </w:r>
      <w:r w:rsidR="00F87B25" w:rsidRPr="00F87B25">
        <w:rPr>
          <w:rFonts w:ascii="Arial" w:hAnsi="Arial" w:cs="Arial"/>
          <w:sz w:val="22"/>
        </w:rPr>
        <w:t>et</w:t>
      </w:r>
      <w:r w:rsidR="00F87B25">
        <w:rPr>
          <w:rFonts w:ascii="Arial" w:hAnsi="Arial" w:cs="Arial"/>
          <w:sz w:val="22"/>
        </w:rPr>
        <w:t>cetera.</w:t>
      </w:r>
    </w:p>
    <w:p w14:paraId="2DDA81F4" w14:textId="42554629" w:rsidR="00806DDA" w:rsidRPr="00806DDA" w:rsidRDefault="00806DDA" w:rsidP="00806DDA">
      <w:pPr>
        <w:rPr>
          <w:rFonts w:ascii="Arial" w:hAnsi="Arial" w:cs="Arial"/>
          <w:sz w:val="22"/>
        </w:rPr>
      </w:pPr>
      <w:r w:rsidRPr="00806DDA">
        <w:rPr>
          <w:rFonts w:ascii="Arial" w:hAnsi="Arial" w:cs="Arial"/>
          <w:b/>
          <w:bCs/>
          <w:sz w:val="22"/>
        </w:rPr>
        <w:t>Disadvantage</w:t>
      </w:r>
      <w:r w:rsidRPr="00806DDA">
        <w:rPr>
          <w:rFonts w:ascii="Arial" w:hAnsi="Arial" w:cs="Arial"/>
          <w:sz w:val="22"/>
        </w:rPr>
        <w:t xml:space="preserve"> refers to potential impacts on a student </w:t>
      </w:r>
      <w:proofErr w:type="gramStart"/>
      <w:r w:rsidRPr="00806DDA">
        <w:rPr>
          <w:rFonts w:ascii="Arial" w:hAnsi="Arial" w:cs="Arial"/>
          <w:sz w:val="22"/>
        </w:rPr>
        <w:t>as a result of</w:t>
      </w:r>
      <w:proofErr w:type="gramEnd"/>
      <w:r w:rsidRPr="00806DDA">
        <w:rPr>
          <w:rFonts w:ascii="Arial" w:hAnsi="Arial" w:cs="Arial"/>
          <w:sz w:val="22"/>
        </w:rPr>
        <w:t xml:space="preserve"> being transitioned from a withdrawn program to a replacement or equivalent program. This can include one or more of the following impacts applying to a student:</w:t>
      </w:r>
    </w:p>
    <w:p w14:paraId="5D09D3CB" w14:textId="265F1AC5" w:rsidR="004F3964" w:rsidRDefault="00AB3718" w:rsidP="00806DDA">
      <w:pPr>
        <w:pStyle w:val="ListParagraph"/>
        <w:numPr>
          <w:ilvl w:val="0"/>
          <w:numId w:val="43"/>
        </w:numPr>
        <w:contextualSpacing/>
        <w:rPr>
          <w:rFonts w:ascii="Arial" w:hAnsi="Arial" w:cs="Arial"/>
          <w:color w:val="auto"/>
          <w:sz w:val="22"/>
        </w:rPr>
      </w:pPr>
      <w:r>
        <w:rPr>
          <w:rFonts w:ascii="Arial" w:hAnsi="Arial" w:cs="Arial"/>
          <w:color w:val="auto"/>
          <w:sz w:val="22"/>
        </w:rPr>
        <w:t>l</w:t>
      </w:r>
      <w:r w:rsidR="004F3964">
        <w:rPr>
          <w:rFonts w:ascii="Arial" w:hAnsi="Arial" w:cs="Arial"/>
          <w:color w:val="auto"/>
          <w:sz w:val="22"/>
        </w:rPr>
        <w:t>oss of credit points</w:t>
      </w:r>
    </w:p>
    <w:p w14:paraId="56677583" w14:textId="7D98758F" w:rsidR="00AB3718" w:rsidRDefault="00AB3718" w:rsidP="00806DDA">
      <w:pPr>
        <w:pStyle w:val="ListParagraph"/>
        <w:numPr>
          <w:ilvl w:val="0"/>
          <w:numId w:val="43"/>
        </w:numPr>
        <w:contextualSpacing/>
        <w:rPr>
          <w:rFonts w:ascii="Arial" w:hAnsi="Arial" w:cs="Arial"/>
          <w:color w:val="auto"/>
          <w:sz w:val="22"/>
        </w:rPr>
      </w:pPr>
      <w:r>
        <w:rPr>
          <w:rFonts w:ascii="Arial" w:hAnsi="Arial" w:cs="Arial"/>
          <w:color w:val="auto"/>
          <w:sz w:val="22"/>
        </w:rPr>
        <w:t xml:space="preserve">extension of time to graduate from the program due to potential course offering </w:t>
      </w:r>
      <w:proofErr w:type="gramStart"/>
      <w:r>
        <w:rPr>
          <w:rFonts w:ascii="Arial" w:hAnsi="Arial" w:cs="Arial"/>
          <w:color w:val="auto"/>
          <w:sz w:val="22"/>
        </w:rPr>
        <w:t>limitations;</w:t>
      </w:r>
      <w:proofErr w:type="gramEnd"/>
    </w:p>
    <w:p w14:paraId="32B83486" w14:textId="06113423" w:rsidR="00806DDA" w:rsidRPr="00806DDA" w:rsidRDefault="00806DDA" w:rsidP="00806DDA">
      <w:pPr>
        <w:pStyle w:val="ListParagraph"/>
        <w:numPr>
          <w:ilvl w:val="0"/>
          <w:numId w:val="43"/>
        </w:numPr>
        <w:contextualSpacing/>
        <w:rPr>
          <w:rFonts w:ascii="Arial" w:hAnsi="Arial" w:cs="Arial"/>
          <w:color w:val="auto"/>
          <w:sz w:val="22"/>
        </w:rPr>
      </w:pPr>
      <w:r w:rsidRPr="00806DDA">
        <w:rPr>
          <w:rFonts w:ascii="Arial" w:hAnsi="Arial" w:cs="Arial"/>
          <w:color w:val="auto"/>
          <w:sz w:val="22"/>
        </w:rPr>
        <w:t xml:space="preserve">change to the costs associated with the replacement program of </w:t>
      </w:r>
      <w:proofErr w:type="gramStart"/>
      <w:r w:rsidRPr="00806DDA">
        <w:rPr>
          <w:rFonts w:ascii="Arial" w:hAnsi="Arial" w:cs="Arial"/>
          <w:color w:val="auto"/>
          <w:sz w:val="22"/>
        </w:rPr>
        <w:t>study;</w:t>
      </w:r>
      <w:proofErr w:type="gramEnd"/>
    </w:p>
    <w:p w14:paraId="5FC3CC13" w14:textId="77777777" w:rsidR="00806DDA" w:rsidRPr="00806DDA" w:rsidRDefault="00806DDA" w:rsidP="00806DDA">
      <w:pPr>
        <w:pStyle w:val="ListParagraph"/>
        <w:numPr>
          <w:ilvl w:val="0"/>
          <w:numId w:val="43"/>
        </w:numPr>
        <w:contextualSpacing/>
        <w:rPr>
          <w:rFonts w:ascii="Arial" w:hAnsi="Arial" w:cs="Arial"/>
          <w:color w:val="auto"/>
          <w:sz w:val="22"/>
        </w:rPr>
      </w:pPr>
      <w:r w:rsidRPr="00806DDA">
        <w:rPr>
          <w:rFonts w:ascii="Arial" w:hAnsi="Arial" w:cs="Arial"/>
          <w:color w:val="auto"/>
          <w:sz w:val="22"/>
        </w:rPr>
        <w:t xml:space="preserve">fundamental change to the learning and/or graduate </w:t>
      </w:r>
      <w:proofErr w:type="gramStart"/>
      <w:r w:rsidRPr="00806DDA">
        <w:rPr>
          <w:rFonts w:ascii="Arial" w:hAnsi="Arial" w:cs="Arial"/>
          <w:color w:val="auto"/>
          <w:sz w:val="22"/>
        </w:rPr>
        <w:t>outcomes;</w:t>
      </w:r>
      <w:proofErr w:type="gramEnd"/>
    </w:p>
    <w:p w14:paraId="7578D51B" w14:textId="77777777" w:rsidR="00806DDA" w:rsidRPr="00806DDA" w:rsidRDefault="00806DDA" w:rsidP="00806DDA">
      <w:pPr>
        <w:pStyle w:val="ListParagraph"/>
        <w:numPr>
          <w:ilvl w:val="0"/>
          <w:numId w:val="43"/>
        </w:numPr>
        <w:contextualSpacing/>
        <w:rPr>
          <w:rFonts w:ascii="Arial" w:hAnsi="Arial" w:cs="Arial"/>
          <w:color w:val="auto"/>
          <w:sz w:val="22"/>
        </w:rPr>
      </w:pPr>
      <w:r w:rsidRPr="00806DDA">
        <w:rPr>
          <w:rFonts w:ascii="Arial" w:hAnsi="Arial" w:cs="Arial"/>
          <w:color w:val="auto"/>
          <w:sz w:val="22"/>
        </w:rPr>
        <w:t xml:space="preserve">significant change to the location or delivery mode of a </w:t>
      </w:r>
      <w:proofErr w:type="gramStart"/>
      <w:r w:rsidRPr="00806DDA">
        <w:rPr>
          <w:rFonts w:ascii="Arial" w:hAnsi="Arial" w:cs="Arial"/>
          <w:color w:val="auto"/>
          <w:sz w:val="22"/>
        </w:rPr>
        <w:t>program;</w:t>
      </w:r>
      <w:proofErr w:type="gramEnd"/>
    </w:p>
    <w:p w14:paraId="379475B4" w14:textId="77777777" w:rsidR="00806DDA" w:rsidRPr="00806DDA" w:rsidRDefault="00806DDA" w:rsidP="00806DDA">
      <w:pPr>
        <w:pStyle w:val="ListParagraph"/>
        <w:numPr>
          <w:ilvl w:val="0"/>
          <w:numId w:val="43"/>
        </w:numPr>
        <w:contextualSpacing/>
        <w:rPr>
          <w:rFonts w:ascii="Arial" w:hAnsi="Arial" w:cs="Arial"/>
          <w:color w:val="auto"/>
          <w:sz w:val="22"/>
        </w:rPr>
      </w:pPr>
      <w:r w:rsidRPr="00806DDA">
        <w:rPr>
          <w:rFonts w:ascii="Arial" w:hAnsi="Arial" w:cs="Arial"/>
          <w:color w:val="auto"/>
          <w:sz w:val="22"/>
        </w:rPr>
        <w:lastRenderedPageBreak/>
        <w:t xml:space="preserve">loss of opportunity to gain industry/professional </w:t>
      </w:r>
      <w:proofErr w:type="gramStart"/>
      <w:r w:rsidRPr="00806DDA">
        <w:rPr>
          <w:rFonts w:ascii="Arial" w:hAnsi="Arial" w:cs="Arial"/>
          <w:color w:val="auto"/>
          <w:sz w:val="22"/>
        </w:rPr>
        <w:t>accreditation;</w:t>
      </w:r>
      <w:proofErr w:type="gramEnd"/>
    </w:p>
    <w:p w14:paraId="55744ED5" w14:textId="77777777" w:rsidR="00806DDA" w:rsidRPr="00806DDA" w:rsidRDefault="00806DDA" w:rsidP="00806DDA">
      <w:pPr>
        <w:pStyle w:val="ListParagraph"/>
        <w:numPr>
          <w:ilvl w:val="0"/>
          <w:numId w:val="43"/>
        </w:numPr>
        <w:contextualSpacing/>
        <w:rPr>
          <w:rFonts w:ascii="Arial" w:hAnsi="Arial" w:cs="Arial"/>
          <w:color w:val="auto"/>
          <w:sz w:val="22"/>
        </w:rPr>
      </w:pPr>
      <w:r w:rsidRPr="00806DDA">
        <w:rPr>
          <w:rFonts w:ascii="Arial" w:hAnsi="Arial" w:cs="Arial"/>
          <w:color w:val="auto"/>
          <w:sz w:val="22"/>
        </w:rPr>
        <w:t>sponsor not agreeing to continue sponsoring a student in the replacement program; or</w:t>
      </w:r>
    </w:p>
    <w:p w14:paraId="6A01366A" w14:textId="77777777" w:rsidR="00806DDA" w:rsidRPr="00806DDA" w:rsidRDefault="00806DDA" w:rsidP="00806DDA">
      <w:pPr>
        <w:pStyle w:val="ListParagraph"/>
        <w:numPr>
          <w:ilvl w:val="0"/>
          <w:numId w:val="43"/>
        </w:numPr>
        <w:contextualSpacing/>
        <w:rPr>
          <w:rFonts w:ascii="Arial" w:hAnsi="Arial" w:cs="Arial"/>
          <w:color w:val="auto"/>
          <w:sz w:val="22"/>
        </w:rPr>
        <w:sectPr w:rsidR="00806DDA" w:rsidRPr="00806DDA" w:rsidSect="007C1483">
          <w:headerReference w:type="default" r:id="rId10"/>
          <w:footerReference w:type="default" r:id="rId11"/>
          <w:headerReference w:type="first" r:id="rId12"/>
          <w:footerReference w:type="first" r:id="rId13"/>
          <w:type w:val="continuous"/>
          <w:pgSz w:w="11900" w:h="16820" w:code="9"/>
          <w:pgMar w:top="1985" w:right="1021" w:bottom="1021" w:left="1021" w:header="680" w:footer="454" w:gutter="0"/>
          <w:cols w:space="454"/>
          <w:titlePg/>
          <w:docGrid w:linePitch="360"/>
        </w:sectPr>
      </w:pPr>
      <w:r w:rsidRPr="00806DDA">
        <w:rPr>
          <w:rFonts w:ascii="Arial" w:hAnsi="Arial" w:cs="Arial"/>
          <w:color w:val="auto"/>
          <w:sz w:val="22"/>
        </w:rPr>
        <w:t>change to the residency visa status.</w:t>
      </w:r>
    </w:p>
    <w:p w14:paraId="060C5ECD" w14:textId="193A3680" w:rsidR="00AB3718" w:rsidRDefault="00AB3718" w:rsidP="00806DDA">
      <w:pPr>
        <w:rPr>
          <w:rFonts w:ascii="Arial" w:hAnsi="Arial" w:cs="Arial"/>
          <w:b/>
          <w:bCs/>
          <w:sz w:val="22"/>
        </w:rPr>
      </w:pPr>
      <w:r w:rsidRPr="005038EC">
        <w:rPr>
          <w:rFonts w:ascii="Arial" w:hAnsi="Arial" w:cs="Arial"/>
          <w:b/>
          <w:bCs/>
          <w:sz w:val="22"/>
        </w:rPr>
        <w:t xml:space="preserve">Program version </w:t>
      </w:r>
      <w:r w:rsidR="005038EC" w:rsidRPr="005038EC">
        <w:rPr>
          <w:rFonts w:ascii="Arial" w:hAnsi="Arial" w:cs="Arial"/>
          <w:color w:val="000000"/>
          <w:spacing w:val="2"/>
          <w:sz w:val="22"/>
          <w:shd w:val="clear" w:color="auto" w:fill="FFFFFF"/>
        </w:rPr>
        <w:t>an iteration of a program where the degree requirements have changed, distinct from the previous iteration of the same program</w:t>
      </w:r>
      <w:r w:rsidR="005038EC">
        <w:rPr>
          <w:rFonts w:ascii="Arial" w:hAnsi="Arial" w:cs="Arial"/>
          <w:color w:val="000000"/>
          <w:spacing w:val="2"/>
          <w:sz w:val="22"/>
          <w:shd w:val="clear" w:color="auto" w:fill="FFFFFF"/>
        </w:rPr>
        <w:t>.</w:t>
      </w:r>
    </w:p>
    <w:p w14:paraId="03679C2E" w14:textId="336C0828" w:rsidR="000531A7" w:rsidRDefault="008F4BA2" w:rsidP="00806DDA">
      <w:pPr>
        <w:rPr>
          <w:rFonts w:ascii="Arial" w:hAnsi="Arial" w:cs="Arial"/>
          <w:b/>
          <w:bCs/>
          <w:sz w:val="22"/>
        </w:rPr>
      </w:pPr>
      <w:r w:rsidRPr="008F4BA2">
        <w:rPr>
          <w:rFonts w:ascii="Arial" w:hAnsi="Arial" w:cs="Arial"/>
          <w:b/>
          <w:bCs/>
          <w:sz w:val="22"/>
        </w:rPr>
        <w:t>Sponsored Student</w:t>
      </w:r>
      <w:r>
        <w:rPr>
          <w:rFonts w:ascii="Arial" w:hAnsi="Arial" w:cs="Arial"/>
          <w:color w:val="000000"/>
          <w:spacing w:val="2"/>
          <w:sz w:val="22"/>
          <w:shd w:val="clear" w:color="auto" w:fill="FFFFFF"/>
        </w:rPr>
        <w:t xml:space="preserve"> refers to a</w:t>
      </w:r>
      <w:r w:rsidR="000531A7">
        <w:rPr>
          <w:rFonts w:ascii="Arial" w:hAnsi="Arial" w:cs="Arial"/>
          <w:color w:val="000000"/>
          <w:spacing w:val="2"/>
          <w:sz w:val="22"/>
          <w:shd w:val="clear" w:color="auto" w:fill="FFFFFF"/>
        </w:rPr>
        <w:t xml:space="preserve"> student who is studying with the financial support of a</w:t>
      </w:r>
      <w:r w:rsidR="00EF5622">
        <w:rPr>
          <w:rFonts w:ascii="Arial" w:hAnsi="Arial" w:cs="Arial"/>
          <w:color w:val="000000"/>
          <w:spacing w:val="2"/>
          <w:sz w:val="22"/>
          <w:shd w:val="clear" w:color="auto" w:fill="FFFFFF"/>
        </w:rPr>
        <w:t>n organisation, such as an employer or government agency, that officially registers with Griffith to pay the tuition fees and/or other associated study/living/travel costs directly to Griffith for that student.</w:t>
      </w:r>
    </w:p>
    <w:p w14:paraId="4B917612" w14:textId="02C96656" w:rsidR="00806DDA" w:rsidRPr="00806DDA" w:rsidRDefault="00806DDA" w:rsidP="00806DDA">
      <w:pPr>
        <w:rPr>
          <w:rFonts w:ascii="Arial" w:hAnsi="Arial" w:cs="Arial"/>
          <w:sz w:val="22"/>
        </w:rPr>
      </w:pPr>
      <w:r w:rsidRPr="00806DDA">
        <w:rPr>
          <w:rFonts w:ascii="Arial" w:hAnsi="Arial" w:cs="Arial"/>
          <w:b/>
          <w:bCs/>
          <w:sz w:val="22"/>
        </w:rPr>
        <w:t>Study Plan</w:t>
      </w:r>
      <w:r w:rsidRPr="00806DDA">
        <w:rPr>
          <w:rFonts w:ascii="Arial" w:hAnsi="Arial" w:cs="Arial"/>
          <w:sz w:val="22"/>
        </w:rPr>
        <w:t xml:space="preserve"> refers to a unique plan customised for a student to outline the specific courses they need to undertake to meet their program requirements.</w:t>
      </w:r>
      <w:r w:rsidR="00AB3718">
        <w:rPr>
          <w:rFonts w:ascii="Arial" w:hAnsi="Arial" w:cs="Arial"/>
          <w:sz w:val="22"/>
        </w:rPr>
        <w:t xml:space="preserve"> Once a study plan is </w:t>
      </w:r>
      <w:proofErr w:type="gramStart"/>
      <w:r w:rsidR="00AB3718">
        <w:rPr>
          <w:rFonts w:ascii="Arial" w:hAnsi="Arial" w:cs="Arial"/>
          <w:sz w:val="22"/>
        </w:rPr>
        <w:t>create</w:t>
      </w:r>
      <w:proofErr w:type="gramEnd"/>
      <w:r w:rsidR="00AB3718">
        <w:rPr>
          <w:rFonts w:ascii="Arial" w:hAnsi="Arial" w:cs="Arial"/>
          <w:sz w:val="22"/>
        </w:rPr>
        <w:t xml:space="preserve"> is resides against the student file.</w:t>
      </w:r>
    </w:p>
    <w:p w14:paraId="266B6A28" w14:textId="3CC5F6C4" w:rsidR="00806DDA" w:rsidRPr="00806DDA" w:rsidRDefault="00806DDA" w:rsidP="00806DDA">
      <w:pPr>
        <w:rPr>
          <w:rFonts w:ascii="Arial" w:hAnsi="Arial" w:cs="Arial"/>
          <w:sz w:val="22"/>
        </w:rPr>
      </w:pPr>
      <w:r w:rsidRPr="00806DDA">
        <w:rPr>
          <w:rFonts w:ascii="Arial" w:hAnsi="Arial" w:cs="Arial"/>
          <w:b/>
          <w:bCs/>
          <w:sz w:val="22"/>
        </w:rPr>
        <w:t>Teach out</w:t>
      </w:r>
      <w:r w:rsidRPr="00806DDA">
        <w:rPr>
          <w:rFonts w:ascii="Arial" w:hAnsi="Arial" w:cs="Arial"/>
          <w:sz w:val="22"/>
        </w:rPr>
        <w:t xml:space="preserve"> refers to the </w:t>
      </w:r>
      <w:proofErr w:type="gramStart"/>
      <w:r w:rsidR="00505A02">
        <w:rPr>
          <w:rFonts w:ascii="Arial" w:hAnsi="Arial" w:cs="Arial"/>
          <w:sz w:val="22"/>
        </w:rPr>
        <w:t>period of time</w:t>
      </w:r>
      <w:proofErr w:type="gramEnd"/>
      <w:r w:rsidR="00505A02">
        <w:rPr>
          <w:rFonts w:ascii="Arial" w:hAnsi="Arial" w:cs="Arial"/>
          <w:sz w:val="22"/>
        </w:rPr>
        <w:t xml:space="preserve"> students can remain active when </w:t>
      </w:r>
      <w:r w:rsidRPr="00806DDA">
        <w:rPr>
          <w:rFonts w:ascii="Arial" w:hAnsi="Arial" w:cs="Arial"/>
          <w:sz w:val="22"/>
        </w:rPr>
        <w:t>phasing out a withdrawn progra</w:t>
      </w:r>
      <w:r w:rsidR="00505A02">
        <w:rPr>
          <w:rFonts w:ascii="Arial" w:hAnsi="Arial" w:cs="Arial"/>
          <w:sz w:val="22"/>
        </w:rPr>
        <w:t>m.</w:t>
      </w:r>
      <w:r w:rsidRPr="00806DDA">
        <w:rPr>
          <w:rFonts w:ascii="Arial" w:hAnsi="Arial" w:cs="Arial"/>
          <w:sz w:val="22"/>
        </w:rPr>
        <w:t xml:space="preserve"> Students that have already received and accepted an offer prior to a program being withdrawn, will have the option to continue in the program under the teach out arrangement. No new students can be admitted into the withdrawn program</w:t>
      </w:r>
      <w:r w:rsidR="00E70A22">
        <w:rPr>
          <w:rFonts w:ascii="Arial" w:hAnsi="Arial" w:cs="Arial"/>
          <w:sz w:val="22"/>
        </w:rPr>
        <w:t>. S</w:t>
      </w:r>
      <w:r w:rsidRPr="00806DDA">
        <w:rPr>
          <w:rFonts w:ascii="Arial" w:hAnsi="Arial" w:cs="Arial"/>
          <w:sz w:val="22"/>
        </w:rPr>
        <w:t xml:space="preserve">tudents who have discontinued their enrolment </w:t>
      </w:r>
      <w:r w:rsidR="00832022">
        <w:rPr>
          <w:rFonts w:ascii="Arial" w:hAnsi="Arial" w:cs="Arial"/>
          <w:sz w:val="22"/>
        </w:rPr>
        <w:t>in a program and request to be readmitted to the same program must meet certain conditions</w:t>
      </w:r>
      <w:r w:rsidR="00E70A22">
        <w:rPr>
          <w:rFonts w:ascii="Arial" w:hAnsi="Arial" w:cs="Arial"/>
          <w:sz w:val="22"/>
        </w:rPr>
        <w:t xml:space="preserve"> outlined in</w:t>
      </w:r>
      <w:r w:rsidR="00832022">
        <w:rPr>
          <w:rFonts w:ascii="Arial" w:hAnsi="Arial" w:cs="Arial"/>
          <w:sz w:val="22"/>
        </w:rPr>
        <w:t xml:space="preserve"> the </w:t>
      </w:r>
      <w:r w:rsidR="00832022" w:rsidRPr="00E70A22">
        <w:rPr>
          <w:rFonts w:ascii="Arial" w:hAnsi="Arial" w:cs="Arial"/>
          <w:i/>
          <w:iCs/>
          <w:sz w:val="22"/>
        </w:rPr>
        <w:t>Admission Procedure</w:t>
      </w:r>
      <w:r w:rsidR="00832022">
        <w:rPr>
          <w:rFonts w:ascii="Arial" w:hAnsi="Arial" w:cs="Arial"/>
          <w:sz w:val="22"/>
        </w:rPr>
        <w:t>.</w:t>
      </w:r>
    </w:p>
    <w:p w14:paraId="01D43D4D" w14:textId="77777777" w:rsidR="00806DDA" w:rsidRPr="00806DDA" w:rsidRDefault="00806DDA" w:rsidP="00806DDA">
      <w:pPr>
        <w:rPr>
          <w:rFonts w:ascii="Arial" w:hAnsi="Arial" w:cs="Arial"/>
          <w:sz w:val="22"/>
        </w:rPr>
      </w:pPr>
      <w:r w:rsidRPr="00806DDA">
        <w:rPr>
          <w:rFonts w:ascii="Arial" w:hAnsi="Arial" w:cs="Arial"/>
          <w:b/>
          <w:bCs/>
          <w:sz w:val="22"/>
        </w:rPr>
        <w:t>The School</w:t>
      </w:r>
      <w:r w:rsidRPr="00806DDA">
        <w:rPr>
          <w:rFonts w:ascii="Arial" w:hAnsi="Arial" w:cs="Arial"/>
          <w:sz w:val="22"/>
        </w:rPr>
        <w:t xml:space="preserve"> refers to an academic organisation that sits within one of the four Academic Groups (the highest and largest element in the academic structure of the University). Schools may also be called Departments.</w:t>
      </w:r>
    </w:p>
    <w:p w14:paraId="4640725D" w14:textId="77777777" w:rsidR="00806DDA" w:rsidRPr="00806DDA" w:rsidRDefault="00806DDA" w:rsidP="00806DDA">
      <w:pPr>
        <w:rPr>
          <w:rFonts w:ascii="Arial" w:hAnsi="Arial" w:cs="Arial"/>
          <w:sz w:val="22"/>
        </w:rPr>
        <w:sectPr w:rsidR="00806DDA" w:rsidRPr="00806DDA" w:rsidSect="007C1483">
          <w:headerReference w:type="default" r:id="rId14"/>
          <w:footerReference w:type="default" r:id="rId15"/>
          <w:headerReference w:type="first" r:id="rId16"/>
          <w:footerReference w:type="first" r:id="rId17"/>
          <w:type w:val="continuous"/>
          <w:pgSz w:w="11900" w:h="16820" w:code="9"/>
          <w:pgMar w:top="1985" w:right="1021" w:bottom="1021" w:left="1021" w:header="680" w:footer="454" w:gutter="0"/>
          <w:cols w:space="454"/>
          <w:titlePg/>
          <w:docGrid w:linePitch="360"/>
        </w:sectPr>
      </w:pPr>
      <w:r w:rsidRPr="00806DDA">
        <w:rPr>
          <w:rFonts w:ascii="Arial" w:hAnsi="Arial" w:cs="Arial"/>
          <w:b/>
          <w:bCs/>
          <w:sz w:val="22"/>
        </w:rPr>
        <w:t>Transition</w:t>
      </w:r>
      <w:r w:rsidRPr="00806DDA">
        <w:rPr>
          <w:rFonts w:ascii="Arial" w:hAnsi="Arial" w:cs="Arial"/>
          <w:sz w:val="22"/>
        </w:rPr>
        <w:t xml:space="preserve"> refers to students being moved into a replacement or equivalent program when their existing program is withdrawn or undergoes a major change.</w:t>
      </w:r>
    </w:p>
    <w:p w14:paraId="12A3BF87" w14:textId="1E930C7C" w:rsidR="00811F90" w:rsidRPr="00372624" w:rsidRDefault="00F836D1" w:rsidP="00CA6AC5">
      <w:pPr>
        <w:pStyle w:val="Heading2"/>
        <w:rPr>
          <w:rFonts w:ascii="Arial" w:hAnsi="Arial" w:cs="Arial"/>
        </w:rPr>
      </w:pPr>
      <w:bookmarkStart w:id="15" w:name="_6.0_Information"/>
      <w:bookmarkStart w:id="16" w:name="_5.0_Information"/>
      <w:bookmarkEnd w:id="15"/>
      <w:bookmarkEnd w:id="16"/>
      <w:r w:rsidRPr="00372624">
        <w:rPr>
          <w:rFonts w:ascii="Arial" w:hAnsi="Arial" w:cs="Arial"/>
        </w:rPr>
        <w:lastRenderedPageBreak/>
        <w:t>6</w:t>
      </w:r>
      <w:r w:rsidR="00FC349F" w:rsidRPr="00372624">
        <w:rPr>
          <w:rFonts w:ascii="Arial" w:hAnsi="Arial" w:cs="Arial"/>
        </w:rPr>
        <w:t xml:space="preserve">.0 </w:t>
      </w:r>
      <w:r w:rsidR="00786706" w:rsidRPr="00372624">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11361292" w:rsidR="00786706" w:rsidRPr="004922AF" w:rsidRDefault="00806DDA" w:rsidP="004922AF">
            <w:pPr>
              <w:spacing w:before="120" w:after="120"/>
              <w:rPr>
                <w:rFonts w:ascii="Arial" w:hAnsi="Arial" w:cs="Arial"/>
                <w:sz w:val="22"/>
                <w:szCs w:val="28"/>
                <w:lang w:val="en-GB"/>
              </w:rPr>
            </w:pPr>
            <w:r>
              <w:rPr>
                <w:rFonts w:ascii="Arial" w:hAnsi="Arial" w:cs="Arial"/>
                <w:sz w:val="22"/>
                <w:szCs w:val="28"/>
                <w:lang w:val="en-GB"/>
              </w:rPr>
              <w:t>Transition and Teach Out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7B8C4A36" w:rsidR="00786706" w:rsidRPr="00806DDA" w:rsidRDefault="00806DDA" w:rsidP="004922AF">
            <w:pPr>
              <w:spacing w:before="120" w:after="120"/>
              <w:rPr>
                <w:rFonts w:ascii="Arial" w:hAnsi="Arial" w:cs="Arial"/>
                <w:sz w:val="22"/>
                <w:szCs w:val="28"/>
              </w:rPr>
            </w:pPr>
            <w:r w:rsidRPr="00806DDA">
              <w:rPr>
                <w:rFonts w:ascii="Arial" w:hAnsi="Arial" w:cs="Arial"/>
                <w:sz w:val="22"/>
                <w:szCs w:val="28"/>
              </w:rPr>
              <w:t>2023/0000422</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5904E37A" w14:textId="77777777" w:rsidR="00806DDA" w:rsidRPr="00237C78" w:rsidRDefault="00806DDA" w:rsidP="00806DDA">
            <w:pPr>
              <w:spacing w:after="120"/>
              <w:rPr>
                <w:rFonts w:ascii="Arial" w:hAnsi="Arial" w:cs="Arial"/>
                <w:sz w:val="22"/>
              </w:rPr>
            </w:pPr>
            <w:r w:rsidRPr="00237C78">
              <w:rPr>
                <w:rFonts w:ascii="Arial" w:hAnsi="Arial" w:cs="Arial"/>
                <w:sz w:val="22"/>
              </w:rPr>
              <w:t xml:space="preserve">This Procedure outlines the processes undertaken </w:t>
            </w:r>
            <w:proofErr w:type="gramStart"/>
            <w:r w:rsidRPr="00237C78">
              <w:rPr>
                <w:rFonts w:ascii="Arial" w:hAnsi="Arial" w:cs="Arial"/>
                <w:sz w:val="22"/>
              </w:rPr>
              <w:t>in the event that</w:t>
            </w:r>
            <w:proofErr w:type="gramEnd"/>
            <w:r w:rsidRPr="00237C78">
              <w:rPr>
                <w:rFonts w:ascii="Arial" w:hAnsi="Arial" w:cs="Arial"/>
                <w:sz w:val="22"/>
              </w:rPr>
              <w:t xml:space="preserve"> a program is withdrawn or undergoes a major change. The Procedure ensures that students are not disadvantaged by such processes, whilst enabling the University to consolidate program versions and where appropriate, transition students to a replacement program if their program is withdrawn or undergoes a major change.</w:t>
            </w:r>
          </w:p>
          <w:p w14:paraId="7FE09B90" w14:textId="0BA2B595" w:rsidR="00786706" w:rsidRPr="00806DDA" w:rsidRDefault="00806DDA" w:rsidP="00806DDA">
            <w:pPr>
              <w:spacing w:after="120"/>
              <w:rPr>
                <w:rFonts w:ascii="Arial" w:hAnsi="Arial" w:cs="Arial"/>
                <w:sz w:val="22"/>
              </w:rPr>
            </w:pPr>
            <w:r w:rsidRPr="00237C78">
              <w:rPr>
                <w:rFonts w:ascii="Arial" w:hAnsi="Arial" w:cs="Arial"/>
                <w:sz w:val="22"/>
              </w:rPr>
              <w:t>The Procedure outlines the various factors that must be considered when establishing transition or teach out arrangements for a program, to guide the School or Department (hereafter ‘School’) in their planning, consultation, and submission to Programs Committee.</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51B0D11" w:rsidR="00786706" w:rsidRPr="004922AF" w:rsidRDefault="00806DDA"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B62775D" w:rsidR="00786706" w:rsidRPr="004922AF" w:rsidRDefault="00806DDA" w:rsidP="004922AF">
                <w:pPr>
                  <w:spacing w:before="120" w:after="120"/>
                  <w:rPr>
                    <w:rFonts w:ascii="Arial" w:hAnsi="Arial" w:cs="Arial"/>
                    <w:sz w:val="22"/>
                    <w:szCs w:val="28"/>
                  </w:rPr>
                </w:pPr>
                <w:r>
                  <w:rPr>
                    <w:rFonts w:ascii="Arial" w:hAnsi="Arial" w:cs="Arial"/>
                    <w:sz w:val="22"/>
                    <w:szCs w:val="28"/>
                  </w:rPr>
                  <w:t>Academic</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2F772348" w:rsidR="007512F5" w:rsidRPr="004922AF" w:rsidRDefault="00806DDA" w:rsidP="004922AF">
                <w:pPr>
                  <w:spacing w:before="120" w:after="120"/>
                  <w:rPr>
                    <w:rFonts w:ascii="Arial" w:hAnsi="Arial" w:cs="Arial"/>
                    <w:sz w:val="22"/>
                    <w:szCs w:val="28"/>
                    <w:lang w:val="en-GB"/>
                  </w:rPr>
                </w:pPr>
                <w:r>
                  <w:rPr>
                    <w:rFonts w:ascii="Arial" w:hAnsi="Arial" w:cs="Arial"/>
                    <w:sz w:val="22"/>
                    <w:szCs w:val="28"/>
                    <w:lang w:val="en-GB"/>
                  </w:rPr>
                  <w:t>Student Services</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0DF22457" w14:textId="63CA7DAF" w:rsidR="00207FC2"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8150F61" w:rsidR="00067836" w:rsidRPr="004922AF" w:rsidRDefault="00806DDA" w:rsidP="004922A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7B99EC36" w:rsidR="00786706" w:rsidRPr="004922AF" w:rsidRDefault="004A5EE1" w:rsidP="004922AF">
            <w:pPr>
              <w:spacing w:before="120" w:after="120"/>
              <w:rPr>
                <w:rFonts w:ascii="Arial" w:hAnsi="Arial" w:cs="Arial"/>
                <w:sz w:val="22"/>
                <w:szCs w:val="28"/>
              </w:rPr>
            </w:pPr>
            <w:r>
              <w:rPr>
                <w:rFonts w:ascii="Arial" w:hAnsi="Arial" w:cs="Arial"/>
                <w:sz w:val="22"/>
                <w:szCs w:val="28"/>
              </w:rPr>
              <w:t>13 February 2024</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4FB11BD5" w:rsidR="00786706" w:rsidRPr="004922AF" w:rsidRDefault="00806DDA" w:rsidP="004922AF">
            <w:pPr>
              <w:spacing w:before="120" w:after="120"/>
              <w:rPr>
                <w:rFonts w:ascii="Arial" w:hAnsi="Arial" w:cs="Arial"/>
                <w:sz w:val="22"/>
                <w:szCs w:val="28"/>
              </w:rPr>
            </w:pPr>
            <w:r>
              <w:rPr>
                <w:rFonts w:ascii="Arial" w:hAnsi="Arial" w:cs="Arial"/>
                <w:sz w:val="22"/>
                <w:szCs w:val="28"/>
              </w:rPr>
              <w:t>Trimester 1, 2024</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52A15BB6" w:rsidR="00786706" w:rsidRPr="004922AF" w:rsidRDefault="00806DDA" w:rsidP="004922AF">
            <w:pPr>
              <w:spacing w:before="120" w:after="120"/>
              <w:rPr>
                <w:rFonts w:ascii="Arial" w:hAnsi="Arial" w:cs="Arial"/>
                <w:sz w:val="22"/>
                <w:szCs w:val="28"/>
              </w:rPr>
            </w:pPr>
            <w:r>
              <w:rPr>
                <w:rFonts w:ascii="Arial" w:hAnsi="Arial" w:cs="Arial"/>
                <w:sz w:val="22"/>
                <w:szCs w:val="28"/>
              </w:rPr>
              <w:t>202</w:t>
            </w:r>
            <w:r w:rsidR="004A5EE1">
              <w:rPr>
                <w:rFonts w:ascii="Arial" w:hAnsi="Arial" w:cs="Arial"/>
                <w:sz w:val="22"/>
                <w:szCs w:val="28"/>
              </w:rPr>
              <w:t>9</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60A2F829" w:rsidR="00786706" w:rsidRPr="004922AF" w:rsidRDefault="00806DDA" w:rsidP="004922AF">
            <w:pPr>
              <w:spacing w:before="120" w:after="120"/>
              <w:rPr>
                <w:rFonts w:ascii="Arial" w:hAnsi="Arial" w:cs="Arial"/>
                <w:sz w:val="22"/>
                <w:szCs w:val="28"/>
              </w:rPr>
            </w:pPr>
            <w:r>
              <w:rPr>
                <w:rFonts w:ascii="Arial" w:hAnsi="Arial" w:cs="Arial"/>
                <w:sz w:val="22"/>
                <w:szCs w:val="28"/>
              </w:rPr>
              <w:t>Director, Student Business Services</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38EEF5B8" w:rsidR="00786706" w:rsidRPr="004922AF" w:rsidRDefault="00806DDA" w:rsidP="004922AF">
            <w:pPr>
              <w:spacing w:before="120" w:after="120"/>
              <w:rPr>
                <w:rFonts w:ascii="Arial" w:hAnsi="Arial" w:cs="Arial"/>
                <w:sz w:val="22"/>
                <w:szCs w:val="28"/>
              </w:rPr>
            </w:pPr>
            <w:r>
              <w:rPr>
                <w:rFonts w:ascii="Arial" w:hAnsi="Arial" w:cs="Arial"/>
                <w:sz w:val="22"/>
                <w:szCs w:val="28"/>
              </w:rPr>
              <w:t>Registrar</w:t>
            </w:r>
          </w:p>
        </w:tc>
      </w:tr>
    </w:tbl>
    <w:p w14:paraId="07DD10BA" w14:textId="0FA127FA" w:rsidR="00811F90" w:rsidRDefault="00811F90">
      <w:pPr>
        <w:rPr>
          <w:rFonts w:ascii="Arial" w:hAnsi="Arial" w:cs="Arial"/>
          <w:sz w:val="20"/>
          <w:szCs w:val="20"/>
        </w:rPr>
      </w:pPr>
    </w:p>
    <w:p w14:paraId="605F990D" w14:textId="21F9BDC6" w:rsidR="00C22059" w:rsidRPr="00D30451" w:rsidRDefault="00F836D1" w:rsidP="00CA6AC5">
      <w:pPr>
        <w:pStyle w:val="Heading2"/>
        <w:rPr>
          <w:rFonts w:ascii="Arial" w:hAnsi="Arial" w:cs="Arial"/>
        </w:rPr>
      </w:pPr>
      <w:bookmarkStart w:id="17" w:name="_7.0_Related_Policy"/>
      <w:bookmarkStart w:id="18" w:name="_6.0_Related_Policy"/>
      <w:bookmarkEnd w:id="17"/>
      <w:bookmarkEnd w:id="18"/>
      <w:r w:rsidRPr="00D30451">
        <w:rPr>
          <w:rFonts w:ascii="Arial" w:hAnsi="Arial" w:cs="Arial"/>
        </w:rPr>
        <w:lastRenderedPageBreak/>
        <w:t>7</w:t>
      </w:r>
      <w:r w:rsidR="00FC349F" w:rsidRPr="00D30451">
        <w:rPr>
          <w:rFonts w:ascii="Arial" w:hAnsi="Arial" w:cs="Arial"/>
        </w:rPr>
        <w:t xml:space="preserve">.0 </w:t>
      </w:r>
      <w:r w:rsidR="008605D5" w:rsidRPr="00D30451">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682563C9" w14:textId="77777777" w:rsidR="00806DDA" w:rsidRPr="00806DDA" w:rsidRDefault="00D30451" w:rsidP="00806DDA">
            <w:pPr>
              <w:spacing w:before="120" w:after="120"/>
              <w:rPr>
                <w:rFonts w:ascii="Arial" w:hAnsi="Arial" w:cs="Arial"/>
                <w:sz w:val="22"/>
              </w:rPr>
            </w:pPr>
            <w:hyperlink r:id="rId18" w:history="1">
              <w:r w:rsidR="00806DDA" w:rsidRPr="00806DDA">
                <w:rPr>
                  <w:rStyle w:val="Hyperlink"/>
                  <w:rFonts w:ascii="Arial" w:hAnsi="Arial" w:cs="Arial"/>
                  <w:sz w:val="22"/>
                </w:rPr>
                <w:t>Education Services for Overseas Students Act 2000</w:t>
              </w:r>
            </w:hyperlink>
          </w:p>
          <w:p w14:paraId="7D7210AC" w14:textId="77777777" w:rsidR="00806DDA" w:rsidRPr="00806DDA" w:rsidRDefault="00D30451" w:rsidP="00806DDA">
            <w:pPr>
              <w:spacing w:before="120" w:after="120"/>
              <w:rPr>
                <w:rFonts w:ascii="Arial" w:hAnsi="Arial" w:cs="Arial"/>
                <w:sz w:val="22"/>
              </w:rPr>
            </w:pPr>
            <w:hyperlink r:id="rId19" w:history="1">
              <w:r w:rsidR="00806DDA" w:rsidRPr="00806DDA">
                <w:rPr>
                  <w:rStyle w:val="Hyperlink"/>
                  <w:rFonts w:ascii="Arial" w:hAnsi="Arial" w:cs="Arial"/>
                  <w:sz w:val="22"/>
                </w:rPr>
                <w:t>Higher Education Standards Framework (Threshold Standards) 2021</w:t>
              </w:r>
            </w:hyperlink>
          </w:p>
          <w:p w14:paraId="1BF6A3F4" w14:textId="77777777" w:rsidR="00806DDA" w:rsidRPr="00806DDA" w:rsidRDefault="00D30451" w:rsidP="00806DDA">
            <w:pPr>
              <w:spacing w:before="120" w:after="120"/>
              <w:rPr>
                <w:rFonts w:ascii="Arial" w:hAnsi="Arial" w:cs="Arial"/>
                <w:sz w:val="22"/>
              </w:rPr>
            </w:pPr>
            <w:hyperlink r:id="rId20" w:history="1">
              <w:r w:rsidR="00806DDA" w:rsidRPr="00806DDA">
                <w:rPr>
                  <w:rStyle w:val="Hyperlink"/>
                  <w:rFonts w:ascii="Arial" w:hAnsi="Arial" w:cs="Arial"/>
                  <w:sz w:val="22"/>
                </w:rPr>
                <w:t>Higher Education Support Act 2003</w:t>
              </w:r>
            </w:hyperlink>
          </w:p>
          <w:p w14:paraId="1D95EE8D" w14:textId="5FFC78B8" w:rsidR="00806DDA" w:rsidRPr="00806DDA" w:rsidRDefault="00D30451" w:rsidP="00806DDA">
            <w:pPr>
              <w:spacing w:before="120" w:after="120"/>
              <w:rPr>
                <w:rFonts w:ascii="Arial" w:hAnsi="Arial" w:cs="Arial"/>
                <w:sz w:val="22"/>
                <w:lang w:val="en-GB"/>
              </w:rPr>
            </w:pPr>
            <w:hyperlink r:id="rId21" w:history="1">
              <w:r w:rsidR="00806DDA" w:rsidRPr="00806DDA">
                <w:rPr>
                  <w:rStyle w:val="Hyperlink"/>
                  <w:rFonts w:ascii="Arial" w:hAnsi="Arial" w:cs="Arial"/>
                  <w:sz w:val="22"/>
                </w:rPr>
                <w:t>National Code of Practice for Providers of Education and Training to Overseas Students 2018</w:t>
              </w:r>
            </w:hyperlink>
          </w:p>
        </w:tc>
      </w:tr>
      <w:tr w:rsidR="00746A0E" w:rsidRPr="004922AF" w14:paraId="13D635BA" w14:textId="77777777" w:rsidTr="006721EA">
        <w:tc>
          <w:tcPr>
            <w:tcW w:w="2943" w:type="dxa"/>
          </w:tcPr>
          <w:p w14:paraId="7CB30007" w14:textId="274434BC" w:rsidR="00746A0E" w:rsidRPr="00806DDA" w:rsidRDefault="00746A0E" w:rsidP="004922AF">
            <w:pPr>
              <w:spacing w:before="120" w:after="120"/>
              <w:rPr>
                <w:rFonts w:ascii="Arial" w:hAnsi="Arial" w:cs="Arial"/>
                <w:sz w:val="22"/>
              </w:rPr>
            </w:pPr>
            <w:r w:rsidRPr="00806DDA">
              <w:rPr>
                <w:rFonts w:ascii="Arial" w:hAnsi="Arial" w:cs="Arial"/>
                <w:sz w:val="22"/>
              </w:rPr>
              <w:t>Policy</w:t>
            </w:r>
          </w:p>
        </w:tc>
        <w:tc>
          <w:tcPr>
            <w:tcW w:w="7147" w:type="dxa"/>
          </w:tcPr>
          <w:p w14:paraId="27593ED8" w14:textId="6E07C4B0" w:rsidR="00806DDA" w:rsidRPr="00806DDA" w:rsidRDefault="00D30451" w:rsidP="00806DDA">
            <w:pPr>
              <w:spacing w:before="120" w:after="120"/>
              <w:rPr>
                <w:rFonts w:ascii="Arial" w:hAnsi="Arial" w:cs="Arial"/>
                <w:sz w:val="22"/>
              </w:rPr>
            </w:pPr>
            <w:hyperlink r:id="rId22" w:history="1">
              <w:r w:rsidR="00806DDA" w:rsidRPr="00015F44">
                <w:rPr>
                  <w:rStyle w:val="Hyperlink"/>
                  <w:rFonts w:ascii="Arial" w:hAnsi="Arial" w:cs="Arial"/>
                  <w:sz w:val="22"/>
                </w:rPr>
                <w:t>Admission Policy</w:t>
              </w:r>
            </w:hyperlink>
          </w:p>
          <w:p w14:paraId="25CCAD3A" w14:textId="77777777" w:rsidR="00806DDA" w:rsidRPr="00806DDA" w:rsidRDefault="00D30451" w:rsidP="00806DDA">
            <w:pPr>
              <w:spacing w:before="120" w:after="120"/>
              <w:rPr>
                <w:rFonts w:ascii="Arial" w:hAnsi="Arial" w:cs="Arial"/>
                <w:color w:val="E30918"/>
                <w:sz w:val="22"/>
                <w:u w:val="single"/>
              </w:rPr>
            </w:pPr>
            <w:hyperlink r:id="rId23" w:history="1">
              <w:r w:rsidR="00806DDA" w:rsidRPr="00806DDA">
                <w:rPr>
                  <w:rStyle w:val="Hyperlink"/>
                  <w:rFonts w:ascii="Arial" w:hAnsi="Arial" w:cs="Arial"/>
                  <w:sz w:val="22"/>
                </w:rPr>
                <w:t>Enrolment Policy</w:t>
              </w:r>
            </w:hyperlink>
          </w:p>
          <w:p w14:paraId="7A1507B9" w14:textId="381E4BDC" w:rsidR="00746A0E" w:rsidRPr="00806DDA" w:rsidRDefault="00D30451" w:rsidP="00806DDA">
            <w:pPr>
              <w:spacing w:before="120" w:after="120"/>
              <w:rPr>
                <w:rFonts w:ascii="Arial" w:hAnsi="Arial" w:cs="Arial"/>
                <w:sz w:val="22"/>
                <w:lang w:val="en-GB"/>
              </w:rPr>
            </w:pPr>
            <w:hyperlink r:id="rId24" w:history="1">
              <w:r w:rsidR="00806DDA" w:rsidRPr="00806DDA">
                <w:rPr>
                  <w:rStyle w:val="Hyperlink"/>
                  <w:rFonts w:ascii="Arial" w:hAnsi="Arial" w:cs="Arial"/>
                  <w:sz w:val="22"/>
                </w:rPr>
                <w:t>Program and Course Policy</w:t>
              </w:r>
            </w:hyperlink>
          </w:p>
        </w:tc>
      </w:tr>
      <w:tr w:rsidR="00746A0E" w:rsidRPr="004922AF" w14:paraId="55329BCC" w14:textId="77777777" w:rsidTr="006721EA">
        <w:tc>
          <w:tcPr>
            <w:tcW w:w="2943" w:type="dxa"/>
          </w:tcPr>
          <w:p w14:paraId="1BD7DB3E" w14:textId="54AA41D2" w:rsidR="00746A0E" w:rsidRPr="00015F44" w:rsidRDefault="00746A0E" w:rsidP="004922AF">
            <w:pPr>
              <w:spacing w:before="120" w:after="120"/>
              <w:rPr>
                <w:rFonts w:ascii="Arial" w:hAnsi="Arial" w:cs="Arial"/>
                <w:sz w:val="22"/>
              </w:rPr>
            </w:pPr>
            <w:r w:rsidRPr="00015F44">
              <w:rPr>
                <w:rFonts w:ascii="Arial" w:hAnsi="Arial" w:cs="Arial"/>
                <w:sz w:val="22"/>
              </w:rPr>
              <w:t>Procedures</w:t>
            </w:r>
          </w:p>
        </w:tc>
        <w:tc>
          <w:tcPr>
            <w:tcW w:w="7147" w:type="dxa"/>
          </w:tcPr>
          <w:p w14:paraId="11D64BA3" w14:textId="4E2C9771" w:rsidR="00806DDA" w:rsidRPr="00015F44" w:rsidRDefault="00D30451" w:rsidP="00806DDA">
            <w:pPr>
              <w:spacing w:before="120" w:after="120"/>
              <w:rPr>
                <w:rFonts w:ascii="Arial" w:hAnsi="Arial" w:cs="Arial"/>
                <w:sz w:val="22"/>
              </w:rPr>
            </w:pPr>
            <w:hyperlink r:id="rId25" w:history="1">
              <w:r w:rsidR="00806DDA" w:rsidRPr="00015F44">
                <w:rPr>
                  <w:rStyle w:val="Hyperlink"/>
                  <w:rFonts w:ascii="Arial" w:hAnsi="Arial" w:cs="Arial"/>
                  <w:sz w:val="22"/>
                </w:rPr>
                <w:t>Academic Progress Procedure</w:t>
              </w:r>
            </w:hyperlink>
          </w:p>
          <w:p w14:paraId="6520714C" w14:textId="62179191" w:rsidR="00806DDA" w:rsidRPr="00015F44" w:rsidRDefault="00D30451" w:rsidP="00806DDA">
            <w:pPr>
              <w:spacing w:before="120" w:after="120"/>
              <w:rPr>
                <w:rFonts w:ascii="Arial" w:hAnsi="Arial" w:cs="Arial"/>
                <w:sz w:val="22"/>
              </w:rPr>
            </w:pPr>
            <w:hyperlink r:id="rId26" w:history="1">
              <w:r w:rsidR="00806DDA" w:rsidRPr="00015F44">
                <w:rPr>
                  <w:rStyle w:val="Hyperlink"/>
                  <w:rFonts w:ascii="Arial" w:hAnsi="Arial" w:cs="Arial"/>
                  <w:sz w:val="22"/>
                </w:rPr>
                <w:t>Admission Procedure</w:t>
              </w:r>
            </w:hyperlink>
          </w:p>
          <w:p w14:paraId="28A75C95" w14:textId="77777777" w:rsidR="00806DDA" w:rsidRPr="00015F44" w:rsidRDefault="00D30451" w:rsidP="00806DDA">
            <w:pPr>
              <w:spacing w:before="120" w:after="120"/>
              <w:rPr>
                <w:rFonts w:ascii="Arial" w:hAnsi="Arial" w:cs="Arial"/>
                <w:sz w:val="22"/>
              </w:rPr>
            </w:pPr>
            <w:hyperlink r:id="rId27" w:history="1">
              <w:r w:rsidR="00806DDA" w:rsidRPr="00015F44">
                <w:rPr>
                  <w:rStyle w:val="Hyperlink"/>
                  <w:rFonts w:ascii="Arial" w:hAnsi="Arial" w:cs="Arial"/>
                  <w:sz w:val="22"/>
                </w:rPr>
                <w:t>Enrolment Procedure</w:t>
              </w:r>
            </w:hyperlink>
          </w:p>
          <w:p w14:paraId="37979027" w14:textId="77777777" w:rsidR="00806DDA" w:rsidRPr="00015F44" w:rsidRDefault="00D30451" w:rsidP="00806DDA">
            <w:pPr>
              <w:spacing w:before="120" w:after="120"/>
              <w:rPr>
                <w:rFonts w:ascii="Arial" w:hAnsi="Arial" w:cs="Arial"/>
                <w:sz w:val="22"/>
              </w:rPr>
            </w:pPr>
            <w:hyperlink r:id="rId28" w:history="1">
              <w:r w:rsidR="00806DDA" w:rsidRPr="00015F44">
                <w:rPr>
                  <w:rStyle w:val="Hyperlink"/>
                  <w:rFonts w:ascii="Arial" w:hAnsi="Arial" w:cs="Arial"/>
                  <w:sz w:val="22"/>
                </w:rPr>
                <w:t>Fees and Charges Procedure</w:t>
              </w:r>
            </w:hyperlink>
          </w:p>
          <w:p w14:paraId="4302959E" w14:textId="14EC6875" w:rsidR="00746A0E" w:rsidRPr="00015F44" w:rsidRDefault="00D30451" w:rsidP="00806DDA">
            <w:pPr>
              <w:spacing w:before="120" w:after="120"/>
              <w:rPr>
                <w:rFonts w:ascii="Arial" w:hAnsi="Arial" w:cs="Arial"/>
                <w:sz w:val="22"/>
                <w:lang w:val="en-GB"/>
              </w:rPr>
            </w:pPr>
            <w:hyperlink r:id="rId29" w:history="1">
              <w:r w:rsidR="00806DDA" w:rsidRPr="00015F44">
                <w:rPr>
                  <w:rStyle w:val="Hyperlink"/>
                  <w:rFonts w:ascii="Arial" w:hAnsi="Arial" w:cs="Arial"/>
                  <w:sz w:val="22"/>
                </w:rPr>
                <w:t>Program Approval Procedure</w:t>
              </w:r>
            </w:hyperlink>
          </w:p>
        </w:tc>
      </w:tr>
    </w:tbl>
    <w:p w14:paraId="6BA7652E" w14:textId="26761596" w:rsidR="00A15D12" w:rsidRPr="004922AF" w:rsidRDefault="00A15D12" w:rsidP="004922AF">
      <w:pPr>
        <w:rPr>
          <w:rFonts w:ascii="Arial" w:hAnsi="Arial" w:cs="Arial"/>
          <w:sz w:val="22"/>
        </w:rPr>
      </w:pPr>
    </w:p>
    <w:p w14:paraId="298A2696" w14:textId="55A65F07" w:rsidR="00AF5791" w:rsidRPr="00A15D12" w:rsidRDefault="00AF5791" w:rsidP="00C22059">
      <w:pPr>
        <w:rPr>
          <w:rFonts w:ascii="Arial" w:hAnsi="Arial" w:cs="Arial"/>
          <w:sz w:val="20"/>
          <w:szCs w:val="24"/>
        </w:rPr>
      </w:pPr>
    </w:p>
    <w:sectPr w:rsidR="00AF5791" w:rsidRPr="00A15D12" w:rsidSect="00E77B43">
      <w:headerReference w:type="default" r:id="rId30"/>
      <w:footerReference w:type="even" r:id="rId31"/>
      <w:footerReference w:type="default" r:id="rId32"/>
      <w:headerReference w:type="first" r:id="rId33"/>
      <w:footerReference w:type="first" r:id="rId34"/>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A36A" w14:textId="77777777" w:rsidR="00C50B7E" w:rsidRDefault="00C50B7E" w:rsidP="00575CC3">
      <w:pPr>
        <w:spacing w:after="0" w:line="240" w:lineRule="auto"/>
      </w:pPr>
      <w:r>
        <w:separator/>
      </w:r>
    </w:p>
  </w:endnote>
  <w:endnote w:type="continuationSeparator" w:id="0">
    <w:p w14:paraId="4989C5F8" w14:textId="77777777" w:rsidR="00C50B7E" w:rsidRDefault="00C50B7E"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09390"/>
      <w:docPartObj>
        <w:docPartGallery w:val="Page Numbers (Bottom of Page)"/>
        <w:docPartUnique/>
      </w:docPartObj>
    </w:sdtPr>
    <w:sdtEndPr>
      <w:rPr>
        <w:noProof/>
      </w:rPr>
    </w:sdtEndPr>
    <w:sdtContent>
      <w:p w14:paraId="343D2BB4" w14:textId="38A8F135" w:rsidR="00806DDA" w:rsidRDefault="00806DDA" w:rsidP="00806DDA">
        <w:pPr>
          <w:spacing w:after="0" w:line="240" w:lineRule="auto"/>
          <w:jc w:val="right"/>
          <w:rPr>
            <w:rFonts w:asciiTheme="minorHAnsi" w:hAnsiTheme="minorHAnsi" w:cstheme="minorHAnsi"/>
            <w:color w:val="70787B"/>
            <w:sz w:val="15"/>
            <w:szCs w:val="15"/>
          </w:rPr>
        </w:pPr>
        <w:r w:rsidRPr="00806DDA">
          <w:rPr>
            <w:rFonts w:asciiTheme="minorHAnsi" w:hAnsiTheme="minorHAnsi" w:cstheme="minorHAnsi"/>
            <w:color w:val="70787B"/>
            <w:sz w:val="15"/>
            <w:szCs w:val="15"/>
          </w:rPr>
          <w:t>Teach Out and Transition Procedure | December 2023</w:t>
        </w:r>
        <w:r w:rsidRPr="000209B9">
          <w:rPr>
            <w:rFonts w:asciiTheme="minorHAnsi" w:hAnsiTheme="minorHAnsi" w:cstheme="minorHAnsi"/>
            <w:color w:val="70787B"/>
            <w:sz w:val="15"/>
            <w:szCs w:val="15"/>
          </w:rPr>
          <w:t xml:space="preserve"> </w:t>
        </w:r>
      </w:p>
      <w:p w14:paraId="29C25AEE" w14:textId="77777777" w:rsidR="00806DDA" w:rsidRPr="000209B9" w:rsidRDefault="00806DDA" w:rsidP="00806DD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806DDA">
          <w:rPr>
            <w:rFonts w:asciiTheme="minorHAnsi" w:hAnsiTheme="minorHAnsi" w:cstheme="minorHAnsi"/>
            <w:color w:val="70787B"/>
            <w:sz w:val="15"/>
            <w:szCs w:val="15"/>
          </w:rPr>
          <w:t>2023/0000422</w:t>
        </w:r>
      </w:p>
      <w:p w14:paraId="12B4B4F8" w14:textId="20271B54" w:rsidR="00806DDA" w:rsidRPr="00102B8A" w:rsidRDefault="00806DDA" w:rsidP="00806DDA">
        <w:pPr>
          <w:pStyle w:val="Footer"/>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49BD" w14:textId="77777777" w:rsidR="00806DDA" w:rsidRPr="007C1483" w:rsidRDefault="00806DDA"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4738C1EB" w14:textId="77777777" w:rsidR="00806DDA" w:rsidRDefault="00806DDA" w:rsidP="00806DDA">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80768" behindDoc="0" locked="0" layoutInCell="1" allowOverlap="1" wp14:anchorId="5C8AB25E" wp14:editId="4FE9AF57">
              <wp:simplePos x="0" y="0"/>
              <wp:positionH relativeFrom="page">
                <wp:align>left</wp:align>
              </wp:positionH>
              <wp:positionV relativeFrom="paragraph">
                <wp:posOffset>-2780665</wp:posOffset>
              </wp:positionV>
              <wp:extent cx="3565003" cy="3564322"/>
              <wp:effectExtent l="0" t="0" r="0" b="0"/>
              <wp:wrapNone/>
              <wp:docPr id="1306630162" name="Group 1306630162"/>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778565133" name="Right Triangle 778565133"/>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858347"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0C840" id="Group 1306630162" o:spid="_x0000_s1026" style="position:absolute;margin-left:0;margin-top:-218.95pt;width:280.7pt;height:280.65pt;z-index:251680768;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gpigMAAFILAAAOAAAAZHJzL2Uyb0RvYy54bWzsVttu1DAQfUfiHyy/09x3N1FTVBVakApU&#10;tIhn13EuyLGN7W22fD1j57JtWXgACQmJl6wvM2dmjsdnffxy13N0x7TppChxdBRixASVVSeaEn+6&#10;OX+xwchYIirCpWAlvmcGvzx5/ux4UAWLZSt5xTQCEGGKQZW4tVYVQWBoy3pijqRiAjZrqXtiYaqb&#10;oNJkAPSeB3EYroJB6kppSZkxsPpq3MQnHr+uGbUf6towi3iJITfrv9p/b903ODkmRaOJajs6pUF+&#10;I4uedAKCLlCviCVoq7sfoPqOamlkbY+o7ANZ1x1lvgaoJgqfVHOh5Vb5WppiaNRCE1D7hKffhqXv&#10;7y60ulZXGpgYVANc+JmrZVfr3v1ClmjnKbtfKGM7iygsJtkqC8MEIwp7MEmTOB5JpS0w/4MfbV/P&#10;nvkqXKXp5Jln+WbljyOYAweP0hkUNIjZc2D+jIPrlijmqTUFcHClUVeVeL3eQD1RAvUI0kO7fuya&#10;1qIb3RHRcIb2+54t77pwZwoDNB4gbr2BKg9QN9U8UneAAFIobewFkz1ygxJrO2fie43cXRoLiQBj&#10;s6GLbiTvqvOOcz9xF4mdcY3uCFyB2ybyrnzbv5PVuJbDAc7M+3vnzD3qIyQuHJ6QDnkM6lbgkOa6&#10;/cjec+bsuPjIauAUWiT2ERfkMSihlAk7JmNaUrFx2aVyOBcP6JBriL9gTwCPi5yxxywne+fKvCAs&#10;zuGvEhudFw8fWQq7OPedkPoQAIeqpsij/UzSSI1j6VZW99BxWo5yZBQ97+CAL4mxV0SD/oBSgaba&#10;D/CpuRxKLKcRRq3U3w6tO3u4ErCL0QB6VmLzdUs0w4i/FXBZ8ihNnQD6SZqtY5johzu3D3fEtj+T&#10;0C8RqLeifujsLZ+HtZb9Z5DeUxcVtoigELvE1Op5cmZHnQXxpuz01JuB6CliL8W1og7csepa92b3&#10;mWg1dbkFbXkv5wtKiidtPto6TyFPt1bWnb8De14nvkEsnKL9BdWI83iTbZJ0PavGWyMNZZyZvXJE&#10;vqtdOqA2P5GMsSGy1N0BoLTmnXozszRp8IssT9Zx5uVkFeZxlo9iO8txvIrCdAP7To6jNE7CJJu6&#10;cVbzWSpmtidt82fhqXbUNtUkgKT6Apn0HJoSBASlqzBJJ8DJ+A/VZ/NffR7o82Pp+q8+/7b6+BcM&#10;PNz8n+n0yHQvw4dzr1b7p/DJdwAAAP//AwBQSwMEFAAGAAgAAAAhANI0jSrgAAAACQEAAA8AAABk&#10;cnMvZG93bnJldi54bWxMj0FLw0AUhO+C/2F5grd2kyatGrMppainItgK4u01+5qEZndDdpuk/97n&#10;SY/DDDPf5OvJtGKg3jfOKojnEQiypdONrRR8Hl5njyB8QKuxdZYUXMnDuri9yTHTbrQfNOxDJbjE&#10;+gwV1CF0mZS+rMmgn7uOLHsn1xsMLPtK6h5HLjetXETRShpsLC/U2NG2pvK8vxgFbyOOmyR+GXbn&#10;0/b6fVi+f+1iUur+bto8gwg0hb8w/OIzOhTMdHQXq71oFfCRoGCWJg9PINhfruIUxJGDiyQFWeTy&#10;/4PiBwAA//8DAFBLAQItABQABgAIAAAAIQC2gziS/gAAAOEBAAATAAAAAAAAAAAAAAAAAAAAAABb&#10;Q29udGVudF9UeXBlc10ueG1sUEsBAi0AFAAGAAgAAAAhADj9If/WAAAAlAEAAAsAAAAAAAAAAAAA&#10;AAAALwEAAF9yZWxzLy5yZWxzUEsBAi0AFAAGAAgAAAAhANfSSCmKAwAAUgsAAA4AAAAAAAAAAAAA&#10;AAAALgIAAGRycy9lMm9Eb2MueG1sUEsBAi0AFAAGAAgAAAAhANI0jSrgAAAACQEAAA8AAAAAAAAA&#10;AAAAAAAA5AUAAGRycy9kb3ducmV2LnhtbFBLBQYAAAAABAAEAPMAAADxBgAAAAA=&#10;">
              <v:shapetype id="_x0000_t6" coordsize="21600,21600" o:spt="6" path="m,l,21600r21600,xe">
                <v:stroke joinstyle="miter"/>
                <v:path gradientshapeok="t" o:connecttype="custom" o:connectlocs="0,0;0,10800;0,21600;10800,21600;21600,21600;10800,10800" textboxrect="1800,12600,12600,19800"/>
              </v:shapetype>
              <v:shape id="Right Triangle 778565133"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xzAAAAOIAAAAPAAAAZHJzL2Rvd25yZXYueG1sRI9Ba8JA&#10;FITvhf6H5RW81Y2KiaSuUqWlovagtpTeHtlnEsy+TbNbk/57VxB6HGbmG2Y670wlztS40rKCQT8C&#10;QZxZXXKu4OPw+jgB4TyyxsoyKfgjB/PZ/d0UU21b3tF573MRIOxSVFB4X6dSuqwgg65va+LgHW1j&#10;0AfZ5FI32Aa4qeQwimJpsOSwUGBNy4Ky0/7XKPj54mWLw7f19vP9xSX8HS+Om7VSvYfu+QmEp87/&#10;h2/tlVaQJJNxPB6MRnC9FO6AnF0AAAD//wMAUEsBAi0AFAAGAAgAAAAhANvh9svuAAAAhQEAABMA&#10;AAAAAAAAAAAAAAAAAAAAAFtDb250ZW50X1R5cGVzXS54bWxQSwECLQAUAAYACAAAACEAWvQsW78A&#10;AAAVAQAACwAAAAAAAAAAAAAAAAAfAQAAX3JlbHMvLnJlbHNQSwECLQAUAAYACAAAACEA0/x1McwA&#10;AADiAAAADwAAAAAAAAAAAAAAAAAHAgAAZHJzL2Rvd25yZXYueG1sUEsFBgAAAAADAAMAtwAAAAAD&#10;A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6rzQAAAOIAAAAPAAAAZHJzL2Rvd25yZXYueG1sRI9Pa8JA&#10;FMTvhX6H5QlepG6a1hqjq4jQ0hak9c/B4yP7TNJm34bs1kQ/fbcg9DjMzG+Y2aIzlThR40rLCu6H&#10;EQjizOqScwX73fNdAsJ5ZI2VZVJwJgeL+e3NDFNtW97QaetzESDsUlRQeF+nUrqsIINuaGvi4B1t&#10;Y9AH2eRSN9gGuKlkHEVP0mDJYaHAmlYFZd/bH6PgfX/QB4tvl0F7XK8HTF8fny8Xpfq9bjkF4anz&#10;/+Fr+1UriCdxMkoeHsfwdyncATn/BQAA//8DAFBLAQItABQABgAIAAAAIQDb4fbL7gAAAIUBAAAT&#10;AAAAAAAAAAAAAAAAAAAAAABbQ29udGVudF9UeXBlc10ueG1sUEsBAi0AFAAGAAgAAAAhAFr0LFu/&#10;AAAAFQEAAAsAAAAAAAAAAAAAAAAAHwEAAF9yZWxzLy5yZWxzUEsBAi0AFAAGAAgAAAAhALn+vqvN&#10;AAAA4gAAAA8AAAAAAAAAAAAAAAAABwIAAGRycy9kb3ducmV2LnhtbFBLBQYAAAAAAwADALcAAAAB&#10;AwAAAAA=&#10;" adj="9943" fillcolor="#d8d8d8 [2732]" stroked="f" strokeweight="2pt"/>
              <w10:wrap anchorx="page"/>
            </v:group>
          </w:pict>
        </mc:Fallback>
      </mc:AlternateContent>
    </w:r>
    <w:r w:rsidRPr="000A630B">
      <w:rPr>
        <w:rFonts w:asciiTheme="minorHAnsi" w:hAnsiTheme="minorHAnsi" w:cstheme="minorHAnsi"/>
        <w:color w:val="70787B"/>
        <w:sz w:val="15"/>
        <w:szCs w:val="15"/>
      </w:rPr>
      <w:t xml:space="preserve"> </w:t>
    </w:r>
    <w:r w:rsidRPr="00806DDA">
      <w:rPr>
        <w:rFonts w:asciiTheme="minorHAnsi" w:hAnsiTheme="minorHAnsi" w:cstheme="minorHAnsi"/>
        <w:color w:val="70787B"/>
        <w:sz w:val="15"/>
        <w:szCs w:val="15"/>
      </w:rPr>
      <w:t>Teach Out and Transition Procedure | December 2023</w:t>
    </w:r>
    <w:r w:rsidRPr="000209B9">
      <w:rPr>
        <w:rFonts w:asciiTheme="minorHAnsi" w:hAnsiTheme="minorHAnsi" w:cstheme="minorHAnsi"/>
        <w:color w:val="70787B"/>
        <w:sz w:val="15"/>
        <w:szCs w:val="15"/>
      </w:rPr>
      <w:t xml:space="preserve"> </w:t>
    </w:r>
  </w:p>
  <w:p w14:paraId="67742C56" w14:textId="77777777" w:rsidR="00806DDA" w:rsidRPr="000209B9" w:rsidRDefault="00806DDA" w:rsidP="00806DD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806DDA">
      <w:rPr>
        <w:rFonts w:asciiTheme="minorHAnsi" w:hAnsiTheme="minorHAnsi" w:cstheme="minorHAnsi"/>
        <w:color w:val="70787B"/>
        <w:sz w:val="15"/>
        <w:szCs w:val="15"/>
      </w:rPr>
      <w:t>2023/0000422</w:t>
    </w:r>
  </w:p>
  <w:p w14:paraId="6EBABE2E" w14:textId="6ED5C285" w:rsidR="00806DDA" w:rsidRPr="00102B8A" w:rsidRDefault="00806DDA" w:rsidP="00806DDA">
    <w:pPr>
      <w:pStyle w:val="Footer"/>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60465"/>
      <w:docPartObj>
        <w:docPartGallery w:val="Page Numbers (Bottom of Page)"/>
        <w:docPartUnique/>
      </w:docPartObj>
    </w:sdtPr>
    <w:sdtEndPr>
      <w:rPr>
        <w:noProof/>
      </w:rPr>
    </w:sdtEndPr>
    <w:sdtContent>
      <w:p w14:paraId="7A9F4D36" w14:textId="77777777" w:rsidR="00806DDA" w:rsidRDefault="00806DDA" w:rsidP="000A630B">
        <w:pPr>
          <w:pStyle w:val="Footer"/>
          <w:jc w:val="right"/>
          <w:rPr>
            <w:rFonts w:asciiTheme="minorHAnsi" w:hAnsiTheme="minorHAnsi" w:cstheme="minorHAnsi"/>
            <w:color w:val="70787B"/>
            <w:sz w:val="15"/>
            <w:szCs w:val="15"/>
          </w:rPr>
        </w:pPr>
        <w:r w:rsidRPr="000A630B">
          <w:rPr>
            <w:rFonts w:asciiTheme="minorHAnsi" w:hAnsiTheme="minorHAnsi" w:cstheme="minorHAnsi"/>
            <w:color w:val="70787B"/>
            <w:sz w:val="15"/>
            <w:szCs w:val="15"/>
          </w:rPr>
          <w:t xml:space="preserve">Transition </w:t>
        </w:r>
        <w:r>
          <w:rPr>
            <w:rFonts w:asciiTheme="minorHAnsi" w:hAnsiTheme="minorHAnsi" w:cstheme="minorHAnsi"/>
            <w:color w:val="70787B"/>
            <w:sz w:val="15"/>
            <w:szCs w:val="15"/>
          </w:rPr>
          <w:t>or</w:t>
        </w:r>
        <w:r w:rsidRPr="000A630B">
          <w:rPr>
            <w:rFonts w:asciiTheme="minorHAnsi" w:hAnsiTheme="minorHAnsi" w:cstheme="minorHAnsi"/>
            <w:color w:val="70787B"/>
            <w:sz w:val="15"/>
            <w:szCs w:val="15"/>
          </w:rPr>
          <w:t xml:space="preserve"> Teach Out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w:t>
        </w:r>
        <w:r w:rsidRPr="00102B8A">
          <w:rPr>
            <w:rFonts w:asciiTheme="minorHAnsi" w:hAnsiTheme="minorHAnsi" w:cstheme="minorHAnsi"/>
            <w:color w:val="70787B"/>
            <w:sz w:val="15"/>
            <w:szCs w:val="15"/>
          </w:rPr>
          <w:t xml:space="preserve"> 2</w:t>
        </w:r>
        <w:r>
          <w:rPr>
            <w:rFonts w:asciiTheme="minorHAnsi" w:hAnsiTheme="minorHAnsi" w:cstheme="minorHAnsi"/>
            <w:color w:val="70787B"/>
            <w:sz w:val="15"/>
            <w:szCs w:val="15"/>
          </w:rPr>
          <w:t>023</w:t>
        </w:r>
        <w:r w:rsidRPr="00102B8A">
          <w:rPr>
            <w:rFonts w:asciiTheme="minorHAnsi" w:hAnsiTheme="minorHAnsi" w:cstheme="minorHAnsi"/>
            <w:color w:val="70787B"/>
            <w:sz w:val="15"/>
            <w:szCs w:val="15"/>
          </w:rPr>
          <w:t xml:space="preserve"> </w:t>
        </w:r>
      </w:p>
      <w:p w14:paraId="4C620907" w14:textId="77777777" w:rsidR="00806DDA" w:rsidRPr="00102B8A" w:rsidRDefault="00806DDA"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8E7654">
          <w:rPr>
            <w:rFonts w:asciiTheme="minorHAnsi" w:hAnsiTheme="minorHAnsi" w:cstheme="minorHAnsi"/>
            <w:color w:val="70787B"/>
            <w:sz w:val="15"/>
            <w:szCs w:val="15"/>
          </w:rPr>
          <w:t>2023/0000422</w:t>
        </w:r>
      </w:p>
      <w:p w14:paraId="6801277C" w14:textId="77777777" w:rsidR="00806DDA" w:rsidRPr="00102B8A" w:rsidRDefault="00806DDA"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6884" w14:textId="77777777" w:rsidR="00806DDA" w:rsidRPr="007C1483" w:rsidRDefault="00806DDA"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2C237FAC" w14:textId="77777777" w:rsidR="00806DDA" w:rsidRDefault="00806DDA" w:rsidP="000A630B">
    <w:pPr>
      <w:pStyle w:val="Footer"/>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75648" behindDoc="0" locked="0" layoutInCell="1" allowOverlap="1" wp14:anchorId="1292653F" wp14:editId="1542E8EC">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0EAAE" id="Group 8" o:spid="_x0000_s1026" style="position:absolute;margin-left:0;margin-top:-218.95pt;width:280.7pt;height:280.65pt;z-index:251675648;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nexAAAANoAAAAPAAAAZHJzL2Rvd25yZXYueG1sRI9Pa8JA&#10;FMTvgt9heUJvutGDtdFVVFoq1h78h3h7ZJ9JMPs2zW5N+u3dguBxmJnfMJNZYwpxo8rllhX0exEI&#10;4sTqnFMFh/1HdwTCeWSNhWVS8EcOZtN2a4KxtjVv6bbzqQgQdjEqyLwvYyldkpFB17MlcfAutjLo&#10;g6xSqSusA9wUchBFQ2kw57CQYUnLjJLr7tco+DnxssbB53pz/H53r3weLi5fa6VeOs18DMJT45/h&#10;R3ulFbzB/5VwA+T0DgAA//8DAFBLAQItABQABgAIAAAAIQDb4fbL7gAAAIUBAAATAAAAAAAAAAAA&#10;AAAAAAAAAABbQ29udGVudF9UeXBlc10ueG1sUEsBAi0AFAAGAAgAAAAhAFr0LFu/AAAAFQEAAAsA&#10;AAAAAAAAAAAAAAAAHwEAAF9yZWxzLy5yZWxzUEsBAi0AFAAGAAgAAAAhALJTed7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mKxQAAANsAAAAPAAAAZHJzL2Rvd25yZXYueG1sRI9Pa8JA&#10;EMXvQr/DMoVeRDf2IJK6ihQqbUH8Uw8eh+yYRLOzIbs10U/vHARvM7w37/1mOu9cpS7UhNKzgdEw&#10;AUWceVtybmD/9zWYgAoR2WLlmQxcKcB89tKbYmp9y1u67GKuJIRDigaKGOtU65AV5DAMfU0s2tE3&#10;DqOsTa5tg62Eu0q/J8lYOyxZGgqs6bOg7Lz7dwZ+9wd78Phz67fH1arPdFpvljdj3l67xQeoSF18&#10;mh/X31bwhV5+kQH07A4AAP//AwBQSwECLQAUAAYACAAAACEA2+H2y+4AAACFAQAAEwAAAAAAAAAA&#10;AAAAAAAAAAAAW0NvbnRlbnRfVHlwZXNdLnhtbFBLAQItABQABgAIAAAAIQBa9CxbvwAAABUBAAAL&#10;AAAAAAAAAAAAAAAAAB8BAABfcmVscy8ucmVsc1BLAQItABQABgAIAAAAIQDm6SmKxQAAANsAAAAP&#10;AAAAAAAAAAAAAAAAAAcCAABkcnMvZG93bnJldi54bWxQSwUGAAAAAAMAAwC3AAAA+QIAAAAA&#10;" adj="9943" fillcolor="#d8d8d8 [2732]" stroked="f" strokeweight="2pt"/>
              <w10:wrap anchorx="page"/>
            </v:group>
          </w:pict>
        </mc:Fallback>
      </mc:AlternateContent>
    </w:r>
    <w:r w:rsidRPr="000A630B">
      <w:rPr>
        <w:rFonts w:asciiTheme="minorHAnsi" w:hAnsiTheme="minorHAnsi" w:cstheme="minorHAnsi"/>
        <w:color w:val="70787B"/>
        <w:sz w:val="15"/>
        <w:szCs w:val="15"/>
      </w:rPr>
      <w:t xml:space="preserve"> Transition </w:t>
    </w:r>
    <w:r>
      <w:rPr>
        <w:rFonts w:asciiTheme="minorHAnsi" w:hAnsiTheme="minorHAnsi" w:cstheme="minorHAnsi"/>
        <w:color w:val="70787B"/>
        <w:sz w:val="15"/>
        <w:szCs w:val="15"/>
      </w:rPr>
      <w:t>or</w:t>
    </w:r>
    <w:r w:rsidRPr="000A630B">
      <w:rPr>
        <w:rFonts w:asciiTheme="minorHAnsi" w:hAnsiTheme="minorHAnsi" w:cstheme="minorHAnsi"/>
        <w:color w:val="70787B"/>
        <w:sz w:val="15"/>
        <w:szCs w:val="15"/>
      </w:rPr>
      <w:t xml:space="preserve"> Teach Out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w:t>
    </w:r>
    <w:r w:rsidRPr="00102B8A">
      <w:rPr>
        <w:rFonts w:asciiTheme="minorHAnsi" w:hAnsiTheme="minorHAnsi" w:cstheme="minorHAnsi"/>
        <w:color w:val="70787B"/>
        <w:sz w:val="15"/>
        <w:szCs w:val="15"/>
      </w:rPr>
      <w:t xml:space="preserve"> 2</w:t>
    </w:r>
    <w:r>
      <w:rPr>
        <w:rFonts w:asciiTheme="minorHAnsi" w:hAnsiTheme="minorHAnsi" w:cstheme="minorHAnsi"/>
        <w:color w:val="70787B"/>
        <w:sz w:val="15"/>
        <w:szCs w:val="15"/>
      </w:rPr>
      <w:t>023</w:t>
    </w:r>
    <w:r w:rsidRPr="00102B8A">
      <w:rPr>
        <w:rFonts w:asciiTheme="minorHAnsi" w:hAnsiTheme="minorHAnsi" w:cstheme="minorHAnsi"/>
        <w:color w:val="70787B"/>
        <w:sz w:val="15"/>
        <w:szCs w:val="15"/>
      </w:rPr>
      <w:t xml:space="preserve"> </w:t>
    </w:r>
  </w:p>
  <w:p w14:paraId="68E5BCBA" w14:textId="77777777" w:rsidR="00806DDA" w:rsidRPr="00102B8A" w:rsidRDefault="00806DDA" w:rsidP="008E765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8E7654">
      <w:rPr>
        <w:rFonts w:asciiTheme="minorHAnsi" w:hAnsiTheme="minorHAnsi" w:cstheme="minorHAnsi"/>
        <w:color w:val="70787B"/>
        <w:sz w:val="15"/>
        <w:szCs w:val="15"/>
      </w:rPr>
      <w:t>2023/0000422</w:t>
    </w:r>
  </w:p>
  <w:p w14:paraId="50862434" w14:textId="77777777" w:rsidR="00806DDA" w:rsidRPr="00102B8A" w:rsidRDefault="00806DDA"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5AEF9860" w14:textId="77777777" w:rsidR="001823A7" w:rsidRDefault="001823A7" w:rsidP="001823A7">
    <w:pPr>
      <w:spacing w:after="0" w:line="240" w:lineRule="auto"/>
      <w:jc w:val="right"/>
      <w:rPr>
        <w:rFonts w:asciiTheme="minorHAnsi" w:hAnsiTheme="minorHAnsi" w:cstheme="minorHAnsi"/>
        <w:color w:val="70787B"/>
        <w:sz w:val="15"/>
        <w:szCs w:val="15"/>
      </w:rPr>
    </w:pPr>
    <w:r w:rsidRPr="00806DDA">
      <w:rPr>
        <w:rFonts w:asciiTheme="minorHAnsi" w:hAnsiTheme="minorHAnsi" w:cstheme="minorHAnsi"/>
        <w:color w:val="70787B"/>
        <w:sz w:val="15"/>
        <w:szCs w:val="15"/>
      </w:rPr>
      <w:t>Teach Out and Transition Procedure | December 2023</w:t>
    </w:r>
    <w:r w:rsidRPr="000209B9">
      <w:rPr>
        <w:rFonts w:asciiTheme="minorHAnsi" w:hAnsiTheme="minorHAnsi" w:cstheme="minorHAnsi"/>
        <w:color w:val="70787B"/>
        <w:sz w:val="15"/>
        <w:szCs w:val="15"/>
      </w:rPr>
      <w:t xml:space="preserve"> </w:t>
    </w:r>
  </w:p>
  <w:p w14:paraId="34B57517" w14:textId="77777777" w:rsidR="001823A7" w:rsidRPr="000209B9" w:rsidRDefault="001823A7" w:rsidP="001823A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806DDA">
      <w:rPr>
        <w:rFonts w:asciiTheme="minorHAnsi" w:hAnsiTheme="minorHAnsi" w:cstheme="minorHAnsi"/>
        <w:color w:val="70787B"/>
        <w:sz w:val="15"/>
        <w:szCs w:val="15"/>
      </w:rPr>
      <w:t>2023/0000422</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322BCB48" w:rsidR="00E77B43" w:rsidRDefault="00806DDA" w:rsidP="00E77B43">
    <w:pPr>
      <w:spacing w:after="0" w:line="240" w:lineRule="auto"/>
      <w:jc w:val="right"/>
      <w:rPr>
        <w:rFonts w:asciiTheme="minorHAnsi" w:hAnsiTheme="minorHAnsi" w:cstheme="minorHAnsi"/>
        <w:color w:val="70787B"/>
        <w:sz w:val="15"/>
        <w:szCs w:val="15"/>
      </w:rPr>
    </w:pPr>
    <w:r w:rsidRPr="00806DDA">
      <w:rPr>
        <w:rFonts w:asciiTheme="minorHAnsi" w:hAnsiTheme="minorHAnsi" w:cstheme="minorHAnsi"/>
        <w:color w:val="70787B"/>
        <w:sz w:val="15"/>
        <w:szCs w:val="15"/>
      </w:rPr>
      <w:t>Teach Out and Transition Procedure</w:t>
    </w:r>
    <w:r w:rsidR="00E77B43" w:rsidRPr="00806DDA">
      <w:rPr>
        <w:rFonts w:asciiTheme="minorHAnsi" w:hAnsiTheme="minorHAnsi" w:cstheme="minorHAnsi"/>
        <w:color w:val="70787B"/>
        <w:sz w:val="15"/>
        <w:szCs w:val="15"/>
      </w:rPr>
      <w:t xml:space="preserve"> | </w:t>
    </w:r>
    <w:r w:rsidRPr="00806DDA">
      <w:rPr>
        <w:rFonts w:asciiTheme="minorHAnsi" w:hAnsiTheme="minorHAnsi" w:cstheme="minorHAnsi"/>
        <w:color w:val="70787B"/>
        <w:sz w:val="15"/>
        <w:szCs w:val="15"/>
      </w:rPr>
      <w:t>December 2023</w:t>
    </w:r>
    <w:r w:rsidR="00E77B43" w:rsidRPr="000209B9">
      <w:rPr>
        <w:rFonts w:asciiTheme="minorHAnsi" w:hAnsiTheme="minorHAnsi" w:cstheme="minorHAnsi"/>
        <w:color w:val="70787B"/>
        <w:sz w:val="15"/>
        <w:szCs w:val="15"/>
      </w:rPr>
      <w:t xml:space="preserve"> </w:t>
    </w:r>
  </w:p>
  <w:p w14:paraId="69EED422" w14:textId="4147ED10"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06DDA" w:rsidRPr="00806DDA">
      <w:rPr>
        <w:rFonts w:asciiTheme="minorHAnsi" w:hAnsiTheme="minorHAnsi" w:cstheme="minorHAnsi"/>
        <w:color w:val="70787B"/>
        <w:sz w:val="15"/>
        <w:szCs w:val="15"/>
      </w:rPr>
      <w:t>2023/0000422</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8FF8" w14:textId="77777777" w:rsidR="00C50B7E" w:rsidRDefault="00C50B7E" w:rsidP="00575CC3">
      <w:pPr>
        <w:spacing w:after="0" w:line="240" w:lineRule="auto"/>
      </w:pPr>
      <w:r>
        <w:separator/>
      </w:r>
    </w:p>
  </w:footnote>
  <w:footnote w:type="continuationSeparator" w:id="0">
    <w:p w14:paraId="51C8AC86" w14:textId="77777777" w:rsidR="00C50B7E" w:rsidRDefault="00C50B7E"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5C61" w14:textId="57C38D34" w:rsidR="00806DDA" w:rsidRPr="00F7147F" w:rsidRDefault="004F4C36"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86912" behindDoc="1" locked="0" layoutInCell="1" allowOverlap="1" wp14:anchorId="45A64164" wp14:editId="162778CA">
          <wp:simplePos x="0" y="0"/>
          <wp:positionH relativeFrom="margin">
            <wp:posOffset>-172085</wp:posOffset>
          </wp:positionH>
          <wp:positionV relativeFrom="page">
            <wp:posOffset>371475</wp:posOffset>
          </wp:positionV>
          <wp:extent cx="2047875" cy="434975"/>
          <wp:effectExtent l="0" t="0" r="9525" b="3175"/>
          <wp:wrapTight wrapText="bothSides">
            <wp:wrapPolygon edited="0">
              <wp:start x="0" y="0"/>
              <wp:lineTo x="0" y="20812"/>
              <wp:lineTo x="21500" y="20812"/>
              <wp:lineTo x="21500" y="0"/>
              <wp:lineTo x="0" y="0"/>
            </wp:wrapPolygon>
          </wp:wrapTight>
          <wp:docPr id="938787648" name="Picture 9387876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806DDA"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93D7" w14:textId="77777777" w:rsidR="00015F44" w:rsidRDefault="00D37112" w:rsidP="00D37112">
    <w:pPr>
      <w:pStyle w:val="Header"/>
      <w:tabs>
        <w:tab w:val="left" w:pos="4125"/>
        <w:tab w:val="right" w:pos="6816"/>
      </w:tabs>
      <w:ind w:right="-348"/>
      <w:jc w:val="right"/>
      <w:rPr>
        <w:rFonts w:cs="Arial"/>
        <w:b/>
        <w:bCs/>
        <w:color w:val="FFFFFF" w:themeColor="background1"/>
        <w:sz w:val="52"/>
        <w:szCs w:val="52"/>
      </w:rPr>
    </w:pPr>
    <w:r w:rsidRPr="00237AB3">
      <w:rPr>
        <w:rFonts w:cs="Arial"/>
        <w:b/>
        <w:bCs/>
        <w:noProof/>
        <w:color w:val="E30918"/>
        <w:sz w:val="52"/>
        <w:szCs w:val="52"/>
      </w:rPr>
      <mc:AlternateContent>
        <mc:Choice Requires="wps">
          <w:drawing>
            <wp:anchor distT="0" distB="0" distL="114300" distR="114300" simplePos="0" relativeHeight="251682816" behindDoc="1" locked="0" layoutInCell="1" allowOverlap="1" wp14:anchorId="2060F1C5" wp14:editId="5F436298">
              <wp:simplePos x="0" y="0"/>
              <wp:positionH relativeFrom="column">
                <wp:posOffset>2971165</wp:posOffset>
              </wp:positionH>
              <wp:positionV relativeFrom="page">
                <wp:posOffset>-685800</wp:posOffset>
              </wp:positionV>
              <wp:extent cx="5719445" cy="2800985"/>
              <wp:effectExtent l="0" t="0" r="0" b="0"/>
              <wp:wrapNone/>
              <wp:docPr id="969781718"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7BAD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3.95pt;margin-top:-54pt;width:450.35pt;height:220.55pt;rotation:180;z-index:-251633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3zBfJ+QAAAANAQAADwAAAGRycy9kb3ducmV2LnhtbEyPy07DMBBF90j8gzVI&#10;bKrWeVQhhEwqhFRV7Gihi+6msYkjYjvEbpr+Pe6qLEdzdO+55WrSHRvl4FprEOJFBEya2orWNAhf&#10;n+t5Dsx5MoI6ayTCRTpYVfd3JRXCns1WjjvfsBBiXEEIyvu+4NzVSmpyC9tLE37fdtDkwzk0XAx0&#10;DuG640kUZVxTa0KDol6+KVn/7E4aYaYum/Wy3W7yWZ0k7+P+9+MQE+Ljw/T6AszLyd9guOoHdaiC&#10;09GejHCsQ1hmT88BRZjHUR5WXZE0yzNgR4Q0TWPgVcn/r6j+AAAA//8DAFBLAQItABQABgAIAAAA&#10;IQC2gziS/gAAAOEBAAATAAAAAAAAAAAAAAAAAAAAAABbQ29udGVudF9UeXBlc10ueG1sUEsBAi0A&#10;FAAGAAgAAAAhADj9If/WAAAAlAEAAAsAAAAAAAAAAAAAAAAALwEAAF9yZWxzLy5yZWxzUEsBAi0A&#10;FAAGAAgAAAAhAB2UZdKKAgAAcwUAAA4AAAAAAAAAAAAAAAAALgIAAGRycy9lMm9Eb2MueG1sUEsB&#10;Ai0AFAAGAAgAAAAhAN8wXyfkAAAADQEAAA8AAAAAAAAAAAAAAAAA5AQAAGRycy9kb3ducmV2Lnht&#10;bFBLBQYAAAAABAAEAPMAAAD1BQAAAAA=&#10;" fillcolor="#f40609" stroked="f" strokeweight="2pt">
              <w10:wrap anchory="page"/>
            </v:shape>
          </w:pict>
        </mc:Fallback>
      </mc:AlternateContent>
    </w:r>
    <w:r>
      <w:rPr>
        <w:rFonts w:cs="Arial"/>
        <w:b/>
        <w:bCs/>
        <w:color w:val="FFFFFF" w:themeColor="background1"/>
        <w:sz w:val="52"/>
        <w:szCs w:val="52"/>
      </w:rPr>
      <w:tab/>
    </w:r>
    <w:r>
      <w:rPr>
        <w:rFonts w:cs="Arial"/>
        <w:b/>
        <w:bCs/>
        <w:color w:val="FFFFFF" w:themeColor="background1"/>
        <w:sz w:val="52"/>
        <w:szCs w:val="52"/>
      </w:rPr>
      <w:tab/>
    </w:r>
    <w:r>
      <w:rPr>
        <w:rFonts w:cs="Arial"/>
        <w:b/>
        <w:bCs/>
        <w:color w:val="FFFFFF" w:themeColor="background1"/>
        <w:sz w:val="52"/>
        <w:szCs w:val="52"/>
      </w:rPr>
      <w:tab/>
    </w:r>
    <w:r w:rsidR="004F4C36" w:rsidRPr="00237AB3">
      <w:rPr>
        <w:rFonts w:cs="Arial"/>
        <w:b/>
        <w:bCs/>
        <w:noProof/>
        <w:color w:val="E30918"/>
        <w:sz w:val="52"/>
        <w:szCs w:val="52"/>
      </w:rPr>
      <w:drawing>
        <wp:anchor distT="0" distB="0" distL="114300" distR="114300" simplePos="0" relativeHeight="251684864" behindDoc="1" locked="0" layoutInCell="1" allowOverlap="1" wp14:anchorId="7A058851" wp14:editId="6E3C0EE4">
          <wp:simplePos x="0" y="0"/>
          <wp:positionH relativeFrom="margin">
            <wp:align>left</wp:align>
          </wp:positionH>
          <wp:positionV relativeFrom="page">
            <wp:posOffset>383540</wp:posOffset>
          </wp:positionV>
          <wp:extent cx="2047875" cy="434975"/>
          <wp:effectExtent l="0" t="0" r="9525" b="3175"/>
          <wp:wrapTight wrapText="bothSides">
            <wp:wrapPolygon edited="0">
              <wp:start x="0" y="0"/>
              <wp:lineTo x="0" y="20812"/>
              <wp:lineTo x="21500" y="20812"/>
              <wp:lineTo x="21500" y="0"/>
              <wp:lineTo x="0" y="0"/>
            </wp:wrapPolygon>
          </wp:wrapTight>
          <wp:docPr id="2080261605" name="Picture 2080261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350B7C" w:rsidRPr="00237AB3">
      <w:rPr>
        <w:rFonts w:cs="Arial"/>
        <w:b/>
        <w:bCs/>
        <w:color w:val="FFFFFF" w:themeColor="background1"/>
        <w:sz w:val="52"/>
        <w:szCs w:val="52"/>
      </w:rPr>
      <w:t>Procedure</w:t>
    </w:r>
  </w:p>
  <w:p w14:paraId="077B86DC" w14:textId="77777777" w:rsidR="00015F44" w:rsidRDefault="00015F44" w:rsidP="00015F44">
    <w:pPr>
      <w:pStyle w:val="Header"/>
      <w:tabs>
        <w:tab w:val="left" w:pos="4125"/>
        <w:tab w:val="right" w:pos="6816"/>
      </w:tabs>
      <w:ind w:right="-348"/>
      <w:jc w:val="both"/>
      <w:rPr>
        <w:rFonts w:ascii="Arial" w:hAnsi="Arial" w:cs="Arial"/>
        <w:b/>
        <w:bCs/>
        <w:color w:val="BFBFBF" w:themeColor="background1" w:themeShade="BF"/>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DC58" w14:textId="6D2758F7" w:rsidR="00806DDA" w:rsidRPr="00F7147F" w:rsidRDefault="00806DDA"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72576" behindDoc="1" locked="0" layoutInCell="1" allowOverlap="1" wp14:anchorId="52F88BB9" wp14:editId="2415205C">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595583752" name="Picture 59558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Pr="00F7147F">
      <w:rPr>
        <w:rFonts w:ascii="Arial" w:hAnsi="Arial" w:cs="Arial"/>
        <w:b/>
        <w:color w:val="FFFFFF" w:themeColor="background1"/>
        <w:sz w:val="52"/>
        <w:szCs w:val="5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7481" w14:textId="77777777" w:rsidR="00806DDA" w:rsidRDefault="00806DDA" w:rsidP="007C1483">
    <w:pPr>
      <w:pStyle w:val="Header"/>
      <w:ind w:right="-348"/>
      <w:jc w:val="right"/>
    </w:pPr>
    <w:r w:rsidRPr="007C1483">
      <w:rPr>
        <w:noProof/>
      </w:rPr>
      <mc:AlternateContent>
        <mc:Choice Requires="wps">
          <w:drawing>
            <wp:anchor distT="0" distB="0" distL="114300" distR="114300" simplePos="0" relativeHeight="251674624" behindDoc="1" locked="0" layoutInCell="1" allowOverlap="1" wp14:anchorId="59872F54" wp14:editId="322F956A">
              <wp:simplePos x="0" y="0"/>
              <wp:positionH relativeFrom="column">
                <wp:posOffset>3069590</wp:posOffset>
              </wp:positionH>
              <wp:positionV relativeFrom="paragraph">
                <wp:posOffset>-708660</wp:posOffset>
              </wp:positionV>
              <wp:extent cx="5048250" cy="2511425"/>
              <wp:effectExtent l="0" t="0" r="0" b="3175"/>
              <wp:wrapNone/>
              <wp:docPr id="5" name="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0AF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26" type="#_x0000_t5" style="position:absolute;margin-left:241.7pt;margin-top:-55.8pt;width:397.5pt;height:197.7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eKrlkOEAAAANAQAADwAAAGRycy9kb3ducmV2LnhtbEyPy07DMBBF&#10;90j8gzVIbFDrPKoSQiZVVQk2rCh8gBsPSVR7HGK3Cf163BUsZ+bozrnVZrZGnGn0vWOEdJmAIG6c&#10;7rlF+Px4WRQgfFCslXFMCD/kYVPf3lSq1G7idzrvQytiCPtSIXQhDKWUvunIKr90A3G8fbnRqhDH&#10;sZV6VFMMt0ZmSbKWVvUcP3RqoF1HzXF/sgjGcLq7TP33QHZr8uPrw9slIcT7u3n7DCLQHP5guOpH&#10;daij08GdWHthEFZFvooowiJN0zWIK5I9FnF3QMiK/AlkXcn/LepfAAAA//8DAFBLAQItABQABgAI&#10;AAAAIQC2gziS/gAAAOEBAAATAAAAAAAAAAAAAAAAAAAAAABbQ29udGVudF9UeXBlc10ueG1sUEsB&#10;Ai0AFAAGAAgAAAAhADj9If/WAAAAlAEAAAsAAAAAAAAAAAAAAAAALwEAAF9yZWxzLy5yZWxzUEsB&#10;Ai0AFAAGAAgAAAAhAADWde+QAgAAkQUAAA4AAAAAAAAAAAAAAAAALgIAAGRycy9lMm9Eb2MueG1s&#10;UEsBAi0AFAAGAAgAAAAhAHiq5ZDhAAAADQEAAA8AAAAAAAAAAAAAAAAA6gQAAGRycy9kb3ducmV2&#10;LnhtbFBLBQYAAAAABAAEAPMAAAD4BQAAAAA=&#10;" fillcolor="#d8d8d8 [2732]" stroked="f" strokeweight="2pt"/>
          </w:pict>
        </mc:Fallback>
      </mc:AlternateContent>
    </w:r>
    <w:r w:rsidRPr="007C1483">
      <w:rPr>
        <w:rFonts w:ascii="Arial" w:hAnsi="Arial" w:cs="Arial"/>
        <w:b/>
        <w:color w:val="E30918"/>
        <w:sz w:val="52"/>
        <w:szCs w:val="52"/>
      </w:rPr>
      <w:t>Procedure</w:t>
    </w:r>
    <w:r w:rsidRPr="007C1483">
      <w:t xml:space="preserve"> </w:t>
    </w:r>
    <w:r w:rsidRPr="007C1483">
      <w:rPr>
        <w:noProof/>
      </w:rPr>
      <w:drawing>
        <wp:anchor distT="0" distB="0" distL="114300" distR="114300" simplePos="0" relativeHeight="251673600" behindDoc="1" locked="0" layoutInCell="1" allowOverlap="1" wp14:anchorId="6683CC90" wp14:editId="694B8DF8">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533313004" name="Picture 53331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3D855739" w:rsidR="00E77B43" w:rsidRPr="000D3B39" w:rsidRDefault="00751170" w:rsidP="007E79F9">
    <w:pPr>
      <w:pStyle w:val="Header"/>
      <w:jc w:val="center"/>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01D4030A">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00B53" w:rsidRPr="00237AB3">
      <w:rPr>
        <w:rFonts w:cs="Arial"/>
        <w:b/>
        <w:bCs/>
        <w:color w:val="FFFFFF" w:themeColor="background1"/>
        <w:sz w:val="52"/>
        <w:szCs w:val="52"/>
      </w:rPr>
      <w:t>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4A450C"/>
    <w:multiLevelType w:val="hybridMultilevel"/>
    <w:tmpl w:val="D89452C2"/>
    <w:lvl w:ilvl="0" w:tplc="7A2C7194">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8A0EE6"/>
    <w:multiLevelType w:val="hybridMultilevel"/>
    <w:tmpl w:val="F252C4E4"/>
    <w:lvl w:ilvl="0" w:tplc="7A2C7194">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F66983"/>
    <w:multiLevelType w:val="hybridMultilevel"/>
    <w:tmpl w:val="DA9AE9BC"/>
    <w:lvl w:ilvl="0" w:tplc="DF6270D0">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E87CF2"/>
    <w:multiLevelType w:val="hybridMultilevel"/>
    <w:tmpl w:val="ECF8A388"/>
    <w:lvl w:ilvl="0" w:tplc="7A2C7194">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89368F"/>
    <w:multiLevelType w:val="hybridMultilevel"/>
    <w:tmpl w:val="A49EAC58"/>
    <w:lvl w:ilvl="0" w:tplc="7A2C7194">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34A2A32"/>
    <w:multiLevelType w:val="hybridMultilevel"/>
    <w:tmpl w:val="840A11C8"/>
    <w:lvl w:ilvl="0" w:tplc="7A2C7194">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9"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B1A7ABC"/>
    <w:multiLevelType w:val="hybridMultilevel"/>
    <w:tmpl w:val="E0E8DF78"/>
    <w:lvl w:ilvl="0" w:tplc="7A2C7194">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42"/>
  </w:num>
  <w:num w:numId="3" w16cid:durableId="1304701530">
    <w:abstractNumId w:val="35"/>
  </w:num>
  <w:num w:numId="4" w16cid:durableId="352269857">
    <w:abstractNumId w:val="29"/>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0"/>
  </w:num>
  <w:num w:numId="25" w16cid:durableId="1126041565">
    <w:abstractNumId w:val="34"/>
  </w:num>
  <w:num w:numId="26" w16cid:durableId="1098252483">
    <w:abstractNumId w:val="20"/>
  </w:num>
  <w:num w:numId="27" w16cid:durableId="1930380739">
    <w:abstractNumId w:val="13"/>
  </w:num>
  <w:num w:numId="28" w16cid:durableId="871302621">
    <w:abstractNumId w:val="14"/>
  </w:num>
  <w:num w:numId="29" w16cid:durableId="991954021">
    <w:abstractNumId w:val="40"/>
  </w:num>
  <w:num w:numId="30" w16cid:durableId="218833091">
    <w:abstractNumId w:val="16"/>
  </w:num>
  <w:num w:numId="31" w16cid:durableId="66726597">
    <w:abstractNumId w:val="33"/>
  </w:num>
  <w:num w:numId="32" w16cid:durableId="1786579993">
    <w:abstractNumId w:val="39"/>
  </w:num>
  <w:num w:numId="33" w16cid:durableId="1071662295">
    <w:abstractNumId w:val="22"/>
  </w:num>
  <w:num w:numId="34" w16cid:durableId="944117931">
    <w:abstractNumId w:val="21"/>
  </w:num>
  <w:num w:numId="35" w16cid:durableId="754860717">
    <w:abstractNumId w:val="19"/>
  </w:num>
  <w:num w:numId="36" w16cid:durableId="177352507">
    <w:abstractNumId w:val="23"/>
  </w:num>
  <w:num w:numId="37" w16cid:durableId="1567565531">
    <w:abstractNumId w:val="31"/>
  </w:num>
  <w:num w:numId="38" w16cid:durableId="597063477">
    <w:abstractNumId w:val="41"/>
  </w:num>
  <w:num w:numId="39" w16cid:durableId="834105800">
    <w:abstractNumId w:val="37"/>
  </w:num>
  <w:num w:numId="40" w16cid:durableId="2097167305">
    <w:abstractNumId w:val="32"/>
  </w:num>
  <w:num w:numId="41" w16cid:durableId="385446045">
    <w:abstractNumId w:val="18"/>
  </w:num>
  <w:num w:numId="42" w16cid:durableId="225918893">
    <w:abstractNumId w:val="15"/>
  </w:num>
  <w:num w:numId="43" w16cid:durableId="1649003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5F44"/>
    <w:rsid w:val="00022DE4"/>
    <w:rsid w:val="00034496"/>
    <w:rsid w:val="00040160"/>
    <w:rsid w:val="00047EA7"/>
    <w:rsid w:val="00052590"/>
    <w:rsid w:val="000531A7"/>
    <w:rsid w:val="0006473D"/>
    <w:rsid w:val="000652A0"/>
    <w:rsid w:val="00067836"/>
    <w:rsid w:val="000728E0"/>
    <w:rsid w:val="000760A1"/>
    <w:rsid w:val="00083FFC"/>
    <w:rsid w:val="000904A2"/>
    <w:rsid w:val="00091E5E"/>
    <w:rsid w:val="000A119D"/>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23A7"/>
    <w:rsid w:val="001868B0"/>
    <w:rsid w:val="001968C3"/>
    <w:rsid w:val="001A124A"/>
    <w:rsid w:val="001A64A0"/>
    <w:rsid w:val="001E1ED9"/>
    <w:rsid w:val="001F271E"/>
    <w:rsid w:val="001F2B57"/>
    <w:rsid w:val="001F636F"/>
    <w:rsid w:val="00201B8F"/>
    <w:rsid w:val="00207FC2"/>
    <w:rsid w:val="0022121F"/>
    <w:rsid w:val="00221E52"/>
    <w:rsid w:val="00221FEC"/>
    <w:rsid w:val="002257C2"/>
    <w:rsid w:val="00225E04"/>
    <w:rsid w:val="00237AB3"/>
    <w:rsid w:val="00237C78"/>
    <w:rsid w:val="002439DB"/>
    <w:rsid w:val="00257D7C"/>
    <w:rsid w:val="00261945"/>
    <w:rsid w:val="002622A9"/>
    <w:rsid w:val="002665AF"/>
    <w:rsid w:val="00267CCA"/>
    <w:rsid w:val="00274364"/>
    <w:rsid w:val="00274580"/>
    <w:rsid w:val="00291234"/>
    <w:rsid w:val="002A3E0E"/>
    <w:rsid w:val="002B29ED"/>
    <w:rsid w:val="002B2DAF"/>
    <w:rsid w:val="002B35C9"/>
    <w:rsid w:val="002B6908"/>
    <w:rsid w:val="002C1FB6"/>
    <w:rsid w:val="002D233F"/>
    <w:rsid w:val="002E6FC9"/>
    <w:rsid w:val="002F0131"/>
    <w:rsid w:val="002F186F"/>
    <w:rsid w:val="002F3C8B"/>
    <w:rsid w:val="0030556F"/>
    <w:rsid w:val="0031180B"/>
    <w:rsid w:val="0031333E"/>
    <w:rsid w:val="00317192"/>
    <w:rsid w:val="00324351"/>
    <w:rsid w:val="00330E67"/>
    <w:rsid w:val="00334090"/>
    <w:rsid w:val="00334B56"/>
    <w:rsid w:val="00343D34"/>
    <w:rsid w:val="00350B7C"/>
    <w:rsid w:val="0035677A"/>
    <w:rsid w:val="00360D4B"/>
    <w:rsid w:val="003654D8"/>
    <w:rsid w:val="00372624"/>
    <w:rsid w:val="00384D02"/>
    <w:rsid w:val="00395AD8"/>
    <w:rsid w:val="003F7778"/>
    <w:rsid w:val="0040296F"/>
    <w:rsid w:val="004063AB"/>
    <w:rsid w:val="00410ED5"/>
    <w:rsid w:val="00431320"/>
    <w:rsid w:val="004344DE"/>
    <w:rsid w:val="00436716"/>
    <w:rsid w:val="00441285"/>
    <w:rsid w:val="004415C7"/>
    <w:rsid w:val="00456A0E"/>
    <w:rsid w:val="0046665F"/>
    <w:rsid w:val="00466DD2"/>
    <w:rsid w:val="00473176"/>
    <w:rsid w:val="00481C9C"/>
    <w:rsid w:val="00482467"/>
    <w:rsid w:val="0048248F"/>
    <w:rsid w:val="00483949"/>
    <w:rsid w:val="00484C1B"/>
    <w:rsid w:val="004922AF"/>
    <w:rsid w:val="00493EC2"/>
    <w:rsid w:val="00496A60"/>
    <w:rsid w:val="004A1751"/>
    <w:rsid w:val="004A5EE1"/>
    <w:rsid w:val="004B2C98"/>
    <w:rsid w:val="004B784E"/>
    <w:rsid w:val="004C69B3"/>
    <w:rsid w:val="004C75C6"/>
    <w:rsid w:val="004D24FC"/>
    <w:rsid w:val="004D5E3C"/>
    <w:rsid w:val="004E594B"/>
    <w:rsid w:val="004E7EF9"/>
    <w:rsid w:val="004F3964"/>
    <w:rsid w:val="004F4C36"/>
    <w:rsid w:val="004F6D38"/>
    <w:rsid w:val="005038EC"/>
    <w:rsid w:val="0050449E"/>
    <w:rsid w:val="005051B1"/>
    <w:rsid w:val="00505A02"/>
    <w:rsid w:val="005224CD"/>
    <w:rsid w:val="00522BA9"/>
    <w:rsid w:val="00534480"/>
    <w:rsid w:val="00534B1B"/>
    <w:rsid w:val="00541A95"/>
    <w:rsid w:val="00546640"/>
    <w:rsid w:val="005510C8"/>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83D1A"/>
    <w:rsid w:val="006A0D50"/>
    <w:rsid w:val="006A16D3"/>
    <w:rsid w:val="006A5781"/>
    <w:rsid w:val="006B61C2"/>
    <w:rsid w:val="006B763A"/>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1C27"/>
    <w:rsid w:val="007B5079"/>
    <w:rsid w:val="007B700A"/>
    <w:rsid w:val="007C0260"/>
    <w:rsid w:val="007C37DE"/>
    <w:rsid w:val="007C4EB2"/>
    <w:rsid w:val="007D4084"/>
    <w:rsid w:val="007D4B90"/>
    <w:rsid w:val="007E154C"/>
    <w:rsid w:val="007E4E51"/>
    <w:rsid w:val="007E79F9"/>
    <w:rsid w:val="00806DDA"/>
    <w:rsid w:val="00811AE1"/>
    <w:rsid w:val="00811F90"/>
    <w:rsid w:val="008122F0"/>
    <w:rsid w:val="00820F73"/>
    <w:rsid w:val="00822F14"/>
    <w:rsid w:val="008239FE"/>
    <w:rsid w:val="00825029"/>
    <w:rsid w:val="00830B58"/>
    <w:rsid w:val="00832022"/>
    <w:rsid w:val="00840C83"/>
    <w:rsid w:val="008605D5"/>
    <w:rsid w:val="00865E12"/>
    <w:rsid w:val="008708E2"/>
    <w:rsid w:val="00871911"/>
    <w:rsid w:val="00871C38"/>
    <w:rsid w:val="00871D81"/>
    <w:rsid w:val="008735AB"/>
    <w:rsid w:val="008776AD"/>
    <w:rsid w:val="008C05CD"/>
    <w:rsid w:val="008C300D"/>
    <w:rsid w:val="008C5983"/>
    <w:rsid w:val="008D0A1C"/>
    <w:rsid w:val="008D128F"/>
    <w:rsid w:val="008D2294"/>
    <w:rsid w:val="008D4C42"/>
    <w:rsid w:val="008D57B3"/>
    <w:rsid w:val="008E31D1"/>
    <w:rsid w:val="008F2DE0"/>
    <w:rsid w:val="008F4BA2"/>
    <w:rsid w:val="008F588D"/>
    <w:rsid w:val="00904689"/>
    <w:rsid w:val="0092371D"/>
    <w:rsid w:val="00935AA0"/>
    <w:rsid w:val="00941205"/>
    <w:rsid w:val="00947015"/>
    <w:rsid w:val="0095172A"/>
    <w:rsid w:val="009518A2"/>
    <w:rsid w:val="00966619"/>
    <w:rsid w:val="0098204B"/>
    <w:rsid w:val="009933D9"/>
    <w:rsid w:val="00993A5D"/>
    <w:rsid w:val="009A4600"/>
    <w:rsid w:val="009B37D4"/>
    <w:rsid w:val="009C10A2"/>
    <w:rsid w:val="009C1E14"/>
    <w:rsid w:val="009C2FEF"/>
    <w:rsid w:val="009C50CB"/>
    <w:rsid w:val="009C7B84"/>
    <w:rsid w:val="009D2761"/>
    <w:rsid w:val="009E11AD"/>
    <w:rsid w:val="009E2594"/>
    <w:rsid w:val="009F074C"/>
    <w:rsid w:val="009F693D"/>
    <w:rsid w:val="009F6D27"/>
    <w:rsid w:val="00A03B53"/>
    <w:rsid w:val="00A10384"/>
    <w:rsid w:val="00A144B2"/>
    <w:rsid w:val="00A15D12"/>
    <w:rsid w:val="00A3242E"/>
    <w:rsid w:val="00A45BDF"/>
    <w:rsid w:val="00A477AF"/>
    <w:rsid w:val="00A50780"/>
    <w:rsid w:val="00A55F73"/>
    <w:rsid w:val="00A56091"/>
    <w:rsid w:val="00A5683C"/>
    <w:rsid w:val="00A57044"/>
    <w:rsid w:val="00A66D34"/>
    <w:rsid w:val="00AA12A3"/>
    <w:rsid w:val="00AA188E"/>
    <w:rsid w:val="00AA391D"/>
    <w:rsid w:val="00AA4E1B"/>
    <w:rsid w:val="00AA783B"/>
    <w:rsid w:val="00AB00BF"/>
    <w:rsid w:val="00AB3718"/>
    <w:rsid w:val="00AC1EA9"/>
    <w:rsid w:val="00AE0EAE"/>
    <w:rsid w:val="00AE36C9"/>
    <w:rsid w:val="00AE4387"/>
    <w:rsid w:val="00AF5791"/>
    <w:rsid w:val="00AF719E"/>
    <w:rsid w:val="00B00072"/>
    <w:rsid w:val="00B11F04"/>
    <w:rsid w:val="00B24AD5"/>
    <w:rsid w:val="00B25332"/>
    <w:rsid w:val="00B26F8D"/>
    <w:rsid w:val="00B36DD8"/>
    <w:rsid w:val="00B405FA"/>
    <w:rsid w:val="00B42BD2"/>
    <w:rsid w:val="00B508D5"/>
    <w:rsid w:val="00B52233"/>
    <w:rsid w:val="00B82F08"/>
    <w:rsid w:val="00B87884"/>
    <w:rsid w:val="00B9062A"/>
    <w:rsid w:val="00BB58D7"/>
    <w:rsid w:val="00BD26DB"/>
    <w:rsid w:val="00BD3569"/>
    <w:rsid w:val="00BF02E0"/>
    <w:rsid w:val="00BF387D"/>
    <w:rsid w:val="00C00B53"/>
    <w:rsid w:val="00C119C5"/>
    <w:rsid w:val="00C22059"/>
    <w:rsid w:val="00C2475A"/>
    <w:rsid w:val="00C30DFB"/>
    <w:rsid w:val="00C31251"/>
    <w:rsid w:val="00C32760"/>
    <w:rsid w:val="00C432A9"/>
    <w:rsid w:val="00C50B7E"/>
    <w:rsid w:val="00C577E2"/>
    <w:rsid w:val="00C62871"/>
    <w:rsid w:val="00C72F1F"/>
    <w:rsid w:val="00C76573"/>
    <w:rsid w:val="00C77710"/>
    <w:rsid w:val="00C77F75"/>
    <w:rsid w:val="00C80060"/>
    <w:rsid w:val="00C82BA5"/>
    <w:rsid w:val="00CA2286"/>
    <w:rsid w:val="00CA6305"/>
    <w:rsid w:val="00CA6AC5"/>
    <w:rsid w:val="00CA75B5"/>
    <w:rsid w:val="00CD119B"/>
    <w:rsid w:val="00CF611B"/>
    <w:rsid w:val="00CF6FF3"/>
    <w:rsid w:val="00D042D8"/>
    <w:rsid w:val="00D21861"/>
    <w:rsid w:val="00D25E65"/>
    <w:rsid w:val="00D30451"/>
    <w:rsid w:val="00D37112"/>
    <w:rsid w:val="00D434E9"/>
    <w:rsid w:val="00D52640"/>
    <w:rsid w:val="00D532D6"/>
    <w:rsid w:val="00D94ACC"/>
    <w:rsid w:val="00DA2384"/>
    <w:rsid w:val="00DB0FC8"/>
    <w:rsid w:val="00DB3FFE"/>
    <w:rsid w:val="00DB76F9"/>
    <w:rsid w:val="00DB7E17"/>
    <w:rsid w:val="00DD6067"/>
    <w:rsid w:val="00DE45C5"/>
    <w:rsid w:val="00DF3DF3"/>
    <w:rsid w:val="00E14D21"/>
    <w:rsid w:val="00E166E0"/>
    <w:rsid w:val="00E20D0C"/>
    <w:rsid w:val="00E21C52"/>
    <w:rsid w:val="00E34E2C"/>
    <w:rsid w:val="00E633D7"/>
    <w:rsid w:val="00E67BB3"/>
    <w:rsid w:val="00E702F7"/>
    <w:rsid w:val="00E70A22"/>
    <w:rsid w:val="00E7138A"/>
    <w:rsid w:val="00E77B43"/>
    <w:rsid w:val="00E826C9"/>
    <w:rsid w:val="00E8611D"/>
    <w:rsid w:val="00E9677E"/>
    <w:rsid w:val="00EA50A4"/>
    <w:rsid w:val="00EA768F"/>
    <w:rsid w:val="00EB67A0"/>
    <w:rsid w:val="00EB7614"/>
    <w:rsid w:val="00EB7EA9"/>
    <w:rsid w:val="00EC5612"/>
    <w:rsid w:val="00ED6047"/>
    <w:rsid w:val="00EE1B96"/>
    <w:rsid w:val="00EE310F"/>
    <w:rsid w:val="00EE3570"/>
    <w:rsid w:val="00EE7384"/>
    <w:rsid w:val="00EF0887"/>
    <w:rsid w:val="00EF5622"/>
    <w:rsid w:val="00F00924"/>
    <w:rsid w:val="00F252F4"/>
    <w:rsid w:val="00F311DC"/>
    <w:rsid w:val="00F31313"/>
    <w:rsid w:val="00F54199"/>
    <w:rsid w:val="00F55C18"/>
    <w:rsid w:val="00F71CDF"/>
    <w:rsid w:val="00F74238"/>
    <w:rsid w:val="00F7432A"/>
    <w:rsid w:val="00F76B24"/>
    <w:rsid w:val="00F773C2"/>
    <w:rsid w:val="00F80692"/>
    <w:rsid w:val="00F836D1"/>
    <w:rsid w:val="00F87B25"/>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23A7"/>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Default">
    <w:name w:val="Default"/>
    <w:rsid w:val="00F836D1"/>
    <w:pPr>
      <w:autoSpaceDE w:val="0"/>
      <w:autoSpaceDN w:val="0"/>
      <w:adjustRightInd w:val="0"/>
      <w:spacing w:after="0" w:line="240" w:lineRule="auto"/>
    </w:pPr>
    <w:rPr>
      <w:rFonts w:ascii="Roboto" w:hAnsi="Roboto" w:cs="Roboto"/>
      <w:color w:val="000000"/>
      <w:sz w:val="24"/>
      <w:szCs w:val="24"/>
      <w:lang w:val="en-GB" w:eastAsia="en-US"/>
    </w:rPr>
  </w:style>
  <w:style w:type="character" w:customStyle="1" w:styleId="cf01">
    <w:name w:val="cf01"/>
    <w:basedOn w:val="DefaultParagraphFont"/>
    <w:rsid w:val="00384D02"/>
    <w:rPr>
      <w:rFonts w:ascii="Segoe UI" w:hAnsi="Segoe UI" w:cs="Segoe UI" w:hint="default"/>
      <w:sz w:val="18"/>
      <w:szCs w:val="18"/>
    </w:rPr>
  </w:style>
  <w:style w:type="paragraph" w:styleId="Revision">
    <w:name w:val="Revision"/>
    <w:hidden/>
    <w:uiPriority w:val="99"/>
    <w:semiHidden/>
    <w:rsid w:val="00F31313"/>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F31313"/>
    <w:rPr>
      <w:sz w:val="16"/>
      <w:szCs w:val="16"/>
    </w:rPr>
  </w:style>
  <w:style w:type="paragraph" w:styleId="CommentText">
    <w:name w:val="annotation text"/>
    <w:basedOn w:val="Normal"/>
    <w:link w:val="CommentTextChar"/>
    <w:uiPriority w:val="99"/>
    <w:unhideWhenUsed/>
    <w:rsid w:val="00F31313"/>
    <w:pPr>
      <w:spacing w:line="240" w:lineRule="auto"/>
    </w:pPr>
    <w:rPr>
      <w:sz w:val="20"/>
      <w:szCs w:val="20"/>
    </w:rPr>
  </w:style>
  <w:style w:type="character" w:customStyle="1" w:styleId="CommentTextChar">
    <w:name w:val="Comment Text Char"/>
    <w:basedOn w:val="DefaultParagraphFont"/>
    <w:link w:val="CommentText"/>
    <w:uiPriority w:val="99"/>
    <w:rsid w:val="00F31313"/>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F31313"/>
    <w:rPr>
      <w:b/>
      <w:bCs/>
    </w:rPr>
  </w:style>
  <w:style w:type="character" w:customStyle="1" w:styleId="CommentSubjectChar">
    <w:name w:val="Comment Subject Char"/>
    <w:basedOn w:val="CommentTextChar"/>
    <w:link w:val="CommentSubject"/>
    <w:uiPriority w:val="99"/>
    <w:semiHidden/>
    <w:rsid w:val="00F31313"/>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egislation.gov.au/Details/C2022C00066" TargetMode="External"/><Relationship Id="rId26" Type="http://schemas.openxmlformats.org/officeDocument/2006/relationships/hyperlink" Target="https://sharepointpubstor.blob.core.windows.net/policylibrary-prod/Admission%20Procedure.pdf" TargetMode="External"/><Relationship Id="rId3" Type="http://schemas.openxmlformats.org/officeDocument/2006/relationships/customXml" Target="../customXml/item3.xml"/><Relationship Id="rId21" Type="http://schemas.openxmlformats.org/officeDocument/2006/relationships/hyperlink" Target="https://www.legislation.gov.au/Details/F2017L01182" TargetMode="Externa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sharepointpubstor.blob.core.windows.net/policylibrary-prod/Academic%20Progress%20Procedure.pdf"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22C00005" TargetMode="External"/><Relationship Id="rId29" Type="http://schemas.openxmlformats.org/officeDocument/2006/relationships/hyperlink" Target="https://sharepointpubstor.blob.core.windows.net/policylibrary-prod/Program%20Approval%20Proced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sharepointpubstor.blob.core.windows.net/policylibrary-prod/Program%20and%20Course%20Policy.pdf"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sharepointpubstor.blob.core.windows.net/policylibrary-prod/Enrolment%20Policy.pdf" TargetMode="External"/><Relationship Id="rId28" Type="http://schemas.openxmlformats.org/officeDocument/2006/relationships/hyperlink" Target="https://sharepointpubstor.blob.core.windows.net/policylibrary-prod/Fees%20and%20Charges%20Procedure.pdf"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legislation.gov.au/Details/F2022C00105"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sharepointpubstor.blob.core.windows.net/policylibrary-prod/Admission%20Policy.pdf" TargetMode="External"/><Relationship Id="rId27" Type="http://schemas.openxmlformats.org/officeDocument/2006/relationships/hyperlink" Target="https://sharepointpubstor.blob.core.windows.net/policylibrary-prod/Enrolment%20Procedure.pdf" TargetMode="External"/><Relationship Id="rId30" Type="http://schemas.openxmlformats.org/officeDocument/2006/relationships/header" Target="header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5B5394"/>
    <w:rsid w:val="008011BC"/>
    <w:rsid w:val="008B45A8"/>
    <w:rsid w:val="00DE6F1D"/>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572</Value>
      <Value>86</Value>
      <Value>539</Value>
      <Value>519</Value>
      <Value>574</Value>
    </TaxCatchAll>
    <SharedWithUsers xmlns="b40c662e-0380-4817-843d-2c7e10d40c39">
      <UserInfo>
        <DisplayName>Cathy McGrath</DisplayName>
        <AccountId>193</AccountId>
        <AccountType/>
      </UserInfo>
      <UserInfo>
        <DisplayName>Chelsea Finlayson</DisplayName>
        <AccountId>17</AccountId>
        <AccountType/>
      </UserInfo>
    </SharedWithUsers>
    <PublishOn xmlns="2f261a70-825f-4a37-b7b5-f6ecc2f4c5fa">2024-02-13T03:32:21+00:00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 xsi:nil="true"/>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Approved by Registrar via email on 13 Feb 2024 for T1 implementation. New Procedure, not replacing old.</doccomments>
    <datedeclared xmlns="2f261a70-825f-4a37-b7b5-f6ecc2f4c5fa" xsi:nil="true"/>
    <PrivatePolicy xmlns="2f261a70-825f-4a37-b7b5-f6ecc2f4c5fa">false</PrivatePolicy>
    <policyadvisor xmlns="2f261a70-825f-4a37-b7b5-f6ecc2f4c5fa">
      <UserInfo>
        <DisplayName>Cathy McGrath</DisplayName>
        <AccountId>65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3FA6BC6A-7E8C-44B0-9497-708B98634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purl.org/dc/terms/"/>
    <ds:schemaRef ds:uri="b40c662e-0380-4817-843d-2c7e10d40c3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f261a70-825f-4a37-b7b5-f6ecc2f4c5fa"/>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10</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Transition and Teach Out Procedure</vt:lpstr>
    </vt:vector>
  </TitlesOfParts>
  <Company>Griffith University</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and Teach Out Procedure</dc:title>
  <dc:creator>Jen Lofgren</dc:creator>
  <cp:lastModifiedBy>Chelsea Finlayson</cp:lastModifiedBy>
  <cp:revision>4</cp:revision>
  <dcterms:created xsi:type="dcterms:W3CDTF">2024-02-13T03:20:00Z</dcterms:created>
  <dcterms:modified xsi:type="dcterms:W3CDTF">2024-03-13T00:45:00Z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539;#Registrar|d07e3dfb-ed46-446a-9992-47c68d5d6267</vt:lpwstr>
  </property>
  <property fmtid="{D5CDD505-2E9C-101B-9397-08002B2CF9AE}" pid="17" name="policycategory">
    <vt:lpwstr>86;#Procedure|bb3f25e1-3c03-4bde-afc2-5888b49b7d7d</vt:lpwstr>
  </property>
  <property fmtid="{D5CDD505-2E9C-101B-9397-08002B2CF9AE}" pid="18" name="officearea">
    <vt:lpwstr/>
  </property>
  <property fmtid="{D5CDD505-2E9C-101B-9397-08002B2CF9AE}" pid="19" name="policy-category">
    <vt:lpwstr>519;#Academic|19fb9ccf-3758-4715-9546-fdd966adec75</vt:lpwstr>
  </property>
  <property fmtid="{D5CDD505-2E9C-101B-9397-08002B2CF9AE}" pid="20" name="glossaryterms">
    <vt:lpwstr/>
  </property>
  <property fmtid="{D5CDD505-2E9C-101B-9397-08002B2CF9AE}" pid="21" name="policyaudience">
    <vt:lpwstr>572;#Staff and Student|e31810fd-0fc5-4050-aa32-a98462f8b255</vt:lpwstr>
  </property>
  <property fmtid="{D5CDD505-2E9C-101B-9397-08002B2CF9AE}" pid="22" name="policyreview">
    <vt:lpwstr>574;#2029|3cd3c4e6-7c0a-49e2-a93f-12d21594ce65</vt:lpwstr>
  </property>
  <property fmtid="{D5CDD505-2E9C-101B-9397-08002B2CF9AE}" pid="23" name="Managed_Testing_Field">
    <vt:lpwstr/>
  </property>
</Properties>
</file>