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40A24DB4" w14:textId="77777777">
      <w:pPr>
        <w:rPr>
          <w:sz w:val="20"/>
        </w:rPr>
      </w:pPr>
      <w:r>
        <w:rPr>
          <w:noProof/>
          <w:sz w:val="20"/>
        </w:rPr>
        <mc:AlternateContent>
          <mc:Choice Requires="wps">
            <w:drawing>
              <wp:anchor distT="0" distB="0" distL="114300" distR="114300" simplePos="0" relativeHeight="251658240" behindDoc="0" locked="0" layoutInCell="1" allowOverlap="1" wp14:anchorId="40A24E6D" wp14:editId="40A24E6E">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70E" w:rsidP="00B66CBA" w:rsidRDefault="00D2370E" w14:paraId="40A24E78" w14:textId="77777777">
                            <w:pPr>
                              <w:ind w:left="426"/>
                            </w:pPr>
                            <w:r>
                              <w:rPr>
                                <w:noProof/>
                              </w:rPr>
                              <w:drawing>
                                <wp:inline distT="0" distB="0" distL="0" distR="0" wp14:anchorId="40A24E79" wp14:editId="40A24E7A">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0A24E6D">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D2370E" w:rsidP="00B66CBA" w:rsidRDefault="00D2370E" w14:paraId="40A24E78" w14:textId="77777777">
                      <w:pPr>
                        <w:ind w:left="426"/>
                      </w:pPr>
                      <w:r>
                        <w:rPr>
                          <w:noProof/>
                        </w:rPr>
                        <w:drawing>
                          <wp:inline distT="0" distB="0" distL="0" distR="0" wp14:anchorId="40A24E79" wp14:editId="40A24E7A">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6F6BAC" w14:paraId="40A24DB5" w14:textId="77777777">
      <w:pPr>
        <w:spacing w:before="360" w:after="240"/>
        <w:ind w:left="0"/>
        <w:jc w:val="left"/>
        <w:rPr>
          <w:rFonts w:cs="Arial"/>
          <w:sz w:val="32"/>
          <w:szCs w:val="32"/>
        </w:rPr>
      </w:pPr>
      <w:r w:rsidRPr="006F6BAC">
        <w:rPr>
          <w:rFonts w:cs="Arial"/>
          <w:color w:val="333333"/>
          <w:sz w:val="32"/>
          <w:szCs w:val="32"/>
        </w:rPr>
        <w:t>Student Experience of Courses (SEC) and Teaching (SET)</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789DD483" w14:paraId="40A24DB8"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40A24DB6"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40A24DB7" w14:textId="77777777">
            <w:pPr>
              <w:spacing w:after="0"/>
              <w:ind w:left="159"/>
              <w:rPr>
                <w:rFonts w:cs="Arial"/>
                <w:sz w:val="12"/>
                <w:szCs w:val="12"/>
              </w:rPr>
            </w:pPr>
          </w:p>
        </w:tc>
      </w:tr>
      <w:tr w:rsidRPr="00D614DF" w:rsidR="00B86B55" w:rsidTr="789DD483" w14:paraId="40A24DBB" w14:textId="77777777">
        <w:tc>
          <w:tcPr>
            <w:tcW w:w="2410" w:type="dxa"/>
            <w:tcBorders>
              <w:right w:val="single" w:color="D9D9D9" w:themeColor="background1" w:themeShade="D9" w:sz="12" w:space="0"/>
            </w:tcBorders>
            <w:tcMar/>
            <w:vAlign w:val="center"/>
          </w:tcPr>
          <w:p w:rsidRPr="00D614DF" w:rsidR="00B86B55" w:rsidP="002A6AA2" w:rsidRDefault="00B86B55" w14:paraId="40A24DB9"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BE0ACF" w:rsidRDefault="006F6BAC" w14:paraId="40A24DBA" w14:textId="77777777">
            <w:pPr>
              <w:spacing w:before="60" w:after="60"/>
              <w:ind w:left="159"/>
              <w:jc w:val="left"/>
              <w:rPr>
                <w:rFonts w:cs="Arial"/>
                <w:sz w:val="20"/>
              </w:rPr>
            </w:pPr>
            <w:r>
              <w:rPr>
                <w:rFonts w:cs="Arial"/>
                <w:sz w:val="20"/>
              </w:rPr>
              <w:t>Academic Committee</w:t>
            </w:r>
          </w:p>
        </w:tc>
      </w:tr>
      <w:tr w:rsidRPr="00D614DF" w:rsidR="00B86B55" w:rsidTr="789DD483" w14:paraId="40A24DBE" w14:textId="77777777">
        <w:tc>
          <w:tcPr>
            <w:tcW w:w="2410" w:type="dxa"/>
            <w:tcBorders>
              <w:right w:val="single" w:color="D9D9D9" w:themeColor="background1" w:themeShade="D9" w:sz="12" w:space="0"/>
            </w:tcBorders>
            <w:tcMar/>
            <w:vAlign w:val="center"/>
          </w:tcPr>
          <w:p w:rsidRPr="00D614DF" w:rsidR="00B86B55" w:rsidP="002A6AA2" w:rsidRDefault="00B86B55" w14:paraId="40A24DBC"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625213" w:rsidRDefault="00625213" w14:paraId="40A24DBD" w14:textId="3B971274">
            <w:pPr>
              <w:spacing w:before="60" w:after="60"/>
              <w:ind w:left="159"/>
              <w:jc w:val="left"/>
              <w:rPr>
                <w:rFonts w:cs="Arial"/>
                <w:sz w:val="20"/>
              </w:rPr>
            </w:pPr>
            <w:r>
              <w:rPr>
                <w:rFonts w:cs="Arial"/>
                <w:sz w:val="20"/>
              </w:rPr>
              <w:t xml:space="preserve">22 May </w:t>
            </w:r>
            <w:r w:rsidR="0076421A">
              <w:rPr>
                <w:rFonts w:cs="Arial"/>
                <w:sz w:val="20"/>
              </w:rPr>
              <w:t>2014</w:t>
            </w:r>
            <w:r w:rsidR="000F4E60">
              <w:rPr>
                <w:rFonts w:cs="Arial"/>
                <w:sz w:val="20"/>
              </w:rPr>
              <w:t xml:space="preserve"> (</w:t>
            </w:r>
            <w:r w:rsidR="0076421A">
              <w:rPr>
                <w:rFonts w:cs="Arial"/>
                <w:sz w:val="20"/>
              </w:rPr>
              <w:t>2</w:t>
            </w:r>
            <w:r>
              <w:rPr>
                <w:rFonts w:cs="Arial"/>
                <w:sz w:val="20"/>
              </w:rPr>
              <w:t>/2014</w:t>
            </w:r>
            <w:r w:rsidR="000F4E60">
              <w:rPr>
                <w:rFonts w:cs="Arial"/>
                <w:sz w:val="20"/>
              </w:rPr>
              <w:t xml:space="preserve"> meeting)</w:t>
            </w:r>
          </w:p>
        </w:tc>
      </w:tr>
      <w:tr w:rsidRPr="00D614DF" w:rsidR="00BE0ACF" w:rsidTr="789DD483" w14:paraId="0A2DBB32" w14:textId="77777777">
        <w:tc>
          <w:tcPr>
            <w:tcW w:w="2410" w:type="dxa"/>
            <w:tcBorders>
              <w:right w:val="single" w:color="D9D9D9" w:themeColor="background1" w:themeShade="D9" w:sz="12" w:space="0"/>
            </w:tcBorders>
            <w:tcMar/>
          </w:tcPr>
          <w:p w:rsidRPr="00197226" w:rsidR="00BE0ACF" w:rsidP="002A6AA2" w:rsidRDefault="00BE0ACF" w14:paraId="7D940A25" w14:textId="43862609">
            <w:pPr>
              <w:spacing w:before="60" w:after="60"/>
              <w:ind w:left="0"/>
              <w:rPr>
                <w:rFonts w:cs="Arial"/>
                <w:b/>
                <w:sz w:val="20"/>
              </w:rPr>
            </w:pPr>
            <w:r w:rsidRPr="00197226">
              <w:rPr>
                <w:rFonts w:cs="Arial"/>
                <w:b/>
                <w:sz w:val="20"/>
              </w:rPr>
              <w:t>Advisor</w:t>
            </w:r>
          </w:p>
        </w:tc>
        <w:tc>
          <w:tcPr>
            <w:tcW w:w="7229" w:type="dxa"/>
            <w:tcBorders>
              <w:left w:val="single" w:color="D9D9D9" w:themeColor="background1" w:themeShade="D9" w:sz="12" w:space="0"/>
            </w:tcBorders>
            <w:tcMar/>
            <w:vAlign w:val="center"/>
          </w:tcPr>
          <w:p w:rsidRPr="00197226" w:rsidR="00446A1F" w:rsidP="00BA64BB" w:rsidRDefault="000D25A8" w14:paraId="3356209B" w14:textId="660DBEE4">
            <w:pPr>
              <w:spacing w:before="60" w:after="60"/>
              <w:ind w:left="159"/>
              <w:jc w:val="left"/>
              <w:rPr>
                <w:rFonts w:cs="Arial"/>
                <w:sz w:val="20"/>
              </w:rPr>
            </w:pPr>
            <w:r w:rsidRPr="000D25A8">
              <w:rPr>
                <w:rFonts w:cs="Arial"/>
                <w:sz w:val="20"/>
              </w:rPr>
              <w:t>Pro Vice Chancellor (Learning and Teaching)</w:t>
            </w:r>
            <w:r w:rsidR="00BA64BB">
              <w:rPr>
                <w:rFonts w:cs="Arial"/>
                <w:sz w:val="20"/>
              </w:rPr>
              <w:t xml:space="preserve"> </w:t>
            </w:r>
            <w:r w:rsidRPr="000D25A8" w:rsidR="007C6837">
              <w:rPr>
                <w:rFonts w:cs="Arial"/>
                <w:sz w:val="20"/>
              </w:rPr>
              <w:t>| (07) 373 5</w:t>
            </w:r>
            <w:r w:rsidRPr="000D25A8">
              <w:rPr>
                <w:rFonts w:cs="Arial"/>
                <w:sz w:val="20"/>
              </w:rPr>
              <w:t>2025</w:t>
            </w:r>
          </w:p>
        </w:tc>
      </w:tr>
      <w:tr w:rsidRPr="00D614DF" w:rsidR="00BE0ACF" w:rsidTr="789DD483" w14:paraId="40A24DC5" w14:textId="77777777">
        <w:tc>
          <w:tcPr>
            <w:tcW w:w="2410" w:type="dxa"/>
            <w:tcBorders>
              <w:bottom w:val="nil"/>
              <w:right w:val="single" w:color="D9D9D9" w:themeColor="background1" w:themeShade="D9" w:sz="12" w:space="0"/>
            </w:tcBorders>
            <w:tcMar/>
            <w:vAlign w:val="center"/>
          </w:tcPr>
          <w:p w:rsidR="00BE0ACF" w:rsidP="002A6AA2" w:rsidRDefault="00BE0ACF" w14:paraId="40A24DC2" w14:textId="10085244">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BE0ACF" w:rsidP="789DD483" w:rsidRDefault="00625213" w14:paraId="40A24DC4" w14:textId="2A1CDB59">
            <w:pPr>
              <w:spacing w:after="60"/>
              <w:ind w:left="159"/>
              <w:jc w:val="left"/>
              <w:rPr>
                <w:rFonts w:cs="Arial"/>
                <w:sz w:val="20"/>
                <w:szCs w:val="20"/>
              </w:rPr>
            </w:pPr>
            <w:r w:rsidRPr="789DD483" w:rsidR="00625213">
              <w:rPr>
                <w:rFonts w:cs="Arial"/>
                <w:sz w:val="20"/>
                <w:szCs w:val="20"/>
              </w:rPr>
              <w:t>2019</w:t>
            </w:r>
            <w:r w:rsidRPr="789DD483" w:rsidR="79D3858F">
              <w:rPr>
                <w:rFonts w:cs="Arial"/>
                <w:sz w:val="20"/>
                <w:szCs w:val="20"/>
              </w:rPr>
              <w:t xml:space="preserve"> (Currently under review)</w:t>
            </w:r>
          </w:p>
        </w:tc>
      </w:tr>
      <w:tr w:rsidRPr="00D614DF" w:rsidR="00B86B55" w:rsidTr="789DD483" w14:paraId="40A24DC8" w14:textId="77777777">
        <w:tc>
          <w:tcPr>
            <w:tcW w:w="2410" w:type="dxa"/>
            <w:tcBorders>
              <w:bottom w:val="nil"/>
              <w:right w:val="single" w:color="D9D9D9" w:themeColor="background1" w:themeShade="D9" w:sz="12" w:space="0"/>
            </w:tcBorders>
            <w:tcMar/>
          </w:tcPr>
          <w:p w:rsidRPr="00D614DF" w:rsidR="00B86B55" w:rsidP="00BE0ACF" w:rsidRDefault="00BE0ACF" w14:paraId="40A24DC6" w14:textId="52D7B44C">
            <w:pPr>
              <w:spacing w:before="60" w:after="60"/>
              <w:ind w:left="0"/>
              <w:jc w:val="left"/>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Pr="00D614DF" w:rsidR="00B86B55" w:rsidP="00BE0ACF" w:rsidRDefault="00BE0ACF" w14:paraId="40A24DC7" w14:textId="7F6A15A5">
            <w:pPr>
              <w:spacing w:before="60" w:after="60"/>
              <w:ind w:left="159"/>
              <w:jc w:val="left"/>
              <w:rPr>
                <w:rFonts w:cs="Arial"/>
                <w:sz w:val="20"/>
              </w:rPr>
            </w:pPr>
            <w:r w:rsidRPr="00CF0EDB">
              <w:rPr>
                <w:rFonts w:cs="Arial"/>
                <w:sz w:val="20"/>
              </w:rPr>
              <w:t>http://policies.griffith.edu.au/pdf/Student Experience of Courses and Teaching.pdf</w:t>
            </w:r>
          </w:p>
        </w:tc>
      </w:tr>
      <w:tr w:rsidRPr="00D614DF" w:rsidR="00B86B55" w:rsidTr="789DD483" w14:paraId="40A24DCB"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B86B55" w:rsidP="002A6AA2" w:rsidRDefault="00B86B55" w14:paraId="40A24DC9"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695182" w:rsidR="00B86B55" w:rsidP="0038461D" w:rsidRDefault="000D25A8" w14:paraId="40A24DCA" w14:textId="5F045B9E">
            <w:pPr>
              <w:spacing w:before="60" w:after="60"/>
              <w:ind w:left="159"/>
              <w:jc w:val="left"/>
              <w:rPr>
                <w:rFonts w:cs="Arial"/>
                <w:sz w:val="20"/>
              </w:rPr>
            </w:pPr>
            <w:r w:rsidRPr="000D25A8">
              <w:rPr>
                <w:rFonts w:cs="Arial"/>
                <w:sz w:val="20"/>
              </w:rPr>
              <w:t>2020/2001153</w:t>
            </w:r>
          </w:p>
        </w:tc>
      </w:tr>
      <w:tr w:rsidRPr="00D614DF" w:rsidR="00E31309" w:rsidTr="789DD483" w14:paraId="40A24DCE"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D2370E" w:rsidRDefault="00BE0ACF" w14:paraId="40A24DCC" w14:textId="55F4366E">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BE0ACF" w:rsidRDefault="00BE0ACF" w14:paraId="40A24DCD" w14:textId="65DBE022">
            <w:pPr>
              <w:spacing w:before="60" w:after="60"/>
              <w:ind w:left="159"/>
              <w:rPr>
                <w:rFonts w:cs="Arial"/>
                <w:sz w:val="20"/>
              </w:rPr>
            </w:pPr>
            <w:r w:rsidRPr="006F6BAC">
              <w:rPr>
                <w:rFonts w:cs="Arial"/>
                <w:sz w:val="20"/>
              </w:rPr>
              <w:t>This document describes Griffith University's approach to gathering feedback about students' experiences of its teaching and its courses in order to assure their quality and to inform course improvement and program evaluation.</w:t>
            </w:r>
          </w:p>
        </w:tc>
      </w:tr>
      <w:tr w:rsidRPr="00D614DF" w:rsidR="00B86B55" w:rsidTr="789DD483" w14:paraId="40A24DD1"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40A24DCF"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40A24DD0" w14:textId="77777777">
            <w:pPr>
              <w:spacing w:before="60" w:after="60"/>
              <w:ind w:left="159"/>
              <w:rPr>
                <w:rFonts w:cs="Arial"/>
                <w:sz w:val="20"/>
              </w:rPr>
            </w:pPr>
          </w:p>
        </w:tc>
      </w:tr>
      <w:tr w:rsidRPr="00D614DF" w:rsidR="00B86B55" w:rsidTr="789DD483" w14:paraId="40A24DDB" w14:textId="77777777">
        <w:tc>
          <w:tcPr>
            <w:tcW w:w="9639" w:type="dxa"/>
            <w:gridSpan w:val="2"/>
            <w:tcBorders>
              <w:top w:val="single" w:color="D9D9D9" w:themeColor="background1" w:themeShade="D9" w:sz="12" w:space="0"/>
              <w:bottom w:val="nil"/>
            </w:tcBorders>
            <w:tcMar/>
          </w:tcPr>
          <w:p w:rsidRPr="00B710C7" w:rsidR="00D145B1" w:rsidP="00CF0EDB" w:rsidRDefault="00B710C7" w14:paraId="40A24DD2" w14:textId="245464D9">
            <w:pPr>
              <w:spacing w:before="60" w:after="60"/>
              <w:ind w:left="0"/>
              <w:jc w:val="left"/>
              <w:rPr>
                <w:rStyle w:val="Hyperlink"/>
                <w:rFonts w:cs="Arial"/>
                <w:sz w:val="20"/>
              </w:rPr>
            </w:pPr>
            <w:r>
              <w:rPr>
                <w:rFonts w:cs="Arial"/>
                <w:sz w:val="20"/>
              </w:rPr>
              <w:fldChar w:fldCharType="begin"/>
            </w:r>
            <w:r>
              <w:rPr>
                <w:rFonts w:cs="Arial"/>
                <w:sz w:val="20"/>
              </w:rPr>
              <w:instrText xml:space="preserve"> HYPERLINK "http://www.griffith.edu.au/learning-teaching/learning-teaching-principles" </w:instrText>
            </w:r>
            <w:r>
              <w:rPr>
                <w:rFonts w:cs="Arial"/>
                <w:sz w:val="20"/>
              </w:rPr>
            </w:r>
            <w:r>
              <w:rPr>
                <w:rFonts w:cs="Arial"/>
                <w:sz w:val="20"/>
              </w:rPr>
              <w:fldChar w:fldCharType="separate"/>
            </w:r>
            <w:r w:rsidRPr="0062049E" w:rsidR="00D145B1">
              <w:rPr>
                <w:rStyle w:val="Hyperlink"/>
                <w:rFonts w:cs="Arial"/>
                <w:sz w:val="20"/>
              </w:rPr>
              <w:t>Principles to Promote Excellence in Learning and Teaching Practices</w:t>
            </w:r>
          </w:p>
          <w:p w:rsidRPr="00CF0EDB" w:rsidR="00D145B1" w:rsidP="00CF0EDB" w:rsidRDefault="00B710C7" w14:paraId="40A24DD3" w14:textId="59B7A840">
            <w:pPr>
              <w:spacing w:before="60" w:after="60"/>
              <w:ind w:left="0"/>
              <w:jc w:val="left"/>
              <w:rPr>
                <w:rFonts w:cs="Arial"/>
                <w:sz w:val="20"/>
              </w:rPr>
            </w:pPr>
            <w:r>
              <w:rPr>
                <w:rFonts w:cs="Arial"/>
                <w:sz w:val="20"/>
              </w:rPr>
              <w:fldChar w:fldCharType="end"/>
            </w:r>
            <w:hyperlink w:history="1" r:id="rId12">
              <w:r w:rsidRPr="00CF0EDB" w:rsidR="00D145B1">
                <w:rPr>
                  <w:rStyle w:val="Hyperlink"/>
                  <w:rFonts w:cs="Arial"/>
                  <w:sz w:val="20"/>
                </w:rPr>
                <w:t>Course Approval and Review Process</w:t>
              </w:r>
            </w:hyperlink>
          </w:p>
          <w:p w:rsidRPr="00C57A4B" w:rsidR="00D145B1" w:rsidP="00CF0EDB" w:rsidRDefault="00C57A4B" w14:paraId="40A24DD4" w14:textId="3A0EAB7A">
            <w:pPr>
              <w:spacing w:before="60" w:after="60"/>
              <w:ind w:left="0"/>
              <w:jc w:val="left"/>
              <w:rPr>
                <w:rStyle w:val="Hyperlink"/>
                <w:rFonts w:cs="Arial"/>
                <w:sz w:val="20"/>
              </w:rPr>
            </w:pPr>
            <w:r>
              <w:rPr>
                <w:rFonts w:cs="Arial"/>
                <w:sz w:val="20"/>
              </w:rPr>
              <w:fldChar w:fldCharType="begin"/>
            </w:r>
            <w:r>
              <w:rPr>
                <w:rFonts w:cs="Arial"/>
                <w:sz w:val="20"/>
              </w:rPr>
              <w:instrText>HYPERLINK "https://sharepointpubstor.blob.core.windows.net/policylibrary-prod/Course%20Profile%20Requirements%20Procedure.pdf"</w:instrText>
            </w:r>
            <w:r>
              <w:rPr>
                <w:rFonts w:cs="Arial"/>
                <w:sz w:val="20"/>
              </w:rPr>
            </w:r>
            <w:r>
              <w:rPr>
                <w:rFonts w:cs="Arial"/>
                <w:sz w:val="20"/>
              </w:rPr>
              <w:fldChar w:fldCharType="separate"/>
            </w:r>
            <w:r w:rsidRPr="00C57A4B" w:rsidR="00D145B1">
              <w:rPr>
                <w:rStyle w:val="Hyperlink"/>
                <w:rFonts w:cs="Arial"/>
                <w:sz w:val="20"/>
              </w:rPr>
              <w:t>Course Profile Requirements</w:t>
            </w:r>
            <w:r w:rsidRPr="00C57A4B">
              <w:rPr>
                <w:rStyle w:val="Hyperlink"/>
                <w:rFonts w:cs="Arial"/>
                <w:sz w:val="20"/>
              </w:rPr>
              <w:t xml:space="preserve"> Procedure</w:t>
            </w:r>
            <w:r w:rsidRPr="00C57A4B" w:rsidR="00D145B1">
              <w:rPr>
                <w:rStyle w:val="Hyperlink"/>
                <w:rFonts w:cs="Arial"/>
                <w:sz w:val="20"/>
              </w:rPr>
              <w:t xml:space="preserve"> </w:t>
            </w:r>
          </w:p>
          <w:p w:rsidRPr="0038461D" w:rsidR="0002656D" w:rsidP="00CF0EDB" w:rsidRDefault="00C57A4B" w14:paraId="40A24DD5" w14:textId="6D46B7EB">
            <w:pPr>
              <w:spacing w:before="60" w:after="60"/>
              <w:ind w:left="0"/>
              <w:jc w:val="left"/>
              <w:rPr>
                <w:rStyle w:val="Hyperlink"/>
                <w:rFonts w:cs="Arial"/>
                <w:sz w:val="20"/>
              </w:rPr>
            </w:pPr>
            <w:r>
              <w:rPr>
                <w:rFonts w:cs="Arial"/>
                <w:sz w:val="20"/>
              </w:rPr>
              <w:fldChar w:fldCharType="end"/>
            </w:r>
            <w:r w:rsidR="0038461D">
              <w:rPr>
                <w:rFonts w:cs="Arial"/>
                <w:sz w:val="20"/>
              </w:rPr>
              <w:fldChar w:fldCharType="begin"/>
            </w:r>
            <w:r w:rsidR="0038461D">
              <w:rPr>
                <w:rFonts w:cs="Arial"/>
                <w:sz w:val="20"/>
              </w:rPr>
              <w:instrText xml:space="preserve"> HYPERLINK "http://policies.griffith.edu.au/pdf/Course%20Improvement%20Plan.pdf" </w:instrText>
            </w:r>
            <w:r w:rsidR="0038461D">
              <w:rPr>
                <w:rFonts w:cs="Arial"/>
                <w:sz w:val="20"/>
              </w:rPr>
            </w:r>
            <w:r w:rsidR="0038461D">
              <w:rPr>
                <w:rFonts w:cs="Arial"/>
                <w:sz w:val="20"/>
              </w:rPr>
              <w:fldChar w:fldCharType="separate"/>
            </w:r>
            <w:r w:rsidRPr="0038461D" w:rsidR="00D145B1">
              <w:rPr>
                <w:rStyle w:val="Hyperlink"/>
                <w:rFonts w:cs="Arial"/>
                <w:sz w:val="20"/>
              </w:rPr>
              <w:t>Course Improvement Plan</w:t>
            </w:r>
          </w:p>
          <w:p w:rsidRPr="00CF0EDB" w:rsidR="001E0FB5" w:rsidP="00CF0EDB" w:rsidRDefault="0038461D" w14:paraId="40A24DD6" w14:textId="2079C0F8">
            <w:pPr>
              <w:spacing w:before="60" w:after="60"/>
              <w:ind w:left="0"/>
              <w:jc w:val="left"/>
              <w:rPr>
                <w:rFonts w:cs="Arial"/>
                <w:sz w:val="20"/>
              </w:rPr>
            </w:pPr>
            <w:r>
              <w:rPr>
                <w:rFonts w:cs="Arial"/>
                <w:sz w:val="20"/>
              </w:rPr>
              <w:fldChar w:fldCharType="end"/>
            </w:r>
            <w:hyperlink w:history="1" r:id="rId13">
              <w:r w:rsidRPr="00CF0EDB" w:rsidR="001E0FB5">
                <w:rPr>
                  <w:rStyle w:val="Hyperlink"/>
                  <w:rFonts w:cs="Arial"/>
                  <w:sz w:val="20"/>
                </w:rPr>
                <w:t>Student Charte</w:t>
              </w:r>
              <w:r w:rsidR="00D173E1">
                <w:rPr>
                  <w:rStyle w:val="Hyperlink"/>
                  <w:rFonts w:cs="Arial"/>
                  <w:sz w:val="20"/>
                </w:rPr>
                <w:t>r Framework</w:t>
              </w:r>
            </w:hyperlink>
          </w:p>
          <w:p w:rsidRPr="00CF0EDB" w:rsidR="002F46D1" w:rsidP="00CF0EDB" w:rsidRDefault="00C57A4B" w14:paraId="40A24DD7" w14:textId="3A2C3C7D">
            <w:pPr>
              <w:spacing w:before="60" w:after="60"/>
              <w:ind w:left="0"/>
              <w:jc w:val="left"/>
              <w:rPr>
                <w:rFonts w:cs="Arial"/>
                <w:sz w:val="20"/>
              </w:rPr>
            </w:pPr>
            <w:hyperlink w:history="1" r:id="rId14">
              <w:r w:rsidRPr="00273559" w:rsidR="002F46D1">
                <w:rPr>
                  <w:rStyle w:val="Hyperlink"/>
                  <w:rFonts w:cs="Arial"/>
                  <w:sz w:val="20"/>
                </w:rPr>
                <w:t xml:space="preserve">Role </w:t>
              </w:r>
              <w:r w:rsidRPr="00273559" w:rsidR="00273559">
                <w:rPr>
                  <w:rStyle w:val="Hyperlink"/>
                  <w:rFonts w:cs="Arial"/>
                  <w:sz w:val="20"/>
                </w:rPr>
                <w:t>Statement</w:t>
              </w:r>
              <w:r w:rsidRPr="00273559" w:rsidR="002F46D1">
                <w:rPr>
                  <w:rStyle w:val="Hyperlink"/>
                  <w:rFonts w:cs="Arial"/>
                  <w:sz w:val="20"/>
                </w:rPr>
                <w:t xml:space="preserve"> Course Convenor</w:t>
              </w:r>
            </w:hyperlink>
          </w:p>
          <w:p w:rsidRPr="00CF0EDB" w:rsidR="002F46D1" w:rsidP="00CF0EDB" w:rsidRDefault="00C57A4B" w14:paraId="40A24DD8" w14:textId="1041389D">
            <w:pPr>
              <w:spacing w:before="60" w:after="60"/>
              <w:ind w:left="0"/>
              <w:jc w:val="left"/>
              <w:rPr>
                <w:rFonts w:cs="Arial"/>
                <w:sz w:val="20"/>
              </w:rPr>
            </w:pPr>
            <w:hyperlink w:history="1" r:id="rId15">
              <w:r w:rsidRPr="00273559" w:rsidR="002F46D1">
                <w:rPr>
                  <w:rStyle w:val="Hyperlink"/>
                  <w:rFonts w:cs="Arial"/>
                  <w:sz w:val="20"/>
                </w:rPr>
                <w:t xml:space="preserve">Role </w:t>
              </w:r>
              <w:r w:rsidRPr="00273559" w:rsidR="00273559">
                <w:rPr>
                  <w:rStyle w:val="Hyperlink"/>
                  <w:rFonts w:cs="Arial"/>
                  <w:sz w:val="20"/>
                </w:rPr>
                <w:t xml:space="preserve">Statement </w:t>
              </w:r>
              <w:r w:rsidRPr="00273559" w:rsidR="002F46D1">
                <w:rPr>
                  <w:rStyle w:val="Hyperlink"/>
                  <w:rFonts w:cs="Arial"/>
                  <w:sz w:val="20"/>
                </w:rPr>
                <w:t xml:space="preserve">Program </w:t>
              </w:r>
              <w:r w:rsidRPr="00273559" w:rsidR="00273559">
                <w:rPr>
                  <w:rStyle w:val="Hyperlink"/>
                  <w:rFonts w:cs="Arial"/>
                  <w:sz w:val="20"/>
                </w:rPr>
                <w:t>Director</w:t>
              </w:r>
            </w:hyperlink>
          </w:p>
          <w:p w:rsidRPr="00CF0EDB" w:rsidR="002F46D1" w:rsidP="00CF0EDB" w:rsidRDefault="00C57A4B" w14:paraId="40A24DD9" w14:textId="2A6346B9">
            <w:pPr>
              <w:spacing w:before="60" w:after="60"/>
              <w:ind w:left="0"/>
              <w:jc w:val="left"/>
              <w:rPr>
                <w:rFonts w:cs="Arial"/>
                <w:sz w:val="20"/>
              </w:rPr>
            </w:pPr>
            <w:hyperlink w:history="1" r:id="rId16">
              <w:r w:rsidRPr="00CF0EDB" w:rsidR="002F46D1">
                <w:rPr>
                  <w:rStyle w:val="Hyperlink"/>
                  <w:rFonts w:cs="Arial"/>
                  <w:sz w:val="20"/>
                </w:rPr>
                <w:t>University Reviews Guidelines</w:t>
              </w:r>
            </w:hyperlink>
          </w:p>
          <w:p w:rsidRPr="00A04718" w:rsidR="0065750B" w:rsidP="00CF0EDB" w:rsidRDefault="00C57A4B" w14:paraId="40A24DDA" w14:textId="77777777">
            <w:pPr>
              <w:spacing w:before="60" w:after="60"/>
              <w:ind w:left="0"/>
              <w:jc w:val="left"/>
              <w:rPr>
                <w:rFonts w:cs="Arial"/>
                <w:sz w:val="20"/>
              </w:rPr>
            </w:pPr>
            <w:hyperlink w:history="1" r:id="rId17">
              <w:r w:rsidRPr="00CF0EDB" w:rsidR="0065750B">
                <w:rPr>
                  <w:rStyle w:val="Hyperlink"/>
                  <w:rFonts w:cs="Arial"/>
                  <w:sz w:val="20"/>
                </w:rPr>
                <w:t>School Committee Constitution</w:t>
              </w:r>
            </w:hyperlink>
          </w:p>
        </w:tc>
      </w:tr>
      <w:tr w:rsidRPr="00474FF5" w:rsidR="00B86B55" w:rsidTr="789DD483" w14:paraId="40A24DDD"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P="00DF6B3C" w:rsidRDefault="00DF6B3C" w14:paraId="40A24DDC" w14:textId="77777777">
            <w:pPr>
              <w:spacing w:before="60" w:after="60"/>
              <w:ind w:left="0"/>
              <w:rPr>
                <w:rFonts w:cs="Arial"/>
                <w:sz w:val="20"/>
              </w:rPr>
            </w:pPr>
            <w:r w:rsidRPr="00DF6B3C">
              <w:rPr>
                <w:rFonts w:cs="Arial"/>
                <w:sz w:val="20"/>
              </w:rPr>
              <w:t>[</w:t>
            </w:r>
            <w:hyperlink w:history="1" w:anchor="purpose">
              <w:r w:rsidRPr="005B0980">
                <w:rPr>
                  <w:rStyle w:val="Hyperlink"/>
                  <w:rFonts w:cs="Arial"/>
                  <w:sz w:val="20"/>
                </w:rPr>
                <w:t>Purpose</w:t>
              </w:r>
            </w:hyperlink>
            <w:r w:rsidRPr="00DF6B3C">
              <w:rPr>
                <w:rFonts w:cs="Arial"/>
                <w:sz w:val="20"/>
              </w:rPr>
              <w:t>] [</w:t>
            </w:r>
            <w:hyperlink w:history="1" w:anchor="instruments">
              <w:r w:rsidRPr="005B0980">
                <w:rPr>
                  <w:rStyle w:val="Hyperlink"/>
                  <w:rFonts w:cs="Arial"/>
                  <w:sz w:val="20"/>
                </w:rPr>
                <w:t>Student Experience Instruments</w:t>
              </w:r>
            </w:hyperlink>
            <w:r w:rsidRPr="00DF6B3C">
              <w:rPr>
                <w:rFonts w:cs="Arial"/>
                <w:sz w:val="20"/>
              </w:rPr>
              <w:t>] [</w:t>
            </w:r>
            <w:hyperlink w:history="1" w:anchor="responsibilities">
              <w:r w:rsidRPr="005B0980">
                <w:rPr>
                  <w:rStyle w:val="Hyperlink"/>
                  <w:rFonts w:cs="Arial"/>
                  <w:sz w:val="20"/>
                </w:rPr>
                <w:t>Responsibilities</w:t>
              </w:r>
            </w:hyperlink>
            <w:r w:rsidRPr="00DF6B3C">
              <w:rPr>
                <w:rFonts w:cs="Arial"/>
                <w:sz w:val="20"/>
              </w:rPr>
              <w:t>] [</w:t>
            </w:r>
            <w:hyperlink w:history="1" w:anchor="accesstodata">
              <w:r w:rsidRPr="005B0980">
                <w:rPr>
                  <w:rStyle w:val="Hyperlink"/>
                  <w:rFonts w:cs="Arial"/>
                  <w:sz w:val="20"/>
                </w:rPr>
                <w:t>Access to Data</w:t>
              </w:r>
            </w:hyperlink>
            <w:r w:rsidRPr="00DF6B3C">
              <w:rPr>
                <w:rFonts w:cs="Arial"/>
                <w:sz w:val="20"/>
              </w:rPr>
              <w:t>] [</w:t>
            </w:r>
            <w:hyperlink w:history="1" w:anchor="retentionofdata">
              <w:r w:rsidRPr="005B0980">
                <w:rPr>
                  <w:rStyle w:val="Hyperlink"/>
                  <w:rFonts w:cs="Arial"/>
                  <w:sz w:val="20"/>
                </w:rPr>
                <w:t>Retention of Data</w:t>
              </w:r>
            </w:hyperlink>
            <w:r w:rsidRPr="00DF6B3C">
              <w:rPr>
                <w:rFonts w:cs="Arial"/>
                <w:sz w:val="20"/>
              </w:rPr>
              <w:t>] [</w:t>
            </w:r>
            <w:hyperlink w:history="1" w:anchor="support">
              <w:r w:rsidRPr="005B0980">
                <w:rPr>
                  <w:rStyle w:val="Hyperlink"/>
                  <w:rFonts w:cs="Arial"/>
                  <w:sz w:val="20"/>
                </w:rPr>
                <w:t>Support and Further Resources</w:t>
              </w:r>
            </w:hyperlink>
            <w:r w:rsidRPr="00DF6B3C">
              <w:rPr>
                <w:rFonts w:cs="Arial"/>
                <w:sz w:val="20"/>
              </w:rPr>
              <w:t>]</w:t>
            </w:r>
          </w:p>
        </w:tc>
      </w:tr>
    </w:tbl>
    <w:p w:rsidR="00B60274" w:rsidP="00B60274" w:rsidRDefault="00B60274" w14:paraId="40A24DDE" w14:textId="77777777">
      <w:pPr>
        <w:ind w:left="0"/>
        <w:rPr>
          <w:rFonts w:cs="Arial"/>
          <w:b/>
          <w:caps/>
          <w:sz w:val="20"/>
        </w:rPr>
      </w:pPr>
    </w:p>
    <w:p w:rsidRPr="00B60274" w:rsidR="00B60274" w:rsidP="00B60274" w:rsidRDefault="00B60274" w14:paraId="40A24DDF" w14:textId="77777777">
      <w:pPr>
        <w:ind w:left="0"/>
        <w:rPr>
          <w:rFonts w:cs="Arial"/>
          <w:b/>
          <w:sz w:val="20"/>
        </w:rPr>
      </w:pPr>
      <w:r w:rsidRPr="00B60274">
        <w:rPr>
          <w:rFonts w:cs="Arial"/>
          <w:b/>
          <w:sz w:val="20"/>
        </w:rPr>
        <w:t>Interpretation</w:t>
      </w:r>
    </w:p>
    <w:p w:rsidRPr="00B60274" w:rsidR="00B60274" w:rsidP="00B60274" w:rsidRDefault="00B60274" w14:paraId="40A24DE0" w14:textId="5B89EF5B">
      <w:pPr>
        <w:ind w:left="0"/>
        <w:rPr>
          <w:rFonts w:cs="Arial"/>
          <w:sz w:val="20"/>
        </w:rPr>
      </w:pPr>
      <w:r w:rsidRPr="00B60274">
        <w:rPr>
          <w:rFonts w:cs="Arial"/>
          <w:sz w:val="20"/>
        </w:rPr>
        <w:t xml:space="preserve">In this policy, reference to Academic Group, School, Group Pro Vice Chancellor, Dean or Head of School has the meaning set out in the </w:t>
      </w:r>
      <w:hyperlink w:history="1" r:id="rId18">
        <w:r w:rsidRPr="00646BFC" w:rsidR="00646BFC">
          <w:rPr>
            <w:rStyle w:val="Hyperlink"/>
            <w:rFonts w:cs="Arial"/>
            <w:sz w:val="20"/>
          </w:rPr>
          <w:t>Structure and Governance of Academic Groups of the University</w:t>
        </w:r>
      </w:hyperlink>
      <w:r w:rsidRPr="00B60274">
        <w:rPr>
          <w:rFonts w:cs="Arial"/>
          <w:sz w:val="20"/>
        </w:rPr>
        <w:t>.</w:t>
      </w:r>
    </w:p>
    <w:p w:rsidRPr="00B34D13" w:rsidR="00E20578" w:rsidP="002E6385" w:rsidRDefault="00B60274" w14:paraId="40A24DE1" w14:textId="77777777">
      <w:pPr>
        <w:numPr>
          <w:ilvl w:val="0"/>
          <w:numId w:val="2"/>
        </w:numPr>
        <w:spacing w:before="100" w:beforeAutospacing="1" w:after="240"/>
        <w:rPr>
          <w:rFonts w:cs="Arial"/>
          <w:b/>
          <w:caps/>
          <w:sz w:val="24"/>
          <w:szCs w:val="24"/>
        </w:rPr>
      </w:pPr>
      <w:bookmarkStart w:name="purpose" w:id="0"/>
      <w:bookmarkEnd w:id="0"/>
      <w:r w:rsidRPr="00B60274">
        <w:rPr>
          <w:b/>
          <w:caps/>
          <w:sz w:val="24"/>
          <w:szCs w:val="24"/>
        </w:rPr>
        <w:t>Purpose</w:t>
      </w:r>
    </w:p>
    <w:p w:rsidRPr="00B60274" w:rsidR="00B60274" w:rsidP="00B60274" w:rsidRDefault="00B60274" w14:paraId="40A24DE2" w14:textId="77777777">
      <w:pPr>
        <w:rPr>
          <w:rFonts w:cs="Arial"/>
          <w:sz w:val="20"/>
        </w:rPr>
      </w:pPr>
      <w:r w:rsidRPr="00B60274">
        <w:rPr>
          <w:rFonts w:cs="Arial"/>
          <w:sz w:val="20"/>
        </w:rPr>
        <w:t>Griffith is committed to a University-wide approach to gathering feedback from students about teaching and courses, the implementation of which are supported by processes that are effective, efficient, comprehensive, systematic and sustainable.</w:t>
      </w:r>
    </w:p>
    <w:p w:rsidRPr="00B60274" w:rsidR="00B60274" w:rsidP="00B60274" w:rsidRDefault="00B60274" w14:paraId="40A24DE3" w14:textId="77777777">
      <w:pPr>
        <w:rPr>
          <w:rFonts w:cs="Arial"/>
          <w:sz w:val="20"/>
        </w:rPr>
      </w:pPr>
      <w:r w:rsidRPr="00B60274">
        <w:rPr>
          <w:rFonts w:cs="Arial"/>
          <w:sz w:val="20"/>
        </w:rPr>
        <w:t>Griffith University uses a wide range of methods to gather data to evaluate teaching and its courses. The data are used routinely as part of Griffith's ongoing quality assurance processes and to support scholarship in teaching. One of the methods of gathering data is to collect feedback on courses and teaching from students using survey instruments.</w:t>
      </w:r>
    </w:p>
    <w:p w:rsidRPr="00B60274" w:rsidR="00B60274" w:rsidP="00B60274" w:rsidRDefault="00B60274" w14:paraId="40A24DE4" w14:textId="77777777">
      <w:pPr>
        <w:rPr>
          <w:rFonts w:cs="Arial"/>
          <w:sz w:val="20"/>
        </w:rPr>
      </w:pPr>
      <w:r>
        <w:rPr>
          <w:rFonts w:cs="Arial"/>
          <w:sz w:val="20"/>
        </w:rPr>
        <w:t>T</w:t>
      </w:r>
      <w:r w:rsidRPr="00B60274">
        <w:rPr>
          <w:rFonts w:cs="Arial"/>
          <w:sz w:val="20"/>
        </w:rPr>
        <w:t>he specific purpose of gathering feedback from students is to:</w:t>
      </w:r>
    </w:p>
    <w:p w:rsidRPr="00B60274" w:rsidR="00B60274" w:rsidP="002E6385" w:rsidRDefault="00B60274" w14:paraId="40A24DE5" w14:textId="745CF397">
      <w:pPr>
        <w:pStyle w:val="ListParagraph"/>
        <w:numPr>
          <w:ilvl w:val="0"/>
          <w:numId w:val="4"/>
        </w:numPr>
        <w:rPr>
          <w:rFonts w:cs="Arial"/>
          <w:sz w:val="20"/>
        </w:rPr>
      </w:pPr>
      <w:r w:rsidRPr="00B60274">
        <w:rPr>
          <w:rFonts w:cs="Arial"/>
          <w:sz w:val="20"/>
        </w:rPr>
        <w:t xml:space="preserve">inform the routine evaluation of a course to assure the University and the </w:t>
      </w:r>
      <w:r w:rsidR="00926FAE">
        <w:rPr>
          <w:rFonts w:cs="Arial"/>
          <w:sz w:val="20"/>
        </w:rPr>
        <w:t>Program Director</w:t>
      </w:r>
      <w:r w:rsidRPr="00B60274">
        <w:rPr>
          <w:rFonts w:cs="Arial"/>
          <w:sz w:val="20"/>
        </w:rPr>
        <w:t xml:space="preserve"> that the course is contributing to learning in the program as intended and that the learning outcomes are consistent with those stated for the course.</w:t>
      </w:r>
    </w:p>
    <w:p w:rsidRPr="00B60274" w:rsidR="00B60274" w:rsidP="002E6385" w:rsidRDefault="00B60274" w14:paraId="40A24DE6" w14:textId="77777777">
      <w:pPr>
        <w:pStyle w:val="ListParagraph"/>
        <w:numPr>
          <w:ilvl w:val="0"/>
          <w:numId w:val="4"/>
        </w:numPr>
        <w:rPr>
          <w:rFonts w:cs="Arial"/>
          <w:sz w:val="20"/>
        </w:rPr>
      </w:pPr>
      <w:r w:rsidRPr="00B60274">
        <w:rPr>
          <w:rFonts w:cs="Arial"/>
          <w:sz w:val="20"/>
        </w:rPr>
        <w:t>encourage academic staff to monitor and enhance the quality of teaching and learning within their courses by linking the student feedback processes with academic staff promotion and performance management processes including the voluntary compilation of teaching portfolios.</w:t>
      </w:r>
    </w:p>
    <w:p w:rsidRPr="00B60274" w:rsidR="00B60274" w:rsidP="002E6385" w:rsidRDefault="00B60274" w14:paraId="40A24DE7" w14:textId="77777777">
      <w:pPr>
        <w:pStyle w:val="ListParagraph"/>
        <w:numPr>
          <w:ilvl w:val="0"/>
          <w:numId w:val="4"/>
        </w:numPr>
        <w:rPr>
          <w:rFonts w:cs="Arial"/>
          <w:sz w:val="20"/>
        </w:rPr>
      </w:pPr>
      <w:r w:rsidRPr="00B60274">
        <w:rPr>
          <w:rFonts w:cs="Arial"/>
          <w:sz w:val="20"/>
        </w:rPr>
        <w:lastRenderedPageBreak/>
        <w:t>encourage academic staff to engage in scholarship in teaching by reflecting, in the light of the feedback, on the course design and delivery and the development of new and/or improved approaches to learning and teaching.</w:t>
      </w:r>
    </w:p>
    <w:p w:rsidRPr="00B60274" w:rsidR="00B60274" w:rsidP="002E6385" w:rsidRDefault="00B60274" w14:paraId="40A24DE8" w14:textId="77777777">
      <w:pPr>
        <w:pStyle w:val="ListParagraph"/>
        <w:numPr>
          <w:ilvl w:val="0"/>
          <w:numId w:val="4"/>
        </w:numPr>
        <w:rPr>
          <w:rFonts w:cs="Arial"/>
          <w:sz w:val="20"/>
        </w:rPr>
      </w:pPr>
      <w:r w:rsidRPr="00B60274">
        <w:rPr>
          <w:rFonts w:cs="Arial"/>
          <w:sz w:val="20"/>
        </w:rPr>
        <w:t>improve students' experience of teaching and learning at the University.</w:t>
      </w:r>
    </w:p>
    <w:p w:rsidRPr="00B60274" w:rsidR="00B60274" w:rsidP="002E6385" w:rsidRDefault="00B60274" w14:paraId="40A24DE9" w14:textId="77777777">
      <w:pPr>
        <w:pStyle w:val="ListParagraph"/>
        <w:numPr>
          <w:ilvl w:val="0"/>
          <w:numId w:val="4"/>
        </w:numPr>
        <w:rPr>
          <w:rFonts w:cs="Arial"/>
          <w:sz w:val="20"/>
        </w:rPr>
      </w:pPr>
      <w:r w:rsidRPr="00B60274">
        <w:rPr>
          <w:rFonts w:cs="Arial"/>
          <w:sz w:val="20"/>
        </w:rPr>
        <w:t>provide a mechanism for students, as important stakeholders, to provide input to processes to enhance the quality of learning and teaching.</w:t>
      </w:r>
    </w:p>
    <w:p w:rsidR="000F4E60" w:rsidP="00B60274" w:rsidRDefault="00B60274" w14:paraId="454B768F" w14:textId="77777777">
      <w:pPr>
        <w:rPr>
          <w:rFonts w:cs="Arial"/>
          <w:sz w:val="20"/>
        </w:rPr>
      </w:pPr>
      <w:r w:rsidRPr="00B60274">
        <w:rPr>
          <w:rFonts w:cs="Arial"/>
          <w:sz w:val="20"/>
        </w:rPr>
        <w:t>Completion of a feedback instrument or participation in a feedback process by a student is taken as consent to the use of the data provided in the ways indicated above. In all cases, the anonymity of the participants who provide feedback to the University will be maintained. This provision relates to both the use and storage of data. Any case where anonymity will not be maintained is subject to specific ethical clearance by the University's Human Research Ethics Committee and must be notified to students before data collection commences.</w:t>
      </w:r>
    </w:p>
    <w:p w:rsidRPr="00A62490" w:rsidR="00B34D13" w:rsidP="000F4E60" w:rsidRDefault="00C57A4B" w14:paraId="40A24DEA" w14:textId="43DCFA03">
      <w:pPr>
        <w:ind w:left="0"/>
        <w:rPr>
          <w:rFonts w:cs="Arial"/>
          <w:sz w:val="20"/>
        </w:rPr>
      </w:pPr>
      <w:r>
        <w:rPr>
          <w:rFonts w:cs="Arial"/>
          <w:sz w:val="20"/>
        </w:rPr>
        <w:pict w14:anchorId="36A8DAFE">
          <v:rect id="_x0000_i1025" style="width:447.9pt;height:1pt" o:hr="t" o:hrstd="t" o:hrnoshade="t" o:hralign="center" fillcolor="#bfbfbf [2412]" stroked="f"/>
        </w:pict>
      </w:r>
    </w:p>
    <w:p w:rsidRPr="00B34D13" w:rsidR="00B35FB8" w:rsidP="002E6385" w:rsidRDefault="00B60274" w14:paraId="40A24DEB" w14:textId="77777777">
      <w:pPr>
        <w:numPr>
          <w:ilvl w:val="0"/>
          <w:numId w:val="2"/>
        </w:numPr>
        <w:spacing w:before="100" w:beforeAutospacing="1" w:after="240"/>
        <w:rPr>
          <w:rFonts w:cs="Arial"/>
          <w:b/>
          <w:caps/>
          <w:sz w:val="24"/>
          <w:szCs w:val="24"/>
        </w:rPr>
      </w:pPr>
      <w:bookmarkStart w:name="instruments" w:id="1"/>
      <w:bookmarkEnd w:id="1"/>
      <w:r w:rsidRPr="00B60274">
        <w:rPr>
          <w:b/>
          <w:caps/>
          <w:sz w:val="24"/>
          <w:szCs w:val="24"/>
        </w:rPr>
        <w:t>Student Experience Instruments</w:t>
      </w:r>
    </w:p>
    <w:p w:rsidRPr="00B60274" w:rsidR="00B60274" w:rsidP="00B60274" w:rsidRDefault="00B60274" w14:paraId="40A24DEC" w14:textId="77777777">
      <w:pPr>
        <w:rPr>
          <w:rFonts w:cs="Arial"/>
          <w:sz w:val="20"/>
        </w:rPr>
      </w:pPr>
      <w:r w:rsidRPr="00B60274">
        <w:rPr>
          <w:rFonts w:cs="Arial"/>
          <w:sz w:val="20"/>
        </w:rPr>
        <w:t>The primary, University-wide, method for students to provide feedback on:</w:t>
      </w:r>
    </w:p>
    <w:p w:rsidRPr="00B60274" w:rsidR="00B60274" w:rsidP="002E6385" w:rsidRDefault="00B60274" w14:paraId="40A24DED" w14:textId="77777777">
      <w:pPr>
        <w:pStyle w:val="ListParagraph"/>
        <w:numPr>
          <w:ilvl w:val="0"/>
          <w:numId w:val="5"/>
        </w:numPr>
        <w:rPr>
          <w:rFonts w:cs="Arial"/>
          <w:sz w:val="20"/>
        </w:rPr>
      </w:pPr>
      <w:r w:rsidRPr="00B60274">
        <w:rPr>
          <w:rFonts w:cs="Arial"/>
          <w:sz w:val="20"/>
        </w:rPr>
        <w:t>teaching is SET - Student Experience of Teaching</w:t>
      </w:r>
    </w:p>
    <w:p w:rsidRPr="00B60274" w:rsidR="00431ED9" w:rsidP="002E6385" w:rsidRDefault="00B60274" w14:paraId="40A24DEE" w14:textId="77777777">
      <w:pPr>
        <w:pStyle w:val="ListParagraph"/>
        <w:numPr>
          <w:ilvl w:val="0"/>
          <w:numId w:val="5"/>
        </w:numPr>
        <w:rPr>
          <w:rFonts w:cs="Arial"/>
          <w:sz w:val="20"/>
        </w:rPr>
      </w:pPr>
      <w:r w:rsidRPr="00B60274">
        <w:rPr>
          <w:rFonts w:cs="Arial"/>
          <w:sz w:val="20"/>
        </w:rPr>
        <w:t>a course is SEC - Student Experience of a Course</w:t>
      </w:r>
    </w:p>
    <w:p w:rsidRPr="00B60274" w:rsidR="00B60274" w:rsidP="002E6385" w:rsidRDefault="00B60274" w14:paraId="40A24DEF" w14:textId="77777777">
      <w:pPr>
        <w:numPr>
          <w:ilvl w:val="1"/>
          <w:numId w:val="2"/>
        </w:numPr>
        <w:tabs>
          <w:tab w:val="clear" w:pos="1146"/>
          <w:tab w:val="left" w:pos="1134"/>
        </w:tabs>
        <w:rPr>
          <w:rFonts w:cs="Arial"/>
          <w:b/>
          <w:sz w:val="20"/>
        </w:rPr>
      </w:pPr>
      <w:r w:rsidRPr="00B60274">
        <w:rPr>
          <w:rFonts w:cs="Arial"/>
          <w:b/>
          <w:sz w:val="20"/>
        </w:rPr>
        <w:t>Timing of Student Feedback</w:t>
      </w:r>
    </w:p>
    <w:p w:rsidRPr="00B60274" w:rsidR="00B60274" w:rsidP="00B60274" w:rsidRDefault="00B60274" w14:paraId="40A24DF0" w14:textId="77777777">
      <w:pPr>
        <w:tabs>
          <w:tab w:val="left" w:pos="1134"/>
        </w:tabs>
        <w:ind w:left="1146"/>
        <w:rPr>
          <w:rFonts w:cs="Arial"/>
          <w:sz w:val="20"/>
        </w:rPr>
      </w:pPr>
      <w:r w:rsidRPr="00B60274">
        <w:rPr>
          <w:rFonts w:cs="Arial"/>
          <w:sz w:val="20"/>
        </w:rPr>
        <w:t>As a general principle students are to be given the opportunity to provide feedback on the teaching of any academic staff member who makes a substantial contribution to a course. This feedback is to be obtained by academic staff using SET a minimum of every second time they teach that course or every two years, whichever is sooner. A Head of School may choose to gather feedback on teaching using SETs when a person teaches a course for the first time, whenever there are major changes to the teaching methods or strategy employed, or whenever concerns are raised by students or others.</w:t>
      </w:r>
    </w:p>
    <w:p w:rsidRPr="00B60274" w:rsidR="00B60274" w:rsidP="00B60274" w:rsidRDefault="00B60274" w14:paraId="40A24DF1" w14:textId="087E7F0A">
      <w:pPr>
        <w:tabs>
          <w:tab w:val="left" w:pos="1134"/>
        </w:tabs>
        <w:ind w:left="1146"/>
        <w:rPr>
          <w:rFonts w:cs="Arial"/>
          <w:sz w:val="20"/>
        </w:rPr>
      </w:pPr>
      <w:r w:rsidRPr="00B60274">
        <w:rPr>
          <w:rFonts w:cs="Arial"/>
          <w:sz w:val="20"/>
        </w:rPr>
        <w:t xml:space="preserve">All courses in Griffith undergraduate and coursework postgraduate programs, with the exception of literature review courses, research proposal courses, the first part/s of multi-sequence courses including year-long courses, theses and dissertations, are to be evaluated using the Student Experience of Courses (SEC) survey instrument in every </w:t>
      </w:r>
      <w:r w:rsidR="00E91FB2">
        <w:rPr>
          <w:rFonts w:cs="Arial"/>
          <w:sz w:val="20"/>
        </w:rPr>
        <w:t>trimester</w:t>
      </w:r>
      <w:r w:rsidRPr="00B60274" w:rsidR="00E91FB2">
        <w:rPr>
          <w:rFonts w:cs="Arial"/>
          <w:sz w:val="20"/>
        </w:rPr>
        <w:t xml:space="preserve"> </w:t>
      </w:r>
      <w:r w:rsidRPr="00B60274">
        <w:rPr>
          <w:rFonts w:cs="Arial"/>
          <w:sz w:val="20"/>
        </w:rPr>
        <w:t xml:space="preserve">the course is offered. The SEC/SET Co-ordinator located in </w:t>
      </w:r>
      <w:r w:rsidR="0098597D">
        <w:rPr>
          <w:rFonts w:cs="Arial"/>
          <w:sz w:val="20"/>
        </w:rPr>
        <w:t>the Office of Planning Services</w:t>
      </w:r>
      <w:r w:rsidRPr="00B60274">
        <w:rPr>
          <w:rFonts w:cs="Arial"/>
          <w:sz w:val="20"/>
        </w:rPr>
        <w:t xml:space="preserve"> is responsible for initiating SEC surveys in each teaching period.</w:t>
      </w:r>
    </w:p>
    <w:p w:rsidRPr="00B60274" w:rsidR="00B60274" w:rsidP="00B60274" w:rsidRDefault="00B60274" w14:paraId="40A24DF2" w14:textId="77777777">
      <w:pPr>
        <w:tabs>
          <w:tab w:val="left" w:pos="1134"/>
        </w:tabs>
        <w:ind w:left="1146"/>
        <w:rPr>
          <w:rFonts w:cs="Arial"/>
          <w:sz w:val="20"/>
        </w:rPr>
      </w:pPr>
      <w:r w:rsidRPr="00B60274">
        <w:rPr>
          <w:rFonts w:cs="Arial"/>
          <w:sz w:val="20"/>
        </w:rPr>
        <w:t>Course Convenors will be advised when a SEC has been initiated by Experience@Griffith.</w:t>
      </w:r>
    </w:p>
    <w:p w:rsidRPr="00B60274" w:rsidR="00B60274" w:rsidP="002E6385" w:rsidRDefault="00B60274" w14:paraId="40A24DF3" w14:textId="77777777">
      <w:pPr>
        <w:numPr>
          <w:ilvl w:val="1"/>
          <w:numId w:val="2"/>
        </w:numPr>
        <w:tabs>
          <w:tab w:val="clear" w:pos="1146"/>
          <w:tab w:val="left" w:pos="1134"/>
        </w:tabs>
        <w:rPr>
          <w:rFonts w:cs="Arial"/>
          <w:b/>
          <w:sz w:val="20"/>
        </w:rPr>
      </w:pPr>
      <w:r w:rsidRPr="00B60274">
        <w:rPr>
          <w:rFonts w:cs="Arial"/>
          <w:b/>
          <w:sz w:val="20"/>
        </w:rPr>
        <w:t>Student Experience of Teaching (SET)</w:t>
      </w:r>
    </w:p>
    <w:p w:rsidRPr="00B60274" w:rsidR="00B60274" w:rsidP="00B60274" w:rsidRDefault="00B60274" w14:paraId="40A24DF4" w14:textId="77777777">
      <w:pPr>
        <w:tabs>
          <w:tab w:val="left" w:pos="1134"/>
        </w:tabs>
        <w:ind w:left="1146"/>
        <w:rPr>
          <w:rFonts w:cs="Arial"/>
          <w:sz w:val="20"/>
        </w:rPr>
      </w:pPr>
      <w:r w:rsidRPr="00B60274">
        <w:rPr>
          <w:rFonts w:cs="Arial"/>
          <w:sz w:val="20"/>
        </w:rPr>
        <w:t xml:space="preserve">The SET instrument is designed to: </w:t>
      </w:r>
    </w:p>
    <w:p w:rsidRPr="001E0FB5" w:rsidR="00B60274" w:rsidP="002E6385" w:rsidRDefault="00B60274" w14:paraId="40A24DF5" w14:textId="77777777">
      <w:pPr>
        <w:pStyle w:val="ListParagraph"/>
        <w:numPr>
          <w:ilvl w:val="0"/>
          <w:numId w:val="6"/>
        </w:numPr>
        <w:tabs>
          <w:tab w:val="left" w:pos="1134"/>
        </w:tabs>
        <w:rPr>
          <w:rFonts w:cs="Arial"/>
          <w:sz w:val="20"/>
        </w:rPr>
      </w:pPr>
      <w:r w:rsidRPr="001E0FB5">
        <w:rPr>
          <w:rFonts w:cs="Arial"/>
          <w:sz w:val="20"/>
        </w:rPr>
        <w:t>provide valuable feedback to teaching staff and the University about student satisfaction with key elements of teaching;</w:t>
      </w:r>
    </w:p>
    <w:p w:rsidRPr="001E0FB5" w:rsidR="00B60274" w:rsidP="002E6385" w:rsidRDefault="00B60274" w14:paraId="40A24DF6" w14:textId="77777777">
      <w:pPr>
        <w:pStyle w:val="ListParagraph"/>
        <w:numPr>
          <w:ilvl w:val="0"/>
          <w:numId w:val="6"/>
        </w:numPr>
        <w:tabs>
          <w:tab w:val="left" w:pos="1134"/>
        </w:tabs>
        <w:rPr>
          <w:rFonts w:cs="Arial"/>
          <w:sz w:val="20"/>
        </w:rPr>
      </w:pPr>
      <w:r w:rsidRPr="001E0FB5">
        <w:rPr>
          <w:rFonts w:cs="Arial"/>
          <w:sz w:val="20"/>
        </w:rPr>
        <w:t xml:space="preserve">allow academics to ask questions about additional area(s) of particular interest, such as (1) an area where they need more information than the mandatory questions alone provide, or (2) specific features of teaching. In this way the instrument can be sensitive to individual needs and specific teaching contexts; and </w:t>
      </w:r>
    </w:p>
    <w:p w:rsidRPr="001E0FB5" w:rsidR="00B60274" w:rsidP="002E6385" w:rsidRDefault="00B60274" w14:paraId="40A24DF7" w14:textId="77777777">
      <w:pPr>
        <w:pStyle w:val="ListParagraph"/>
        <w:numPr>
          <w:ilvl w:val="0"/>
          <w:numId w:val="6"/>
        </w:numPr>
        <w:tabs>
          <w:tab w:val="left" w:pos="1134"/>
        </w:tabs>
        <w:rPr>
          <w:rFonts w:cs="Arial"/>
          <w:sz w:val="20"/>
        </w:rPr>
      </w:pPr>
      <w:r w:rsidRPr="001E0FB5">
        <w:rPr>
          <w:rFonts w:cs="Arial"/>
          <w:sz w:val="20"/>
        </w:rPr>
        <w:t xml:space="preserve">provide academic staff with qualitative comments. Individual comments should assist in the understanding of the numerical responses received by providing reinforcing or diagnostic feedback on aspects not necessarily covered by the instrument's items. </w:t>
      </w:r>
    </w:p>
    <w:p w:rsidRPr="00B60274" w:rsidR="00B60274" w:rsidP="001E0FB5" w:rsidRDefault="00B60274" w14:paraId="40A24DF8" w14:textId="77777777">
      <w:pPr>
        <w:tabs>
          <w:tab w:val="left" w:pos="1134"/>
        </w:tabs>
        <w:ind w:left="1146"/>
        <w:rPr>
          <w:rFonts w:cs="Arial"/>
          <w:sz w:val="20"/>
        </w:rPr>
      </w:pPr>
      <w:r w:rsidRPr="00B60274">
        <w:rPr>
          <w:rFonts w:cs="Arial"/>
          <w:sz w:val="20"/>
        </w:rPr>
        <w:t xml:space="preserve">The Griffith Student Experience of Teaching (SET) instrument consists of three sections: </w:t>
      </w:r>
    </w:p>
    <w:p w:rsidRPr="001E0FB5" w:rsidR="00B60274" w:rsidP="002E6385" w:rsidRDefault="00B60274" w14:paraId="40A24DF9" w14:textId="77777777">
      <w:pPr>
        <w:pStyle w:val="ListParagraph"/>
        <w:numPr>
          <w:ilvl w:val="0"/>
          <w:numId w:val="7"/>
        </w:numPr>
        <w:tabs>
          <w:tab w:val="left" w:pos="1134"/>
        </w:tabs>
        <w:rPr>
          <w:rFonts w:cs="Arial"/>
          <w:sz w:val="20"/>
        </w:rPr>
      </w:pPr>
      <w:r w:rsidRPr="001E0FB5">
        <w:rPr>
          <w:rFonts w:cs="Arial"/>
          <w:sz w:val="20"/>
        </w:rPr>
        <w:t>mandatory, fixed questions which are the same across the whole institution;</w:t>
      </w:r>
    </w:p>
    <w:p w:rsidRPr="001E0FB5" w:rsidR="00B60274" w:rsidP="002E6385" w:rsidRDefault="00B60274" w14:paraId="40A24DFA" w14:textId="77777777">
      <w:pPr>
        <w:pStyle w:val="ListParagraph"/>
        <w:numPr>
          <w:ilvl w:val="0"/>
          <w:numId w:val="7"/>
        </w:numPr>
        <w:tabs>
          <w:tab w:val="left" w:pos="1134"/>
        </w:tabs>
        <w:rPr>
          <w:rFonts w:cs="Arial"/>
          <w:sz w:val="20"/>
        </w:rPr>
      </w:pPr>
      <w:r w:rsidRPr="001E0FB5">
        <w:rPr>
          <w:rFonts w:cs="Arial"/>
          <w:sz w:val="20"/>
        </w:rPr>
        <w:t>additional, but optional, questions selected by the individual academic staff from a database of questions; and</w:t>
      </w:r>
    </w:p>
    <w:p w:rsidRPr="001E0FB5" w:rsidR="00B60274" w:rsidP="002E6385" w:rsidRDefault="00B60274" w14:paraId="40A24DFB" w14:textId="77777777">
      <w:pPr>
        <w:pStyle w:val="ListParagraph"/>
        <w:numPr>
          <w:ilvl w:val="0"/>
          <w:numId w:val="7"/>
        </w:numPr>
        <w:tabs>
          <w:tab w:val="left" w:pos="1134"/>
        </w:tabs>
        <w:rPr>
          <w:rFonts w:cs="Arial"/>
          <w:sz w:val="20"/>
        </w:rPr>
      </w:pPr>
      <w:r w:rsidRPr="001E0FB5">
        <w:rPr>
          <w:rFonts w:cs="Arial"/>
          <w:sz w:val="20"/>
        </w:rPr>
        <w:t>spaces for respondents to write comments as text, with open-ended prompts to identify aspects done well and those that could be improved.</w:t>
      </w:r>
    </w:p>
    <w:p w:rsidRPr="001E0FB5" w:rsidR="00B60274" w:rsidP="002E6385" w:rsidRDefault="00B60274" w14:paraId="40A24DFD" w14:textId="77777777">
      <w:pPr>
        <w:numPr>
          <w:ilvl w:val="1"/>
          <w:numId w:val="2"/>
        </w:numPr>
        <w:tabs>
          <w:tab w:val="clear" w:pos="1146"/>
          <w:tab w:val="left" w:pos="1134"/>
        </w:tabs>
        <w:rPr>
          <w:rFonts w:cs="Arial"/>
          <w:b/>
          <w:sz w:val="20"/>
        </w:rPr>
      </w:pPr>
      <w:r w:rsidRPr="001E0FB5">
        <w:rPr>
          <w:rFonts w:cs="Arial"/>
          <w:b/>
          <w:sz w:val="20"/>
        </w:rPr>
        <w:lastRenderedPageBreak/>
        <w:t>Student Experience of a Course (SEC)</w:t>
      </w:r>
    </w:p>
    <w:p w:rsidRPr="00B60274" w:rsidR="00B60274" w:rsidP="001E0FB5" w:rsidRDefault="00B60274" w14:paraId="40A24DFE" w14:textId="77777777">
      <w:pPr>
        <w:tabs>
          <w:tab w:val="left" w:pos="1134"/>
        </w:tabs>
        <w:ind w:left="1146"/>
        <w:rPr>
          <w:rFonts w:cs="Arial"/>
          <w:sz w:val="20"/>
        </w:rPr>
      </w:pPr>
      <w:r w:rsidRPr="00B60274">
        <w:rPr>
          <w:rFonts w:cs="Arial"/>
          <w:sz w:val="20"/>
        </w:rPr>
        <w:t>The SEC instrument is designed to:</w:t>
      </w:r>
    </w:p>
    <w:p w:rsidRPr="001E0FB5" w:rsidR="00B60274" w:rsidP="002E6385" w:rsidRDefault="00B60274" w14:paraId="40A24DFF" w14:textId="77777777">
      <w:pPr>
        <w:pStyle w:val="ListParagraph"/>
        <w:numPr>
          <w:ilvl w:val="0"/>
          <w:numId w:val="8"/>
        </w:numPr>
        <w:tabs>
          <w:tab w:val="left" w:pos="1134"/>
        </w:tabs>
        <w:rPr>
          <w:rFonts w:cs="Arial"/>
          <w:sz w:val="20"/>
        </w:rPr>
      </w:pPr>
      <w:r w:rsidRPr="001E0FB5">
        <w:rPr>
          <w:rFonts w:cs="Arial"/>
          <w:sz w:val="20"/>
        </w:rPr>
        <w:t xml:space="preserve">provide valuable feedback to teaching staff and the University about student satisfaction with key elements of the course; </w:t>
      </w:r>
    </w:p>
    <w:p w:rsidRPr="001E0FB5" w:rsidR="00B60274" w:rsidP="002E6385" w:rsidRDefault="00B60274" w14:paraId="40A24E00" w14:textId="77777777">
      <w:pPr>
        <w:pStyle w:val="ListParagraph"/>
        <w:numPr>
          <w:ilvl w:val="0"/>
          <w:numId w:val="8"/>
        </w:numPr>
        <w:tabs>
          <w:tab w:val="left" w:pos="1134"/>
        </w:tabs>
        <w:rPr>
          <w:rFonts w:cs="Arial"/>
          <w:sz w:val="20"/>
        </w:rPr>
      </w:pPr>
      <w:r w:rsidRPr="001E0FB5">
        <w:rPr>
          <w:rFonts w:cs="Arial"/>
          <w:sz w:val="20"/>
        </w:rPr>
        <w:t>provide information from an overall satisfaction item that can be benchmarked against equivalent survey items in other universities;</w:t>
      </w:r>
    </w:p>
    <w:p w:rsidRPr="001E0FB5" w:rsidR="00B60274" w:rsidP="002E6385" w:rsidRDefault="00B60274" w14:paraId="40A24E01" w14:textId="77777777">
      <w:pPr>
        <w:pStyle w:val="ListParagraph"/>
        <w:numPr>
          <w:ilvl w:val="0"/>
          <w:numId w:val="8"/>
        </w:numPr>
        <w:tabs>
          <w:tab w:val="left" w:pos="1134"/>
        </w:tabs>
        <w:rPr>
          <w:rFonts w:cs="Arial"/>
          <w:sz w:val="20"/>
        </w:rPr>
      </w:pPr>
      <w:r w:rsidRPr="001E0FB5">
        <w:rPr>
          <w:rFonts w:cs="Arial"/>
          <w:sz w:val="20"/>
        </w:rPr>
        <w:t xml:space="preserve">allow academics to ask questions about additional areas of interest, such as (1) an area where they need more information than the mandatory questions alone provide, or (2) specific features of a course. In this way the questionnaire can be sensitive to specific needs and course contexts; and </w:t>
      </w:r>
    </w:p>
    <w:p w:rsidRPr="001E0FB5" w:rsidR="00B60274" w:rsidP="002E6385" w:rsidRDefault="00B60274" w14:paraId="40A24E02" w14:textId="77777777">
      <w:pPr>
        <w:pStyle w:val="ListParagraph"/>
        <w:numPr>
          <w:ilvl w:val="0"/>
          <w:numId w:val="8"/>
        </w:numPr>
        <w:tabs>
          <w:tab w:val="left" w:pos="1134"/>
        </w:tabs>
        <w:rPr>
          <w:rFonts w:cs="Arial"/>
          <w:sz w:val="20"/>
        </w:rPr>
      </w:pPr>
      <w:r w:rsidRPr="001E0FB5">
        <w:rPr>
          <w:rFonts w:cs="Arial"/>
          <w:sz w:val="20"/>
        </w:rPr>
        <w:t xml:space="preserve">provide academics with qualitative comments. Individual comments should assist in understanding the numerical responses received and in providing reinforcing or diagnostic feedback on aspects not necessarily covered by the Instrument's items. </w:t>
      </w:r>
    </w:p>
    <w:p w:rsidRPr="00B60274" w:rsidR="00B60274" w:rsidP="001E0FB5" w:rsidRDefault="00B60274" w14:paraId="40A24E03" w14:textId="77777777">
      <w:pPr>
        <w:tabs>
          <w:tab w:val="left" w:pos="1134"/>
        </w:tabs>
        <w:ind w:left="1146"/>
        <w:rPr>
          <w:rFonts w:cs="Arial"/>
          <w:sz w:val="20"/>
        </w:rPr>
      </w:pPr>
      <w:r w:rsidRPr="00B60274">
        <w:rPr>
          <w:rFonts w:cs="Arial"/>
          <w:sz w:val="20"/>
        </w:rPr>
        <w:t xml:space="preserve">The Griffith Student Experience of Course (SEC) instrument consists of three sections: </w:t>
      </w:r>
    </w:p>
    <w:p w:rsidRPr="001E0FB5" w:rsidR="00B60274" w:rsidP="002E6385" w:rsidRDefault="00B60274" w14:paraId="40A24E04" w14:textId="77777777">
      <w:pPr>
        <w:pStyle w:val="ListParagraph"/>
        <w:numPr>
          <w:ilvl w:val="0"/>
          <w:numId w:val="9"/>
        </w:numPr>
        <w:tabs>
          <w:tab w:val="left" w:pos="1134"/>
        </w:tabs>
        <w:rPr>
          <w:rFonts w:cs="Arial"/>
          <w:sz w:val="20"/>
        </w:rPr>
      </w:pPr>
      <w:r w:rsidRPr="001E0FB5">
        <w:rPr>
          <w:rFonts w:cs="Arial"/>
          <w:sz w:val="20"/>
        </w:rPr>
        <w:t xml:space="preserve">mandatory, fixed questions which are the same across the whole institution; </w:t>
      </w:r>
    </w:p>
    <w:p w:rsidRPr="001E0FB5" w:rsidR="00B60274" w:rsidP="002E6385" w:rsidRDefault="00B60274" w14:paraId="40A24E05" w14:textId="77777777">
      <w:pPr>
        <w:pStyle w:val="ListParagraph"/>
        <w:numPr>
          <w:ilvl w:val="0"/>
          <w:numId w:val="9"/>
        </w:numPr>
        <w:tabs>
          <w:tab w:val="left" w:pos="1134"/>
        </w:tabs>
        <w:rPr>
          <w:rFonts w:cs="Arial"/>
          <w:sz w:val="20"/>
        </w:rPr>
      </w:pPr>
      <w:r w:rsidRPr="001E0FB5">
        <w:rPr>
          <w:rFonts w:cs="Arial"/>
          <w:sz w:val="20"/>
        </w:rPr>
        <w:t>additional, but optional, questions chosen from a database of questions; and</w:t>
      </w:r>
    </w:p>
    <w:p w:rsidRPr="001E0FB5" w:rsidR="00B60274" w:rsidP="002E6385" w:rsidRDefault="00B60274" w14:paraId="40A24E06" w14:textId="77777777">
      <w:pPr>
        <w:pStyle w:val="ListParagraph"/>
        <w:numPr>
          <w:ilvl w:val="0"/>
          <w:numId w:val="9"/>
        </w:numPr>
        <w:tabs>
          <w:tab w:val="left" w:pos="1134"/>
        </w:tabs>
        <w:rPr>
          <w:rFonts w:cs="Arial"/>
          <w:sz w:val="20"/>
        </w:rPr>
      </w:pPr>
      <w:r w:rsidRPr="001E0FB5">
        <w:rPr>
          <w:rFonts w:cs="Arial"/>
          <w:sz w:val="20"/>
        </w:rPr>
        <w:t xml:space="preserve">open-ended questions relating to positive aspects of the course and areas for improvement. </w:t>
      </w:r>
    </w:p>
    <w:p w:rsidRPr="001E0FB5" w:rsidR="00B60274" w:rsidP="002E6385" w:rsidRDefault="00B60274" w14:paraId="40A24E07" w14:textId="77777777">
      <w:pPr>
        <w:numPr>
          <w:ilvl w:val="1"/>
          <w:numId w:val="2"/>
        </w:numPr>
        <w:tabs>
          <w:tab w:val="clear" w:pos="1146"/>
          <w:tab w:val="left" w:pos="1134"/>
        </w:tabs>
        <w:rPr>
          <w:rFonts w:cs="Arial"/>
          <w:b/>
          <w:sz w:val="20"/>
        </w:rPr>
      </w:pPr>
      <w:r w:rsidRPr="001E0FB5">
        <w:rPr>
          <w:rFonts w:cs="Arial"/>
          <w:b/>
          <w:sz w:val="20"/>
        </w:rPr>
        <w:t>Method of Administration: Experience@Griffith</w:t>
      </w:r>
    </w:p>
    <w:p w:rsidRPr="00B60274" w:rsidR="00B60274" w:rsidP="001E0FB5" w:rsidRDefault="00B60274" w14:paraId="40A24E08" w14:textId="77777777">
      <w:pPr>
        <w:tabs>
          <w:tab w:val="left" w:pos="1134"/>
        </w:tabs>
        <w:ind w:left="1146"/>
        <w:rPr>
          <w:rFonts w:cs="Arial"/>
          <w:sz w:val="20"/>
        </w:rPr>
      </w:pPr>
      <w:r w:rsidRPr="00B60274">
        <w:rPr>
          <w:rFonts w:cs="Arial"/>
          <w:sz w:val="20"/>
        </w:rPr>
        <w:t>The online-survey tool Experience@Griffith is the primary method of delivery of the University-wide SET and SEC instruments.</w:t>
      </w:r>
    </w:p>
    <w:p w:rsidRPr="001E0FB5" w:rsidR="00B60274" w:rsidP="002E6385" w:rsidRDefault="00B60274" w14:paraId="40A24E09" w14:textId="77777777">
      <w:pPr>
        <w:numPr>
          <w:ilvl w:val="1"/>
          <w:numId w:val="2"/>
        </w:numPr>
        <w:tabs>
          <w:tab w:val="clear" w:pos="1146"/>
          <w:tab w:val="left" w:pos="1134"/>
        </w:tabs>
        <w:rPr>
          <w:rFonts w:cs="Arial"/>
          <w:b/>
          <w:sz w:val="20"/>
        </w:rPr>
      </w:pPr>
      <w:r w:rsidRPr="001E0FB5">
        <w:rPr>
          <w:rFonts w:cs="Arial"/>
          <w:b/>
          <w:sz w:val="20"/>
        </w:rPr>
        <w:t>Timing of Data Collection</w:t>
      </w:r>
    </w:p>
    <w:p w:rsidRPr="00B60274" w:rsidR="00B60274" w:rsidP="001E0FB5" w:rsidRDefault="00B60274" w14:paraId="40A24E0A" w14:textId="255161BB">
      <w:pPr>
        <w:tabs>
          <w:tab w:val="left" w:pos="1134"/>
        </w:tabs>
        <w:ind w:left="1146"/>
        <w:rPr>
          <w:rFonts w:cs="Arial"/>
          <w:sz w:val="20"/>
        </w:rPr>
      </w:pPr>
      <w:r w:rsidRPr="00B60274">
        <w:rPr>
          <w:rFonts w:cs="Arial"/>
          <w:sz w:val="20"/>
        </w:rPr>
        <w:t xml:space="preserve">Data collection using Experience@Griffith is completed between Weeks </w:t>
      </w:r>
      <w:r w:rsidR="004906A4">
        <w:rPr>
          <w:rFonts w:cs="Arial"/>
          <w:sz w:val="20"/>
        </w:rPr>
        <w:t>11</w:t>
      </w:r>
      <w:r w:rsidRPr="00B60274" w:rsidR="004906A4">
        <w:rPr>
          <w:rFonts w:cs="Arial"/>
          <w:sz w:val="20"/>
        </w:rPr>
        <w:t xml:space="preserve"> </w:t>
      </w:r>
      <w:r w:rsidRPr="00B60274">
        <w:rPr>
          <w:rFonts w:cs="Arial"/>
          <w:sz w:val="20"/>
        </w:rPr>
        <w:t xml:space="preserve">to </w:t>
      </w:r>
      <w:r w:rsidR="004906A4">
        <w:rPr>
          <w:rFonts w:cs="Arial"/>
          <w:sz w:val="20"/>
        </w:rPr>
        <w:t>13</w:t>
      </w:r>
      <w:r w:rsidRPr="00B60274" w:rsidR="004906A4">
        <w:rPr>
          <w:rFonts w:cs="Arial"/>
          <w:sz w:val="20"/>
        </w:rPr>
        <w:t xml:space="preserve"> </w:t>
      </w:r>
      <w:r w:rsidRPr="00B60274">
        <w:rPr>
          <w:rFonts w:cs="Arial"/>
          <w:sz w:val="20"/>
        </w:rPr>
        <w:t xml:space="preserve">each </w:t>
      </w:r>
      <w:r w:rsidR="00E91FB2">
        <w:rPr>
          <w:rFonts w:cs="Arial"/>
          <w:sz w:val="20"/>
        </w:rPr>
        <w:t>trimester</w:t>
      </w:r>
      <w:r w:rsidRPr="00B60274" w:rsidR="00E91FB2">
        <w:rPr>
          <w:rFonts w:cs="Arial"/>
          <w:sz w:val="20"/>
        </w:rPr>
        <w:t xml:space="preserve"> </w:t>
      </w:r>
      <w:r w:rsidRPr="00B60274">
        <w:rPr>
          <w:rFonts w:cs="Arial"/>
          <w:sz w:val="20"/>
        </w:rPr>
        <w:t>to facilitate the reporting and benchmarking of a course and feedback on teaching data. Equivalent timing towards the end of a course is used for courses taught in non-standard periods or intensive mode. Surveys may only be conducted outside this period with the approval of the Dean (Learning and Teaching).</w:t>
      </w:r>
    </w:p>
    <w:p w:rsidRPr="001E0FB5" w:rsidR="00B60274" w:rsidP="002E6385" w:rsidRDefault="00B60274" w14:paraId="40A24E0B" w14:textId="77777777">
      <w:pPr>
        <w:numPr>
          <w:ilvl w:val="1"/>
          <w:numId w:val="2"/>
        </w:numPr>
        <w:tabs>
          <w:tab w:val="clear" w:pos="1146"/>
          <w:tab w:val="left" w:pos="1134"/>
        </w:tabs>
        <w:rPr>
          <w:rFonts w:cs="Arial"/>
          <w:b/>
          <w:sz w:val="20"/>
        </w:rPr>
      </w:pPr>
      <w:r w:rsidRPr="001E0FB5">
        <w:rPr>
          <w:rFonts w:cs="Arial"/>
          <w:b/>
          <w:sz w:val="20"/>
        </w:rPr>
        <w:t>Reporting of Experience Data</w:t>
      </w:r>
    </w:p>
    <w:p w:rsidRPr="00B60274" w:rsidR="00B60274" w:rsidP="001E0FB5" w:rsidRDefault="00B60274" w14:paraId="40A24E0C" w14:textId="4A8B8A82">
      <w:pPr>
        <w:tabs>
          <w:tab w:val="left" w:pos="1134"/>
        </w:tabs>
        <w:ind w:left="1146"/>
        <w:rPr>
          <w:rFonts w:cs="Arial"/>
          <w:sz w:val="20"/>
        </w:rPr>
      </w:pPr>
      <w:r w:rsidRPr="00B60274">
        <w:rPr>
          <w:rFonts w:cs="Arial"/>
          <w:sz w:val="20"/>
        </w:rPr>
        <w:t xml:space="preserve">SEC and SET results for individual courses are available from Experience@Griffith in Week </w:t>
      </w:r>
      <w:r w:rsidR="004906A4">
        <w:rPr>
          <w:rFonts w:cs="Arial"/>
          <w:sz w:val="20"/>
        </w:rPr>
        <w:t>14</w:t>
      </w:r>
      <w:r w:rsidRPr="00B60274" w:rsidR="004906A4">
        <w:rPr>
          <w:rFonts w:cs="Arial"/>
          <w:sz w:val="20"/>
        </w:rPr>
        <w:t xml:space="preserve"> </w:t>
      </w:r>
      <w:r w:rsidRPr="00B60274">
        <w:rPr>
          <w:rFonts w:cs="Arial"/>
          <w:sz w:val="20"/>
        </w:rPr>
        <w:t xml:space="preserve">of each </w:t>
      </w:r>
      <w:r w:rsidR="00E91FB2">
        <w:rPr>
          <w:rFonts w:cs="Arial"/>
          <w:sz w:val="20"/>
        </w:rPr>
        <w:t>trimester</w:t>
      </w:r>
      <w:r w:rsidRPr="00B60274">
        <w:rPr>
          <w:rFonts w:cs="Arial"/>
          <w:sz w:val="20"/>
        </w:rPr>
        <w:t>. Reports are made available within an equivalent time frame for courses taught in non-standard periods or intensive mode.</w:t>
      </w:r>
    </w:p>
    <w:p w:rsidRPr="001E0FB5" w:rsidR="00B60274" w:rsidP="002E6385" w:rsidRDefault="00B60274" w14:paraId="40A24E0D" w14:textId="77777777">
      <w:pPr>
        <w:numPr>
          <w:ilvl w:val="1"/>
          <w:numId w:val="2"/>
        </w:numPr>
        <w:tabs>
          <w:tab w:val="clear" w:pos="1146"/>
          <w:tab w:val="left" w:pos="1134"/>
        </w:tabs>
        <w:rPr>
          <w:rFonts w:cs="Arial"/>
          <w:b/>
          <w:sz w:val="20"/>
        </w:rPr>
      </w:pPr>
      <w:r w:rsidRPr="001E0FB5">
        <w:rPr>
          <w:rFonts w:cs="Arial"/>
          <w:b/>
          <w:sz w:val="20"/>
        </w:rPr>
        <w:t>Interpretation of SET and SEC results</w:t>
      </w:r>
    </w:p>
    <w:p w:rsidRPr="00B60274" w:rsidR="00B60274" w:rsidP="001E0FB5" w:rsidRDefault="00B60274" w14:paraId="40A24E0E" w14:textId="77777777">
      <w:pPr>
        <w:tabs>
          <w:tab w:val="left" w:pos="1134"/>
        </w:tabs>
        <w:ind w:left="1146"/>
        <w:rPr>
          <w:rFonts w:cs="Arial"/>
          <w:sz w:val="20"/>
        </w:rPr>
      </w:pPr>
      <w:r w:rsidRPr="00B60274">
        <w:rPr>
          <w:rFonts w:cs="Arial"/>
          <w:sz w:val="20"/>
        </w:rPr>
        <w:t>All SET surveys are conducted within the context of the course being taught. As a consequence, interpretation of teaching and course feedback needs to consider carefully the impact of contextual variables on the scores obtained, and comments made, before conclusions are reached.</w:t>
      </w:r>
    </w:p>
    <w:p w:rsidRPr="00B60274" w:rsidR="00B60274" w:rsidP="001E0FB5" w:rsidRDefault="00B60274" w14:paraId="40A24E0F" w14:textId="77777777">
      <w:pPr>
        <w:tabs>
          <w:tab w:val="left" w:pos="1134"/>
        </w:tabs>
        <w:ind w:left="1146"/>
        <w:rPr>
          <w:rFonts w:cs="Arial"/>
          <w:sz w:val="20"/>
        </w:rPr>
      </w:pPr>
      <w:r w:rsidRPr="00B60274">
        <w:rPr>
          <w:rFonts w:cs="Arial"/>
          <w:sz w:val="20"/>
        </w:rPr>
        <w:t xml:space="preserve">Academic staff are encouraged to seek additional sources of feedback about the quality of teaching and courses, such as peer observation and student focus groups, to assist in the process of interpreting and responding to the feedback, </w:t>
      </w:r>
    </w:p>
    <w:p w:rsidRPr="001E0FB5" w:rsidR="00B60274" w:rsidP="002E6385" w:rsidRDefault="00B60274" w14:paraId="40A24E10" w14:textId="77777777">
      <w:pPr>
        <w:numPr>
          <w:ilvl w:val="1"/>
          <w:numId w:val="2"/>
        </w:numPr>
        <w:tabs>
          <w:tab w:val="clear" w:pos="1146"/>
          <w:tab w:val="left" w:pos="1134"/>
        </w:tabs>
        <w:rPr>
          <w:rFonts w:cs="Arial"/>
          <w:b/>
          <w:sz w:val="20"/>
        </w:rPr>
      </w:pPr>
      <w:r w:rsidRPr="001E0FB5">
        <w:rPr>
          <w:rFonts w:cs="Arial"/>
          <w:b/>
          <w:sz w:val="20"/>
        </w:rPr>
        <w:t>Course Review and Improvement Reports</w:t>
      </w:r>
    </w:p>
    <w:p w:rsidRPr="00B60274" w:rsidR="00B60274" w:rsidP="001E0FB5" w:rsidRDefault="00B60274" w14:paraId="40A24E11" w14:textId="435F4A0C">
      <w:pPr>
        <w:tabs>
          <w:tab w:val="left" w:pos="1134"/>
        </w:tabs>
        <w:ind w:left="1146"/>
        <w:rPr>
          <w:rFonts w:cs="Arial"/>
          <w:sz w:val="20"/>
        </w:rPr>
      </w:pPr>
      <w:r w:rsidRPr="00B60274">
        <w:rPr>
          <w:rFonts w:cs="Arial"/>
          <w:sz w:val="20"/>
        </w:rPr>
        <w:t>All Course Convenors are encouraged to complete a Course Improvement Plan (CIP) after receipt of SEC feedback. Course convenors may be requested by the Head of School</w:t>
      </w:r>
      <w:r w:rsidR="003E1EF3">
        <w:rPr>
          <w:rFonts w:cs="Arial"/>
          <w:sz w:val="20"/>
        </w:rPr>
        <w:t xml:space="preserve"> and/or Deputy Head of School, Learning &amp; Teaching</w:t>
      </w:r>
      <w:r w:rsidRPr="00B60274">
        <w:rPr>
          <w:rFonts w:cs="Arial"/>
          <w:sz w:val="20"/>
        </w:rPr>
        <w:t xml:space="preserve"> to prepare a CIP where SEC data indicate there may be issues of concern. These reports should be prepared by the Course Convenor after Week </w:t>
      </w:r>
      <w:r w:rsidR="004906A4">
        <w:rPr>
          <w:rFonts w:cs="Arial"/>
          <w:sz w:val="20"/>
        </w:rPr>
        <w:t>14</w:t>
      </w:r>
      <w:r w:rsidRPr="00B60274" w:rsidR="004906A4">
        <w:rPr>
          <w:rFonts w:cs="Arial"/>
          <w:sz w:val="20"/>
        </w:rPr>
        <w:t xml:space="preserve"> </w:t>
      </w:r>
      <w:r w:rsidRPr="00B60274">
        <w:rPr>
          <w:rFonts w:cs="Arial"/>
          <w:sz w:val="20"/>
        </w:rPr>
        <w:t xml:space="preserve">and before the next </w:t>
      </w:r>
      <w:r w:rsidR="00E91FB2">
        <w:rPr>
          <w:rFonts w:cs="Arial"/>
          <w:sz w:val="20"/>
        </w:rPr>
        <w:t>trimester</w:t>
      </w:r>
      <w:r w:rsidRPr="00B60274" w:rsidR="00E91FB2">
        <w:rPr>
          <w:rFonts w:cs="Arial"/>
          <w:sz w:val="20"/>
        </w:rPr>
        <w:t xml:space="preserve"> </w:t>
      </w:r>
      <w:r w:rsidRPr="00B60274">
        <w:rPr>
          <w:rFonts w:cs="Arial"/>
          <w:sz w:val="20"/>
        </w:rPr>
        <w:t xml:space="preserve">in which the course is offered. Reports are provided to the Head of School within an equivalent time frame for courses taught in non-standard periods or intensive mode. </w:t>
      </w:r>
    </w:p>
    <w:p w:rsidRPr="001E0FB5" w:rsidR="00B60274" w:rsidP="002E6385" w:rsidRDefault="00B60274" w14:paraId="40A24E12" w14:textId="77777777">
      <w:pPr>
        <w:numPr>
          <w:ilvl w:val="1"/>
          <w:numId w:val="2"/>
        </w:numPr>
        <w:tabs>
          <w:tab w:val="clear" w:pos="1146"/>
          <w:tab w:val="left" w:pos="1134"/>
        </w:tabs>
        <w:rPr>
          <w:rFonts w:cs="Arial"/>
          <w:b/>
          <w:sz w:val="20"/>
        </w:rPr>
      </w:pPr>
      <w:r w:rsidRPr="001E0FB5">
        <w:rPr>
          <w:rFonts w:cs="Arial"/>
          <w:b/>
          <w:sz w:val="20"/>
        </w:rPr>
        <w:t>Reporting Experience Outcomes to Students</w:t>
      </w:r>
    </w:p>
    <w:p w:rsidR="000F4E60" w:rsidP="001E0FB5" w:rsidRDefault="00B60274" w14:paraId="598DB715" w14:textId="77777777">
      <w:pPr>
        <w:ind w:left="1146"/>
        <w:rPr>
          <w:rFonts w:cs="Arial"/>
          <w:sz w:val="20"/>
        </w:rPr>
      </w:pPr>
      <w:r w:rsidRPr="00B60274">
        <w:rPr>
          <w:rFonts w:cs="Arial"/>
          <w:sz w:val="20"/>
        </w:rPr>
        <w:t xml:space="preserve">Mean scores for the SEC overall satisfaction question are available to students from Experience@Griffith for surveys completed within the last calendar year. In addition the Course Convenor must complete the Previous Student Feedback section of the Course Profile the next </w:t>
      </w:r>
      <w:r w:rsidRPr="00B60274">
        <w:rPr>
          <w:rFonts w:cs="Arial"/>
          <w:sz w:val="20"/>
        </w:rPr>
        <w:lastRenderedPageBreak/>
        <w:t>time the course is offered, to demonstrate improvements and changes made to the course as a result of student feedback.</w:t>
      </w:r>
    </w:p>
    <w:p w:rsidRPr="00B60274" w:rsidR="00431ED9" w:rsidP="000F4E60" w:rsidRDefault="00C57A4B" w14:paraId="40A24E13" w14:textId="4CC2BB63">
      <w:pPr>
        <w:ind w:left="0"/>
        <w:rPr>
          <w:rFonts w:cs="Arial"/>
          <w:sz w:val="20"/>
        </w:rPr>
      </w:pPr>
      <w:r>
        <w:rPr>
          <w:rFonts w:cs="Arial"/>
          <w:sz w:val="20"/>
        </w:rPr>
        <w:pict w14:anchorId="1D6BD478">
          <v:rect id="_x0000_i1026" style="width:447.9pt;height:1pt" o:hr="t" o:hrstd="t" o:hrnoshade="t" o:hralign="center" fillcolor="#bfbfbf [2412]" stroked="f"/>
        </w:pict>
      </w:r>
    </w:p>
    <w:p w:rsidRPr="00B34D13" w:rsidR="00B35FB8" w:rsidP="002E6385" w:rsidRDefault="001E0FB5" w14:paraId="40A24E14" w14:textId="77777777">
      <w:pPr>
        <w:numPr>
          <w:ilvl w:val="0"/>
          <w:numId w:val="2"/>
        </w:numPr>
        <w:spacing w:before="100" w:beforeAutospacing="1" w:after="240"/>
        <w:rPr>
          <w:rFonts w:cs="Arial"/>
          <w:b/>
          <w:caps/>
          <w:sz w:val="24"/>
          <w:szCs w:val="24"/>
        </w:rPr>
      </w:pPr>
      <w:bookmarkStart w:name="responsibilities" w:id="2"/>
      <w:bookmarkEnd w:id="2"/>
      <w:r w:rsidRPr="001E0FB5">
        <w:rPr>
          <w:b/>
          <w:caps/>
          <w:sz w:val="24"/>
          <w:szCs w:val="24"/>
        </w:rPr>
        <w:t>Responsibilities</w:t>
      </w:r>
    </w:p>
    <w:p w:rsidRPr="001E0FB5" w:rsidR="001E0FB5" w:rsidP="002E6385" w:rsidRDefault="001E0FB5" w14:paraId="40A24E15" w14:textId="77777777">
      <w:pPr>
        <w:numPr>
          <w:ilvl w:val="1"/>
          <w:numId w:val="2"/>
        </w:numPr>
        <w:tabs>
          <w:tab w:val="clear" w:pos="1146"/>
          <w:tab w:val="left" w:pos="1134"/>
        </w:tabs>
        <w:rPr>
          <w:rFonts w:cs="Arial"/>
          <w:b/>
          <w:sz w:val="20"/>
        </w:rPr>
      </w:pPr>
      <w:r w:rsidRPr="001E0FB5">
        <w:rPr>
          <w:rFonts w:cs="Arial"/>
          <w:b/>
          <w:sz w:val="20"/>
        </w:rPr>
        <w:t>Teaching staff</w:t>
      </w:r>
    </w:p>
    <w:p w:rsidRPr="001E0FB5" w:rsidR="001E0FB5" w:rsidP="001E0FB5" w:rsidRDefault="001E0FB5" w14:paraId="40A24E16" w14:textId="77777777">
      <w:pPr>
        <w:tabs>
          <w:tab w:val="left" w:pos="1134"/>
        </w:tabs>
        <w:ind w:left="1146"/>
        <w:rPr>
          <w:rFonts w:cs="Arial"/>
          <w:sz w:val="20"/>
        </w:rPr>
      </w:pPr>
      <w:r w:rsidRPr="001E0FB5">
        <w:rPr>
          <w:rFonts w:cs="Arial"/>
          <w:sz w:val="20"/>
        </w:rPr>
        <w:t>Individual academic staff members are expected to initiate and oversee the process of their own SET feedback in consultation with the Course Convenor and according to the timeframe specified in 2.5.</w:t>
      </w:r>
    </w:p>
    <w:p w:rsidRPr="001E0FB5" w:rsidR="001E0FB5" w:rsidP="001E0FB5" w:rsidRDefault="001E0FB5" w14:paraId="40A24E17" w14:textId="77777777">
      <w:pPr>
        <w:tabs>
          <w:tab w:val="left" w:pos="1134"/>
        </w:tabs>
        <w:ind w:left="1146"/>
        <w:rPr>
          <w:rFonts w:cs="Arial"/>
          <w:sz w:val="20"/>
        </w:rPr>
      </w:pPr>
      <w:r w:rsidRPr="001E0FB5">
        <w:rPr>
          <w:rFonts w:cs="Arial"/>
          <w:sz w:val="20"/>
        </w:rPr>
        <w:t>Teaching staff are expected to discuss results of their SETs with the Course Convenor and to engage in a scholarly process of critical reflection, interpretation, and implementation of improvements.</w:t>
      </w:r>
    </w:p>
    <w:p w:rsidRPr="001E0FB5" w:rsidR="001E0FB5" w:rsidP="002E6385" w:rsidRDefault="001E0FB5" w14:paraId="40A24E18" w14:textId="77777777">
      <w:pPr>
        <w:numPr>
          <w:ilvl w:val="1"/>
          <w:numId w:val="2"/>
        </w:numPr>
        <w:tabs>
          <w:tab w:val="clear" w:pos="1146"/>
          <w:tab w:val="left" w:pos="1134"/>
        </w:tabs>
        <w:rPr>
          <w:rFonts w:cs="Arial"/>
          <w:b/>
          <w:sz w:val="20"/>
        </w:rPr>
      </w:pPr>
      <w:r w:rsidRPr="001E0FB5">
        <w:rPr>
          <w:rFonts w:cs="Arial"/>
          <w:b/>
          <w:sz w:val="20"/>
        </w:rPr>
        <w:t>Course Convenor</w:t>
      </w:r>
    </w:p>
    <w:p w:rsidRPr="001E0FB5" w:rsidR="001E0FB5" w:rsidP="001E0FB5" w:rsidRDefault="001E0FB5" w14:paraId="40A24E19" w14:textId="6B364AF4">
      <w:pPr>
        <w:tabs>
          <w:tab w:val="left" w:pos="1134"/>
        </w:tabs>
        <w:ind w:left="1146"/>
        <w:rPr>
          <w:rFonts w:cs="Arial"/>
          <w:sz w:val="20"/>
        </w:rPr>
      </w:pPr>
      <w:r w:rsidRPr="001E0FB5">
        <w:rPr>
          <w:rFonts w:cs="Arial"/>
          <w:sz w:val="20"/>
        </w:rPr>
        <w:t>The Course Convenor is responsible for ensuring that (SEC) and (SET) surveys take place according to the timeframe specified</w:t>
      </w:r>
      <w:r w:rsidR="0038461D">
        <w:rPr>
          <w:rFonts w:cs="Arial"/>
          <w:sz w:val="20"/>
        </w:rPr>
        <w:t xml:space="preserve"> in 2.5</w:t>
      </w:r>
      <w:r w:rsidRPr="001E0FB5">
        <w:rPr>
          <w:rFonts w:cs="Arial"/>
          <w:sz w:val="20"/>
        </w:rPr>
        <w:t xml:space="preserve"> and to initiate SETs at the request of teaching staff or the Head of School.</w:t>
      </w:r>
    </w:p>
    <w:p w:rsidRPr="001E0FB5" w:rsidR="001E0FB5" w:rsidP="001E0FB5" w:rsidRDefault="001E0FB5" w14:paraId="40A24E1A" w14:textId="77777777">
      <w:pPr>
        <w:tabs>
          <w:tab w:val="left" w:pos="1134"/>
        </w:tabs>
        <w:ind w:left="1146"/>
        <w:rPr>
          <w:rFonts w:cs="Arial"/>
          <w:sz w:val="20"/>
        </w:rPr>
      </w:pPr>
      <w:r w:rsidRPr="001E0FB5">
        <w:rPr>
          <w:rFonts w:cs="Arial"/>
          <w:sz w:val="20"/>
        </w:rPr>
        <w:t>In addition, the Course Convenor is expected to engage in a scholarly process of critical reflection, interpretation, and implementation of improvements to both the teaching of the course and the course itself using all relevant feedback data. This scholarly process is documented in the form of the Course Improvement Plan (CIP) after each course offering.</w:t>
      </w:r>
    </w:p>
    <w:p w:rsidRPr="001E0FB5" w:rsidR="001E0FB5" w:rsidP="002E6385" w:rsidRDefault="001E0FB5" w14:paraId="40A24E1B" w14:textId="77777777">
      <w:pPr>
        <w:numPr>
          <w:ilvl w:val="1"/>
          <w:numId w:val="2"/>
        </w:numPr>
        <w:tabs>
          <w:tab w:val="clear" w:pos="1146"/>
          <w:tab w:val="left" w:pos="1134"/>
        </w:tabs>
        <w:rPr>
          <w:rFonts w:cs="Arial"/>
          <w:b/>
          <w:sz w:val="20"/>
        </w:rPr>
      </w:pPr>
      <w:r w:rsidRPr="001E0FB5">
        <w:rPr>
          <w:rFonts w:cs="Arial"/>
          <w:b/>
          <w:sz w:val="20"/>
        </w:rPr>
        <w:t>Head of School and Supervisor</w:t>
      </w:r>
    </w:p>
    <w:p w:rsidRPr="001E0FB5" w:rsidR="001E0FB5" w:rsidP="001E0FB5" w:rsidRDefault="001E0FB5" w14:paraId="40A24E1C" w14:textId="188278A1">
      <w:pPr>
        <w:tabs>
          <w:tab w:val="left" w:pos="1134"/>
        </w:tabs>
        <w:ind w:left="1146"/>
        <w:rPr>
          <w:rFonts w:cs="Arial"/>
          <w:sz w:val="20"/>
        </w:rPr>
      </w:pPr>
      <w:r w:rsidRPr="001E0FB5">
        <w:rPr>
          <w:rFonts w:cs="Arial"/>
          <w:sz w:val="20"/>
        </w:rPr>
        <w:t xml:space="preserve">The Head of School </w:t>
      </w:r>
      <w:r w:rsidR="003E1EF3">
        <w:rPr>
          <w:rFonts w:cs="Arial"/>
          <w:sz w:val="20"/>
        </w:rPr>
        <w:t>and/or Deputy Head of School, Learning and Teaching are</w:t>
      </w:r>
      <w:r w:rsidRPr="001E0FB5">
        <w:rPr>
          <w:rFonts w:cs="Arial"/>
          <w:sz w:val="20"/>
        </w:rPr>
        <w:t xml:space="preserve"> responsible for ensuring that SECs and SETs have been conducted according to the timeframe specified in 2.5. The Head of School</w:t>
      </w:r>
      <w:r w:rsidR="003E1EF3">
        <w:rPr>
          <w:rFonts w:cs="Arial"/>
          <w:sz w:val="20"/>
        </w:rPr>
        <w:t xml:space="preserve"> and/or Deputy Head of School, Learning &amp; Teaching</w:t>
      </w:r>
      <w:r w:rsidRPr="001E0FB5">
        <w:rPr>
          <w:rFonts w:cs="Arial"/>
          <w:sz w:val="20"/>
        </w:rPr>
        <w:t xml:space="preserve"> </w:t>
      </w:r>
      <w:r w:rsidR="003E1EF3">
        <w:rPr>
          <w:rFonts w:cs="Arial"/>
          <w:sz w:val="20"/>
        </w:rPr>
        <w:t>are</w:t>
      </w:r>
      <w:r w:rsidRPr="001E0FB5">
        <w:rPr>
          <w:rFonts w:cs="Arial"/>
          <w:sz w:val="20"/>
        </w:rPr>
        <w:t xml:space="preserve"> also responsible for discussing SEC outcomes with course and program </w:t>
      </w:r>
      <w:r w:rsidR="00926FAE">
        <w:rPr>
          <w:rFonts w:cs="Arial"/>
          <w:sz w:val="20"/>
        </w:rPr>
        <w:t>directors</w:t>
      </w:r>
      <w:r w:rsidRPr="001E0FB5">
        <w:rPr>
          <w:rFonts w:cs="Arial"/>
          <w:sz w:val="20"/>
        </w:rPr>
        <w:t xml:space="preserve"> as part of the continuous performance enhancement process in learning and teaching. </w:t>
      </w:r>
    </w:p>
    <w:p w:rsidRPr="001E0FB5" w:rsidR="001E0FB5" w:rsidP="001E0FB5" w:rsidRDefault="001E0FB5" w14:paraId="40A24E1D" w14:textId="40AA4E87">
      <w:pPr>
        <w:tabs>
          <w:tab w:val="left" w:pos="1134"/>
        </w:tabs>
        <w:ind w:left="1146"/>
        <w:rPr>
          <w:rFonts w:cs="Arial"/>
          <w:sz w:val="20"/>
        </w:rPr>
      </w:pPr>
      <w:r w:rsidRPr="001E0FB5">
        <w:rPr>
          <w:rFonts w:cs="Arial"/>
          <w:sz w:val="20"/>
        </w:rPr>
        <w:t>The Head of School</w:t>
      </w:r>
      <w:r w:rsidR="003E1EF3">
        <w:rPr>
          <w:rFonts w:cs="Arial"/>
          <w:sz w:val="20"/>
        </w:rPr>
        <w:t xml:space="preserve">, Deputy Head of </w:t>
      </w:r>
      <w:r w:rsidR="00446A1F">
        <w:rPr>
          <w:rFonts w:cs="Arial"/>
          <w:sz w:val="20"/>
        </w:rPr>
        <w:t>School, Learning &amp; Teachin</w:t>
      </w:r>
      <w:r w:rsidR="003E1EF3">
        <w:rPr>
          <w:rFonts w:cs="Arial"/>
          <w:sz w:val="20"/>
        </w:rPr>
        <w:t>g and/or</w:t>
      </w:r>
      <w:r w:rsidRPr="001E0FB5">
        <w:rPr>
          <w:rFonts w:cs="Arial"/>
          <w:sz w:val="20"/>
        </w:rPr>
        <w:t xml:space="preserve"> Supervisor is responsible for discussing SET outcomes with the staff member concerned as part of the continuous performance enhancement process in learning and teaching.</w:t>
      </w:r>
    </w:p>
    <w:p w:rsidRPr="001E0FB5" w:rsidR="001E0FB5" w:rsidP="002E6385" w:rsidRDefault="001E0FB5" w14:paraId="40A24E1E" w14:textId="77777777">
      <w:pPr>
        <w:numPr>
          <w:ilvl w:val="1"/>
          <w:numId w:val="2"/>
        </w:numPr>
        <w:tabs>
          <w:tab w:val="clear" w:pos="1146"/>
          <w:tab w:val="left" w:pos="1134"/>
        </w:tabs>
        <w:rPr>
          <w:rFonts w:cs="Arial"/>
          <w:b/>
          <w:sz w:val="20"/>
        </w:rPr>
      </w:pPr>
      <w:r w:rsidRPr="001E0FB5">
        <w:rPr>
          <w:rFonts w:cs="Arial"/>
          <w:b/>
          <w:sz w:val="20"/>
        </w:rPr>
        <w:t>Group Pro Vice Chancellor</w:t>
      </w:r>
    </w:p>
    <w:p w:rsidRPr="001E0FB5" w:rsidR="001E0FB5" w:rsidP="001E0FB5" w:rsidRDefault="001E0FB5" w14:paraId="40A24E1F" w14:textId="77777777">
      <w:pPr>
        <w:tabs>
          <w:tab w:val="left" w:pos="1134"/>
        </w:tabs>
        <w:ind w:left="1146"/>
        <w:rPr>
          <w:rFonts w:cs="Arial"/>
          <w:sz w:val="20"/>
        </w:rPr>
      </w:pPr>
      <w:r w:rsidRPr="001E0FB5">
        <w:rPr>
          <w:rFonts w:cs="Arial"/>
          <w:sz w:val="20"/>
        </w:rPr>
        <w:t>The Group Pro Vice Chancellor has authority to decide that responses to open-ended questions be deleted from the database at the request of the staff member concerned if the Pro Vice Chancellor determines that the comments are malicious.</w:t>
      </w:r>
    </w:p>
    <w:p w:rsidRPr="001E0FB5" w:rsidR="001E0FB5" w:rsidP="002E6385" w:rsidRDefault="001E0FB5" w14:paraId="40A24E20" w14:textId="77777777">
      <w:pPr>
        <w:numPr>
          <w:ilvl w:val="1"/>
          <w:numId w:val="2"/>
        </w:numPr>
        <w:tabs>
          <w:tab w:val="clear" w:pos="1146"/>
          <w:tab w:val="left" w:pos="1134"/>
        </w:tabs>
        <w:rPr>
          <w:rFonts w:cs="Arial"/>
          <w:b/>
          <w:sz w:val="20"/>
        </w:rPr>
      </w:pPr>
      <w:r w:rsidRPr="001E0FB5">
        <w:rPr>
          <w:rFonts w:cs="Arial"/>
          <w:b/>
          <w:sz w:val="20"/>
        </w:rPr>
        <w:t>Students</w:t>
      </w:r>
    </w:p>
    <w:p w:rsidRPr="001E0FB5" w:rsidR="001E0FB5" w:rsidP="001E0FB5" w:rsidRDefault="001E0FB5" w14:paraId="40A24E21" w14:textId="0A548C07">
      <w:pPr>
        <w:tabs>
          <w:tab w:val="left" w:pos="1134"/>
        </w:tabs>
        <w:ind w:left="1146"/>
        <w:rPr>
          <w:rFonts w:cs="Arial"/>
          <w:sz w:val="20"/>
        </w:rPr>
      </w:pPr>
      <w:r w:rsidRPr="001E0FB5">
        <w:rPr>
          <w:rFonts w:cs="Arial"/>
          <w:sz w:val="20"/>
        </w:rPr>
        <w:t>Under the Griffith University Student Charter</w:t>
      </w:r>
      <w:r w:rsidR="00D95E22">
        <w:rPr>
          <w:rFonts w:cs="Arial"/>
          <w:sz w:val="20"/>
        </w:rPr>
        <w:t xml:space="preserve"> Framework</w:t>
      </w:r>
      <w:r w:rsidRPr="001E0FB5">
        <w:rPr>
          <w:rFonts w:cs="Arial"/>
          <w:sz w:val="20"/>
        </w:rPr>
        <w:t xml:space="preserve"> students are expected to provide constructive feedback on teaching, learning and other academic activities through participation in quality improvement activities such as providing feedback through SEC and SET surveys and other surveys. Students are expected to respond to open-ended questions in a constructive manner, focusing on learning and teaching issues, and avoiding content of a personal or inappropriate nature. </w:t>
      </w:r>
    </w:p>
    <w:p w:rsidRPr="001E0FB5" w:rsidR="001E0FB5" w:rsidP="002E6385" w:rsidRDefault="001E0FB5" w14:paraId="40A24E22" w14:textId="77777777">
      <w:pPr>
        <w:numPr>
          <w:ilvl w:val="1"/>
          <w:numId w:val="2"/>
        </w:numPr>
        <w:tabs>
          <w:tab w:val="clear" w:pos="1146"/>
          <w:tab w:val="left" w:pos="1134"/>
        </w:tabs>
        <w:rPr>
          <w:rFonts w:cs="Arial"/>
          <w:b/>
          <w:sz w:val="20"/>
        </w:rPr>
      </w:pPr>
      <w:r w:rsidRPr="001E0FB5">
        <w:rPr>
          <w:rFonts w:cs="Arial"/>
          <w:b/>
          <w:sz w:val="20"/>
        </w:rPr>
        <w:t>SEC/SET Coordinator</w:t>
      </w:r>
    </w:p>
    <w:p w:rsidR="000F4E60" w:rsidP="001E0FB5" w:rsidRDefault="001E0FB5" w14:paraId="1DDD59DF" w14:textId="4ABAFC98">
      <w:pPr>
        <w:tabs>
          <w:tab w:val="left" w:pos="1134"/>
        </w:tabs>
        <w:ind w:left="1146"/>
        <w:rPr>
          <w:rFonts w:cs="Arial"/>
          <w:sz w:val="20"/>
        </w:rPr>
      </w:pPr>
      <w:r w:rsidRPr="001E0FB5">
        <w:rPr>
          <w:rFonts w:cs="Arial"/>
          <w:sz w:val="20"/>
        </w:rPr>
        <w:t xml:space="preserve">The SEC/SET Coordinator located in </w:t>
      </w:r>
      <w:r w:rsidR="0098597D">
        <w:rPr>
          <w:rFonts w:cs="Arial"/>
          <w:sz w:val="20"/>
        </w:rPr>
        <w:t>the Office of Planning Services</w:t>
      </w:r>
      <w:r w:rsidRPr="001E0FB5">
        <w:rPr>
          <w:rFonts w:cs="Arial"/>
          <w:sz w:val="20"/>
        </w:rPr>
        <w:t xml:space="preserve"> is responsible for communicating with teaching staff, Course Convenors, Heads of School</w:t>
      </w:r>
      <w:r w:rsidR="003E1EF3">
        <w:rPr>
          <w:rFonts w:cs="Arial"/>
          <w:sz w:val="20"/>
        </w:rPr>
        <w:t>, Deputy Heads of School, Learning &amp; Teaching</w:t>
      </w:r>
      <w:r w:rsidRPr="001E0FB5">
        <w:rPr>
          <w:rFonts w:cs="Arial"/>
          <w:sz w:val="20"/>
        </w:rPr>
        <w:t xml:space="preserve"> about the initiation of the survey process, ensuring production and dissemination of reports, and resolving system usage related issues.</w:t>
      </w:r>
    </w:p>
    <w:p w:rsidRPr="001E0FB5" w:rsidR="00431ED9" w:rsidP="000F4E60" w:rsidRDefault="00C57A4B" w14:paraId="40A24E23" w14:textId="31F76659">
      <w:pPr>
        <w:tabs>
          <w:tab w:val="left" w:pos="1134"/>
        </w:tabs>
        <w:ind w:left="0"/>
        <w:rPr>
          <w:rFonts w:cs="Arial"/>
          <w:sz w:val="20"/>
        </w:rPr>
      </w:pPr>
      <w:r>
        <w:rPr>
          <w:rFonts w:cs="Arial"/>
          <w:sz w:val="20"/>
        </w:rPr>
        <w:pict w14:anchorId="1AAE7627">
          <v:rect id="_x0000_i1027" style="width:447.9pt;height:1pt" o:hr="t" o:hrstd="t" o:hrnoshade="t" o:hralign="center" fillcolor="#bfbfbf [2412]" stroked="f"/>
        </w:pict>
      </w:r>
    </w:p>
    <w:p w:rsidR="002E6385" w:rsidRDefault="002E6385" w14:paraId="40A24E24" w14:textId="77777777">
      <w:pPr>
        <w:rPr>
          <w:b/>
          <w:caps/>
          <w:sz w:val="24"/>
          <w:szCs w:val="24"/>
        </w:rPr>
      </w:pPr>
      <w:r>
        <w:rPr>
          <w:b/>
          <w:caps/>
          <w:sz w:val="24"/>
          <w:szCs w:val="24"/>
        </w:rPr>
        <w:br w:type="page"/>
      </w:r>
    </w:p>
    <w:p w:rsidRPr="00B34D13" w:rsidR="00B35FB8" w:rsidP="002E6385" w:rsidRDefault="00DF6B3C" w14:paraId="40A24E25" w14:textId="77777777">
      <w:pPr>
        <w:numPr>
          <w:ilvl w:val="0"/>
          <w:numId w:val="2"/>
        </w:numPr>
        <w:spacing w:before="100" w:beforeAutospacing="1" w:after="240"/>
        <w:rPr>
          <w:rFonts w:cs="Arial"/>
          <w:b/>
          <w:caps/>
          <w:sz w:val="24"/>
          <w:szCs w:val="24"/>
        </w:rPr>
      </w:pPr>
      <w:bookmarkStart w:name="accesstodata" w:id="3"/>
      <w:bookmarkEnd w:id="3"/>
      <w:r>
        <w:rPr>
          <w:b/>
          <w:caps/>
          <w:sz w:val="24"/>
          <w:szCs w:val="24"/>
        </w:rPr>
        <w:lastRenderedPageBreak/>
        <w:t>Access to Data</w:t>
      </w:r>
    </w:p>
    <w:p w:rsidR="00431ED9" w:rsidP="002A6AA2" w:rsidRDefault="00DF6B3C" w14:paraId="40A24E26" w14:textId="77777777">
      <w:pPr>
        <w:rPr>
          <w:rFonts w:cs="Arial"/>
          <w:sz w:val="20"/>
        </w:rPr>
      </w:pPr>
      <w:r w:rsidRPr="00DF6B3C">
        <w:rPr>
          <w:rFonts w:cs="Arial"/>
          <w:sz w:val="20"/>
        </w:rPr>
        <w:t>The following have access to SET and SEC data:</w:t>
      </w: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000" w:firstRow="0" w:lastRow="0" w:firstColumn="0" w:lastColumn="0" w:noHBand="0" w:noVBand="0"/>
      </w:tblPr>
      <w:tblGrid>
        <w:gridCol w:w="1535"/>
        <w:gridCol w:w="3990"/>
        <w:gridCol w:w="3990"/>
      </w:tblGrid>
      <w:tr w:rsidRPr="002F46D1" w:rsidR="002F46D1" w:rsidTr="005B0980" w14:paraId="40A24E2A" w14:textId="77777777">
        <w:trPr>
          <w:tblHeader/>
        </w:trPr>
        <w:tc>
          <w:tcPr>
            <w:tcW w:w="0" w:type="auto"/>
            <w:tcBorders>
              <w:right w:val="nil"/>
            </w:tcBorders>
            <w:shd w:val="clear" w:color="auto" w:fill="D9D9D9" w:themeFill="background1" w:themeFillShade="D9"/>
          </w:tcPr>
          <w:p w:rsidRPr="002F46D1" w:rsidR="002F46D1" w:rsidP="003A2F96" w:rsidRDefault="002F46D1" w14:paraId="40A24E27" w14:textId="77777777">
            <w:pPr>
              <w:spacing w:before="60" w:after="60"/>
              <w:ind w:left="0"/>
              <w:jc w:val="left"/>
              <w:rPr>
                <w:rFonts w:cs="Arial"/>
                <w:b/>
                <w:sz w:val="20"/>
              </w:rPr>
            </w:pPr>
            <w:r w:rsidRPr="002F46D1">
              <w:rPr>
                <w:rFonts w:cs="Arial"/>
                <w:b/>
                <w:sz w:val="20"/>
              </w:rPr>
              <w:t>Role</w:t>
            </w:r>
          </w:p>
        </w:tc>
        <w:tc>
          <w:tcPr>
            <w:tcW w:w="3990" w:type="dxa"/>
            <w:tcBorders>
              <w:left w:val="nil"/>
              <w:right w:val="nil"/>
            </w:tcBorders>
            <w:shd w:val="clear" w:color="auto" w:fill="D9D9D9" w:themeFill="background1" w:themeFillShade="D9"/>
          </w:tcPr>
          <w:p w:rsidRPr="002F46D1" w:rsidR="002F46D1" w:rsidP="002F46D1" w:rsidRDefault="002F46D1" w14:paraId="40A24E28" w14:textId="77777777">
            <w:pPr>
              <w:spacing w:before="60" w:after="60"/>
              <w:ind w:left="20"/>
              <w:rPr>
                <w:rFonts w:cs="Arial"/>
                <w:b/>
                <w:sz w:val="20"/>
              </w:rPr>
            </w:pPr>
            <w:r w:rsidRPr="002F46D1">
              <w:rPr>
                <w:rFonts w:cs="Arial"/>
                <w:b/>
                <w:sz w:val="20"/>
              </w:rPr>
              <w:t>SET Data Access</w:t>
            </w:r>
          </w:p>
        </w:tc>
        <w:tc>
          <w:tcPr>
            <w:tcW w:w="3990" w:type="dxa"/>
            <w:tcBorders>
              <w:left w:val="nil"/>
            </w:tcBorders>
            <w:shd w:val="clear" w:color="auto" w:fill="D9D9D9" w:themeFill="background1" w:themeFillShade="D9"/>
          </w:tcPr>
          <w:p w:rsidRPr="002F46D1" w:rsidR="002F46D1" w:rsidP="002F46D1" w:rsidRDefault="002F46D1" w14:paraId="40A24E29" w14:textId="77777777">
            <w:pPr>
              <w:spacing w:before="60" w:after="60"/>
              <w:ind w:left="0"/>
              <w:rPr>
                <w:rFonts w:cs="Arial"/>
                <w:b/>
                <w:sz w:val="20"/>
              </w:rPr>
            </w:pPr>
            <w:r w:rsidRPr="002F46D1">
              <w:rPr>
                <w:rFonts w:cs="Arial"/>
                <w:b/>
                <w:sz w:val="20"/>
              </w:rPr>
              <w:t>SEC Data Access</w:t>
            </w:r>
          </w:p>
        </w:tc>
      </w:tr>
      <w:tr w:rsidRPr="002F46D1" w:rsidR="002F46D1" w:rsidTr="005B0980" w14:paraId="40A24E33" w14:textId="77777777">
        <w:tc>
          <w:tcPr>
            <w:tcW w:w="0" w:type="auto"/>
          </w:tcPr>
          <w:p w:rsidRPr="002F46D1" w:rsidR="002F46D1" w:rsidP="002E6385" w:rsidRDefault="002F46D1" w14:paraId="40A24E2B" w14:textId="77777777">
            <w:pPr>
              <w:spacing w:before="20" w:after="20"/>
              <w:ind w:left="0"/>
              <w:contextualSpacing/>
              <w:jc w:val="left"/>
              <w:rPr>
                <w:rFonts w:cs="Arial"/>
                <w:sz w:val="20"/>
              </w:rPr>
            </w:pPr>
            <w:r w:rsidRPr="002F46D1">
              <w:rPr>
                <w:rFonts w:cs="Arial"/>
                <w:sz w:val="20"/>
              </w:rPr>
              <w:t xml:space="preserve">Individual Teacher </w:t>
            </w:r>
          </w:p>
          <w:p w:rsidRPr="002F46D1" w:rsidR="002F46D1" w:rsidP="002E6385" w:rsidRDefault="002F46D1" w14:paraId="40A24E2C" w14:textId="77777777">
            <w:pPr>
              <w:spacing w:before="20" w:after="20"/>
              <w:ind w:left="0"/>
              <w:contextualSpacing/>
              <w:jc w:val="left"/>
              <w:rPr>
                <w:rFonts w:cs="Arial"/>
                <w:sz w:val="20"/>
              </w:rPr>
            </w:pPr>
          </w:p>
        </w:tc>
        <w:tc>
          <w:tcPr>
            <w:tcW w:w="3990" w:type="dxa"/>
          </w:tcPr>
          <w:p w:rsidRPr="002F46D1" w:rsidR="002F46D1" w:rsidP="002E6385" w:rsidRDefault="002F46D1" w14:paraId="40A24E2D" w14:textId="77777777">
            <w:pPr>
              <w:spacing w:before="20" w:after="20"/>
              <w:ind w:left="20"/>
              <w:contextualSpacing/>
              <w:rPr>
                <w:rFonts w:cs="Arial"/>
                <w:sz w:val="20"/>
              </w:rPr>
            </w:pPr>
            <w:r w:rsidRPr="002F46D1">
              <w:rPr>
                <w:rFonts w:cs="Arial"/>
                <w:sz w:val="20"/>
              </w:rPr>
              <w:t>SET mandatory &amp; optional question scores as well as responses to open-ended questions</w:t>
            </w:r>
          </w:p>
          <w:p w:rsidRPr="002F46D1" w:rsidR="002F46D1" w:rsidP="002E6385" w:rsidRDefault="002F46D1" w14:paraId="40A24E2E" w14:textId="77777777">
            <w:pPr>
              <w:numPr>
                <w:ilvl w:val="0"/>
                <w:numId w:val="10"/>
              </w:numPr>
              <w:spacing w:before="20" w:after="20"/>
              <w:contextualSpacing/>
              <w:jc w:val="left"/>
              <w:rPr>
                <w:rFonts w:cs="Arial"/>
                <w:sz w:val="20"/>
              </w:rPr>
            </w:pPr>
            <w:r w:rsidRPr="002F46D1">
              <w:rPr>
                <w:rFonts w:cs="Arial"/>
                <w:sz w:val="20"/>
              </w:rPr>
              <w:t>For review and improvement</w:t>
            </w:r>
          </w:p>
          <w:p w:rsidRPr="003A2F96" w:rsidR="002F46D1" w:rsidP="002E6385" w:rsidRDefault="002F46D1" w14:paraId="40A24E2F" w14:textId="77777777">
            <w:pPr>
              <w:numPr>
                <w:ilvl w:val="0"/>
                <w:numId w:val="10"/>
              </w:numPr>
              <w:spacing w:before="20" w:after="20"/>
              <w:contextualSpacing/>
              <w:jc w:val="left"/>
              <w:rPr>
                <w:rFonts w:cs="Arial"/>
                <w:sz w:val="20"/>
              </w:rPr>
            </w:pPr>
            <w:r w:rsidRPr="002F46D1">
              <w:rPr>
                <w:rFonts w:cs="Arial"/>
                <w:sz w:val="20"/>
              </w:rPr>
              <w:t>For presentation for performance reviews and promotion applications</w:t>
            </w:r>
          </w:p>
        </w:tc>
        <w:tc>
          <w:tcPr>
            <w:tcW w:w="3990" w:type="dxa"/>
          </w:tcPr>
          <w:p w:rsidRPr="002F46D1" w:rsidR="002F46D1" w:rsidP="002E6385" w:rsidRDefault="002F46D1" w14:paraId="40A24E30" w14:textId="77777777">
            <w:pPr>
              <w:spacing w:before="20" w:after="20"/>
              <w:ind w:left="0"/>
              <w:contextualSpacing/>
              <w:rPr>
                <w:rFonts w:cs="Arial"/>
                <w:sz w:val="20"/>
              </w:rPr>
            </w:pPr>
            <w:r w:rsidRPr="002F46D1">
              <w:rPr>
                <w:rFonts w:cs="Arial"/>
                <w:sz w:val="20"/>
              </w:rPr>
              <w:t>SEC mandatory question scores &amp; optional question scores as well as responses to open-ended questions</w:t>
            </w:r>
          </w:p>
          <w:p w:rsidRPr="002F46D1" w:rsidR="002F46D1" w:rsidP="002E6385" w:rsidRDefault="002F46D1" w14:paraId="40A24E31" w14:textId="77777777">
            <w:pPr>
              <w:numPr>
                <w:ilvl w:val="0"/>
                <w:numId w:val="10"/>
              </w:numPr>
              <w:spacing w:before="20" w:after="20"/>
              <w:contextualSpacing/>
              <w:jc w:val="left"/>
              <w:rPr>
                <w:rFonts w:cs="Arial"/>
                <w:sz w:val="20"/>
              </w:rPr>
            </w:pPr>
            <w:r w:rsidRPr="002F46D1">
              <w:rPr>
                <w:rFonts w:cs="Arial"/>
                <w:sz w:val="20"/>
              </w:rPr>
              <w:t>For review and improvement</w:t>
            </w:r>
          </w:p>
          <w:p w:rsidRPr="002F46D1" w:rsidR="002F46D1" w:rsidP="002E6385" w:rsidRDefault="002F46D1" w14:paraId="40A24E32" w14:textId="77777777">
            <w:pPr>
              <w:numPr>
                <w:ilvl w:val="0"/>
                <w:numId w:val="10"/>
              </w:numPr>
              <w:spacing w:before="20" w:after="20"/>
              <w:contextualSpacing/>
              <w:jc w:val="left"/>
              <w:rPr>
                <w:rFonts w:cs="Arial"/>
                <w:sz w:val="20"/>
              </w:rPr>
            </w:pPr>
            <w:r w:rsidRPr="002F46D1">
              <w:rPr>
                <w:rFonts w:cs="Arial"/>
                <w:sz w:val="20"/>
              </w:rPr>
              <w:t>For presentation for performance reviews and promotion applications, where applicable</w:t>
            </w:r>
          </w:p>
        </w:tc>
      </w:tr>
      <w:tr w:rsidRPr="002F46D1" w:rsidR="002F46D1" w:rsidTr="005B0980" w14:paraId="40A24E3C" w14:textId="77777777">
        <w:tc>
          <w:tcPr>
            <w:tcW w:w="0" w:type="auto"/>
            <w:shd w:val="clear" w:color="auto" w:fill="auto"/>
          </w:tcPr>
          <w:p w:rsidRPr="002F46D1" w:rsidR="002F46D1" w:rsidP="002E6385" w:rsidRDefault="002F46D1" w14:paraId="40A24E34" w14:textId="77777777">
            <w:pPr>
              <w:spacing w:before="20" w:after="20"/>
              <w:ind w:left="0"/>
              <w:contextualSpacing/>
              <w:jc w:val="left"/>
              <w:rPr>
                <w:rFonts w:cs="Arial"/>
                <w:color w:val="0000FF"/>
                <w:sz w:val="20"/>
                <w:u w:val="single"/>
              </w:rPr>
            </w:pPr>
            <w:r w:rsidRPr="002F46D1">
              <w:rPr>
                <w:rFonts w:cs="Arial"/>
                <w:sz w:val="20"/>
              </w:rPr>
              <w:t>Course Convenor</w:t>
            </w:r>
          </w:p>
        </w:tc>
        <w:tc>
          <w:tcPr>
            <w:tcW w:w="3990" w:type="dxa"/>
            <w:shd w:val="clear" w:color="auto" w:fill="auto"/>
          </w:tcPr>
          <w:p w:rsidRPr="002F46D1" w:rsidR="002F46D1" w:rsidP="002E6385" w:rsidRDefault="002F46D1" w14:paraId="40A24E35" w14:textId="77777777">
            <w:pPr>
              <w:spacing w:before="20" w:after="20"/>
              <w:ind w:left="20"/>
              <w:contextualSpacing/>
              <w:rPr>
                <w:rFonts w:cs="Arial"/>
                <w:sz w:val="20"/>
              </w:rPr>
            </w:pPr>
            <w:r w:rsidRPr="002F46D1">
              <w:rPr>
                <w:rFonts w:cs="Arial"/>
                <w:sz w:val="20"/>
              </w:rPr>
              <w:t>SET mandatory question scores for teachers in that course</w:t>
            </w:r>
          </w:p>
          <w:p w:rsidRPr="002F46D1" w:rsidR="002F46D1" w:rsidP="002E6385" w:rsidRDefault="002F46D1" w14:paraId="40A24E36" w14:textId="77777777">
            <w:pPr>
              <w:numPr>
                <w:ilvl w:val="0"/>
                <w:numId w:val="11"/>
              </w:numPr>
              <w:spacing w:before="20" w:after="20"/>
              <w:contextualSpacing/>
              <w:jc w:val="left"/>
              <w:rPr>
                <w:rFonts w:cs="Arial"/>
                <w:sz w:val="20"/>
              </w:rPr>
            </w:pPr>
            <w:r w:rsidRPr="002F46D1">
              <w:rPr>
                <w:rFonts w:cs="Arial"/>
                <w:sz w:val="20"/>
              </w:rPr>
              <w:t xml:space="preserve">For review and improvement </w:t>
            </w:r>
          </w:p>
          <w:p w:rsidRPr="002F46D1" w:rsidR="002F46D1" w:rsidP="002E6385" w:rsidRDefault="002F46D1" w14:paraId="40A24E37" w14:textId="77777777">
            <w:pPr>
              <w:numPr>
                <w:ilvl w:val="0"/>
                <w:numId w:val="11"/>
              </w:numPr>
              <w:spacing w:before="20" w:after="20"/>
              <w:contextualSpacing/>
              <w:jc w:val="left"/>
              <w:rPr>
                <w:rFonts w:cs="Arial"/>
                <w:sz w:val="20"/>
              </w:rPr>
            </w:pPr>
            <w:r w:rsidRPr="002F46D1">
              <w:rPr>
                <w:rFonts w:cs="Arial"/>
                <w:sz w:val="20"/>
              </w:rPr>
              <w:t>For preparation of Course Improvement Plan</w:t>
            </w:r>
          </w:p>
        </w:tc>
        <w:tc>
          <w:tcPr>
            <w:tcW w:w="3990" w:type="dxa"/>
            <w:shd w:val="clear" w:color="auto" w:fill="auto"/>
          </w:tcPr>
          <w:p w:rsidRPr="002F46D1" w:rsidR="002F46D1" w:rsidP="002E6385" w:rsidRDefault="002F46D1" w14:paraId="40A24E38" w14:textId="77777777">
            <w:pPr>
              <w:spacing w:before="20" w:after="20"/>
              <w:ind w:left="0"/>
              <w:contextualSpacing/>
              <w:rPr>
                <w:rFonts w:cs="Arial"/>
                <w:sz w:val="20"/>
              </w:rPr>
            </w:pPr>
            <w:r w:rsidRPr="002F46D1">
              <w:rPr>
                <w:rFonts w:cs="Arial"/>
                <w:sz w:val="20"/>
              </w:rPr>
              <w:t>SEC mandatory &amp; optional question scores as well as responses to open-ended questions</w:t>
            </w:r>
          </w:p>
          <w:p w:rsidRPr="002F46D1" w:rsidR="002F46D1" w:rsidP="002E6385" w:rsidRDefault="002F46D1" w14:paraId="40A24E39" w14:textId="77777777">
            <w:pPr>
              <w:numPr>
                <w:ilvl w:val="0"/>
                <w:numId w:val="11"/>
              </w:numPr>
              <w:tabs>
                <w:tab w:val="num" w:pos="1080"/>
              </w:tabs>
              <w:spacing w:before="20" w:after="20"/>
              <w:contextualSpacing/>
              <w:jc w:val="left"/>
              <w:rPr>
                <w:rFonts w:cs="Arial"/>
                <w:sz w:val="20"/>
              </w:rPr>
            </w:pPr>
            <w:r w:rsidRPr="002F46D1">
              <w:rPr>
                <w:rFonts w:cs="Arial"/>
                <w:sz w:val="20"/>
              </w:rPr>
              <w:t>For review and improvement</w:t>
            </w:r>
          </w:p>
          <w:p w:rsidRPr="002F46D1" w:rsidR="002F46D1" w:rsidP="002E6385" w:rsidRDefault="002F46D1" w14:paraId="40A24E3A" w14:textId="77777777">
            <w:pPr>
              <w:numPr>
                <w:ilvl w:val="0"/>
                <w:numId w:val="11"/>
              </w:numPr>
              <w:tabs>
                <w:tab w:val="num" w:pos="1080"/>
              </w:tabs>
              <w:spacing w:before="20" w:after="20"/>
              <w:contextualSpacing/>
              <w:jc w:val="left"/>
              <w:rPr>
                <w:rFonts w:cs="Arial"/>
                <w:sz w:val="20"/>
              </w:rPr>
            </w:pPr>
            <w:r w:rsidRPr="002F46D1">
              <w:rPr>
                <w:rFonts w:cs="Arial"/>
                <w:sz w:val="20"/>
              </w:rPr>
              <w:t>For preparation of Course Improvement Plan</w:t>
            </w:r>
            <w:r w:rsidR="003A2F96">
              <w:rPr>
                <w:rFonts w:cs="Arial"/>
                <w:sz w:val="20"/>
              </w:rPr>
              <w:t xml:space="preserve"> </w:t>
            </w:r>
            <w:r w:rsidRPr="002F46D1">
              <w:rPr>
                <w:rFonts w:cs="Arial"/>
                <w:sz w:val="20"/>
              </w:rPr>
              <w:t>and/or Previous Student feedback section of the Course Profile</w:t>
            </w:r>
          </w:p>
          <w:p w:rsidRPr="002F46D1" w:rsidR="002F46D1" w:rsidP="002E6385" w:rsidRDefault="002F46D1" w14:paraId="40A24E3B" w14:textId="77777777">
            <w:pPr>
              <w:numPr>
                <w:ilvl w:val="0"/>
                <w:numId w:val="11"/>
              </w:numPr>
              <w:spacing w:before="20" w:after="20"/>
              <w:contextualSpacing/>
              <w:jc w:val="left"/>
              <w:rPr>
                <w:rFonts w:cs="Arial"/>
                <w:sz w:val="20"/>
              </w:rPr>
            </w:pPr>
            <w:r w:rsidRPr="002F46D1">
              <w:rPr>
                <w:rFonts w:cs="Arial"/>
                <w:sz w:val="20"/>
              </w:rPr>
              <w:t>For presentation for performance reviews and promotion applications</w:t>
            </w:r>
          </w:p>
        </w:tc>
      </w:tr>
      <w:tr w:rsidRPr="002F46D1" w:rsidR="002F46D1" w:rsidTr="005B0980" w14:paraId="40A24E40" w14:textId="77777777">
        <w:tc>
          <w:tcPr>
            <w:tcW w:w="0" w:type="auto"/>
          </w:tcPr>
          <w:p w:rsidRPr="002F46D1" w:rsidR="002F46D1" w:rsidP="002E6385" w:rsidRDefault="002F46D1" w14:paraId="40A24E3D" w14:textId="77777777">
            <w:pPr>
              <w:spacing w:before="20" w:after="20"/>
              <w:ind w:left="0"/>
              <w:contextualSpacing/>
              <w:jc w:val="left"/>
              <w:rPr>
                <w:rFonts w:cs="Arial"/>
                <w:sz w:val="20"/>
              </w:rPr>
            </w:pPr>
            <w:r w:rsidRPr="002F46D1">
              <w:rPr>
                <w:rFonts w:cs="Arial"/>
                <w:sz w:val="20"/>
              </w:rPr>
              <w:t xml:space="preserve">Students </w:t>
            </w:r>
          </w:p>
        </w:tc>
        <w:tc>
          <w:tcPr>
            <w:tcW w:w="3990" w:type="dxa"/>
          </w:tcPr>
          <w:p w:rsidRPr="002F46D1" w:rsidR="002F46D1" w:rsidP="002E6385" w:rsidRDefault="002F46D1" w14:paraId="40A24E3E" w14:textId="77777777">
            <w:pPr>
              <w:spacing w:before="20" w:after="20"/>
              <w:ind w:left="20"/>
              <w:contextualSpacing/>
              <w:rPr>
                <w:rFonts w:cs="Arial"/>
                <w:sz w:val="20"/>
              </w:rPr>
            </w:pPr>
            <w:r w:rsidRPr="002F46D1">
              <w:rPr>
                <w:rFonts w:cs="Arial"/>
                <w:sz w:val="20"/>
              </w:rPr>
              <w:t xml:space="preserve">Selected data at the discretion of the Course Convenor is used within the </w:t>
            </w:r>
            <w:r w:rsidRPr="002F46D1">
              <w:rPr>
                <w:rFonts w:cs="Arial"/>
                <w:i/>
                <w:sz w:val="20"/>
              </w:rPr>
              <w:t>Previous Student Feedback</w:t>
            </w:r>
            <w:r w:rsidRPr="002F46D1">
              <w:rPr>
                <w:rFonts w:cs="Arial"/>
                <w:sz w:val="20"/>
              </w:rPr>
              <w:t xml:space="preserve"> section of the Course Profile to illustrate staff commitment to using student feedback for course improvement and to foster student-teacher partnerships</w:t>
            </w:r>
          </w:p>
        </w:tc>
        <w:tc>
          <w:tcPr>
            <w:tcW w:w="3990" w:type="dxa"/>
          </w:tcPr>
          <w:p w:rsidRPr="002F46D1" w:rsidR="002F46D1" w:rsidP="002E6385" w:rsidRDefault="002F46D1" w14:paraId="40A24E3F" w14:textId="77777777">
            <w:pPr>
              <w:spacing w:before="20" w:after="20"/>
              <w:ind w:left="0"/>
              <w:contextualSpacing/>
              <w:rPr>
                <w:rFonts w:cs="Arial"/>
                <w:sz w:val="20"/>
              </w:rPr>
            </w:pPr>
            <w:r w:rsidRPr="002F46D1">
              <w:rPr>
                <w:rFonts w:cs="Arial"/>
                <w:sz w:val="20"/>
              </w:rPr>
              <w:t xml:space="preserve">Selected data at the discretion of the Course Convenor is used within the </w:t>
            </w:r>
            <w:r w:rsidRPr="002F46D1">
              <w:rPr>
                <w:rFonts w:cs="Arial"/>
                <w:i/>
                <w:sz w:val="20"/>
              </w:rPr>
              <w:t>Previous Student Feedback</w:t>
            </w:r>
            <w:r w:rsidRPr="002F46D1">
              <w:rPr>
                <w:rFonts w:cs="Arial"/>
                <w:sz w:val="20"/>
              </w:rPr>
              <w:t xml:space="preserve"> section of the Course Profile to demonstrate use of student feedback for course improvement and to foster student-teacher partnerships.</w:t>
            </w:r>
          </w:p>
        </w:tc>
      </w:tr>
      <w:tr w:rsidRPr="002F46D1" w:rsidR="002F46D1" w:rsidTr="005B0980" w14:paraId="40A24E46" w14:textId="77777777">
        <w:tc>
          <w:tcPr>
            <w:tcW w:w="0" w:type="auto"/>
          </w:tcPr>
          <w:p w:rsidRPr="002F46D1" w:rsidR="002F46D1" w:rsidP="002E6385" w:rsidRDefault="002F46D1" w14:paraId="40A24E41" w14:textId="6DE482BB">
            <w:pPr>
              <w:spacing w:before="20" w:after="20"/>
              <w:ind w:left="0"/>
              <w:contextualSpacing/>
              <w:jc w:val="left"/>
              <w:rPr>
                <w:rFonts w:cs="Arial"/>
                <w:sz w:val="20"/>
              </w:rPr>
            </w:pPr>
            <w:r w:rsidRPr="002F46D1">
              <w:rPr>
                <w:rFonts w:cs="Arial"/>
                <w:sz w:val="20"/>
              </w:rPr>
              <w:t>Head of School</w:t>
            </w:r>
            <w:r w:rsidR="00625213">
              <w:rPr>
                <w:rFonts w:cs="Arial"/>
                <w:sz w:val="20"/>
              </w:rPr>
              <w:t xml:space="preserve"> and Deputy Head of School</w:t>
            </w:r>
            <w:r w:rsidRPr="002F46D1">
              <w:rPr>
                <w:rFonts w:cs="Arial"/>
                <w:sz w:val="20"/>
              </w:rPr>
              <w:t xml:space="preserve"> </w:t>
            </w:r>
            <w:r w:rsidR="003E1EF3">
              <w:rPr>
                <w:rFonts w:cs="Arial"/>
                <w:sz w:val="20"/>
              </w:rPr>
              <w:t>Learning &amp; Teaching</w:t>
            </w:r>
          </w:p>
        </w:tc>
        <w:tc>
          <w:tcPr>
            <w:tcW w:w="3990" w:type="dxa"/>
          </w:tcPr>
          <w:p w:rsidRPr="002F46D1" w:rsidR="002F46D1" w:rsidP="002E6385" w:rsidRDefault="002F46D1" w14:paraId="40A24E42" w14:textId="77777777">
            <w:pPr>
              <w:tabs>
                <w:tab w:val="left" w:pos="429"/>
              </w:tabs>
              <w:spacing w:before="20" w:after="20"/>
              <w:ind w:left="20"/>
              <w:contextualSpacing/>
              <w:rPr>
                <w:rFonts w:cs="Arial"/>
                <w:sz w:val="20"/>
              </w:rPr>
            </w:pPr>
            <w:r w:rsidRPr="002F46D1">
              <w:rPr>
                <w:rFonts w:cs="Arial"/>
                <w:sz w:val="20"/>
              </w:rPr>
              <w:t>SET mandatory question scores and responses to open-ended questions.</w:t>
            </w:r>
          </w:p>
          <w:p w:rsidRPr="002F46D1" w:rsidR="002F46D1" w:rsidP="002E6385" w:rsidRDefault="002F46D1" w14:paraId="40A24E43" w14:textId="77777777">
            <w:pPr>
              <w:numPr>
                <w:ilvl w:val="0"/>
                <w:numId w:val="12"/>
              </w:numPr>
              <w:tabs>
                <w:tab w:val="left" w:pos="429"/>
                <w:tab w:val="num" w:pos="1434"/>
              </w:tabs>
              <w:spacing w:before="20" w:after="20"/>
              <w:contextualSpacing/>
              <w:jc w:val="left"/>
              <w:rPr>
                <w:rFonts w:cs="Arial"/>
                <w:sz w:val="20"/>
              </w:rPr>
            </w:pPr>
            <w:r w:rsidRPr="002F46D1">
              <w:rPr>
                <w:rFonts w:cs="Arial"/>
                <w:sz w:val="20"/>
              </w:rPr>
              <w:t>For teaching within all courses in their School for the purpose of staff performance and course improvement</w:t>
            </w:r>
          </w:p>
        </w:tc>
        <w:tc>
          <w:tcPr>
            <w:tcW w:w="3990" w:type="dxa"/>
          </w:tcPr>
          <w:p w:rsidRPr="002F46D1" w:rsidR="002F46D1" w:rsidP="002E6385" w:rsidRDefault="002F46D1" w14:paraId="40A24E44" w14:textId="77777777">
            <w:pPr>
              <w:spacing w:before="20" w:after="20"/>
              <w:ind w:left="0"/>
              <w:contextualSpacing/>
              <w:rPr>
                <w:rFonts w:cs="Arial"/>
                <w:sz w:val="20"/>
              </w:rPr>
            </w:pPr>
            <w:r w:rsidRPr="002F46D1">
              <w:rPr>
                <w:rFonts w:cs="Arial"/>
                <w:sz w:val="20"/>
              </w:rPr>
              <w:t>SEC mandatory question scores and responses to open-ended questions</w:t>
            </w:r>
          </w:p>
          <w:p w:rsidRPr="002F46D1" w:rsidR="002F46D1" w:rsidP="002E6385" w:rsidRDefault="002F46D1" w14:paraId="40A24E45" w14:textId="77777777">
            <w:pPr>
              <w:numPr>
                <w:ilvl w:val="0"/>
                <w:numId w:val="12"/>
              </w:numPr>
              <w:spacing w:before="20" w:after="20"/>
              <w:contextualSpacing/>
              <w:jc w:val="left"/>
              <w:rPr>
                <w:rFonts w:cs="Arial"/>
                <w:sz w:val="20"/>
              </w:rPr>
            </w:pPr>
            <w:r w:rsidRPr="002F46D1">
              <w:rPr>
                <w:rFonts w:cs="Arial"/>
                <w:sz w:val="20"/>
              </w:rPr>
              <w:t xml:space="preserve">For all courses in their School for staff performance and course improvement </w:t>
            </w:r>
          </w:p>
        </w:tc>
      </w:tr>
      <w:tr w:rsidRPr="002F46D1" w:rsidR="002F46D1" w:rsidTr="005B0980" w14:paraId="40A24E4C" w14:textId="77777777">
        <w:tc>
          <w:tcPr>
            <w:tcW w:w="0" w:type="auto"/>
          </w:tcPr>
          <w:p w:rsidRPr="002F46D1" w:rsidR="002F46D1" w:rsidP="002E6385" w:rsidRDefault="002F46D1" w14:paraId="40A24E47" w14:textId="77777777">
            <w:pPr>
              <w:spacing w:before="20" w:after="20"/>
              <w:ind w:left="0"/>
              <w:contextualSpacing/>
              <w:jc w:val="left"/>
              <w:rPr>
                <w:rFonts w:cs="Arial"/>
                <w:sz w:val="20"/>
              </w:rPr>
            </w:pPr>
            <w:r w:rsidRPr="002F46D1">
              <w:rPr>
                <w:rFonts w:cs="Arial"/>
                <w:sz w:val="20"/>
              </w:rPr>
              <w:t>Supervisor</w:t>
            </w:r>
          </w:p>
        </w:tc>
        <w:tc>
          <w:tcPr>
            <w:tcW w:w="3990" w:type="dxa"/>
            <w:tcBorders>
              <w:bottom w:val="single" w:color="A6A6A6" w:themeColor="background1" w:themeShade="A6" w:sz="4" w:space="0"/>
            </w:tcBorders>
          </w:tcPr>
          <w:p w:rsidRPr="002F46D1" w:rsidR="002F46D1" w:rsidP="002E6385" w:rsidRDefault="002F46D1" w14:paraId="40A24E48" w14:textId="77777777">
            <w:pPr>
              <w:tabs>
                <w:tab w:val="left" w:pos="429"/>
              </w:tabs>
              <w:spacing w:before="20" w:after="20"/>
              <w:ind w:left="20"/>
              <w:contextualSpacing/>
              <w:rPr>
                <w:rFonts w:cs="Arial"/>
                <w:sz w:val="20"/>
              </w:rPr>
            </w:pPr>
            <w:r w:rsidRPr="002F46D1">
              <w:rPr>
                <w:rFonts w:cs="Arial"/>
                <w:sz w:val="20"/>
              </w:rPr>
              <w:t>SET mandatory question scores and responses to open-ended questions.</w:t>
            </w:r>
          </w:p>
          <w:p w:rsidRPr="002F46D1" w:rsidR="002F46D1" w:rsidP="002E6385" w:rsidRDefault="002F46D1" w14:paraId="40A24E49" w14:textId="77777777">
            <w:pPr>
              <w:numPr>
                <w:ilvl w:val="0"/>
                <w:numId w:val="14"/>
              </w:numPr>
              <w:tabs>
                <w:tab w:val="left" w:pos="429"/>
                <w:tab w:val="num" w:pos="1434"/>
              </w:tabs>
              <w:spacing w:before="20" w:after="20"/>
              <w:contextualSpacing/>
              <w:jc w:val="left"/>
              <w:rPr>
                <w:rFonts w:cs="Arial"/>
                <w:sz w:val="20"/>
              </w:rPr>
            </w:pPr>
            <w:r w:rsidRPr="002F46D1">
              <w:rPr>
                <w:rFonts w:cs="Arial"/>
                <w:sz w:val="20"/>
              </w:rPr>
              <w:t>For teaching in all courses taught by staff members for whom they are the supervisor, for the purpose of staff performance and course improvement</w:t>
            </w:r>
          </w:p>
        </w:tc>
        <w:tc>
          <w:tcPr>
            <w:tcW w:w="3990" w:type="dxa"/>
            <w:shd w:val="clear" w:color="auto" w:fill="auto"/>
          </w:tcPr>
          <w:p w:rsidRPr="002F46D1" w:rsidR="002F46D1" w:rsidP="002E6385" w:rsidRDefault="002F46D1" w14:paraId="40A24E4A" w14:textId="77777777">
            <w:pPr>
              <w:tabs>
                <w:tab w:val="left" w:pos="429"/>
              </w:tabs>
              <w:spacing w:before="20" w:after="20"/>
              <w:ind w:left="0"/>
              <w:contextualSpacing/>
              <w:rPr>
                <w:rFonts w:cs="Arial"/>
                <w:sz w:val="20"/>
              </w:rPr>
            </w:pPr>
            <w:r w:rsidRPr="002F46D1">
              <w:rPr>
                <w:rFonts w:cs="Arial"/>
                <w:sz w:val="20"/>
              </w:rPr>
              <w:t>SEC mandatory question scores and responses to open-ended questions.</w:t>
            </w:r>
          </w:p>
          <w:p w:rsidRPr="002F46D1" w:rsidR="002F46D1" w:rsidP="002E6385" w:rsidRDefault="002F46D1" w14:paraId="40A24E4B" w14:textId="77777777">
            <w:pPr>
              <w:numPr>
                <w:ilvl w:val="0"/>
                <w:numId w:val="13"/>
              </w:numPr>
              <w:spacing w:before="20" w:after="20"/>
              <w:contextualSpacing/>
              <w:jc w:val="left"/>
              <w:rPr>
                <w:rFonts w:cs="Arial"/>
                <w:sz w:val="20"/>
              </w:rPr>
            </w:pPr>
            <w:r w:rsidRPr="002F46D1">
              <w:rPr>
                <w:rFonts w:cs="Arial"/>
                <w:sz w:val="20"/>
              </w:rPr>
              <w:t>By course for all courses taught by staff members for whom they are the supervisor, for the purpose of staff performance and course improvement</w:t>
            </w:r>
          </w:p>
        </w:tc>
      </w:tr>
      <w:tr w:rsidRPr="002F46D1" w:rsidR="002F46D1" w:rsidTr="005B0980" w14:paraId="40A24E51" w14:textId="77777777">
        <w:tc>
          <w:tcPr>
            <w:tcW w:w="0" w:type="auto"/>
            <w:shd w:val="clear" w:color="auto" w:fill="auto"/>
          </w:tcPr>
          <w:p w:rsidRPr="002F46D1" w:rsidR="002F46D1" w:rsidP="00926FAE" w:rsidRDefault="002F46D1" w14:paraId="40A24E4D" w14:textId="186251FA">
            <w:pPr>
              <w:spacing w:before="20" w:after="20"/>
              <w:ind w:left="0"/>
              <w:contextualSpacing/>
              <w:jc w:val="left"/>
              <w:rPr>
                <w:rFonts w:cs="Arial"/>
                <w:color w:val="0000FF"/>
                <w:sz w:val="20"/>
                <w:u w:val="single"/>
              </w:rPr>
            </w:pPr>
            <w:r w:rsidRPr="002F46D1">
              <w:rPr>
                <w:rFonts w:cs="Arial"/>
                <w:sz w:val="20"/>
              </w:rPr>
              <w:t xml:space="preserve">Program </w:t>
            </w:r>
            <w:r w:rsidR="00926FAE">
              <w:rPr>
                <w:rFonts w:cs="Arial"/>
                <w:sz w:val="20"/>
              </w:rPr>
              <w:t>Director</w:t>
            </w:r>
          </w:p>
        </w:tc>
        <w:tc>
          <w:tcPr>
            <w:tcW w:w="3990" w:type="dxa"/>
            <w:shd w:val="clear" w:color="auto" w:fill="D9D9D9" w:themeFill="background1" w:themeFillShade="D9"/>
          </w:tcPr>
          <w:p w:rsidRPr="002F46D1" w:rsidR="002F46D1" w:rsidP="002E6385" w:rsidRDefault="002F46D1" w14:paraId="40A24E4E" w14:textId="77777777">
            <w:pPr>
              <w:tabs>
                <w:tab w:val="left" w:pos="-468"/>
              </w:tabs>
              <w:spacing w:before="20" w:after="20"/>
              <w:ind w:left="20"/>
              <w:contextualSpacing/>
              <w:rPr>
                <w:rFonts w:cs="Arial"/>
                <w:sz w:val="20"/>
              </w:rPr>
            </w:pPr>
          </w:p>
        </w:tc>
        <w:tc>
          <w:tcPr>
            <w:tcW w:w="3990" w:type="dxa"/>
          </w:tcPr>
          <w:p w:rsidRPr="002F46D1" w:rsidR="002F46D1" w:rsidP="002E6385" w:rsidRDefault="002F46D1" w14:paraId="40A24E4F" w14:textId="77777777">
            <w:pPr>
              <w:spacing w:before="20" w:after="20"/>
              <w:ind w:left="0"/>
              <w:contextualSpacing/>
              <w:rPr>
                <w:rFonts w:cs="Arial"/>
                <w:sz w:val="20"/>
              </w:rPr>
            </w:pPr>
            <w:r w:rsidRPr="002F46D1">
              <w:rPr>
                <w:rFonts w:cs="Arial"/>
                <w:sz w:val="20"/>
              </w:rPr>
              <w:t>SEC mandatory question scores</w:t>
            </w:r>
          </w:p>
          <w:p w:rsidRPr="002F46D1" w:rsidR="002F46D1" w:rsidP="002E6385" w:rsidRDefault="002F46D1" w14:paraId="40A24E50" w14:textId="77777777">
            <w:pPr>
              <w:numPr>
                <w:ilvl w:val="0"/>
                <w:numId w:val="15"/>
              </w:numPr>
              <w:spacing w:before="20" w:after="20"/>
              <w:contextualSpacing/>
              <w:jc w:val="left"/>
              <w:rPr>
                <w:rFonts w:cs="Arial"/>
                <w:sz w:val="20"/>
              </w:rPr>
            </w:pPr>
            <w:r w:rsidRPr="002F46D1">
              <w:rPr>
                <w:rFonts w:cs="Arial"/>
                <w:sz w:val="20"/>
              </w:rPr>
              <w:t>For course improvement and program evaluation</w:t>
            </w:r>
          </w:p>
        </w:tc>
      </w:tr>
      <w:tr w:rsidRPr="002F46D1" w:rsidR="002F46D1" w:rsidTr="005B0980" w14:paraId="40A24E57" w14:textId="77777777">
        <w:tc>
          <w:tcPr>
            <w:tcW w:w="0" w:type="auto"/>
          </w:tcPr>
          <w:p w:rsidRPr="002F46D1" w:rsidR="002F46D1" w:rsidP="00BE13E5" w:rsidRDefault="002F46D1" w14:paraId="40A24E52" w14:textId="199A0B14">
            <w:pPr>
              <w:spacing w:before="20" w:after="20"/>
              <w:ind w:left="0"/>
              <w:contextualSpacing/>
              <w:jc w:val="left"/>
              <w:rPr>
                <w:rFonts w:cs="Arial"/>
                <w:sz w:val="20"/>
              </w:rPr>
            </w:pPr>
            <w:r w:rsidRPr="002F46D1">
              <w:rPr>
                <w:rFonts w:cs="Arial"/>
                <w:sz w:val="20"/>
              </w:rPr>
              <w:t xml:space="preserve">Dean, Group PVC, </w:t>
            </w:r>
            <w:r w:rsidR="00BE13E5">
              <w:rPr>
                <w:rFonts w:cs="Arial"/>
                <w:sz w:val="20"/>
              </w:rPr>
              <w:t>DVC (Academic)</w:t>
            </w:r>
          </w:p>
        </w:tc>
        <w:tc>
          <w:tcPr>
            <w:tcW w:w="3990" w:type="dxa"/>
          </w:tcPr>
          <w:p w:rsidRPr="002F46D1" w:rsidR="002F46D1" w:rsidP="002E6385" w:rsidRDefault="002F46D1" w14:paraId="40A24E53" w14:textId="77777777">
            <w:pPr>
              <w:tabs>
                <w:tab w:val="left" w:pos="-468"/>
              </w:tabs>
              <w:spacing w:before="20" w:after="20"/>
              <w:ind w:left="20"/>
              <w:contextualSpacing/>
              <w:rPr>
                <w:rFonts w:cs="Arial"/>
                <w:sz w:val="20"/>
              </w:rPr>
            </w:pPr>
            <w:r w:rsidRPr="002F46D1">
              <w:rPr>
                <w:rFonts w:cs="Arial"/>
                <w:sz w:val="20"/>
              </w:rPr>
              <w:t>SET mandatory question scores and responses to open-ended questions</w:t>
            </w:r>
          </w:p>
          <w:p w:rsidRPr="002F46D1" w:rsidR="002F46D1" w:rsidP="002E6385" w:rsidRDefault="002F46D1" w14:paraId="40A24E54" w14:textId="77777777">
            <w:pPr>
              <w:numPr>
                <w:ilvl w:val="0"/>
                <w:numId w:val="17"/>
              </w:numPr>
              <w:tabs>
                <w:tab w:val="left" w:pos="792"/>
              </w:tabs>
              <w:spacing w:before="20" w:after="20"/>
              <w:contextualSpacing/>
              <w:jc w:val="left"/>
              <w:rPr>
                <w:rFonts w:cs="Arial"/>
                <w:sz w:val="20"/>
              </w:rPr>
            </w:pPr>
            <w:r w:rsidRPr="002F46D1">
              <w:rPr>
                <w:rFonts w:cs="Arial"/>
                <w:sz w:val="20"/>
              </w:rPr>
              <w:t>For teaching in all courses taught by staff members in their Group for course improvement</w:t>
            </w:r>
          </w:p>
        </w:tc>
        <w:tc>
          <w:tcPr>
            <w:tcW w:w="3990" w:type="dxa"/>
          </w:tcPr>
          <w:p w:rsidRPr="002F46D1" w:rsidR="002F46D1" w:rsidP="002E6385" w:rsidRDefault="002F46D1" w14:paraId="40A24E55" w14:textId="77777777">
            <w:pPr>
              <w:spacing w:before="20" w:after="20"/>
              <w:ind w:left="0"/>
              <w:contextualSpacing/>
              <w:rPr>
                <w:rFonts w:cs="Arial"/>
                <w:sz w:val="20"/>
              </w:rPr>
            </w:pPr>
            <w:r w:rsidRPr="002F46D1">
              <w:rPr>
                <w:rFonts w:cs="Arial"/>
                <w:sz w:val="20"/>
              </w:rPr>
              <w:t>SEC mandatory question scores and responses to open-ended questions</w:t>
            </w:r>
          </w:p>
          <w:p w:rsidRPr="002F46D1" w:rsidR="002F46D1" w:rsidP="002E6385" w:rsidRDefault="002F46D1" w14:paraId="40A24E56" w14:textId="77777777">
            <w:pPr>
              <w:numPr>
                <w:ilvl w:val="0"/>
                <w:numId w:val="16"/>
              </w:numPr>
              <w:spacing w:before="20" w:after="20"/>
              <w:contextualSpacing/>
              <w:jc w:val="left"/>
              <w:rPr>
                <w:rFonts w:cs="Arial"/>
                <w:sz w:val="20"/>
              </w:rPr>
            </w:pPr>
            <w:r w:rsidRPr="002F46D1">
              <w:rPr>
                <w:rFonts w:cs="Arial"/>
                <w:sz w:val="20"/>
              </w:rPr>
              <w:t>For course improvement and program evaluation</w:t>
            </w:r>
          </w:p>
        </w:tc>
      </w:tr>
      <w:tr w:rsidRPr="002F46D1" w:rsidR="002F46D1" w:rsidTr="005B0980" w14:paraId="40A24E5D" w14:textId="77777777">
        <w:tc>
          <w:tcPr>
            <w:tcW w:w="0" w:type="auto"/>
            <w:shd w:val="clear" w:color="auto" w:fill="auto"/>
          </w:tcPr>
          <w:p w:rsidRPr="002F46D1" w:rsidR="002F46D1" w:rsidP="002E6385" w:rsidRDefault="002F46D1" w14:paraId="40A24E58" w14:textId="77777777">
            <w:pPr>
              <w:spacing w:before="20" w:after="20"/>
              <w:ind w:left="0"/>
              <w:contextualSpacing/>
              <w:jc w:val="left"/>
              <w:rPr>
                <w:rFonts w:cs="Arial"/>
                <w:color w:val="0000FF"/>
                <w:sz w:val="20"/>
                <w:u w:val="single"/>
              </w:rPr>
            </w:pPr>
            <w:r w:rsidRPr="003A2F96">
              <w:rPr>
                <w:rFonts w:cs="Arial"/>
                <w:sz w:val="20"/>
              </w:rPr>
              <w:t>School Committee</w:t>
            </w:r>
            <w:r w:rsidR="003A2F96">
              <w:rPr>
                <w:rFonts w:cs="Arial"/>
                <w:sz w:val="20"/>
              </w:rPr>
              <w:t xml:space="preserve">, </w:t>
            </w:r>
            <w:r w:rsidRPr="002F46D1">
              <w:rPr>
                <w:rFonts w:cs="Arial"/>
                <w:color w:val="0000FF"/>
                <w:sz w:val="20"/>
                <w:u w:val="single"/>
              </w:rPr>
              <w:t xml:space="preserve"> </w:t>
            </w:r>
            <w:r w:rsidRPr="003A2F96">
              <w:rPr>
                <w:rFonts w:cs="Arial"/>
                <w:sz w:val="20"/>
              </w:rPr>
              <w:t>Group Board</w:t>
            </w:r>
            <w:r w:rsidR="003A2F96">
              <w:rPr>
                <w:rFonts w:cs="Arial"/>
                <w:sz w:val="20"/>
              </w:rPr>
              <w:t xml:space="preserve">, </w:t>
            </w:r>
            <w:r w:rsidRPr="002F46D1">
              <w:rPr>
                <w:rFonts w:cs="Arial"/>
                <w:color w:val="0000FF"/>
                <w:sz w:val="20"/>
                <w:u w:val="single"/>
              </w:rPr>
              <w:t xml:space="preserve"> </w:t>
            </w:r>
            <w:r w:rsidRPr="002F46D1">
              <w:rPr>
                <w:rFonts w:cs="Arial"/>
                <w:sz w:val="20"/>
              </w:rPr>
              <w:t>University Review process</w:t>
            </w:r>
          </w:p>
        </w:tc>
        <w:tc>
          <w:tcPr>
            <w:tcW w:w="3990" w:type="dxa"/>
            <w:shd w:val="clear" w:color="auto" w:fill="auto"/>
          </w:tcPr>
          <w:p w:rsidRPr="002F46D1" w:rsidR="002F46D1" w:rsidP="002E6385" w:rsidRDefault="002F46D1" w14:paraId="40A24E59" w14:textId="77777777">
            <w:pPr>
              <w:spacing w:before="20" w:after="20"/>
              <w:ind w:left="20"/>
              <w:contextualSpacing/>
              <w:rPr>
                <w:rFonts w:cs="Arial"/>
                <w:sz w:val="20"/>
              </w:rPr>
            </w:pPr>
            <w:r w:rsidRPr="002F46D1">
              <w:rPr>
                <w:rFonts w:cs="Arial"/>
                <w:sz w:val="20"/>
              </w:rPr>
              <w:t xml:space="preserve">SET mandatory question scores </w:t>
            </w:r>
          </w:p>
          <w:p w:rsidRPr="002F46D1" w:rsidR="002F46D1" w:rsidP="002E6385" w:rsidRDefault="002F46D1" w14:paraId="40A24E5A" w14:textId="77777777">
            <w:pPr>
              <w:numPr>
                <w:ilvl w:val="0"/>
                <w:numId w:val="18"/>
              </w:numPr>
              <w:spacing w:before="20" w:after="20"/>
              <w:contextualSpacing/>
              <w:jc w:val="left"/>
              <w:rPr>
                <w:rFonts w:cs="Arial"/>
                <w:sz w:val="20"/>
              </w:rPr>
            </w:pPr>
            <w:r w:rsidRPr="002F46D1">
              <w:rPr>
                <w:rFonts w:cs="Arial"/>
                <w:sz w:val="20"/>
              </w:rPr>
              <w:t>Aggregated by Group, School, &amp; campus.</w:t>
            </w:r>
          </w:p>
        </w:tc>
        <w:tc>
          <w:tcPr>
            <w:tcW w:w="3990" w:type="dxa"/>
          </w:tcPr>
          <w:p w:rsidRPr="002F46D1" w:rsidR="002F46D1" w:rsidP="002E6385" w:rsidRDefault="002F46D1" w14:paraId="40A24E5B" w14:textId="77777777">
            <w:pPr>
              <w:spacing w:before="20" w:after="20"/>
              <w:ind w:left="0"/>
              <w:contextualSpacing/>
              <w:rPr>
                <w:rFonts w:cs="Arial"/>
                <w:sz w:val="20"/>
              </w:rPr>
            </w:pPr>
            <w:r w:rsidRPr="002F46D1">
              <w:rPr>
                <w:rFonts w:cs="Arial"/>
                <w:sz w:val="20"/>
              </w:rPr>
              <w:t>SEC mandatory question scores and responses to open-ended questions</w:t>
            </w:r>
          </w:p>
          <w:p w:rsidRPr="002F46D1" w:rsidR="002F46D1" w:rsidP="002E6385" w:rsidRDefault="002F46D1" w14:paraId="40A24E5C" w14:textId="77777777">
            <w:pPr>
              <w:numPr>
                <w:ilvl w:val="0"/>
                <w:numId w:val="19"/>
              </w:numPr>
              <w:spacing w:before="20" w:after="20"/>
              <w:contextualSpacing/>
              <w:jc w:val="left"/>
              <w:rPr>
                <w:rFonts w:cs="Arial"/>
                <w:sz w:val="20"/>
              </w:rPr>
            </w:pPr>
            <w:r w:rsidRPr="002F46D1">
              <w:rPr>
                <w:rFonts w:cs="Arial"/>
                <w:sz w:val="20"/>
              </w:rPr>
              <w:t>Aggregated by Group, School, &amp; campus.</w:t>
            </w:r>
          </w:p>
        </w:tc>
      </w:tr>
      <w:tr w:rsidRPr="002F46D1" w:rsidR="002F46D1" w:rsidTr="005B0980" w14:paraId="40A24E64" w14:textId="77777777">
        <w:tc>
          <w:tcPr>
            <w:tcW w:w="0" w:type="auto"/>
          </w:tcPr>
          <w:p w:rsidRPr="002F46D1" w:rsidR="002F46D1" w:rsidP="002E6385" w:rsidRDefault="002F46D1" w14:paraId="40A24E5E" w14:textId="77777777">
            <w:pPr>
              <w:spacing w:before="20" w:after="20"/>
              <w:ind w:left="0"/>
              <w:contextualSpacing/>
              <w:jc w:val="left"/>
              <w:rPr>
                <w:rFonts w:cs="Arial"/>
                <w:sz w:val="20"/>
              </w:rPr>
            </w:pPr>
            <w:r w:rsidRPr="002F46D1">
              <w:rPr>
                <w:rFonts w:cs="Arial"/>
                <w:sz w:val="20"/>
              </w:rPr>
              <w:t>All University Staff</w:t>
            </w:r>
          </w:p>
        </w:tc>
        <w:tc>
          <w:tcPr>
            <w:tcW w:w="3990" w:type="dxa"/>
            <w:tcBorders>
              <w:bottom w:val="single" w:color="A6A6A6" w:themeColor="background1" w:themeShade="A6" w:sz="4" w:space="0"/>
            </w:tcBorders>
          </w:tcPr>
          <w:p w:rsidRPr="002F46D1" w:rsidR="002F46D1" w:rsidP="002E6385" w:rsidRDefault="002F46D1" w14:paraId="40A24E5F" w14:textId="77777777">
            <w:pPr>
              <w:spacing w:before="20" w:after="20"/>
              <w:ind w:left="20"/>
              <w:contextualSpacing/>
              <w:rPr>
                <w:rFonts w:cs="Arial"/>
                <w:sz w:val="20"/>
              </w:rPr>
            </w:pPr>
            <w:r w:rsidRPr="002F46D1">
              <w:rPr>
                <w:rFonts w:cs="Arial"/>
                <w:sz w:val="20"/>
              </w:rPr>
              <w:t>Evaluation Feedback</w:t>
            </w:r>
          </w:p>
          <w:p w:rsidRPr="002F46D1" w:rsidR="002F46D1" w:rsidP="002E6385" w:rsidRDefault="002F46D1" w14:paraId="40A24E60" w14:textId="77777777">
            <w:pPr>
              <w:numPr>
                <w:ilvl w:val="0"/>
                <w:numId w:val="20"/>
              </w:numPr>
              <w:spacing w:before="20" w:after="20"/>
              <w:contextualSpacing/>
              <w:jc w:val="left"/>
              <w:rPr>
                <w:rFonts w:cs="Arial"/>
                <w:sz w:val="20"/>
              </w:rPr>
            </w:pPr>
            <w:r w:rsidRPr="002F46D1">
              <w:rPr>
                <w:rFonts w:cs="Arial"/>
                <w:i/>
                <w:sz w:val="20"/>
              </w:rPr>
              <w:t>Previous Student Feedback</w:t>
            </w:r>
            <w:r w:rsidRPr="002F46D1">
              <w:rPr>
                <w:rFonts w:cs="Arial"/>
                <w:sz w:val="20"/>
              </w:rPr>
              <w:t xml:space="preserve"> section in Course Profile</w:t>
            </w:r>
          </w:p>
        </w:tc>
        <w:tc>
          <w:tcPr>
            <w:tcW w:w="3990" w:type="dxa"/>
          </w:tcPr>
          <w:p w:rsidRPr="002F46D1" w:rsidR="002F46D1" w:rsidP="002E6385" w:rsidRDefault="002F46D1" w14:paraId="40A24E61" w14:textId="77777777">
            <w:pPr>
              <w:spacing w:before="20" w:after="20"/>
              <w:ind w:left="0"/>
              <w:contextualSpacing/>
              <w:rPr>
                <w:rFonts w:cs="Arial"/>
                <w:sz w:val="20"/>
              </w:rPr>
            </w:pPr>
            <w:r w:rsidRPr="002F46D1">
              <w:rPr>
                <w:rFonts w:cs="Arial"/>
                <w:sz w:val="20"/>
              </w:rPr>
              <w:t>Evaluation Feedback</w:t>
            </w:r>
          </w:p>
          <w:p w:rsidRPr="002F46D1" w:rsidR="002F46D1" w:rsidP="002E6385" w:rsidRDefault="002F46D1" w14:paraId="40A24E62" w14:textId="77777777">
            <w:pPr>
              <w:numPr>
                <w:ilvl w:val="0"/>
                <w:numId w:val="21"/>
              </w:numPr>
              <w:spacing w:before="20" w:after="20"/>
              <w:contextualSpacing/>
              <w:jc w:val="left"/>
              <w:rPr>
                <w:rFonts w:cs="Arial"/>
                <w:sz w:val="20"/>
              </w:rPr>
            </w:pPr>
            <w:r w:rsidRPr="002F46D1">
              <w:rPr>
                <w:rFonts w:cs="Arial"/>
                <w:i/>
                <w:sz w:val="20"/>
              </w:rPr>
              <w:t>Previous Student Feedback</w:t>
            </w:r>
            <w:r w:rsidRPr="002F46D1">
              <w:rPr>
                <w:rFonts w:cs="Arial"/>
                <w:sz w:val="20"/>
              </w:rPr>
              <w:t xml:space="preserve"> section in Course Profile</w:t>
            </w:r>
          </w:p>
          <w:p w:rsidRPr="002F46D1" w:rsidR="002F46D1" w:rsidP="002E6385" w:rsidRDefault="002F46D1" w14:paraId="40A24E63" w14:textId="77777777">
            <w:pPr>
              <w:numPr>
                <w:ilvl w:val="0"/>
                <w:numId w:val="21"/>
              </w:numPr>
              <w:spacing w:before="20" w:after="20"/>
              <w:contextualSpacing/>
              <w:jc w:val="left"/>
              <w:rPr>
                <w:rFonts w:cs="Arial"/>
                <w:sz w:val="20"/>
              </w:rPr>
            </w:pPr>
            <w:r w:rsidRPr="002F46D1">
              <w:rPr>
                <w:rFonts w:cs="Arial"/>
                <w:sz w:val="20"/>
              </w:rPr>
              <w:t>The mean for SEC Question 6 for each course evaluated</w:t>
            </w:r>
          </w:p>
        </w:tc>
      </w:tr>
      <w:tr w:rsidRPr="002F46D1" w:rsidR="002F46D1" w:rsidTr="005B0980" w14:paraId="40A24E68" w14:textId="77777777">
        <w:tc>
          <w:tcPr>
            <w:tcW w:w="0" w:type="auto"/>
          </w:tcPr>
          <w:p w:rsidRPr="002F46D1" w:rsidR="002F46D1" w:rsidP="002E6385" w:rsidRDefault="002F46D1" w14:paraId="40A24E65" w14:textId="77777777">
            <w:pPr>
              <w:spacing w:before="20" w:after="20"/>
              <w:ind w:left="0"/>
              <w:contextualSpacing/>
              <w:jc w:val="left"/>
              <w:rPr>
                <w:rFonts w:cs="Arial"/>
                <w:sz w:val="20"/>
              </w:rPr>
            </w:pPr>
            <w:r w:rsidRPr="002F46D1">
              <w:rPr>
                <w:rFonts w:cs="Arial"/>
                <w:sz w:val="20"/>
              </w:rPr>
              <w:lastRenderedPageBreak/>
              <w:t>General Public</w:t>
            </w:r>
          </w:p>
        </w:tc>
        <w:tc>
          <w:tcPr>
            <w:tcW w:w="3990" w:type="dxa"/>
            <w:shd w:val="clear" w:color="auto" w:fill="D9D9D9" w:themeFill="background1" w:themeFillShade="D9"/>
          </w:tcPr>
          <w:p w:rsidRPr="002F46D1" w:rsidR="002F46D1" w:rsidP="002E6385" w:rsidRDefault="002F46D1" w14:paraId="40A24E66" w14:textId="77777777">
            <w:pPr>
              <w:spacing w:before="20" w:after="20"/>
              <w:ind w:left="20"/>
              <w:contextualSpacing/>
              <w:rPr>
                <w:rFonts w:cs="Arial"/>
                <w:sz w:val="20"/>
              </w:rPr>
            </w:pPr>
          </w:p>
        </w:tc>
        <w:tc>
          <w:tcPr>
            <w:tcW w:w="3990" w:type="dxa"/>
          </w:tcPr>
          <w:p w:rsidRPr="002F46D1" w:rsidR="002F46D1" w:rsidP="002E6385" w:rsidRDefault="002F46D1" w14:paraId="40A24E67" w14:textId="77777777">
            <w:pPr>
              <w:spacing w:before="20" w:after="20"/>
              <w:ind w:left="0"/>
              <w:contextualSpacing/>
              <w:rPr>
                <w:rFonts w:cs="Arial"/>
                <w:sz w:val="20"/>
              </w:rPr>
            </w:pPr>
            <w:r w:rsidRPr="002F46D1">
              <w:rPr>
                <w:rFonts w:cs="Arial"/>
                <w:sz w:val="20"/>
              </w:rPr>
              <w:t xml:space="preserve">The mean for SEC overall satisfaction question for each course evaluated. </w:t>
            </w:r>
          </w:p>
        </w:tc>
      </w:tr>
    </w:tbl>
    <w:p w:rsidRPr="00B34D13" w:rsidR="00B35FB8" w:rsidP="002E6385" w:rsidRDefault="00DF6B3C" w14:paraId="40A24E69" w14:textId="77777777">
      <w:pPr>
        <w:numPr>
          <w:ilvl w:val="0"/>
          <w:numId w:val="2"/>
        </w:numPr>
        <w:spacing w:before="100" w:beforeAutospacing="1" w:after="240"/>
        <w:rPr>
          <w:rFonts w:cs="Arial"/>
          <w:b/>
          <w:caps/>
          <w:sz w:val="24"/>
          <w:szCs w:val="24"/>
        </w:rPr>
      </w:pPr>
      <w:bookmarkStart w:name="retentionofdata" w:id="4"/>
      <w:bookmarkEnd w:id="4"/>
      <w:r w:rsidRPr="00DF6B3C">
        <w:rPr>
          <w:b/>
          <w:caps/>
          <w:sz w:val="24"/>
          <w:szCs w:val="24"/>
        </w:rPr>
        <w:t>Retention of Data</w:t>
      </w:r>
    </w:p>
    <w:p w:rsidR="000F4E60" w:rsidP="002A6AA2" w:rsidRDefault="00DF6B3C" w14:paraId="51161D3C" w14:textId="77777777">
      <w:pPr>
        <w:rPr>
          <w:rFonts w:cs="Arial"/>
          <w:sz w:val="20"/>
        </w:rPr>
      </w:pPr>
      <w:r w:rsidRPr="00DF6B3C">
        <w:rPr>
          <w:rFonts w:cs="Arial"/>
          <w:sz w:val="20"/>
        </w:rPr>
        <w:t>Electronic copies of SEC and SET scores for mandatory and optional questions and responses to open-ended questions are retained permanently within Experience@Griffith.</w:t>
      </w:r>
    </w:p>
    <w:p w:rsidRPr="00A62490" w:rsidR="00431ED9" w:rsidP="000F4E60" w:rsidRDefault="00C57A4B" w14:paraId="40A24E6A" w14:textId="2C44E1B2">
      <w:pPr>
        <w:ind w:left="0"/>
        <w:rPr>
          <w:rFonts w:cs="Arial"/>
          <w:sz w:val="20"/>
        </w:rPr>
      </w:pPr>
      <w:r>
        <w:rPr>
          <w:rFonts w:cs="Arial"/>
          <w:sz w:val="20"/>
        </w:rPr>
        <w:pict w14:anchorId="4D46B2C4">
          <v:rect id="_x0000_i1028" style="width:447.9pt;height:1pt" o:hr="t" o:hrstd="t" o:hrnoshade="t" o:hralign="center" fillcolor="#bfbfbf [2412]" stroked="f"/>
        </w:pict>
      </w:r>
    </w:p>
    <w:p w:rsidRPr="00B34D13" w:rsidR="00E31309" w:rsidP="002E6385" w:rsidRDefault="00DF6B3C" w14:paraId="40A24E6B" w14:textId="77777777">
      <w:pPr>
        <w:numPr>
          <w:ilvl w:val="0"/>
          <w:numId w:val="2"/>
        </w:numPr>
        <w:spacing w:before="100" w:beforeAutospacing="1" w:after="240"/>
        <w:rPr>
          <w:rFonts w:cs="Arial"/>
          <w:b/>
          <w:caps/>
          <w:sz w:val="24"/>
          <w:szCs w:val="24"/>
        </w:rPr>
      </w:pPr>
      <w:bookmarkStart w:name="support" w:id="5"/>
      <w:bookmarkEnd w:id="5"/>
      <w:r w:rsidRPr="00DF6B3C">
        <w:rPr>
          <w:b/>
          <w:caps/>
          <w:sz w:val="24"/>
          <w:szCs w:val="24"/>
        </w:rPr>
        <w:t>Support and Further Resources</w:t>
      </w:r>
    </w:p>
    <w:p w:rsidRPr="00A62490" w:rsidR="00E31309" w:rsidP="002A6AA2" w:rsidRDefault="00DF6B3C" w14:paraId="40A24E6C" w14:textId="2D5304B2">
      <w:pPr>
        <w:rPr>
          <w:rFonts w:cs="Arial"/>
          <w:sz w:val="20"/>
        </w:rPr>
      </w:pPr>
      <w:r w:rsidRPr="00DF6B3C">
        <w:rPr>
          <w:rFonts w:cs="Arial"/>
          <w:sz w:val="20"/>
        </w:rPr>
        <w:t xml:space="preserve">Further support and advice for staff in relation to student feedback on teaching and courses is provided via the </w:t>
      </w:r>
      <w:r w:rsidR="00CF4817">
        <w:rPr>
          <w:rFonts w:cs="Arial"/>
          <w:sz w:val="20"/>
        </w:rPr>
        <w:t>Learning Futures</w:t>
      </w:r>
      <w:r w:rsidRPr="00DF6B3C">
        <w:rPr>
          <w:rFonts w:cs="Arial"/>
          <w:sz w:val="20"/>
        </w:rPr>
        <w:t xml:space="preserve"> Experience website.</w:t>
      </w:r>
    </w:p>
    <w:sectPr w:rsidRPr="00A62490" w:rsidR="00E31309" w:rsidSect="00147712">
      <w:footerReference w:type="default" r:id="rId19"/>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3A6C" w:rsidRDefault="001C3A6C" w14:paraId="058F91F3" w14:textId="77777777">
      <w:r>
        <w:separator/>
      </w:r>
    </w:p>
  </w:endnote>
  <w:endnote w:type="continuationSeparator" w:id="0">
    <w:p w:rsidR="001C3A6C" w:rsidRDefault="001C3A6C" w14:paraId="51A1F973" w14:textId="77777777">
      <w:r>
        <w:continuationSeparator/>
      </w:r>
    </w:p>
  </w:endnote>
  <w:endnote w:type="continuationNotice" w:id="1">
    <w:p w:rsidR="004F0380" w:rsidRDefault="004F0380" w14:paraId="612083A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D2370E" w:rsidTr="00C245CA" w14:paraId="40A24E76" w14:textId="77777777">
      <w:tc>
        <w:tcPr>
          <w:tcW w:w="918" w:type="dxa"/>
          <w:vAlign w:val="bottom"/>
        </w:tcPr>
        <w:p w:rsidRPr="0089097B" w:rsidR="00D2370E" w:rsidP="00C245CA" w:rsidRDefault="00D2370E" w14:paraId="40A24E74"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38461D" w:rsidR="0038461D">
            <w:rPr>
              <w:bCs/>
              <w:noProof/>
              <w:color w:val="BFBFBF" w:themeColor="background1" w:themeShade="BF"/>
              <w:sz w:val="16"/>
              <w:szCs w:val="16"/>
            </w:rPr>
            <w:t>4</w:t>
          </w:r>
          <w:r w:rsidRPr="0089097B">
            <w:rPr>
              <w:bCs/>
              <w:noProof/>
              <w:color w:val="BFBFBF" w:themeColor="background1" w:themeShade="BF"/>
              <w:sz w:val="16"/>
              <w:szCs w:val="16"/>
            </w:rPr>
            <w:fldChar w:fldCharType="end"/>
          </w:r>
        </w:p>
      </w:tc>
      <w:tc>
        <w:tcPr>
          <w:tcW w:w="7938" w:type="dxa"/>
          <w:vAlign w:val="bottom"/>
        </w:tcPr>
        <w:p w:rsidRPr="0089097B" w:rsidR="00D2370E" w:rsidP="00E00460" w:rsidRDefault="00D2370E" w14:paraId="40A24E75" w14:textId="77777777">
          <w:pPr>
            <w:pStyle w:val="Footer"/>
            <w:spacing w:before="20" w:after="20"/>
            <w:ind w:left="0"/>
            <w:rPr>
              <w:color w:val="BFBFBF" w:themeColor="background1" w:themeShade="BF"/>
              <w:sz w:val="16"/>
              <w:szCs w:val="16"/>
            </w:rPr>
          </w:pPr>
          <w:r w:rsidRPr="006F6BAC">
            <w:rPr>
              <w:color w:val="BFBFBF" w:themeColor="background1" w:themeShade="BF"/>
              <w:sz w:val="16"/>
              <w:szCs w:val="16"/>
            </w:rPr>
            <w:t>Student Experience of Courses (SEC) and Teaching (SET)</w:t>
          </w:r>
        </w:p>
      </w:tc>
    </w:tr>
  </w:tbl>
  <w:p w:rsidRPr="0084456D" w:rsidR="00D2370E" w:rsidP="0084456D" w:rsidRDefault="00D2370E" w14:paraId="40A24E77" w14:textId="77777777">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3A6C" w:rsidRDefault="001C3A6C" w14:paraId="56D2522A" w14:textId="77777777">
      <w:r>
        <w:separator/>
      </w:r>
    </w:p>
  </w:footnote>
  <w:footnote w:type="continuationSeparator" w:id="0">
    <w:p w:rsidR="001C3A6C" w:rsidRDefault="001C3A6C" w14:paraId="693AB7B9" w14:textId="77777777">
      <w:r>
        <w:continuationSeparator/>
      </w:r>
    </w:p>
  </w:footnote>
  <w:footnote w:type="continuationNotice" w:id="1">
    <w:p w:rsidR="004F0380" w:rsidRDefault="004F0380" w14:paraId="5FC446D2"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9A232E9"/>
    <w:multiLevelType w:val="hybridMultilevel"/>
    <w:tmpl w:val="BA168FD4"/>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 w15:restartNumberingAfterBreak="0">
    <w:nsid w:val="0FE90A85"/>
    <w:multiLevelType w:val="hybridMultilevel"/>
    <w:tmpl w:val="7F78A972"/>
    <w:lvl w:ilvl="0" w:tplc="0C090005">
      <w:start w:val="1"/>
      <w:numFmt w:val="bullet"/>
      <w:lvlText w:val=""/>
      <w:lvlJc w:val="left"/>
      <w:pPr>
        <w:ind w:left="283" w:hanging="283"/>
      </w:pPr>
      <w:rPr>
        <w:rFonts w:hint="default" w:ascii="Wingdings" w:hAnsi="Wingdings"/>
      </w:rPr>
    </w:lvl>
    <w:lvl w:ilvl="1" w:tplc="EBD00E36">
      <w:numFmt w:val="bullet"/>
      <w:lvlText w:val=""/>
      <w:lvlJc w:val="left"/>
      <w:pPr>
        <w:tabs>
          <w:tab w:val="num" w:pos="1455"/>
        </w:tabs>
        <w:ind w:left="1455" w:hanging="375"/>
      </w:pPr>
      <w:rPr>
        <w:rFonts w:hint="default" w:ascii="Wingdings" w:hAnsi="Wingdings" w:eastAsia="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17726E4"/>
    <w:multiLevelType w:val="hybridMultilevel"/>
    <w:tmpl w:val="6F463ABE"/>
    <w:lvl w:ilvl="0" w:tplc="0C090005">
      <w:start w:val="1"/>
      <w:numFmt w:val="bullet"/>
      <w:lvlText w:val=""/>
      <w:lvlJc w:val="left"/>
      <w:pPr>
        <w:ind w:left="380" w:hanging="360"/>
      </w:pPr>
      <w:rPr>
        <w:rFonts w:hint="default" w:ascii="Wingdings" w:hAnsi="Wingdings"/>
      </w:rPr>
    </w:lvl>
    <w:lvl w:ilvl="1" w:tplc="0C090003" w:tentative="1">
      <w:start w:val="1"/>
      <w:numFmt w:val="bullet"/>
      <w:lvlText w:val="o"/>
      <w:lvlJc w:val="left"/>
      <w:pPr>
        <w:ind w:left="1100" w:hanging="360"/>
      </w:pPr>
      <w:rPr>
        <w:rFonts w:hint="default" w:ascii="Courier New" w:hAnsi="Courier New" w:cs="Courier New"/>
      </w:rPr>
    </w:lvl>
    <w:lvl w:ilvl="2" w:tplc="0C090005" w:tentative="1">
      <w:start w:val="1"/>
      <w:numFmt w:val="bullet"/>
      <w:lvlText w:val=""/>
      <w:lvlJc w:val="left"/>
      <w:pPr>
        <w:ind w:left="1820" w:hanging="360"/>
      </w:pPr>
      <w:rPr>
        <w:rFonts w:hint="default" w:ascii="Wingdings" w:hAnsi="Wingdings"/>
      </w:rPr>
    </w:lvl>
    <w:lvl w:ilvl="3" w:tplc="0C090001" w:tentative="1">
      <w:start w:val="1"/>
      <w:numFmt w:val="bullet"/>
      <w:lvlText w:val=""/>
      <w:lvlJc w:val="left"/>
      <w:pPr>
        <w:ind w:left="2540" w:hanging="360"/>
      </w:pPr>
      <w:rPr>
        <w:rFonts w:hint="default" w:ascii="Symbol" w:hAnsi="Symbol"/>
      </w:rPr>
    </w:lvl>
    <w:lvl w:ilvl="4" w:tplc="0C090003" w:tentative="1">
      <w:start w:val="1"/>
      <w:numFmt w:val="bullet"/>
      <w:lvlText w:val="o"/>
      <w:lvlJc w:val="left"/>
      <w:pPr>
        <w:ind w:left="3260" w:hanging="360"/>
      </w:pPr>
      <w:rPr>
        <w:rFonts w:hint="default" w:ascii="Courier New" w:hAnsi="Courier New" w:cs="Courier New"/>
      </w:rPr>
    </w:lvl>
    <w:lvl w:ilvl="5" w:tplc="0C090005" w:tentative="1">
      <w:start w:val="1"/>
      <w:numFmt w:val="bullet"/>
      <w:lvlText w:val=""/>
      <w:lvlJc w:val="left"/>
      <w:pPr>
        <w:ind w:left="3980" w:hanging="360"/>
      </w:pPr>
      <w:rPr>
        <w:rFonts w:hint="default" w:ascii="Wingdings" w:hAnsi="Wingdings"/>
      </w:rPr>
    </w:lvl>
    <w:lvl w:ilvl="6" w:tplc="0C090001" w:tentative="1">
      <w:start w:val="1"/>
      <w:numFmt w:val="bullet"/>
      <w:lvlText w:val=""/>
      <w:lvlJc w:val="left"/>
      <w:pPr>
        <w:ind w:left="4700" w:hanging="360"/>
      </w:pPr>
      <w:rPr>
        <w:rFonts w:hint="default" w:ascii="Symbol" w:hAnsi="Symbol"/>
      </w:rPr>
    </w:lvl>
    <w:lvl w:ilvl="7" w:tplc="0C090003" w:tentative="1">
      <w:start w:val="1"/>
      <w:numFmt w:val="bullet"/>
      <w:lvlText w:val="o"/>
      <w:lvlJc w:val="left"/>
      <w:pPr>
        <w:ind w:left="5420" w:hanging="360"/>
      </w:pPr>
      <w:rPr>
        <w:rFonts w:hint="default" w:ascii="Courier New" w:hAnsi="Courier New" w:cs="Courier New"/>
      </w:rPr>
    </w:lvl>
    <w:lvl w:ilvl="8" w:tplc="0C090005" w:tentative="1">
      <w:start w:val="1"/>
      <w:numFmt w:val="bullet"/>
      <w:lvlText w:val=""/>
      <w:lvlJc w:val="left"/>
      <w:pPr>
        <w:ind w:left="6140" w:hanging="360"/>
      </w:pPr>
      <w:rPr>
        <w:rFonts w:hint="default" w:ascii="Wingdings" w:hAnsi="Wingdings"/>
      </w:rPr>
    </w:lvl>
  </w:abstractNum>
  <w:abstractNum w:abstractNumId="5" w15:restartNumberingAfterBreak="0">
    <w:nsid w:val="1CEA6C8C"/>
    <w:multiLevelType w:val="hybridMultilevel"/>
    <w:tmpl w:val="2364186C"/>
    <w:lvl w:ilvl="0" w:tplc="0C090011">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6" w15:restartNumberingAfterBreak="0">
    <w:nsid w:val="200B7311"/>
    <w:multiLevelType w:val="hybridMultilevel"/>
    <w:tmpl w:val="629C79EC"/>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4046B2D"/>
    <w:multiLevelType w:val="hybridMultilevel"/>
    <w:tmpl w:val="F822DA34"/>
    <w:lvl w:ilvl="0" w:tplc="0C090011">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8" w15:restartNumberingAfterBreak="0">
    <w:nsid w:val="3DE83802"/>
    <w:multiLevelType w:val="hybridMultilevel"/>
    <w:tmpl w:val="AE6044DE"/>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9" w15:restartNumberingAfterBreak="0">
    <w:nsid w:val="4666741E"/>
    <w:multiLevelType w:val="hybridMultilevel"/>
    <w:tmpl w:val="F7180E2C"/>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4CFF2742"/>
    <w:multiLevelType w:val="hybridMultilevel"/>
    <w:tmpl w:val="818A0D9E"/>
    <w:lvl w:ilvl="0" w:tplc="0C090005">
      <w:start w:val="1"/>
      <w:numFmt w:val="bullet"/>
      <w:lvlText w:val=""/>
      <w:lvlJc w:val="left"/>
      <w:pPr>
        <w:tabs>
          <w:tab w:val="num" w:pos="380"/>
        </w:tabs>
        <w:ind w:left="380" w:hanging="360"/>
      </w:pPr>
      <w:rPr>
        <w:rFonts w:hint="default" w:ascii="Wingdings" w:hAnsi="Wingdings"/>
      </w:rPr>
    </w:lvl>
    <w:lvl w:ilvl="1" w:tplc="04090003">
      <w:start w:val="1"/>
      <w:numFmt w:val="bullet"/>
      <w:lvlText w:val="o"/>
      <w:lvlJc w:val="left"/>
      <w:pPr>
        <w:tabs>
          <w:tab w:val="num" w:pos="1100"/>
        </w:tabs>
        <w:ind w:left="1100" w:hanging="360"/>
      </w:pPr>
      <w:rPr>
        <w:rFonts w:hint="default" w:ascii="Courier New" w:hAnsi="Courier New" w:cs="Courier New"/>
      </w:rPr>
    </w:lvl>
    <w:lvl w:ilvl="2" w:tplc="04090005">
      <w:start w:val="1"/>
      <w:numFmt w:val="bullet"/>
      <w:lvlText w:val=""/>
      <w:lvlJc w:val="left"/>
      <w:pPr>
        <w:tabs>
          <w:tab w:val="num" w:pos="1820"/>
        </w:tabs>
        <w:ind w:left="1820" w:hanging="360"/>
      </w:pPr>
      <w:rPr>
        <w:rFonts w:hint="default" w:ascii="Wingdings" w:hAnsi="Wingdings" w:cs="Times New Roman"/>
      </w:rPr>
    </w:lvl>
    <w:lvl w:ilvl="3" w:tplc="04090001">
      <w:start w:val="1"/>
      <w:numFmt w:val="bullet"/>
      <w:lvlText w:val=""/>
      <w:lvlJc w:val="left"/>
      <w:pPr>
        <w:tabs>
          <w:tab w:val="num" w:pos="2540"/>
        </w:tabs>
        <w:ind w:left="2540" w:hanging="360"/>
      </w:pPr>
      <w:rPr>
        <w:rFonts w:hint="default" w:ascii="Symbol" w:hAnsi="Symbol" w:cs="Times New Roman"/>
      </w:rPr>
    </w:lvl>
    <w:lvl w:ilvl="4" w:tplc="04090003">
      <w:start w:val="1"/>
      <w:numFmt w:val="bullet"/>
      <w:lvlText w:val="o"/>
      <w:lvlJc w:val="left"/>
      <w:pPr>
        <w:tabs>
          <w:tab w:val="num" w:pos="3260"/>
        </w:tabs>
        <w:ind w:left="3260" w:hanging="360"/>
      </w:pPr>
      <w:rPr>
        <w:rFonts w:hint="default" w:ascii="Courier New" w:hAnsi="Courier New" w:cs="Courier New"/>
      </w:rPr>
    </w:lvl>
    <w:lvl w:ilvl="5" w:tplc="04090005">
      <w:start w:val="1"/>
      <w:numFmt w:val="bullet"/>
      <w:lvlText w:val=""/>
      <w:lvlJc w:val="left"/>
      <w:pPr>
        <w:tabs>
          <w:tab w:val="num" w:pos="3980"/>
        </w:tabs>
        <w:ind w:left="3980" w:hanging="360"/>
      </w:pPr>
      <w:rPr>
        <w:rFonts w:hint="default" w:ascii="Wingdings" w:hAnsi="Wingdings" w:cs="Times New Roman"/>
      </w:rPr>
    </w:lvl>
    <w:lvl w:ilvl="6" w:tplc="04090001">
      <w:start w:val="1"/>
      <w:numFmt w:val="bullet"/>
      <w:lvlText w:val=""/>
      <w:lvlJc w:val="left"/>
      <w:pPr>
        <w:tabs>
          <w:tab w:val="num" w:pos="4700"/>
        </w:tabs>
        <w:ind w:left="4700" w:hanging="360"/>
      </w:pPr>
      <w:rPr>
        <w:rFonts w:hint="default" w:ascii="Symbol" w:hAnsi="Symbol" w:cs="Times New Roman"/>
      </w:rPr>
    </w:lvl>
    <w:lvl w:ilvl="7" w:tplc="04090003">
      <w:start w:val="1"/>
      <w:numFmt w:val="bullet"/>
      <w:lvlText w:val="o"/>
      <w:lvlJc w:val="left"/>
      <w:pPr>
        <w:tabs>
          <w:tab w:val="num" w:pos="5420"/>
        </w:tabs>
        <w:ind w:left="5420" w:hanging="360"/>
      </w:pPr>
      <w:rPr>
        <w:rFonts w:hint="default" w:ascii="Courier New" w:hAnsi="Courier New" w:cs="Courier New"/>
      </w:rPr>
    </w:lvl>
    <w:lvl w:ilvl="8" w:tplc="04090005">
      <w:start w:val="1"/>
      <w:numFmt w:val="bullet"/>
      <w:lvlText w:val=""/>
      <w:lvlJc w:val="left"/>
      <w:pPr>
        <w:tabs>
          <w:tab w:val="num" w:pos="6140"/>
        </w:tabs>
        <w:ind w:left="6140" w:hanging="360"/>
      </w:pPr>
      <w:rPr>
        <w:rFonts w:hint="default" w:ascii="Wingdings" w:hAnsi="Wingdings" w:cs="Times New Roman"/>
      </w:rPr>
    </w:lvl>
  </w:abstractNum>
  <w:abstractNum w:abstractNumId="12" w15:restartNumberingAfterBreak="0">
    <w:nsid w:val="53FF1F29"/>
    <w:multiLevelType w:val="hybridMultilevel"/>
    <w:tmpl w:val="5AC49DA8"/>
    <w:lvl w:ilvl="0" w:tplc="0C090005">
      <w:start w:val="1"/>
      <w:numFmt w:val="bullet"/>
      <w:lvlText w:val=""/>
      <w:lvlJc w:val="left"/>
      <w:pPr>
        <w:ind w:left="283" w:hanging="283"/>
      </w:pPr>
      <w:rPr>
        <w:rFonts w:hint="default" w:ascii="Wingdings" w:hAnsi="Wingdings"/>
      </w:rPr>
    </w:lvl>
    <w:lvl w:ilvl="1" w:tplc="EBD00E36">
      <w:numFmt w:val="bullet"/>
      <w:lvlText w:val=""/>
      <w:lvlJc w:val="left"/>
      <w:pPr>
        <w:tabs>
          <w:tab w:val="num" w:pos="1455"/>
        </w:tabs>
        <w:ind w:left="1455" w:hanging="375"/>
      </w:pPr>
      <w:rPr>
        <w:rFonts w:hint="default" w:ascii="Wingdings" w:hAnsi="Wingdings" w:eastAsia="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4EC251B"/>
    <w:multiLevelType w:val="hybridMultilevel"/>
    <w:tmpl w:val="6E866EEA"/>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abstractNum w:abstractNumId="14" w15:restartNumberingAfterBreak="0">
    <w:nsid w:val="58D81967"/>
    <w:multiLevelType w:val="hybridMultilevel"/>
    <w:tmpl w:val="88FA3DF8"/>
    <w:lvl w:ilvl="0" w:tplc="0C090005">
      <w:start w:val="1"/>
      <w:numFmt w:val="bullet"/>
      <w:lvlText w:val=""/>
      <w:lvlJc w:val="left"/>
      <w:pPr>
        <w:ind w:left="283" w:hanging="283"/>
      </w:pPr>
      <w:rPr>
        <w:rFonts w:hint="default" w:ascii="Wingdings" w:hAnsi="Wingdings"/>
      </w:rPr>
    </w:lvl>
    <w:lvl w:ilvl="1" w:tplc="EBD00E36">
      <w:numFmt w:val="bullet"/>
      <w:lvlText w:val=""/>
      <w:lvlJc w:val="left"/>
      <w:pPr>
        <w:tabs>
          <w:tab w:val="num" w:pos="1455"/>
        </w:tabs>
        <w:ind w:left="1455" w:hanging="375"/>
      </w:pPr>
      <w:rPr>
        <w:rFonts w:hint="default" w:ascii="Wingdings" w:hAnsi="Wingdings" w:eastAsia="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BE52196"/>
    <w:multiLevelType w:val="multilevel"/>
    <w:tmpl w:val="607E3D68"/>
    <w:lvl w:ilvl="0">
      <w:start w:val="1"/>
      <w:numFmt w:val="bullet"/>
      <w:lvlText w:val=""/>
      <w:lvlJc w:val="left"/>
      <w:pPr>
        <w:tabs>
          <w:tab w:val="num" w:pos="380"/>
        </w:tabs>
        <w:ind w:left="380" w:hanging="360"/>
      </w:pPr>
      <w:rPr>
        <w:rFonts w:hint="default" w:ascii="Wingdings" w:hAnsi="Wingdings"/>
      </w:rPr>
    </w:lvl>
    <w:lvl w:ilvl="1">
      <w:start w:val="4"/>
      <w:numFmt w:val="decimal"/>
      <w:lvlText w:val="%1.%2"/>
      <w:lvlJc w:val="left"/>
      <w:pPr>
        <w:tabs>
          <w:tab w:val="num" w:pos="1100"/>
        </w:tabs>
        <w:ind w:left="110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540"/>
        </w:tabs>
        <w:ind w:left="2540" w:hanging="720"/>
      </w:pPr>
      <w:rPr>
        <w:rFonts w:hint="default"/>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340"/>
        </w:tabs>
        <w:ind w:left="4340" w:hanging="1080"/>
      </w:pPr>
      <w:rPr>
        <w:rFonts w:hint="default"/>
      </w:rPr>
    </w:lvl>
    <w:lvl w:ilvl="6">
      <w:start w:val="1"/>
      <w:numFmt w:val="decimal"/>
      <w:lvlText w:val="%1.%2.%3.%4.%5.%6.%7"/>
      <w:lvlJc w:val="left"/>
      <w:pPr>
        <w:tabs>
          <w:tab w:val="num" w:pos="5420"/>
        </w:tabs>
        <w:ind w:left="5420" w:hanging="1440"/>
      </w:pPr>
      <w:rPr>
        <w:rFonts w:hint="default"/>
      </w:rPr>
    </w:lvl>
    <w:lvl w:ilvl="7">
      <w:start w:val="1"/>
      <w:numFmt w:val="decimal"/>
      <w:lvlText w:val="%1.%2.%3.%4.%5.%6.%7.%8"/>
      <w:lvlJc w:val="left"/>
      <w:pPr>
        <w:tabs>
          <w:tab w:val="num" w:pos="6140"/>
        </w:tabs>
        <w:ind w:left="6140" w:hanging="1440"/>
      </w:pPr>
      <w:rPr>
        <w:rFonts w:hint="default"/>
      </w:rPr>
    </w:lvl>
    <w:lvl w:ilvl="8">
      <w:start w:val="1"/>
      <w:numFmt w:val="decimal"/>
      <w:lvlText w:val="%1.%2.%3.%4.%5.%6.%7.%8.%9"/>
      <w:lvlJc w:val="left"/>
      <w:pPr>
        <w:tabs>
          <w:tab w:val="num" w:pos="7220"/>
        </w:tabs>
        <w:ind w:left="7220" w:hanging="1800"/>
      </w:pPr>
      <w:rPr>
        <w:rFonts w:hint="default"/>
      </w:rPr>
    </w:lvl>
  </w:abstractNum>
  <w:abstractNum w:abstractNumId="16" w15:restartNumberingAfterBreak="0">
    <w:nsid w:val="5F062AF8"/>
    <w:multiLevelType w:val="multilevel"/>
    <w:tmpl w:val="46B868A4"/>
    <w:lvl w:ilvl="0">
      <w:start w:val="1"/>
      <w:numFmt w:val="bullet"/>
      <w:lvlText w:val=""/>
      <w:lvlJc w:val="left"/>
      <w:pPr>
        <w:tabs>
          <w:tab w:val="num" w:pos="380"/>
        </w:tabs>
        <w:ind w:left="380" w:hanging="360"/>
      </w:pPr>
      <w:rPr>
        <w:rFonts w:hint="default" w:ascii="Wingdings" w:hAnsi="Wingdings"/>
      </w:rPr>
    </w:lvl>
    <w:lvl w:ilvl="1">
      <w:start w:val="4"/>
      <w:numFmt w:val="decimal"/>
      <w:lvlText w:val="%1.%2"/>
      <w:lvlJc w:val="left"/>
      <w:pPr>
        <w:tabs>
          <w:tab w:val="num" w:pos="1100"/>
        </w:tabs>
        <w:ind w:left="1100" w:hanging="72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540"/>
        </w:tabs>
        <w:ind w:left="2540" w:hanging="720"/>
      </w:pPr>
      <w:rPr>
        <w:rFonts w:hint="default"/>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340"/>
        </w:tabs>
        <w:ind w:left="4340" w:hanging="1080"/>
      </w:pPr>
      <w:rPr>
        <w:rFonts w:hint="default"/>
      </w:rPr>
    </w:lvl>
    <w:lvl w:ilvl="6">
      <w:start w:val="1"/>
      <w:numFmt w:val="decimal"/>
      <w:lvlText w:val="%1.%2.%3.%4.%5.%6.%7"/>
      <w:lvlJc w:val="left"/>
      <w:pPr>
        <w:tabs>
          <w:tab w:val="num" w:pos="5420"/>
        </w:tabs>
        <w:ind w:left="5420" w:hanging="1440"/>
      </w:pPr>
      <w:rPr>
        <w:rFonts w:hint="default"/>
      </w:rPr>
    </w:lvl>
    <w:lvl w:ilvl="7">
      <w:start w:val="1"/>
      <w:numFmt w:val="decimal"/>
      <w:lvlText w:val="%1.%2.%3.%4.%5.%6.%7.%8"/>
      <w:lvlJc w:val="left"/>
      <w:pPr>
        <w:tabs>
          <w:tab w:val="num" w:pos="6140"/>
        </w:tabs>
        <w:ind w:left="6140" w:hanging="1440"/>
      </w:pPr>
      <w:rPr>
        <w:rFonts w:hint="default"/>
      </w:rPr>
    </w:lvl>
    <w:lvl w:ilvl="8">
      <w:start w:val="1"/>
      <w:numFmt w:val="decimal"/>
      <w:lvlText w:val="%1.%2.%3.%4.%5.%6.%7.%8.%9"/>
      <w:lvlJc w:val="left"/>
      <w:pPr>
        <w:tabs>
          <w:tab w:val="num" w:pos="7220"/>
        </w:tabs>
        <w:ind w:left="7220" w:hanging="1800"/>
      </w:pPr>
      <w:rPr>
        <w:rFonts w:hint="default"/>
      </w:rPr>
    </w:lvl>
  </w:abstractNum>
  <w:abstractNum w:abstractNumId="17" w15:restartNumberingAfterBreak="0">
    <w:nsid w:val="60061D06"/>
    <w:multiLevelType w:val="hybridMultilevel"/>
    <w:tmpl w:val="37B204E2"/>
    <w:lvl w:ilvl="0" w:tplc="0C090005">
      <w:start w:val="1"/>
      <w:numFmt w:val="bullet"/>
      <w:lvlText w:val=""/>
      <w:lvlJc w:val="left"/>
      <w:pPr>
        <w:ind w:left="1506" w:hanging="360"/>
      </w:pPr>
      <w:rPr>
        <w:rFonts w:hint="default" w:ascii="Wingdings" w:hAnsi="Wingdings"/>
      </w:rPr>
    </w:lvl>
    <w:lvl w:ilvl="1" w:tplc="0C090003" w:tentative="1">
      <w:start w:val="1"/>
      <w:numFmt w:val="bullet"/>
      <w:lvlText w:val="o"/>
      <w:lvlJc w:val="left"/>
      <w:pPr>
        <w:ind w:left="2226" w:hanging="360"/>
      </w:pPr>
      <w:rPr>
        <w:rFonts w:hint="default" w:ascii="Courier New" w:hAnsi="Courier New" w:cs="Courier New"/>
      </w:rPr>
    </w:lvl>
    <w:lvl w:ilvl="2" w:tplc="0C090005" w:tentative="1">
      <w:start w:val="1"/>
      <w:numFmt w:val="bullet"/>
      <w:lvlText w:val=""/>
      <w:lvlJc w:val="left"/>
      <w:pPr>
        <w:ind w:left="2946" w:hanging="360"/>
      </w:pPr>
      <w:rPr>
        <w:rFonts w:hint="default" w:ascii="Wingdings" w:hAnsi="Wingdings"/>
      </w:rPr>
    </w:lvl>
    <w:lvl w:ilvl="3" w:tplc="0C090001" w:tentative="1">
      <w:start w:val="1"/>
      <w:numFmt w:val="bullet"/>
      <w:lvlText w:val=""/>
      <w:lvlJc w:val="left"/>
      <w:pPr>
        <w:ind w:left="3666" w:hanging="360"/>
      </w:pPr>
      <w:rPr>
        <w:rFonts w:hint="default" w:ascii="Symbol" w:hAnsi="Symbol"/>
      </w:rPr>
    </w:lvl>
    <w:lvl w:ilvl="4" w:tplc="0C090003" w:tentative="1">
      <w:start w:val="1"/>
      <w:numFmt w:val="bullet"/>
      <w:lvlText w:val="o"/>
      <w:lvlJc w:val="left"/>
      <w:pPr>
        <w:ind w:left="4386" w:hanging="360"/>
      </w:pPr>
      <w:rPr>
        <w:rFonts w:hint="default" w:ascii="Courier New" w:hAnsi="Courier New" w:cs="Courier New"/>
      </w:rPr>
    </w:lvl>
    <w:lvl w:ilvl="5" w:tplc="0C090005" w:tentative="1">
      <w:start w:val="1"/>
      <w:numFmt w:val="bullet"/>
      <w:lvlText w:val=""/>
      <w:lvlJc w:val="left"/>
      <w:pPr>
        <w:ind w:left="5106" w:hanging="360"/>
      </w:pPr>
      <w:rPr>
        <w:rFonts w:hint="default" w:ascii="Wingdings" w:hAnsi="Wingdings"/>
      </w:rPr>
    </w:lvl>
    <w:lvl w:ilvl="6" w:tplc="0C090001" w:tentative="1">
      <w:start w:val="1"/>
      <w:numFmt w:val="bullet"/>
      <w:lvlText w:val=""/>
      <w:lvlJc w:val="left"/>
      <w:pPr>
        <w:ind w:left="5826" w:hanging="360"/>
      </w:pPr>
      <w:rPr>
        <w:rFonts w:hint="default" w:ascii="Symbol" w:hAnsi="Symbol"/>
      </w:rPr>
    </w:lvl>
    <w:lvl w:ilvl="7" w:tplc="0C090003" w:tentative="1">
      <w:start w:val="1"/>
      <w:numFmt w:val="bullet"/>
      <w:lvlText w:val="o"/>
      <w:lvlJc w:val="left"/>
      <w:pPr>
        <w:ind w:left="6546" w:hanging="360"/>
      </w:pPr>
      <w:rPr>
        <w:rFonts w:hint="default" w:ascii="Courier New" w:hAnsi="Courier New" w:cs="Courier New"/>
      </w:rPr>
    </w:lvl>
    <w:lvl w:ilvl="8" w:tplc="0C090005" w:tentative="1">
      <w:start w:val="1"/>
      <w:numFmt w:val="bullet"/>
      <w:lvlText w:val=""/>
      <w:lvlJc w:val="left"/>
      <w:pPr>
        <w:ind w:left="7266" w:hanging="360"/>
      </w:pPr>
      <w:rPr>
        <w:rFonts w:hint="default" w:ascii="Wingdings" w:hAnsi="Wingdings"/>
      </w:rPr>
    </w:lvl>
  </w:abstractNum>
  <w:abstractNum w:abstractNumId="18" w15:restartNumberingAfterBreak="0">
    <w:nsid w:val="627F6599"/>
    <w:multiLevelType w:val="hybridMultilevel"/>
    <w:tmpl w:val="B1EAE346"/>
    <w:lvl w:ilvl="0" w:tplc="0C090005">
      <w:start w:val="1"/>
      <w:numFmt w:val="bullet"/>
      <w:lvlText w:val=""/>
      <w:lvlJc w:val="left"/>
      <w:pPr>
        <w:ind w:left="283" w:hanging="283"/>
      </w:pPr>
      <w:rPr>
        <w:rFonts w:hint="default" w:ascii="Wingdings" w:hAnsi="Wingdings"/>
      </w:rPr>
    </w:lvl>
    <w:lvl w:ilvl="1" w:tplc="EBD00E36">
      <w:numFmt w:val="bullet"/>
      <w:lvlText w:val=""/>
      <w:lvlJc w:val="left"/>
      <w:pPr>
        <w:tabs>
          <w:tab w:val="num" w:pos="1455"/>
        </w:tabs>
        <w:ind w:left="1455" w:hanging="375"/>
      </w:pPr>
      <w:rPr>
        <w:rFonts w:hint="default" w:ascii="Wingdings" w:hAnsi="Wingdings" w:eastAsia="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57C0DC3"/>
    <w:multiLevelType w:val="hybridMultilevel"/>
    <w:tmpl w:val="40905DA6"/>
    <w:lvl w:ilvl="0" w:tplc="0C090005">
      <w:start w:val="1"/>
      <w:numFmt w:val="bullet"/>
      <w:lvlText w:val=""/>
      <w:lvlJc w:val="left"/>
      <w:pPr>
        <w:ind w:left="283" w:hanging="283"/>
      </w:pPr>
      <w:rPr>
        <w:rFonts w:hint="default" w:ascii="Wingdings" w:hAnsi="Wingdings"/>
      </w:rPr>
    </w:lvl>
    <w:lvl w:ilvl="1" w:tplc="EBD00E36">
      <w:numFmt w:val="bullet"/>
      <w:lvlText w:val=""/>
      <w:lvlJc w:val="left"/>
      <w:pPr>
        <w:tabs>
          <w:tab w:val="num" w:pos="1455"/>
        </w:tabs>
        <w:ind w:left="1455" w:hanging="375"/>
      </w:pPr>
      <w:rPr>
        <w:rFonts w:hint="default" w:ascii="Wingdings" w:hAnsi="Wingdings" w:eastAsia="Times New Roman"/>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BD32CA3"/>
    <w:multiLevelType w:val="hybridMultilevel"/>
    <w:tmpl w:val="4FEA4E4C"/>
    <w:lvl w:ilvl="0" w:tplc="0C090005">
      <w:start w:val="1"/>
      <w:numFmt w:val="bullet"/>
      <w:lvlText w:val=""/>
      <w:lvlJc w:val="left"/>
      <w:pPr>
        <w:tabs>
          <w:tab w:val="num" w:pos="360"/>
        </w:tabs>
        <w:ind w:left="360" w:hanging="360"/>
      </w:pPr>
      <w:rPr>
        <w:rFonts w:hint="default" w:ascii="Wingdings" w:hAnsi="Wingdings"/>
      </w:rPr>
    </w:lvl>
    <w:lvl w:ilvl="1" w:tplc="0C090003" w:tentative="1">
      <w:start w:val="1"/>
      <w:numFmt w:val="bullet"/>
      <w:lvlText w:val="o"/>
      <w:lvlJc w:val="left"/>
      <w:pPr>
        <w:tabs>
          <w:tab w:val="num" w:pos="1080"/>
        </w:tabs>
        <w:ind w:left="1080" w:hanging="360"/>
      </w:pPr>
      <w:rPr>
        <w:rFonts w:hint="default" w:ascii="Courier New" w:hAnsi="Courier New" w:cs="Courier New"/>
      </w:rPr>
    </w:lvl>
    <w:lvl w:ilvl="2" w:tplc="0C090005" w:tentative="1">
      <w:start w:val="1"/>
      <w:numFmt w:val="bullet"/>
      <w:lvlText w:val=""/>
      <w:lvlJc w:val="left"/>
      <w:pPr>
        <w:tabs>
          <w:tab w:val="num" w:pos="1800"/>
        </w:tabs>
        <w:ind w:left="1800" w:hanging="360"/>
      </w:pPr>
      <w:rPr>
        <w:rFonts w:hint="default" w:ascii="Wingdings" w:hAnsi="Wingdings"/>
      </w:rPr>
    </w:lvl>
    <w:lvl w:ilvl="3" w:tplc="0C090001" w:tentative="1">
      <w:start w:val="1"/>
      <w:numFmt w:val="bullet"/>
      <w:lvlText w:val=""/>
      <w:lvlJc w:val="left"/>
      <w:pPr>
        <w:tabs>
          <w:tab w:val="num" w:pos="2520"/>
        </w:tabs>
        <w:ind w:left="2520" w:hanging="360"/>
      </w:pPr>
      <w:rPr>
        <w:rFonts w:hint="default" w:ascii="Symbol" w:hAnsi="Symbol"/>
      </w:rPr>
    </w:lvl>
    <w:lvl w:ilvl="4" w:tplc="0C090003" w:tentative="1">
      <w:start w:val="1"/>
      <w:numFmt w:val="bullet"/>
      <w:lvlText w:val="o"/>
      <w:lvlJc w:val="left"/>
      <w:pPr>
        <w:tabs>
          <w:tab w:val="num" w:pos="3240"/>
        </w:tabs>
        <w:ind w:left="3240" w:hanging="360"/>
      </w:pPr>
      <w:rPr>
        <w:rFonts w:hint="default" w:ascii="Courier New" w:hAnsi="Courier New" w:cs="Courier New"/>
      </w:rPr>
    </w:lvl>
    <w:lvl w:ilvl="5" w:tplc="0C090005" w:tentative="1">
      <w:start w:val="1"/>
      <w:numFmt w:val="bullet"/>
      <w:lvlText w:val=""/>
      <w:lvlJc w:val="left"/>
      <w:pPr>
        <w:tabs>
          <w:tab w:val="num" w:pos="3960"/>
        </w:tabs>
        <w:ind w:left="3960" w:hanging="360"/>
      </w:pPr>
      <w:rPr>
        <w:rFonts w:hint="default" w:ascii="Wingdings" w:hAnsi="Wingdings"/>
      </w:rPr>
    </w:lvl>
    <w:lvl w:ilvl="6" w:tplc="0C090001" w:tentative="1">
      <w:start w:val="1"/>
      <w:numFmt w:val="bullet"/>
      <w:lvlText w:val=""/>
      <w:lvlJc w:val="left"/>
      <w:pPr>
        <w:tabs>
          <w:tab w:val="num" w:pos="4680"/>
        </w:tabs>
        <w:ind w:left="4680" w:hanging="360"/>
      </w:pPr>
      <w:rPr>
        <w:rFonts w:hint="default" w:ascii="Symbol" w:hAnsi="Symbol"/>
      </w:rPr>
    </w:lvl>
    <w:lvl w:ilvl="7" w:tplc="0C090003" w:tentative="1">
      <w:start w:val="1"/>
      <w:numFmt w:val="bullet"/>
      <w:lvlText w:val="o"/>
      <w:lvlJc w:val="left"/>
      <w:pPr>
        <w:tabs>
          <w:tab w:val="num" w:pos="5400"/>
        </w:tabs>
        <w:ind w:left="5400" w:hanging="360"/>
      </w:pPr>
      <w:rPr>
        <w:rFonts w:hint="default" w:ascii="Courier New" w:hAnsi="Courier New" w:cs="Courier New"/>
      </w:rPr>
    </w:lvl>
    <w:lvl w:ilvl="8" w:tplc="0C090005" w:tentative="1">
      <w:start w:val="1"/>
      <w:numFmt w:val="bullet"/>
      <w:lvlText w:val=""/>
      <w:lvlJc w:val="left"/>
      <w:pPr>
        <w:tabs>
          <w:tab w:val="num" w:pos="6120"/>
        </w:tabs>
        <w:ind w:left="6120" w:hanging="360"/>
      </w:pPr>
      <w:rPr>
        <w:rFonts w:hint="default" w:ascii="Wingdings" w:hAnsi="Wingdings"/>
      </w:rPr>
    </w:lvl>
  </w:abstractNum>
  <w:num w:numId="1" w16cid:durableId="661397218">
    <w:abstractNumId w:val="0"/>
  </w:num>
  <w:num w:numId="2" w16cid:durableId="2144540911">
    <w:abstractNumId w:val="1"/>
  </w:num>
  <w:num w:numId="3" w16cid:durableId="1968386015">
    <w:abstractNumId w:val="10"/>
  </w:num>
  <w:num w:numId="4" w16cid:durableId="536356088">
    <w:abstractNumId w:val="2"/>
  </w:num>
  <w:num w:numId="5" w16cid:durableId="384767434">
    <w:abstractNumId w:val="9"/>
  </w:num>
  <w:num w:numId="6" w16cid:durableId="709649784">
    <w:abstractNumId w:val="8"/>
  </w:num>
  <w:num w:numId="7" w16cid:durableId="780033723">
    <w:abstractNumId w:val="7"/>
  </w:num>
  <w:num w:numId="8" w16cid:durableId="269825661">
    <w:abstractNumId w:val="17"/>
  </w:num>
  <w:num w:numId="9" w16cid:durableId="524559195">
    <w:abstractNumId w:val="5"/>
  </w:num>
  <w:num w:numId="10" w16cid:durableId="1530534565">
    <w:abstractNumId w:val="3"/>
  </w:num>
  <w:num w:numId="11" w16cid:durableId="150563368">
    <w:abstractNumId w:val="4"/>
  </w:num>
  <w:num w:numId="12" w16cid:durableId="1708221001">
    <w:abstractNumId w:val="11"/>
  </w:num>
  <w:num w:numId="13" w16cid:durableId="138502681">
    <w:abstractNumId w:val="6"/>
  </w:num>
  <w:num w:numId="14" w16cid:durableId="303973488">
    <w:abstractNumId w:val="20"/>
  </w:num>
  <w:num w:numId="15" w16cid:durableId="508524014">
    <w:abstractNumId w:val="13"/>
  </w:num>
  <w:num w:numId="16" w16cid:durableId="740952223">
    <w:abstractNumId w:val="19"/>
  </w:num>
  <w:num w:numId="17" w16cid:durableId="1107309547">
    <w:abstractNumId w:val="18"/>
  </w:num>
  <w:num w:numId="18" w16cid:durableId="1958952178">
    <w:abstractNumId w:val="15"/>
  </w:num>
  <w:num w:numId="19" w16cid:durableId="1062828093">
    <w:abstractNumId w:val="14"/>
  </w:num>
  <w:num w:numId="20" w16cid:durableId="1493107258">
    <w:abstractNumId w:val="16"/>
  </w:num>
  <w:num w:numId="21" w16cid:durableId="51400427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AC"/>
    <w:rsid w:val="0001326A"/>
    <w:rsid w:val="000168FD"/>
    <w:rsid w:val="00020317"/>
    <w:rsid w:val="000207FB"/>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2859"/>
    <w:rsid w:val="00095765"/>
    <w:rsid w:val="00095B6A"/>
    <w:rsid w:val="000A32A8"/>
    <w:rsid w:val="000B2A3C"/>
    <w:rsid w:val="000B4093"/>
    <w:rsid w:val="000B5F39"/>
    <w:rsid w:val="000D02B0"/>
    <w:rsid w:val="000D25A8"/>
    <w:rsid w:val="000F0F40"/>
    <w:rsid w:val="000F4E60"/>
    <w:rsid w:val="00111C62"/>
    <w:rsid w:val="00113FE9"/>
    <w:rsid w:val="001161F5"/>
    <w:rsid w:val="00122286"/>
    <w:rsid w:val="00125B7C"/>
    <w:rsid w:val="00126B3F"/>
    <w:rsid w:val="0013508A"/>
    <w:rsid w:val="001423D7"/>
    <w:rsid w:val="0014494F"/>
    <w:rsid w:val="001457DC"/>
    <w:rsid w:val="00147712"/>
    <w:rsid w:val="001570C8"/>
    <w:rsid w:val="00161FE6"/>
    <w:rsid w:val="001650D4"/>
    <w:rsid w:val="00165E66"/>
    <w:rsid w:val="00166645"/>
    <w:rsid w:val="00170334"/>
    <w:rsid w:val="00170EFB"/>
    <w:rsid w:val="001831DA"/>
    <w:rsid w:val="00194712"/>
    <w:rsid w:val="00195922"/>
    <w:rsid w:val="00197226"/>
    <w:rsid w:val="001A383A"/>
    <w:rsid w:val="001A43F5"/>
    <w:rsid w:val="001A762E"/>
    <w:rsid w:val="001B2DB3"/>
    <w:rsid w:val="001C0A6C"/>
    <w:rsid w:val="001C1128"/>
    <w:rsid w:val="001C2CA3"/>
    <w:rsid w:val="001C3A6C"/>
    <w:rsid w:val="001E0403"/>
    <w:rsid w:val="001E0FB5"/>
    <w:rsid w:val="001E6124"/>
    <w:rsid w:val="001F5AE8"/>
    <w:rsid w:val="001F66C9"/>
    <w:rsid w:val="00201B73"/>
    <w:rsid w:val="00206C22"/>
    <w:rsid w:val="00221DA4"/>
    <w:rsid w:val="002233B0"/>
    <w:rsid w:val="002235B6"/>
    <w:rsid w:val="0022366D"/>
    <w:rsid w:val="002418DB"/>
    <w:rsid w:val="00243FB3"/>
    <w:rsid w:val="002449C6"/>
    <w:rsid w:val="0024690C"/>
    <w:rsid w:val="00246C8E"/>
    <w:rsid w:val="00251202"/>
    <w:rsid w:val="00261CAC"/>
    <w:rsid w:val="00272C53"/>
    <w:rsid w:val="00272CE4"/>
    <w:rsid w:val="00273559"/>
    <w:rsid w:val="00275576"/>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3B1F"/>
    <w:rsid w:val="002D650A"/>
    <w:rsid w:val="002D7B77"/>
    <w:rsid w:val="002E6385"/>
    <w:rsid w:val="002F0496"/>
    <w:rsid w:val="002F224E"/>
    <w:rsid w:val="002F46D1"/>
    <w:rsid w:val="002F507E"/>
    <w:rsid w:val="002F5EE9"/>
    <w:rsid w:val="00310DB8"/>
    <w:rsid w:val="003134C8"/>
    <w:rsid w:val="003218C3"/>
    <w:rsid w:val="00326B6D"/>
    <w:rsid w:val="0034016D"/>
    <w:rsid w:val="003447E4"/>
    <w:rsid w:val="003458F5"/>
    <w:rsid w:val="00347F8E"/>
    <w:rsid w:val="00350B0C"/>
    <w:rsid w:val="003578D8"/>
    <w:rsid w:val="00381013"/>
    <w:rsid w:val="0038461D"/>
    <w:rsid w:val="00394264"/>
    <w:rsid w:val="00396DFB"/>
    <w:rsid w:val="003A2BEA"/>
    <w:rsid w:val="003A2F96"/>
    <w:rsid w:val="003C67F5"/>
    <w:rsid w:val="003C682E"/>
    <w:rsid w:val="003E1EF3"/>
    <w:rsid w:val="003E558A"/>
    <w:rsid w:val="003E5D96"/>
    <w:rsid w:val="004000E1"/>
    <w:rsid w:val="00411665"/>
    <w:rsid w:val="0041440C"/>
    <w:rsid w:val="00416FF5"/>
    <w:rsid w:val="004275CB"/>
    <w:rsid w:val="0043193E"/>
    <w:rsid w:val="00431ED9"/>
    <w:rsid w:val="004367FD"/>
    <w:rsid w:val="004379AA"/>
    <w:rsid w:val="0044443B"/>
    <w:rsid w:val="00446A1F"/>
    <w:rsid w:val="004539FC"/>
    <w:rsid w:val="004604B9"/>
    <w:rsid w:val="00461BB9"/>
    <w:rsid w:val="004657B6"/>
    <w:rsid w:val="00474A46"/>
    <w:rsid w:val="00474FF5"/>
    <w:rsid w:val="00484CEA"/>
    <w:rsid w:val="004906A4"/>
    <w:rsid w:val="0049394F"/>
    <w:rsid w:val="00495C41"/>
    <w:rsid w:val="00497B78"/>
    <w:rsid w:val="004A3DF6"/>
    <w:rsid w:val="004A545F"/>
    <w:rsid w:val="004B0D61"/>
    <w:rsid w:val="004B5AF2"/>
    <w:rsid w:val="004B5E8F"/>
    <w:rsid w:val="004B6B77"/>
    <w:rsid w:val="004D5632"/>
    <w:rsid w:val="004E1C8C"/>
    <w:rsid w:val="004F0380"/>
    <w:rsid w:val="00500E1A"/>
    <w:rsid w:val="005076BB"/>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B0980"/>
    <w:rsid w:val="005B2DF0"/>
    <w:rsid w:val="005B50CF"/>
    <w:rsid w:val="005B786F"/>
    <w:rsid w:val="005C36E1"/>
    <w:rsid w:val="005E791A"/>
    <w:rsid w:val="005F2476"/>
    <w:rsid w:val="005F3A85"/>
    <w:rsid w:val="005F5B15"/>
    <w:rsid w:val="0062049E"/>
    <w:rsid w:val="00625213"/>
    <w:rsid w:val="00626982"/>
    <w:rsid w:val="00633B37"/>
    <w:rsid w:val="006349E4"/>
    <w:rsid w:val="00636862"/>
    <w:rsid w:val="00643FE0"/>
    <w:rsid w:val="0064519D"/>
    <w:rsid w:val="00646BFC"/>
    <w:rsid w:val="00653543"/>
    <w:rsid w:val="0065750B"/>
    <w:rsid w:val="00657977"/>
    <w:rsid w:val="0066306D"/>
    <w:rsid w:val="0066357B"/>
    <w:rsid w:val="0066741D"/>
    <w:rsid w:val="006762A7"/>
    <w:rsid w:val="0068028D"/>
    <w:rsid w:val="00695182"/>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6F6BAC"/>
    <w:rsid w:val="00702232"/>
    <w:rsid w:val="00705462"/>
    <w:rsid w:val="00706C0E"/>
    <w:rsid w:val="00714A75"/>
    <w:rsid w:val="00714CCD"/>
    <w:rsid w:val="00715AF5"/>
    <w:rsid w:val="00720192"/>
    <w:rsid w:val="00723FB3"/>
    <w:rsid w:val="00740BDF"/>
    <w:rsid w:val="00741E3C"/>
    <w:rsid w:val="0074600E"/>
    <w:rsid w:val="00747D25"/>
    <w:rsid w:val="00753867"/>
    <w:rsid w:val="00754458"/>
    <w:rsid w:val="00755120"/>
    <w:rsid w:val="00757917"/>
    <w:rsid w:val="0076421A"/>
    <w:rsid w:val="00766B60"/>
    <w:rsid w:val="00775885"/>
    <w:rsid w:val="00780B46"/>
    <w:rsid w:val="00780D74"/>
    <w:rsid w:val="00791AA3"/>
    <w:rsid w:val="00792D75"/>
    <w:rsid w:val="00794D97"/>
    <w:rsid w:val="007978D7"/>
    <w:rsid w:val="007A76B5"/>
    <w:rsid w:val="007B1A9B"/>
    <w:rsid w:val="007B3CC4"/>
    <w:rsid w:val="007B75C3"/>
    <w:rsid w:val="007C6837"/>
    <w:rsid w:val="007D3EAD"/>
    <w:rsid w:val="007D6AC1"/>
    <w:rsid w:val="007D79E4"/>
    <w:rsid w:val="007E0538"/>
    <w:rsid w:val="007E3132"/>
    <w:rsid w:val="007E4EA3"/>
    <w:rsid w:val="007F3E07"/>
    <w:rsid w:val="007F56D9"/>
    <w:rsid w:val="007F6111"/>
    <w:rsid w:val="007F7FC0"/>
    <w:rsid w:val="0080516A"/>
    <w:rsid w:val="00810C01"/>
    <w:rsid w:val="00826C75"/>
    <w:rsid w:val="0082755C"/>
    <w:rsid w:val="00832F9F"/>
    <w:rsid w:val="00833FD3"/>
    <w:rsid w:val="00835399"/>
    <w:rsid w:val="00837A1B"/>
    <w:rsid w:val="00842D7C"/>
    <w:rsid w:val="0084456D"/>
    <w:rsid w:val="008455DF"/>
    <w:rsid w:val="00862B37"/>
    <w:rsid w:val="00863D60"/>
    <w:rsid w:val="0086705D"/>
    <w:rsid w:val="00873851"/>
    <w:rsid w:val="0087409B"/>
    <w:rsid w:val="00881BAA"/>
    <w:rsid w:val="00883C6F"/>
    <w:rsid w:val="00885A9D"/>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07F6"/>
    <w:rsid w:val="009148CE"/>
    <w:rsid w:val="00915B87"/>
    <w:rsid w:val="0092301A"/>
    <w:rsid w:val="00926FAE"/>
    <w:rsid w:val="00927957"/>
    <w:rsid w:val="00937507"/>
    <w:rsid w:val="00945C2A"/>
    <w:rsid w:val="00963ACF"/>
    <w:rsid w:val="00967B3F"/>
    <w:rsid w:val="009826CE"/>
    <w:rsid w:val="0098597D"/>
    <w:rsid w:val="0099409C"/>
    <w:rsid w:val="009C63BA"/>
    <w:rsid w:val="009C750A"/>
    <w:rsid w:val="009C7BF1"/>
    <w:rsid w:val="009D19FC"/>
    <w:rsid w:val="009D31AA"/>
    <w:rsid w:val="009D4604"/>
    <w:rsid w:val="009F0FF1"/>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F37D5"/>
    <w:rsid w:val="00AF4189"/>
    <w:rsid w:val="00AF54F3"/>
    <w:rsid w:val="00AF62A9"/>
    <w:rsid w:val="00AF723D"/>
    <w:rsid w:val="00B0238C"/>
    <w:rsid w:val="00B27EEB"/>
    <w:rsid w:val="00B34D13"/>
    <w:rsid w:val="00B35FB8"/>
    <w:rsid w:val="00B41E1C"/>
    <w:rsid w:val="00B472A5"/>
    <w:rsid w:val="00B60274"/>
    <w:rsid w:val="00B64C7B"/>
    <w:rsid w:val="00B66CBA"/>
    <w:rsid w:val="00B710C7"/>
    <w:rsid w:val="00B84DB5"/>
    <w:rsid w:val="00B85A91"/>
    <w:rsid w:val="00B8613F"/>
    <w:rsid w:val="00B86B55"/>
    <w:rsid w:val="00BA24BE"/>
    <w:rsid w:val="00BA39D3"/>
    <w:rsid w:val="00BA64BB"/>
    <w:rsid w:val="00BB416E"/>
    <w:rsid w:val="00BB5BAF"/>
    <w:rsid w:val="00BB7175"/>
    <w:rsid w:val="00BC0F6D"/>
    <w:rsid w:val="00BC50C1"/>
    <w:rsid w:val="00BC7428"/>
    <w:rsid w:val="00BC7A77"/>
    <w:rsid w:val="00BD070F"/>
    <w:rsid w:val="00BE0ACF"/>
    <w:rsid w:val="00BE13E5"/>
    <w:rsid w:val="00BE307A"/>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346B3"/>
    <w:rsid w:val="00C448F7"/>
    <w:rsid w:val="00C4647B"/>
    <w:rsid w:val="00C50A1F"/>
    <w:rsid w:val="00C56C9C"/>
    <w:rsid w:val="00C57A4B"/>
    <w:rsid w:val="00C6259E"/>
    <w:rsid w:val="00C715E6"/>
    <w:rsid w:val="00C738F3"/>
    <w:rsid w:val="00C762CF"/>
    <w:rsid w:val="00C8484F"/>
    <w:rsid w:val="00C86B98"/>
    <w:rsid w:val="00CA3E2C"/>
    <w:rsid w:val="00CB185A"/>
    <w:rsid w:val="00CC31E3"/>
    <w:rsid w:val="00CD3138"/>
    <w:rsid w:val="00CE3B1D"/>
    <w:rsid w:val="00CE42A9"/>
    <w:rsid w:val="00CF0319"/>
    <w:rsid w:val="00CF0EDB"/>
    <w:rsid w:val="00CF3462"/>
    <w:rsid w:val="00CF4817"/>
    <w:rsid w:val="00D0248C"/>
    <w:rsid w:val="00D047CD"/>
    <w:rsid w:val="00D05D2C"/>
    <w:rsid w:val="00D06CB7"/>
    <w:rsid w:val="00D10D24"/>
    <w:rsid w:val="00D145B1"/>
    <w:rsid w:val="00D173E1"/>
    <w:rsid w:val="00D2236E"/>
    <w:rsid w:val="00D231E0"/>
    <w:rsid w:val="00D2370E"/>
    <w:rsid w:val="00D2648D"/>
    <w:rsid w:val="00D3247B"/>
    <w:rsid w:val="00D5253F"/>
    <w:rsid w:val="00D52CAC"/>
    <w:rsid w:val="00D555F9"/>
    <w:rsid w:val="00D55BC3"/>
    <w:rsid w:val="00D614DF"/>
    <w:rsid w:val="00D85F00"/>
    <w:rsid w:val="00D9114F"/>
    <w:rsid w:val="00D920FB"/>
    <w:rsid w:val="00D952B7"/>
    <w:rsid w:val="00D95E22"/>
    <w:rsid w:val="00D96309"/>
    <w:rsid w:val="00D96726"/>
    <w:rsid w:val="00DB0479"/>
    <w:rsid w:val="00DB16B9"/>
    <w:rsid w:val="00DB4612"/>
    <w:rsid w:val="00DC2DFC"/>
    <w:rsid w:val="00DC7EE4"/>
    <w:rsid w:val="00DF6B3C"/>
    <w:rsid w:val="00E00460"/>
    <w:rsid w:val="00E15427"/>
    <w:rsid w:val="00E20578"/>
    <w:rsid w:val="00E222F1"/>
    <w:rsid w:val="00E31309"/>
    <w:rsid w:val="00E34B2B"/>
    <w:rsid w:val="00E36743"/>
    <w:rsid w:val="00E368A1"/>
    <w:rsid w:val="00E40775"/>
    <w:rsid w:val="00E443E4"/>
    <w:rsid w:val="00E52DA6"/>
    <w:rsid w:val="00E52F57"/>
    <w:rsid w:val="00E53105"/>
    <w:rsid w:val="00E54794"/>
    <w:rsid w:val="00E56164"/>
    <w:rsid w:val="00E63649"/>
    <w:rsid w:val="00E74827"/>
    <w:rsid w:val="00E75525"/>
    <w:rsid w:val="00E77601"/>
    <w:rsid w:val="00E81B11"/>
    <w:rsid w:val="00E8319B"/>
    <w:rsid w:val="00E864AF"/>
    <w:rsid w:val="00E91FB2"/>
    <w:rsid w:val="00E93BAC"/>
    <w:rsid w:val="00E97F61"/>
    <w:rsid w:val="00EA198C"/>
    <w:rsid w:val="00EA5043"/>
    <w:rsid w:val="00EA79C7"/>
    <w:rsid w:val="00EB591A"/>
    <w:rsid w:val="00EC0162"/>
    <w:rsid w:val="00EC36B2"/>
    <w:rsid w:val="00EC4C93"/>
    <w:rsid w:val="00ED27FE"/>
    <w:rsid w:val="00EE107B"/>
    <w:rsid w:val="00EE30B7"/>
    <w:rsid w:val="00EE4F80"/>
    <w:rsid w:val="00EF7145"/>
    <w:rsid w:val="00EF730A"/>
    <w:rsid w:val="00F147C2"/>
    <w:rsid w:val="00F33C08"/>
    <w:rsid w:val="00F55F4D"/>
    <w:rsid w:val="00F61824"/>
    <w:rsid w:val="00F62D80"/>
    <w:rsid w:val="00F63503"/>
    <w:rsid w:val="00F63B24"/>
    <w:rsid w:val="00F65808"/>
    <w:rsid w:val="00F660A5"/>
    <w:rsid w:val="00F87704"/>
    <w:rsid w:val="00FA1843"/>
    <w:rsid w:val="00FA2299"/>
    <w:rsid w:val="00FB4A72"/>
    <w:rsid w:val="00FB58A1"/>
    <w:rsid w:val="00FC4B0A"/>
    <w:rsid w:val="00FC4C59"/>
    <w:rsid w:val="00FD2EE6"/>
    <w:rsid w:val="00FD382F"/>
    <w:rsid w:val="00FD77A2"/>
    <w:rsid w:val="00FE12B1"/>
    <w:rsid w:val="00FE4237"/>
    <w:rsid w:val="00FE4F0C"/>
    <w:rsid w:val="00FF118B"/>
    <w:rsid w:val="00FF45F2"/>
    <w:rsid w:val="00FF72DC"/>
    <w:rsid w:val="789DD483"/>
    <w:rsid w:val="79D385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2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80516A"/>
    <w:rPr>
      <w:color w:val="800080" w:themeColor="followedHyperlink"/>
      <w:u w:val="single"/>
    </w:rPr>
  </w:style>
  <w:style w:type="paragraph" w:styleId="Revision">
    <w:name w:val="Revision"/>
    <w:hidden/>
    <w:uiPriority w:val="99"/>
    <w:semiHidden/>
    <w:rsid w:val="00695182"/>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0D2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harepointpubstor.blob.core.windows.net/policylibrary-prod/Student%20Charter%20Framework.pdf" TargetMode="External" Id="rId13" /><Relationship Type="http://schemas.openxmlformats.org/officeDocument/2006/relationships/hyperlink" Target="https://policies.griffith.edu.au/pdf/Structure%20and%20Governance%20of%20Academic%20Groups%20of%20the%20University.pdf"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policies.griffith.edu.au/pdf/Course%20Approval%20and%20Review%20Process.pdf" TargetMode="External" Id="rId12" /><Relationship Type="http://schemas.openxmlformats.org/officeDocument/2006/relationships/hyperlink" Target="https://www.griffith.edu.au/__data/assets/pdf_file/0006/266622/school-committee-constitution.pdf" TargetMode="External" Id="rId17" /><Relationship Type="http://schemas.openxmlformats.org/officeDocument/2006/relationships/customXml" Target="../customXml/item2.xml" Id="rId2" /><Relationship Type="http://schemas.openxmlformats.org/officeDocument/2006/relationships/hyperlink" Target="https://policies.griffith.edu.au/pdf/University%20Reviews%20Guidelines.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policies.griffith.edu.au/pdf/Role%20Statement%20Program%20Director.pdf"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olicies.griffith.edu.au/pdf/Role%20Statement%20Course%20Convenor.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xtlink xmlns="2f261a70-825f-4a37-b7b5-f6ecc2f4c5fa">
      <Url xsi:nil="true"/>
      <Description xsi:nil="true"/>
    </extlink>
    <TaxCatchAll xmlns="b40c662e-0380-4817-843d-2c7e10d40c39">
      <Value>151</Value>
      <Value>233</Value>
      <Value>18</Value>
      <Value>87</Value>
      <Value>518</Value>
      <Value>159</Value>
      <Value>158</Value>
      <Value>69</Value>
      <Value>88</Value>
      <Value>189</Value>
      <Value>188</Value>
      <Value>70</Value>
    </TaxCatchAll>
    <docsort xmlns="2f261a70-825f-4a37-b7b5-f6ecc2f4c5fa">10</docsort>
    <datedeclared xmlns="2f261a70-825f-4a37-b7b5-f6ecc2f4c5fa">2024-04-02T14:00:00+00:00</datedeclared>
    <policyadvisor xmlns="2f261a70-825f-4a37-b7b5-f6ecc2f4c5fa">
      <UserInfo>
        <DisplayName>Nick Barter</DisplayName>
        <AccountId>180</AccountId>
        <AccountType/>
      </UserInfo>
    </policyadvisor>
    <policysummary xmlns="2f261a70-825f-4a37-b7b5-f6ecc2f4c5fa">This document describes Griffith University's approach to gathering feedback about students' experiences of its teaching and its courses in order to assure their quality and to inform course improvement and program evaluation.</policysummary>
    <doccomments xmlns="2f261a70-825f-4a37-b7b5-f6ecc2f4c5fa">Admin change as Alfred Lizzio has retired from Griffith, Advisor should now be PVC (L&amp;T) Carol Evans as advised Jennifer Bond 5/7/2020.
Standing COO approval for editorial changes - update Policy Advisor - remove Carol Evans name - show only PVC(L&amp;T) - 4 May 2021.
03/04/2024 - Standing COO Admin editorial approval - Rescinded Student Charter links/references updated to new Student Charter Framework.</doccomments>
    <PublishOn xmlns="2f261a70-825f-4a37-b7b5-f6ecc2f4c5fa">2021-02-05T11:07:44+00:00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Learning Futures</TermName>
          <TermId xmlns="http://schemas.microsoft.com/office/infopath/2007/PartnerControls">7be7fa8d-ee98-4a12-89d5-9955f354caf5</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Evaluation of Teaching, Courses and Programs</TermName>
          <TermId xmlns="http://schemas.microsoft.com/office/infopath/2007/PartnerControls">84b7df4e-4901-44b6-bc88-86b99f4f0756</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Course</TermName>
          <TermId xmlns="http://schemas.microsoft.com/office/infopath/2007/PartnerControls">62fd217d-0114-49a4-8f1c-d8ec85fcfad4</TermId>
        </TermInfo>
        <TermInfo xmlns="http://schemas.microsoft.com/office/infopath/2007/PartnerControls">
          <TermName xmlns="http://schemas.microsoft.com/office/infopath/2007/PartnerControls">Program Director</TermName>
          <TermId xmlns="http://schemas.microsoft.com/office/infopath/2007/PartnerControls">85707bd8-c805-45c3-92a2-a3e8aa8fbf40</TermId>
        </TermInfo>
        <TermInfo xmlns="http://schemas.microsoft.com/office/infopath/2007/PartnerControls">
          <TermName xmlns="http://schemas.microsoft.com/office/infopath/2007/PartnerControls">Course Convenor</TermName>
          <TermId xmlns="http://schemas.microsoft.com/office/infopath/2007/PartnerControls">9b7c4aa2-e2bb-49e6-9591-61f8e8e850d0</TermId>
        </TermInfo>
        <TermInfo xmlns="http://schemas.microsoft.com/office/infopath/2007/PartnerControls">
          <TermName xmlns="http://schemas.microsoft.com/office/infopath/2007/PartnerControls">Head of School (HoS)</TermName>
          <TermId xmlns="http://schemas.microsoft.com/office/infopath/2007/PartnerControls">6f42bd3e-df60-4c82-bb76-d833bb37ff30</TermId>
        </TermInfo>
        <TermInfo xmlns="http://schemas.microsoft.com/office/infopath/2007/PartnerControls">
          <TermName xmlns="http://schemas.microsoft.com/office/infopath/2007/PartnerControls">Head of Element</TermName>
          <TermId xmlns="http://schemas.microsoft.com/office/infopath/2007/PartnerControls">028decda-d4be-4d43-8b00-46d3f2d20c15</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B32DD5BE-8B37-40DA-A137-124B52BF6AE7}">
  <ds:schemaRefs>
    <ds:schemaRef ds:uri="http://schemas.microsoft.com/sharepoint/v3/contenttype/forms"/>
  </ds:schemaRefs>
</ds:datastoreItem>
</file>

<file path=customXml/itemProps2.xml><?xml version="1.0" encoding="utf-8"?>
<ds:datastoreItem xmlns:ds="http://schemas.openxmlformats.org/officeDocument/2006/customXml" ds:itemID="{EA7AABFD-7EE5-4A2E-857F-09E19888D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F9975-3B5F-442A-8EB9-6DFEF3A7EEE7}">
  <ds:schemaRefs>
    <ds:schemaRef ds:uri="http://schemas.openxmlformats.org/officeDocument/2006/bibliography"/>
  </ds:schemaRefs>
</ds:datastoreItem>
</file>

<file path=customXml/itemProps4.xml><?xml version="1.0" encoding="utf-8"?>
<ds:datastoreItem xmlns:ds="http://schemas.openxmlformats.org/officeDocument/2006/customXml" ds:itemID="{BC86556E-C44C-441F-BDCE-3B1F6A02C9EC}">
  <ds:schemaRefs>
    <ds:schemaRef ds:uri="http://purl.org/dc/terms/"/>
    <ds:schemaRef ds:uri="2f261a70-825f-4a37-b7b5-f6ecc2f4c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40c662e-0380-4817-843d-2c7e10d40c39"/>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Experience of Courses (SEC) and Teaching (SET)</dc:title>
  <dc:creator/>
  <dc:description>Updated document title under "Interpreation".  Council 4/2014 (7 October) meeting approved Structure and Governance of Academic Groups of the University to replace Academic Structure of the University and Academic Manager Positions policy.</dc:description>
  <cp:lastModifiedBy>Chelsea Finlayson</cp:lastModifiedBy>
  <cp:revision>3</cp:revision>
  <dcterms:created xsi:type="dcterms:W3CDTF">2023-03-17T01:49:00Z</dcterms:created>
  <dcterms:modified xsi:type="dcterms:W3CDTF">2024-04-29T23:17:02Z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4000</vt:r8>
  </property>
  <property fmtid="{D5CDD505-2E9C-101B-9397-08002B2CF9AE}" pid="3" name="policysection">
    <vt:lpwstr>18;#Evaluation of Teaching, Courses and Programs|84b7df4e-4901-44b6-bc88-86b99f4f0756</vt:lpwstr>
  </property>
  <property fmtid="{D5CDD505-2E9C-101B-9397-08002B2CF9AE}" pid="4" name="_dlc_policyId">
    <vt:lpwstr>0x010100CCB10AA9A57F62429EA6968F7587FFF2|1453938073</vt:lpwstr>
  </property>
  <property fmtid="{D5CDD505-2E9C-101B-9397-08002B2CF9AE}" pid="5" name="HTML Link">
    <vt:lpwstr>https://policies-admin.griffith.edu.au/pdf/Student%20Experience%20of%20Courses%20and%20Teaching.pdf,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88;#Academic Committee|7e8af15c-aa65-4b9b-bab9-4850413bd480</vt:lpwstr>
  </property>
  <property fmtid="{D5CDD505-2E9C-101B-9397-08002B2CF9AE}" pid="9" name="ContentTypeId">
    <vt:lpwstr>0x010100D8585E08B4909F4CA72F2CA699ABA3ED</vt:lpwstr>
  </property>
  <property fmtid="{D5CDD505-2E9C-101B-9397-08002B2CF9AE}" pid="10" name="policycategory">
    <vt:lpwstr>69;#Policy|9279309a-7669-47c5-bf96-cc165d8b3ede</vt:lpwstr>
  </property>
  <property fmtid="{D5CDD505-2E9C-101B-9397-08002B2CF9AE}" pid="11"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2" name="TemplateUrl">
    <vt:lpwstr/>
  </property>
  <property fmtid="{D5CDD505-2E9C-101B-9397-08002B2CF9AE}" pid="13" name="glossaryterms">
    <vt:lpwstr>151;#Course|62fd217d-0114-49a4-8f1c-d8ec85fcfad4;#159;#Program Director|85707bd8-c805-45c3-92a2-a3e8aa8fbf40;#189;#Course Convenor|9b7c4aa2-e2bb-49e6-9591-61f8e8e850d0;#233;#Head of School (HoS)|6f42bd3e-df60-4c82-bb76-d833bb37ff30;#188;#Head of Element|028decda-d4be-4d43-8b00-46d3f2d20c15</vt:lpwstr>
  </property>
  <property fmtid="{D5CDD505-2E9C-101B-9397-08002B2CF9AE}" pid="14" name="_dlc_DocIdItemGuid">
    <vt:lpwstr>78be6a2f-6018-4f64-936d-b6b237be895c</vt:lpwstr>
  </property>
  <property fmtid="{D5CDD505-2E9C-101B-9397-08002B2CF9AE}" pid="15" name="officearea">
    <vt:lpwstr>158;#Learning Futures|7be7fa8d-ee98-4a12-89d5-9955f354caf5</vt:lpwstr>
  </property>
  <property fmtid="{D5CDD505-2E9C-101B-9397-08002B2CF9AE}" pid="16" name="policyreview">
    <vt:lpwstr>87;#2019|39cc0f30-d6bb-4d1d-9a77-f8c6bca783ba</vt:lpwstr>
  </property>
  <property fmtid="{D5CDD505-2E9C-101B-9397-08002B2CF9AE}" pid="17" name="policyaudience">
    <vt:lpwstr>70;#Student|ee8ed24e-bfab-45f3-a2fa-94abe1e7357a</vt:lpwstr>
  </property>
  <property fmtid="{D5CDD505-2E9C-101B-9397-08002B2CF9AE}" pid="18" name="Category Type">
    <vt:lpwstr>22;#Policy|6ea67854-4618-4b05-bd31-1dfafb0e2b14</vt:lpwstr>
  </property>
  <property fmtid="{D5CDD505-2E9C-101B-9397-08002B2CF9AE}" pid="19" name="Audience1">
    <vt:lpwstr>20;#Student|673d669b-181a-4d1f-be71-de306a3dff5f</vt:lpwstr>
  </property>
  <property fmtid="{D5CDD505-2E9C-101B-9397-08002B2CF9AE}" pid="20" name="source_item_id">
    <vt:lpwstr>118</vt:lpwstr>
  </property>
  <property fmtid="{D5CDD505-2E9C-101B-9397-08002B2CF9AE}" pid="21" name="doccomments">
    <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y fmtid="{D5CDD505-2E9C-101B-9397-08002B2CF9AE}" pid="26" name="MSIP_Label_adaa4be3-f650-4692-881a-64ae220cbceb_Enabled">
    <vt:lpwstr>true</vt:lpwstr>
  </property>
  <property fmtid="{D5CDD505-2E9C-101B-9397-08002B2CF9AE}" pid="27" name="MSIP_Label_adaa4be3-f650-4692-881a-64ae220cbceb_SetDate">
    <vt:lpwstr>2023-03-17T01:49:45Z</vt:lpwstr>
  </property>
  <property fmtid="{D5CDD505-2E9C-101B-9397-08002B2CF9AE}" pid="28" name="MSIP_Label_adaa4be3-f650-4692-881a-64ae220cbceb_Method">
    <vt:lpwstr>Standard</vt:lpwstr>
  </property>
  <property fmtid="{D5CDD505-2E9C-101B-9397-08002B2CF9AE}" pid="29" name="MSIP_Label_adaa4be3-f650-4692-881a-64ae220cbceb_Name">
    <vt:lpwstr>OFFICIAL  Internal (External sharing)</vt:lpwstr>
  </property>
  <property fmtid="{D5CDD505-2E9C-101B-9397-08002B2CF9AE}" pid="30" name="MSIP_Label_adaa4be3-f650-4692-881a-64ae220cbceb_SiteId">
    <vt:lpwstr>5a7cc8ab-a4dc-4f9b-bf60-66714049ad62</vt:lpwstr>
  </property>
  <property fmtid="{D5CDD505-2E9C-101B-9397-08002B2CF9AE}" pid="31" name="MSIP_Label_adaa4be3-f650-4692-881a-64ae220cbceb_ActionId">
    <vt:lpwstr>4de3c109-58a2-4d5d-91ec-b2acd2a7b01b</vt:lpwstr>
  </property>
  <property fmtid="{D5CDD505-2E9C-101B-9397-08002B2CF9AE}" pid="32" name="MSIP_Label_adaa4be3-f650-4692-881a-64ae220cbceb_ContentBits">
    <vt:lpwstr>0</vt:lpwstr>
  </property>
</Properties>
</file>