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878A" w14:textId="77777777" w:rsidR="00E15196" w:rsidRDefault="00E15196" w:rsidP="00E15196">
      <w:pPr>
        <w:rPr>
          <w:sz w:val="20"/>
        </w:rPr>
      </w:pPr>
      <w:r>
        <w:rPr>
          <w:noProof/>
          <w:sz w:val="20"/>
        </w:rPr>
        <mc:AlternateContent>
          <mc:Choice Requires="wps">
            <w:drawing>
              <wp:anchor distT="0" distB="0" distL="114300" distR="114300" simplePos="0" relativeHeight="251659264" behindDoc="0" locked="0" layoutInCell="1" allowOverlap="1" wp14:anchorId="7FDD2E5A" wp14:editId="634832F9">
                <wp:simplePos x="0" y="0"/>
                <wp:positionH relativeFrom="column">
                  <wp:posOffset>-371475</wp:posOffset>
                </wp:positionH>
                <wp:positionV relativeFrom="paragraph">
                  <wp:posOffset>-381000</wp:posOffset>
                </wp:positionV>
                <wp:extent cx="2244725" cy="68199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A89F" w14:textId="77777777" w:rsidR="00E15196" w:rsidRDefault="00E15196" w:rsidP="00E15196">
                            <w:pPr>
                              <w:ind w:left="426"/>
                            </w:pPr>
                            <w:r>
                              <w:rPr>
                                <w:noProof/>
                              </w:rPr>
                              <w:drawing>
                                <wp:inline distT="0" distB="0" distL="0" distR="0" wp14:anchorId="52409298" wp14:editId="1244B8B3">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DD2E5A" id="_x0000_t202" coordsize="21600,21600" o:spt="202" path="m,l,21600r21600,l21600,xe">
                <v:stroke joinstyle="miter"/>
                <v:path gradientshapeok="t" o:connecttype="rect"/>
              </v:shapetype>
              <v:shape id="Text Box 3" o:spid="_x0000_s1026" type="#_x0000_t202" style="position:absolute;left:0;text-align:left;margin-left:-29.25pt;margin-top:-30pt;width:176.75pt;height:53.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" filled="f" stroked="f">
                <v:textbox style="mso-fit-shape-to-text:t">
                  <w:txbxContent>
                    <w:p w14:paraId="0AC0A89F" w14:textId="77777777" w:rsidR="00E15196" w:rsidRDefault="00E15196" w:rsidP="00E15196">
                      <w:pPr>
                        <w:ind w:left="426"/>
                      </w:pPr>
                      <w:r>
                        <w:rPr>
                          <w:noProof/>
                        </w:rPr>
                        <w:drawing>
                          <wp:inline distT="0" distB="0" distL="0" distR="0" wp14:anchorId="52409298" wp14:editId="1244B8B3">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2AE7960C" w14:textId="77777777" w:rsidR="00E15196" w:rsidRPr="00862B37" w:rsidRDefault="00E15196" w:rsidP="00E15196">
      <w:pPr>
        <w:spacing w:before="360" w:after="240"/>
        <w:ind w:left="0"/>
        <w:jc w:val="left"/>
        <w:rPr>
          <w:rFonts w:cs="Arial"/>
          <w:sz w:val="32"/>
          <w:szCs w:val="32"/>
        </w:rPr>
      </w:pPr>
      <w:r>
        <w:rPr>
          <w:rFonts w:cs="Arial"/>
          <w:color w:val="333333"/>
          <w:sz w:val="32"/>
          <w:szCs w:val="32"/>
        </w:rPr>
        <w:t xml:space="preserve">Staff </w:t>
      </w:r>
      <w:r w:rsidRPr="00120EAE">
        <w:rPr>
          <w:rFonts w:cs="Arial"/>
          <w:color w:val="333333"/>
          <w:sz w:val="32"/>
          <w:szCs w:val="32"/>
        </w:rPr>
        <w:t>Harassment, Bullying and Discrimination Policy</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E15196" w:rsidRPr="00423A1D" w14:paraId="6DF97AC6" w14:textId="77777777" w:rsidTr="00651A1B">
        <w:tc>
          <w:tcPr>
            <w:tcW w:w="2410" w:type="dxa"/>
            <w:tcBorders>
              <w:top w:val="single" w:sz="12" w:space="0" w:color="D9D9D9" w:themeColor="background1" w:themeShade="D9"/>
              <w:right w:val="single" w:sz="12" w:space="0" w:color="D9D9D9" w:themeColor="background1" w:themeShade="D9"/>
            </w:tcBorders>
          </w:tcPr>
          <w:p w14:paraId="117406D4" w14:textId="77777777" w:rsidR="00E15196" w:rsidRPr="00423A1D" w:rsidRDefault="00E15196" w:rsidP="00651A1B">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2B36BCE6" w14:textId="77777777" w:rsidR="00E15196" w:rsidRPr="00423A1D" w:rsidRDefault="00E15196" w:rsidP="00651A1B">
            <w:pPr>
              <w:spacing w:after="0"/>
              <w:ind w:left="159"/>
              <w:rPr>
                <w:rFonts w:cs="Arial"/>
                <w:sz w:val="12"/>
                <w:szCs w:val="12"/>
              </w:rPr>
            </w:pPr>
          </w:p>
        </w:tc>
      </w:tr>
      <w:tr w:rsidR="00E15196" w:rsidRPr="00D614DF" w14:paraId="018A78E6" w14:textId="77777777" w:rsidTr="00651A1B">
        <w:tc>
          <w:tcPr>
            <w:tcW w:w="2410" w:type="dxa"/>
            <w:tcBorders>
              <w:right w:val="single" w:sz="12" w:space="0" w:color="D9D9D9" w:themeColor="background1" w:themeShade="D9"/>
            </w:tcBorders>
            <w:vAlign w:val="center"/>
          </w:tcPr>
          <w:p w14:paraId="16E7F91D" w14:textId="77777777" w:rsidR="00E15196" w:rsidRPr="004F52B8" w:rsidRDefault="00E15196" w:rsidP="00651A1B">
            <w:pPr>
              <w:spacing w:before="60" w:after="60"/>
              <w:ind w:left="0"/>
              <w:rPr>
                <w:rFonts w:cs="Arial"/>
                <w:b/>
                <w:sz w:val="20"/>
              </w:rPr>
            </w:pPr>
            <w:r w:rsidRPr="004F52B8">
              <w:rPr>
                <w:rFonts w:cs="Arial"/>
                <w:b/>
                <w:sz w:val="20"/>
              </w:rPr>
              <w:t>Approving authority</w:t>
            </w:r>
          </w:p>
        </w:tc>
        <w:tc>
          <w:tcPr>
            <w:tcW w:w="7229" w:type="dxa"/>
            <w:tcBorders>
              <w:left w:val="single" w:sz="12" w:space="0" w:color="D9D9D9" w:themeColor="background1" w:themeShade="D9"/>
            </w:tcBorders>
            <w:vAlign w:val="center"/>
          </w:tcPr>
          <w:p w14:paraId="5C4C98B0" w14:textId="27D41610" w:rsidR="00E15196" w:rsidRPr="004F52B8" w:rsidRDefault="00D7714D" w:rsidP="00651A1B">
            <w:pPr>
              <w:spacing w:before="60" w:after="60"/>
              <w:ind w:left="159"/>
              <w:rPr>
                <w:rFonts w:cs="Arial"/>
                <w:sz w:val="20"/>
              </w:rPr>
            </w:pPr>
            <w:r>
              <w:rPr>
                <w:rFonts w:cs="Arial"/>
                <w:sz w:val="20"/>
              </w:rPr>
              <w:t>Vice Chancellor</w:t>
            </w:r>
          </w:p>
        </w:tc>
      </w:tr>
      <w:tr w:rsidR="00E15196" w:rsidRPr="00D614DF" w14:paraId="5B1BBB36" w14:textId="77777777" w:rsidTr="00651A1B">
        <w:tc>
          <w:tcPr>
            <w:tcW w:w="2410" w:type="dxa"/>
            <w:tcBorders>
              <w:right w:val="single" w:sz="12" w:space="0" w:color="D9D9D9" w:themeColor="background1" w:themeShade="D9"/>
            </w:tcBorders>
            <w:vAlign w:val="center"/>
          </w:tcPr>
          <w:p w14:paraId="384CC4AE" w14:textId="77777777" w:rsidR="00E15196" w:rsidRPr="004F52B8" w:rsidRDefault="00E15196" w:rsidP="00651A1B">
            <w:pPr>
              <w:spacing w:before="60" w:after="60"/>
              <w:ind w:left="0"/>
              <w:rPr>
                <w:rFonts w:cs="Arial"/>
                <w:b/>
                <w:sz w:val="20"/>
              </w:rPr>
            </w:pPr>
            <w:r w:rsidRPr="004F52B8">
              <w:rPr>
                <w:rFonts w:cs="Arial"/>
                <w:b/>
                <w:sz w:val="20"/>
              </w:rPr>
              <w:t>Approval date</w:t>
            </w:r>
          </w:p>
        </w:tc>
        <w:tc>
          <w:tcPr>
            <w:tcW w:w="7229" w:type="dxa"/>
            <w:tcBorders>
              <w:left w:val="single" w:sz="12" w:space="0" w:color="D9D9D9" w:themeColor="background1" w:themeShade="D9"/>
            </w:tcBorders>
          </w:tcPr>
          <w:p w14:paraId="742218BB" w14:textId="2BC0215A" w:rsidR="00E15196" w:rsidRPr="004F52B8" w:rsidRDefault="00457DA8" w:rsidP="00651A1B">
            <w:pPr>
              <w:spacing w:before="60" w:after="60"/>
              <w:ind w:left="159"/>
              <w:rPr>
                <w:rFonts w:cs="Arial"/>
                <w:sz w:val="20"/>
              </w:rPr>
            </w:pPr>
            <w:r>
              <w:rPr>
                <w:rFonts w:cs="Arial"/>
                <w:sz w:val="20"/>
              </w:rPr>
              <w:t>19</w:t>
            </w:r>
            <w:r w:rsidR="00E14908" w:rsidRPr="004F52B8">
              <w:rPr>
                <w:rFonts w:cs="Arial"/>
                <w:sz w:val="20"/>
              </w:rPr>
              <w:t xml:space="preserve"> May 2020 </w:t>
            </w:r>
          </w:p>
        </w:tc>
      </w:tr>
      <w:tr w:rsidR="00E15196" w:rsidRPr="00D614DF" w14:paraId="46D9CEE2" w14:textId="77777777" w:rsidTr="00651A1B">
        <w:tc>
          <w:tcPr>
            <w:tcW w:w="2410" w:type="dxa"/>
            <w:tcBorders>
              <w:right w:val="single" w:sz="12" w:space="0" w:color="D9D9D9" w:themeColor="background1" w:themeShade="D9"/>
            </w:tcBorders>
          </w:tcPr>
          <w:p w14:paraId="51E9FB6E" w14:textId="77777777" w:rsidR="00E15196" w:rsidRPr="004F52B8" w:rsidRDefault="00E15196" w:rsidP="00651A1B">
            <w:pPr>
              <w:spacing w:before="60" w:after="60"/>
              <w:ind w:left="0"/>
              <w:rPr>
                <w:rFonts w:cs="Arial"/>
                <w:b/>
                <w:sz w:val="20"/>
              </w:rPr>
            </w:pPr>
            <w:r w:rsidRPr="004F52B8">
              <w:rPr>
                <w:rFonts w:cs="Arial"/>
                <w:b/>
                <w:sz w:val="20"/>
              </w:rPr>
              <w:t>Advisor</w:t>
            </w:r>
          </w:p>
        </w:tc>
        <w:tc>
          <w:tcPr>
            <w:tcW w:w="7229" w:type="dxa"/>
            <w:tcBorders>
              <w:left w:val="single" w:sz="12" w:space="0" w:color="D9D9D9" w:themeColor="background1" w:themeShade="D9"/>
            </w:tcBorders>
            <w:vAlign w:val="center"/>
          </w:tcPr>
          <w:p w14:paraId="247C1261" w14:textId="7247ABEB" w:rsidR="00E15196" w:rsidRPr="004F52B8" w:rsidRDefault="00E15196" w:rsidP="009F4F08">
            <w:pPr>
              <w:spacing w:after="0"/>
              <w:ind w:left="203" w:hanging="203"/>
              <w:jc w:val="left"/>
              <w:rPr>
                <w:rFonts w:cs="Arial"/>
                <w:sz w:val="20"/>
              </w:rPr>
            </w:pPr>
            <w:r w:rsidRPr="004F52B8">
              <w:rPr>
                <w:rFonts w:cs="Arial"/>
                <w:sz w:val="20"/>
              </w:rPr>
              <w:t xml:space="preserve">   </w:t>
            </w:r>
            <w:r w:rsidR="003A2F3F" w:rsidRPr="003A2F3F">
              <w:rPr>
                <w:rFonts w:cs="Arial"/>
                <w:sz w:val="20"/>
              </w:rPr>
              <w:t>Director, Human Resources</w:t>
            </w:r>
          </w:p>
        </w:tc>
      </w:tr>
      <w:tr w:rsidR="00E15196" w:rsidRPr="00D614DF" w14:paraId="20003B47" w14:textId="77777777" w:rsidTr="00651A1B">
        <w:tc>
          <w:tcPr>
            <w:tcW w:w="2410" w:type="dxa"/>
            <w:tcBorders>
              <w:right w:val="single" w:sz="12" w:space="0" w:color="D9D9D9" w:themeColor="background1" w:themeShade="D9"/>
            </w:tcBorders>
            <w:vAlign w:val="center"/>
          </w:tcPr>
          <w:p w14:paraId="2CE27E0F" w14:textId="77777777" w:rsidR="00E15196" w:rsidRPr="004F52B8" w:rsidRDefault="00E15196" w:rsidP="00651A1B">
            <w:pPr>
              <w:spacing w:before="60" w:after="60"/>
              <w:ind w:left="0"/>
              <w:rPr>
                <w:rFonts w:cs="Arial"/>
                <w:b/>
                <w:sz w:val="20"/>
              </w:rPr>
            </w:pPr>
            <w:r w:rsidRPr="004F52B8">
              <w:rPr>
                <w:rFonts w:cs="Arial"/>
                <w:b/>
                <w:sz w:val="20"/>
              </w:rPr>
              <w:t>Next scheduled review</w:t>
            </w:r>
          </w:p>
        </w:tc>
        <w:tc>
          <w:tcPr>
            <w:tcW w:w="7229" w:type="dxa"/>
            <w:tcBorders>
              <w:left w:val="single" w:sz="12" w:space="0" w:color="D9D9D9" w:themeColor="background1" w:themeShade="D9"/>
            </w:tcBorders>
            <w:vAlign w:val="center"/>
          </w:tcPr>
          <w:p w14:paraId="080AC3A5" w14:textId="08F61D37" w:rsidR="00E15196" w:rsidRPr="004F52B8" w:rsidRDefault="00E15196" w:rsidP="00651A1B">
            <w:pPr>
              <w:spacing w:before="60" w:after="60"/>
              <w:ind w:left="159"/>
              <w:rPr>
                <w:rFonts w:cs="Arial"/>
                <w:sz w:val="20"/>
              </w:rPr>
            </w:pPr>
            <w:r w:rsidRPr="004F52B8">
              <w:rPr>
                <w:rFonts w:cs="Arial"/>
                <w:sz w:val="20"/>
              </w:rPr>
              <w:t>2023</w:t>
            </w:r>
            <w:r w:rsidR="00ED7D04" w:rsidRPr="00ED7D04">
              <w:rPr>
                <w:rFonts w:cs="Arial"/>
                <w:sz w:val="20"/>
              </w:rPr>
              <w:t xml:space="preserve"> (Currently under review)</w:t>
            </w:r>
          </w:p>
        </w:tc>
      </w:tr>
      <w:tr w:rsidR="00E15196" w:rsidRPr="00D614DF" w14:paraId="0174F0F5" w14:textId="77777777" w:rsidTr="00651A1B">
        <w:tc>
          <w:tcPr>
            <w:tcW w:w="2410" w:type="dxa"/>
            <w:tcBorders>
              <w:bottom w:val="nil"/>
              <w:right w:val="single" w:sz="12" w:space="0" w:color="D9D9D9" w:themeColor="background1" w:themeShade="D9"/>
            </w:tcBorders>
          </w:tcPr>
          <w:p w14:paraId="43EEDE52" w14:textId="77777777" w:rsidR="00E15196" w:rsidRPr="004F52B8" w:rsidRDefault="00E15196" w:rsidP="00651A1B">
            <w:pPr>
              <w:spacing w:before="60" w:after="60"/>
              <w:ind w:left="0"/>
              <w:jc w:val="left"/>
              <w:rPr>
                <w:rFonts w:cs="Arial"/>
                <w:b/>
                <w:sz w:val="20"/>
              </w:rPr>
            </w:pPr>
            <w:r w:rsidRPr="004F52B8">
              <w:rPr>
                <w:rFonts w:cs="Arial"/>
                <w:b/>
                <w:sz w:val="20"/>
              </w:rPr>
              <w:t>Document URL</w:t>
            </w:r>
          </w:p>
        </w:tc>
        <w:tc>
          <w:tcPr>
            <w:tcW w:w="7229" w:type="dxa"/>
            <w:tcBorders>
              <w:left w:val="single" w:sz="12" w:space="0" w:color="D9D9D9" w:themeColor="background1" w:themeShade="D9"/>
              <w:bottom w:val="nil"/>
            </w:tcBorders>
            <w:vAlign w:val="center"/>
          </w:tcPr>
          <w:p w14:paraId="3DD3CD3A" w14:textId="084262B1" w:rsidR="00E15196" w:rsidRPr="004F52B8" w:rsidRDefault="00E15196" w:rsidP="00651A1B">
            <w:pPr>
              <w:spacing w:before="60" w:after="60"/>
              <w:ind w:left="159"/>
              <w:jc w:val="left"/>
              <w:rPr>
                <w:rFonts w:cs="Arial"/>
                <w:sz w:val="20"/>
              </w:rPr>
            </w:pPr>
            <w:r w:rsidRPr="004F52B8">
              <w:rPr>
                <w:rFonts w:eastAsiaTheme="majorEastAsia" w:cs="Arial"/>
                <w:sz w:val="20"/>
              </w:rPr>
              <w:t>http://policies.griffith.edu.au/pdf/Staff Harassment Bullying and Discrimination Policy.pdf</w:t>
            </w:r>
          </w:p>
        </w:tc>
      </w:tr>
      <w:tr w:rsidR="00E15196" w:rsidRPr="00D614DF" w14:paraId="2B241F64" w14:textId="77777777" w:rsidTr="00651A1B">
        <w:tc>
          <w:tcPr>
            <w:tcW w:w="2410" w:type="dxa"/>
            <w:tcBorders>
              <w:bottom w:val="single" w:sz="12" w:space="0" w:color="D9D9D9" w:themeColor="background1" w:themeShade="D9"/>
              <w:right w:val="single" w:sz="12" w:space="0" w:color="D9D9D9" w:themeColor="background1" w:themeShade="D9"/>
            </w:tcBorders>
            <w:vAlign w:val="center"/>
          </w:tcPr>
          <w:p w14:paraId="7E4C9408" w14:textId="3439C8C1" w:rsidR="00E15196" w:rsidRPr="004F52B8" w:rsidRDefault="004F52B8" w:rsidP="00651A1B">
            <w:pPr>
              <w:spacing w:before="60" w:after="60"/>
              <w:ind w:left="0"/>
              <w:rPr>
                <w:rFonts w:cs="Arial"/>
                <w:b/>
                <w:sz w:val="20"/>
              </w:rPr>
            </w:pPr>
            <w:r>
              <w:rPr>
                <w:rFonts w:cs="Arial"/>
                <w:b/>
                <w:sz w:val="20"/>
              </w:rPr>
              <w:t>D</w:t>
            </w:r>
            <w:r w:rsidR="00E15196" w:rsidRPr="004F52B8">
              <w:rPr>
                <w:rFonts w:cs="Arial"/>
                <w:b/>
                <w:sz w:val="20"/>
              </w:rPr>
              <w:t>ocument</w:t>
            </w:r>
            <w:r>
              <w:rPr>
                <w:rFonts w:cs="Arial"/>
                <w:b/>
                <w:sz w:val="20"/>
              </w:rPr>
              <w:t xml:space="preserve"> number</w:t>
            </w:r>
          </w:p>
        </w:tc>
        <w:tc>
          <w:tcPr>
            <w:tcW w:w="7229" w:type="dxa"/>
            <w:tcBorders>
              <w:left w:val="single" w:sz="12" w:space="0" w:color="D9D9D9" w:themeColor="background1" w:themeShade="D9"/>
              <w:bottom w:val="single" w:sz="12" w:space="0" w:color="D9D9D9" w:themeColor="background1" w:themeShade="D9"/>
            </w:tcBorders>
            <w:vAlign w:val="center"/>
          </w:tcPr>
          <w:p w14:paraId="5AD7FD7A" w14:textId="549A8342" w:rsidR="00E15196" w:rsidRPr="004F52B8" w:rsidRDefault="00D7714D" w:rsidP="00651A1B">
            <w:pPr>
              <w:spacing w:before="60" w:after="60"/>
              <w:ind w:left="159"/>
              <w:rPr>
                <w:rFonts w:cs="Arial"/>
                <w:sz w:val="20"/>
              </w:rPr>
            </w:pPr>
            <w:r>
              <w:rPr>
                <w:rFonts w:cs="Arial"/>
                <w:sz w:val="20"/>
              </w:rPr>
              <w:t>2023/0001222</w:t>
            </w:r>
          </w:p>
        </w:tc>
      </w:tr>
      <w:tr w:rsidR="00E15196" w:rsidRPr="00D614DF" w14:paraId="6FE11225" w14:textId="77777777" w:rsidTr="00651A1B">
        <w:tc>
          <w:tcPr>
            <w:tcW w:w="2410" w:type="dxa"/>
            <w:tcBorders>
              <w:bottom w:val="single" w:sz="12" w:space="0" w:color="D9D9D9" w:themeColor="background1" w:themeShade="D9"/>
              <w:right w:val="single" w:sz="12" w:space="0" w:color="D9D9D9" w:themeColor="background1" w:themeShade="D9"/>
            </w:tcBorders>
            <w:vAlign w:val="center"/>
          </w:tcPr>
          <w:p w14:paraId="23D512A7" w14:textId="77777777" w:rsidR="00E15196" w:rsidRPr="00474FF5" w:rsidRDefault="00E15196" w:rsidP="00651A1B">
            <w:pPr>
              <w:spacing w:before="60" w:after="60"/>
              <w:ind w:left="0"/>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4039438B" w14:textId="77777777" w:rsidR="00E15196" w:rsidRDefault="00E15196" w:rsidP="00651A1B">
            <w:pPr>
              <w:spacing w:before="60" w:after="60"/>
              <w:ind w:left="159"/>
              <w:jc w:val="left"/>
              <w:rPr>
                <w:rFonts w:cs="Arial"/>
                <w:sz w:val="20"/>
              </w:rPr>
            </w:pPr>
            <w:r w:rsidRPr="00957A45">
              <w:rPr>
                <w:rFonts w:cs="Arial"/>
                <w:sz w:val="20"/>
              </w:rPr>
              <w:t>This policy is designed to provide an overview of the University's a</w:t>
            </w:r>
            <w:r>
              <w:rPr>
                <w:rFonts w:cs="Arial"/>
                <w:sz w:val="20"/>
              </w:rPr>
              <w:t xml:space="preserve">pproach to </w:t>
            </w:r>
            <w:r w:rsidRPr="00957A45">
              <w:rPr>
                <w:rFonts w:cs="Arial"/>
                <w:sz w:val="20"/>
              </w:rPr>
              <w:t>harassme</w:t>
            </w:r>
            <w:r>
              <w:rPr>
                <w:rFonts w:cs="Arial"/>
                <w:sz w:val="20"/>
              </w:rPr>
              <w:t>nt, bullying and discrimination by staff.</w:t>
            </w:r>
          </w:p>
        </w:tc>
      </w:tr>
      <w:tr w:rsidR="00E15196" w:rsidRPr="00D614DF" w14:paraId="739BF8D2" w14:textId="77777777" w:rsidTr="00651A1B">
        <w:tc>
          <w:tcPr>
            <w:tcW w:w="2410" w:type="dxa"/>
            <w:tcBorders>
              <w:top w:val="single" w:sz="12" w:space="0" w:color="D9D9D9" w:themeColor="background1" w:themeShade="D9"/>
              <w:bottom w:val="single" w:sz="12" w:space="0" w:color="D9D9D9" w:themeColor="background1" w:themeShade="D9"/>
              <w:right w:val="nil"/>
            </w:tcBorders>
            <w:vAlign w:val="center"/>
          </w:tcPr>
          <w:p w14:paraId="28820FCD" w14:textId="77777777" w:rsidR="00E15196" w:rsidRPr="00D614DF" w:rsidRDefault="00E15196" w:rsidP="00651A1B">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20A4F6C7" w14:textId="77777777" w:rsidR="00E15196" w:rsidRPr="00D614DF" w:rsidRDefault="00E15196" w:rsidP="00651A1B">
            <w:pPr>
              <w:spacing w:before="60" w:after="60"/>
              <w:ind w:left="159"/>
              <w:rPr>
                <w:rFonts w:cs="Arial"/>
                <w:sz w:val="20"/>
              </w:rPr>
            </w:pPr>
          </w:p>
        </w:tc>
      </w:tr>
      <w:tr w:rsidR="00E15196" w:rsidRPr="005F5BDB" w14:paraId="68777EE2" w14:textId="77777777" w:rsidTr="00651A1B">
        <w:tc>
          <w:tcPr>
            <w:tcW w:w="9639" w:type="dxa"/>
            <w:gridSpan w:val="2"/>
            <w:tcBorders>
              <w:top w:val="single" w:sz="12" w:space="0" w:color="D9D9D9" w:themeColor="background1" w:themeShade="D9"/>
              <w:bottom w:val="nil"/>
            </w:tcBorders>
          </w:tcPr>
          <w:p w14:paraId="0AB7B51C" w14:textId="1429BCE0" w:rsidR="00E14908" w:rsidRPr="00345723" w:rsidRDefault="00ED7D04" w:rsidP="00E14908">
            <w:pPr>
              <w:spacing w:after="60"/>
              <w:ind w:left="0"/>
              <w:rPr>
                <w:sz w:val="20"/>
                <w:szCs w:val="18"/>
              </w:rPr>
            </w:pPr>
            <w:hyperlink r:id="rId11" w:history="1">
              <w:r w:rsidR="00E14908" w:rsidRPr="00E94E29">
                <w:rPr>
                  <w:rStyle w:val="Hyperlink"/>
                  <w:sz w:val="20"/>
                  <w:szCs w:val="18"/>
                </w:rPr>
                <w:t>Academic Freedom and Freedom of Speech Policy</w:t>
              </w:r>
            </w:hyperlink>
          </w:p>
          <w:p w14:paraId="41A589E6" w14:textId="27C68B8E" w:rsidR="00E15196" w:rsidRDefault="00ED7D04" w:rsidP="00651A1B">
            <w:pPr>
              <w:spacing w:before="60" w:after="60"/>
              <w:ind w:left="0"/>
              <w:jc w:val="left"/>
              <w:rPr>
                <w:rStyle w:val="Hyperlink"/>
                <w:rFonts w:eastAsiaTheme="majorEastAsia" w:cs="Arial"/>
                <w:sz w:val="20"/>
              </w:rPr>
            </w:pPr>
            <w:hyperlink r:id="rId12" w:history="1">
              <w:r w:rsidR="00E15196" w:rsidRPr="005F5BDB">
                <w:rPr>
                  <w:rStyle w:val="Hyperlink"/>
                  <w:rFonts w:eastAsiaTheme="majorEastAsia" w:cs="Arial"/>
                  <w:sz w:val="20"/>
                </w:rPr>
                <w:t>Code of Conduct</w:t>
              </w:r>
            </w:hyperlink>
          </w:p>
          <w:p w14:paraId="06A80EE8" w14:textId="77777777" w:rsidR="00E15196" w:rsidRPr="00BF4C3E" w:rsidRDefault="00E15196" w:rsidP="00651A1B">
            <w:pPr>
              <w:spacing w:before="60" w:after="60"/>
              <w:ind w:left="0"/>
              <w:jc w:val="left"/>
              <w:rPr>
                <w:rStyle w:val="Hyperlink"/>
                <w:rFonts w:eastAsiaTheme="majorEastAsia"/>
                <w:sz w:val="20"/>
              </w:rPr>
            </w:pPr>
            <w:r>
              <w:rPr>
                <w:rStyle w:val="Hyperlink"/>
                <w:rFonts w:eastAsiaTheme="majorEastAsia"/>
                <w:sz w:val="20"/>
              </w:rPr>
              <w:fldChar w:fldCharType="begin"/>
            </w:r>
            <w:r>
              <w:rPr>
                <w:rStyle w:val="Hyperlink"/>
                <w:rFonts w:eastAsiaTheme="majorEastAsia"/>
                <w:sz w:val="20"/>
              </w:rPr>
              <w:instrText xml:space="preserve"> HYPERLINK "http://policies.griffith.edu.au/pdf/Equity%20Diversity%20and%20Inclusion%20Policy.pdf" </w:instrText>
            </w:r>
            <w:r>
              <w:rPr>
                <w:rStyle w:val="Hyperlink"/>
                <w:rFonts w:eastAsiaTheme="majorEastAsia"/>
                <w:sz w:val="20"/>
              </w:rPr>
            </w:r>
            <w:r>
              <w:rPr>
                <w:rStyle w:val="Hyperlink"/>
                <w:rFonts w:eastAsiaTheme="majorEastAsia"/>
                <w:sz w:val="20"/>
              </w:rPr>
              <w:fldChar w:fldCharType="separate"/>
            </w:r>
            <w:r w:rsidRPr="00BF4C3E">
              <w:rPr>
                <w:rStyle w:val="Hyperlink"/>
                <w:rFonts w:eastAsiaTheme="majorEastAsia"/>
                <w:sz w:val="20"/>
              </w:rPr>
              <w:t>Equity, Diversity and Inclusion Policy</w:t>
            </w:r>
          </w:p>
          <w:p w14:paraId="78507F4B" w14:textId="77777777" w:rsidR="00E15196" w:rsidRDefault="00E15196" w:rsidP="00651A1B">
            <w:pPr>
              <w:spacing w:before="60" w:after="60"/>
              <w:ind w:left="0"/>
              <w:jc w:val="left"/>
              <w:rPr>
                <w:rStyle w:val="Hyperlink"/>
                <w:rFonts w:eastAsiaTheme="majorEastAsia" w:cs="Arial"/>
                <w:sz w:val="20"/>
              </w:rPr>
            </w:pPr>
            <w:r>
              <w:rPr>
                <w:rStyle w:val="Hyperlink"/>
                <w:rFonts w:eastAsiaTheme="majorEastAsia"/>
                <w:sz w:val="20"/>
              </w:rPr>
              <w:fldChar w:fldCharType="end"/>
            </w:r>
            <w:hyperlink r:id="rId13" w:history="1">
              <w:r w:rsidRPr="00001BF8">
                <w:rPr>
                  <w:rStyle w:val="Hyperlink"/>
                  <w:rFonts w:eastAsiaTheme="majorEastAsia" w:cs="Arial"/>
                  <w:sz w:val="20"/>
                </w:rPr>
                <w:t>Griffith University Academic Staff Agreement</w:t>
              </w:r>
            </w:hyperlink>
          </w:p>
          <w:p w14:paraId="4330561C" w14:textId="77777777" w:rsidR="00E15196" w:rsidRPr="001776E0" w:rsidRDefault="00ED7D04" w:rsidP="00651A1B">
            <w:pPr>
              <w:spacing w:before="60" w:after="60"/>
              <w:ind w:left="0"/>
              <w:jc w:val="left"/>
              <w:rPr>
                <w:rStyle w:val="Hyperlink"/>
                <w:rFonts w:eastAsiaTheme="majorEastAsia" w:cs="Arial"/>
                <w:sz w:val="20"/>
              </w:rPr>
            </w:pPr>
            <w:hyperlink r:id="rId14" w:history="1">
              <w:r w:rsidR="00E15196" w:rsidRPr="00001BF8">
                <w:rPr>
                  <w:rStyle w:val="Hyperlink"/>
                  <w:rFonts w:eastAsiaTheme="majorEastAsia" w:cs="Arial"/>
                  <w:sz w:val="20"/>
                </w:rPr>
                <w:t>Griffith University General Staff Agreement</w:t>
              </w:r>
            </w:hyperlink>
            <w:r w:rsidR="00E15196">
              <w:rPr>
                <w:rStyle w:val="Hyperlink"/>
                <w:rFonts w:eastAsiaTheme="majorEastAsia" w:cs="Arial"/>
                <w:sz w:val="20"/>
              </w:rPr>
              <w:t xml:space="preserve"> </w:t>
            </w:r>
            <w:r w:rsidR="00E15196">
              <w:rPr>
                <w:rFonts w:cs="Arial"/>
                <w:sz w:val="20"/>
              </w:rPr>
              <w:fldChar w:fldCharType="begin"/>
            </w:r>
            <w:r w:rsidR="00E15196">
              <w:rPr>
                <w:rFonts w:cs="Arial"/>
                <w:sz w:val="20"/>
              </w:rPr>
              <w:instrText xml:space="preserve"> HYPERLINK "https://intranet.secure.griffith.edu.au/__data/assets/pdf_file/0009/774819/Guide-to-dealing-with-Harassment,-Bullying-and-Discrimination.pdf" </w:instrText>
            </w:r>
            <w:r w:rsidR="00E15196">
              <w:rPr>
                <w:rFonts w:cs="Arial"/>
                <w:sz w:val="20"/>
              </w:rPr>
            </w:r>
            <w:r w:rsidR="00E15196">
              <w:rPr>
                <w:rFonts w:cs="Arial"/>
                <w:sz w:val="20"/>
              </w:rPr>
              <w:fldChar w:fldCharType="separate"/>
            </w:r>
          </w:p>
          <w:p w14:paraId="30643F5F" w14:textId="77777777" w:rsidR="00E15196" w:rsidRPr="008F19C7" w:rsidRDefault="00E15196" w:rsidP="00651A1B">
            <w:pPr>
              <w:spacing w:before="60" w:after="60"/>
              <w:ind w:left="0"/>
              <w:jc w:val="left"/>
              <w:rPr>
                <w:rFonts w:cs="Arial"/>
                <w:sz w:val="20"/>
              </w:rPr>
            </w:pPr>
            <w:r>
              <w:rPr>
                <w:rFonts w:cs="Arial"/>
                <w:sz w:val="20"/>
              </w:rPr>
              <w:fldChar w:fldCharType="end"/>
            </w:r>
            <w:hyperlink r:id="rId15" w:history="1">
              <w:r w:rsidRPr="004F7974">
                <w:rPr>
                  <w:rStyle w:val="Hyperlink"/>
                  <w:rFonts w:eastAsiaTheme="majorEastAsia" w:cs="Arial"/>
                  <w:sz w:val="20"/>
                </w:rPr>
                <w:t>Health and Safety Policy</w:t>
              </w:r>
            </w:hyperlink>
          </w:p>
          <w:p w14:paraId="10DFF921" w14:textId="77777777" w:rsidR="00E15196" w:rsidRDefault="00ED7D04" w:rsidP="00651A1B">
            <w:pPr>
              <w:spacing w:before="60" w:after="60"/>
              <w:ind w:left="0"/>
              <w:jc w:val="left"/>
              <w:rPr>
                <w:rFonts w:cs="Arial"/>
                <w:sz w:val="20"/>
              </w:rPr>
            </w:pPr>
            <w:hyperlink r:id="rId16" w:history="1">
              <w:r w:rsidR="00E15196" w:rsidRPr="008F19C7">
                <w:rPr>
                  <w:rStyle w:val="Hyperlink"/>
                  <w:rFonts w:eastAsiaTheme="majorEastAsia" w:cs="Arial"/>
                  <w:sz w:val="20"/>
                </w:rPr>
                <w:t>Individual Grievance Resolution Procedure</w:t>
              </w:r>
            </w:hyperlink>
            <w:r w:rsidR="00E15196" w:rsidRPr="009D0B33">
              <w:rPr>
                <w:rFonts w:cs="Arial"/>
                <w:sz w:val="20"/>
              </w:rPr>
              <w:t xml:space="preserve"> </w:t>
            </w:r>
          </w:p>
          <w:p w14:paraId="7B6523C0" w14:textId="77777777" w:rsidR="00E15196" w:rsidRDefault="00ED7D04" w:rsidP="00651A1B">
            <w:pPr>
              <w:spacing w:before="60" w:after="60"/>
              <w:ind w:left="0"/>
              <w:jc w:val="left"/>
              <w:rPr>
                <w:rFonts w:cs="Arial"/>
                <w:sz w:val="20"/>
              </w:rPr>
            </w:pPr>
            <w:hyperlink r:id="rId17" w:history="1">
              <w:r w:rsidR="00E15196" w:rsidRPr="004176A1">
                <w:rPr>
                  <w:rStyle w:val="Hyperlink"/>
                  <w:rFonts w:eastAsiaTheme="majorEastAsia" w:cs="Arial"/>
                  <w:sz w:val="20"/>
                </w:rPr>
                <w:t>Information Technology Code of Practice</w:t>
              </w:r>
            </w:hyperlink>
          </w:p>
          <w:p w14:paraId="721988DD" w14:textId="77777777" w:rsidR="00E15196" w:rsidRDefault="00ED7D04" w:rsidP="00651A1B">
            <w:pPr>
              <w:spacing w:before="60" w:after="60"/>
              <w:ind w:left="0"/>
              <w:jc w:val="left"/>
              <w:rPr>
                <w:rStyle w:val="Hyperlink"/>
                <w:rFonts w:eastAsiaTheme="majorEastAsia" w:cs="Arial"/>
                <w:sz w:val="20"/>
              </w:rPr>
            </w:pPr>
            <w:hyperlink r:id="rId18" w:history="1">
              <w:r w:rsidR="00E15196" w:rsidRPr="00B1309B">
                <w:rPr>
                  <w:rStyle w:val="Hyperlink"/>
                  <w:rFonts w:eastAsiaTheme="majorEastAsia" w:cs="Arial"/>
                  <w:sz w:val="20"/>
                </w:rPr>
                <w:t>Public Interest Disclosure Policy</w:t>
              </w:r>
            </w:hyperlink>
          </w:p>
          <w:p w14:paraId="58A479E6" w14:textId="77777777" w:rsidR="00E15196" w:rsidRDefault="00ED7D04" w:rsidP="00651A1B">
            <w:pPr>
              <w:spacing w:before="60" w:after="60"/>
              <w:ind w:left="0"/>
              <w:jc w:val="left"/>
              <w:rPr>
                <w:rStyle w:val="Hyperlink"/>
                <w:rFonts w:eastAsiaTheme="majorEastAsia" w:cs="Arial"/>
                <w:sz w:val="20"/>
              </w:rPr>
            </w:pPr>
            <w:hyperlink r:id="rId19" w:history="1">
              <w:r w:rsidR="00E15196" w:rsidRPr="00D2397E">
                <w:rPr>
                  <w:rStyle w:val="Hyperlink"/>
                  <w:rFonts w:eastAsiaTheme="majorEastAsia" w:cs="Arial"/>
                  <w:sz w:val="20"/>
                </w:rPr>
                <w:t>Re</w:t>
              </w:r>
              <w:r w:rsidR="00E15196">
                <w:rPr>
                  <w:rStyle w:val="Hyperlink"/>
                  <w:rFonts w:eastAsiaTheme="majorEastAsia" w:cs="Arial"/>
                  <w:sz w:val="20"/>
                </w:rPr>
                <w:t xml:space="preserve">porting and Resolution </w:t>
              </w:r>
              <w:r w:rsidR="00E15196" w:rsidRPr="00D2397E">
                <w:rPr>
                  <w:rStyle w:val="Hyperlink"/>
                  <w:rFonts w:eastAsiaTheme="majorEastAsia" w:cs="Arial"/>
                  <w:sz w:val="20"/>
                </w:rPr>
                <w:t xml:space="preserve">of </w:t>
              </w:r>
              <w:r w:rsidR="00E15196">
                <w:rPr>
                  <w:rStyle w:val="Hyperlink"/>
                  <w:rFonts w:eastAsiaTheme="majorEastAsia" w:cs="Arial"/>
                  <w:sz w:val="20"/>
                </w:rPr>
                <w:t>Staff</w:t>
              </w:r>
              <w:r w:rsidR="00E15196" w:rsidRPr="00D2397E">
                <w:rPr>
                  <w:rStyle w:val="Hyperlink"/>
                  <w:rFonts w:eastAsiaTheme="majorEastAsia" w:cs="Arial"/>
                  <w:sz w:val="20"/>
                </w:rPr>
                <w:t xml:space="preserve"> </w:t>
              </w:r>
              <w:r w:rsidR="00E15196">
                <w:rPr>
                  <w:rStyle w:val="Hyperlink"/>
                  <w:rFonts w:eastAsiaTheme="majorEastAsia" w:cs="Arial"/>
                  <w:sz w:val="20"/>
                </w:rPr>
                <w:t xml:space="preserve">Sexual Assault, </w:t>
              </w:r>
              <w:r w:rsidR="00E15196" w:rsidRPr="00D2397E">
                <w:rPr>
                  <w:rStyle w:val="Hyperlink"/>
                  <w:rFonts w:eastAsiaTheme="majorEastAsia" w:cs="Arial"/>
                  <w:sz w:val="20"/>
                </w:rPr>
                <w:t>Harassment, Bullying</w:t>
              </w:r>
              <w:r w:rsidR="00E15196">
                <w:rPr>
                  <w:rStyle w:val="Hyperlink"/>
                  <w:rFonts w:eastAsiaTheme="majorEastAsia" w:cs="Arial"/>
                  <w:sz w:val="20"/>
                </w:rPr>
                <w:t xml:space="preserve"> and</w:t>
              </w:r>
              <w:r w:rsidR="00E15196" w:rsidRPr="00D2397E">
                <w:rPr>
                  <w:rStyle w:val="Hyperlink"/>
                  <w:rFonts w:eastAsiaTheme="majorEastAsia" w:cs="Arial"/>
                  <w:sz w:val="20"/>
                </w:rPr>
                <w:t xml:space="preserve"> Discrimination</w:t>
              </w:r>
              <w:r w:rsidR="00E15196">
                <w:rPr>
                  <w:rStyle w:val="Hyperlink"/>
                  <w:rFonts w:eastAsiaTheme="majorEastAsia" w:cs="Arial"/>
                  <w:sz w:val="20"/>
                </w:rPr>
                <w:t xml:space="preserve"> </w:t>
              </w:r>
              <w:r w:rsidR="00E15196" w:rsidRPr="00D2397E">
                <w:rPr>
                  <w:rStyle w:val="Hyperlink"/>
                  <w:rFonts w:eastAsiaTheme="majorEastAsia" w:cs="Arial"/>
                  <w:sz w:val="20"/>
                </w:rPr>
                <w:t>Procedures</w:t>
              </w:r>
            </w:hyperlink>
          </w:p>
          <w:p w14:paraId="38E550E2" w14:textId="77777777" w:rsidR="00E15196" w:rsidRPr="00B7153D" w:rsidRDefault="00ED7D04" w:rsidP="00651A1B">
            <w:pPr>
              <w:spacing w:before="60" w:after="60"/>
              <w:ind w:left="0"/>
              <w:jc w:val="left"/>
              <w:rPr>
                <w:rFonts w:cs="Arial"/>
                <w:sz w:val="20"/>
                <w:u w:val="single"/>
              </w:rPr>
            </w:pPr>
            <w:hyperlink r:id="rId20" w:history="1">
              <w:r w:rsidR="00E15196" w:rsidRPr="00350CC0">
                <w:rPr>
                  <w:rStyle w:val="Hyperlink"/>
                  <w:rFonts w:eastAsiaTheme="majorEastAsia" w:cs="Arial"/>
                  <w:sz w:val="20"/>
                </w:rPr>
                <w:t xml:space="preserve">Staff Sexual Assault and Sexual Harassment Policy </w:t>
              </w:r>
            </w:hyperlink>
          </w:p>
          <w:p w14:paraId="505CD042" w14:textId="77777777" w:rsidR="00E15196" w:rsidRDefault="00ED7D04" w:rsidP="00651A1B">
            <w:pPr>
              <w:spacing w:before="60" w:after="60"/>
              <w:ind w:left="0"/>
              <w:jc w:val="left"/>
              <w:rPr>
                <w:rFonts w:cs="Arial"/>
                <w:sz w:val="20"/>
              </w:rPr>
            </w:pPr>
            <w:hyperlink r:id="rId21" w:history="1">
              <w:r w:rsidR="00E15196" w:rsidRPr="00976000">
                <w:rPr>
                  <w:rStyle w:val="Hyperlink"/>
                  <w:rFonts w:eastAsiaTheme="majorEastAsia" w:cs="Arial"/>
                  <w:sz w:val="20"/>
                </w:rPr>
                <w:t>Student Sexual Assault, Harassment, Bullying and Discrimination Policy</w:t>
              </w:r>
            </w:hyperlink>
          </w:p>
          <w:p w14:paraId="13AE4BDF" w14:textId="77777777" w:rsidR="00E15196" w:rsidRPr="000434D0" w:rsidRDefault="00E15196" w:rsidP="00651A1B">
            <w:pPr>
              <w:spacing w:before="60" w:after="60"/>
              <w:ind w:left="0"/>
              <w:jc w:val="left"/>
              <w:rPr>
                <w:rStyle w:val="Hyperlink"/>
                <w:rFonts w:eastAsiaTheme="majorEastAsia" w:cs="Arial"/>
                <w:b/>
                <w:color w:val="auto"/>
                <w:sz w:val="20"/>
              </w:rPr>
            </w:pPr>
            <w:r w:rsidRPr="000434D0">
              <w:rPr>
                <w:rStyle w:val="Hyperlink"/>
                <w:rFonts w:eastAsiaTheme="majorEastAsia" w:cs="Arial"/>
                <w:b/>
                <w:color w:val="auto"/>
                <w:sz w:val="20"/>
              </w:rPr>
              <w:t>External Links:</w:t>
            </w:r>
          </w:p>
          <w:p w14:paraId="20A15FF6" w14:textId="77777777" w:rsidR="00E15196" w:rsidRDefault="00ED7D04" w:rsidP="00651A1B">
            <w:pPr>
              <w:spacing w:before="60" w:after="60"/>
              <w:ind w:left="0"/>
              <w:jc w:val="left"/>
              <w:rPr>
                <w:rFonts w:cs="Arial"/>
                <w:sz w:val="20"/>
              </w:rPr>
            </w:pPr>
            <w:hyperlink r:id="rId22" w:history="1">
              <w:r w:rsidR="00E15196" w:rsidRPr="0036085D">
                <w:rPr>
                  <w:rStyle w:val="Hyperlink"/>
                  <w:rFonts w:eastAsiaTheme="majorEastAsia" w:cs="Arial"/>
                  <w:sz w:val="20"/>
                </w:rPr>
                <w:t>Anti-Discrimination Commission Qld</w:t>
              </w:r>
            </w:hyperlink>
          </w:p>
          <w:p w14:paraId="69EB31D0" w14:textId="77777777" w:rsidR="00E15196" w:rsidRDefault="00ED7D04" w:rsidP="00651A1B">
            <w:pPr>
              <w:spacing w:before="60" w:after="60"/>
              <w:ind w:left="0"/>
              <w:jc w:val="left"/>
              <w:rPr>
                <w:rFonts w:cs="Arial"/>
                <w:sz w:val="20"/>
              </w:rPr>
            </w:pPr>
            <w:hyperlink r:id="rId23" w:history="1">
              <w:r w:rsidR="00E15196" w:rsidRPr="0036085D">
                <w:rPr>
                  <w:rStyle w:val="Hyperlink"/>
                  <w:rFonts w:eastAsiaTheme="majorEastAsia" w:cs="Arial"/>
                  <w:sz w:val="20"/>
                </w:rPr>
                <w:t>Australian Human Rights Commission</w:t>
              </w:r>
            </w:hyperlink>
            <w:r w:rsidR="00E15196">
              <w:rPr>
                <w:rFonts w:cs="Arial"/>
                <w:sz w:val="20"/>
              </w:rPr>
              <w:t xml:space="preserve"> </w:t>
            </w:r>
          </w:p>
          <w:p w14:paraId="7EE2E368" w14:textId="77777777" w:rsidR="00E15196" w:rsidRDefault="00ED7D04" w:rsidP="00651A1B">
            <w:pPr>
              <w:spacing w:before="60" w:after="60"/>
              <w:ind w:left="0"/>
              <w:jc w:val="left"/>
              <w:rPr>
                <w:rFonts w:cs="Arial"/>
                <w:sz w:val="20"/>
              </w:rPr>
            </w:pPr>
            <w:hyperlink r:id="rId24" w:history="1">
              <w:r w:rsidR="00E15196" w:rsidRPr="00747813">
                <w:rPr>
                  <w:rStyle w:val="Hyperlink"/>
                  <w:rFonts w:eastAsiaTheme="majorEastAsia" w:cs="Arial"/>
                  <w:sz w:val="20"/>
                </w:rPr>
                <w:t>Australian Human Rights Commission Act 1986</w:t>
              </w:r>
            </w:hyperlink>
          </w:p>
          <w:p w14:paraId="613B0DBB" w14:textId="77777777" w:rsidR="00E15196" w:rsidRDefault="00ED7D04" w:rsidP="00651A1B">
            <w:pPr>
              <w:spacing w:before="60" w:after="60"/>
              <w:ind w:left="0"/>
              <w:jc w:val="left"/>
              <w:rPr>
                <w:rFonts w:cs="Arial"/>
                <w:sz w:val="20"/>
              </w:rPr>
            </w:pPr>
            <w:hyperlink r:id="rId25" w:history="1">
              <w:r w:rsidR="00E15196" w:rsidRPr="0036085D">
                <w:rPr>
                  <w:rStyle w:val="Hyperlink"/>
                  <w:rFonts w:eastAsiaTheme="majorEastAsia" w:cs="Arial"/>
                  <w:sz w:val="20"/>
                </w:rPr>
                <w:t>Fair Work Commission</w:t>
              </w:r>
            </w:hyperlink>
            <w:r w:rsidR="00E15196">
              <w:rPr>
                <w:rFonts w:cs="Arial"/>
                <w:sz w:val="20"/>
              </w:rPr>
              <w:t xml:space="preserve"> </w:t>
            </w:r>
          </w:p>
          <w:p w14:paraId="318AB000" w14:textId="77777777" w:rsidR="00E15196" w:rsidRDefault="00ED7D04" w:rsidP="00651A1B">
            <w:pPr>
              <w:spacing w:before="60" w:after="60"/>
              <w:ind w:left="0"/>
              <w:jc w:val="left"/>
              <w:rPr>
                <w:rFonts w:cs="Arial"/>
                <w:sz w:val="20"/>
              </w:rPr>
            </w:pPr>
            <w:hyperlink r:id="rId26" w:history="1">
              <w:r w:rsidR="00E15196" w:rsidRPr="00747813">
                <w:rPr>
                  <w:rStyle w:val="Hyperlink"/>
                  <w:rFonts w:eastAsiaTheme="majorEastAsia" w:cs="Arial"/>
                  <w:sz w:val="20"/>
                </w:rPr>
                <w:t>Fair Work Act 2009</w:t>
              </w:r>
            </w:hyperlink>
          </w:p>
          <w:p w14:paraId="308ECD83" w14:textId="77777777" w:rsidR="00E15196" w:rsidRDefault="00ED7D04" w:rsidP="00651A1B">
            <w:pPr>
              <w:spacing w:before="60" w:after="60"/>
              <w:ind w:left="0"/>
              <w:jc w:val="left"/>
              <w:rPr>
                <w:rFonts w:cs="Arial"/>
                <w:sz w:val="20"/>
              </w:rPr>
            </w:pPr>
            <w:hyperlink r:id="rId27" w:history="1">
              <w:r w:rsidR="00E15196" w:rsidRPr="00B1309B">
                <w:rPr>
                  <w:rStyle w:val="Hyperlink"/>
                  <w:rFonts w:eastAsiaTheme="majorEastAsia" w:cs="Arial"/>
                  <w:sz w:val="20"/>
                </w:rPr>
                <w:t>Safe Work Australia</w:t>
              </w:r>
            </w:hyperlink>
          </w:p>
          <w:p w14:paraId="716EE870" w14:textId="77777777" w:rsidR="00E15196" w:rsidRDefault="00ED7D04" w:rsidP="00651A1B">
            <w:pPr>
              <w:spacing w:before="60" w:after="60"/>
              <w:ind w:left="0"/>
              <w:jc w:val="left"/>
              <w:rPr>
                <w:rFonts w:cs="Arial"/>
                <w:sz w:val="20"/>
              </w:rPr>
            </w:pPr>
            <w:hyperlink r:id="rId28" w:history="1">
              <w:r w:rsidR="00E15196" w:rsidRPr="0036085D">
                <w:rPr>
                  <w:rStyle w:val="Hyperlink"/>
                  <w:rFonts w:eastAsiaTheme="majorEastAsia" w:cs="Arial"/>
                  <w:sz w:val="20"/>
                  <w:shd w:val="clear" w:color="auto" w:fill="FFFFFF"/>
                </w:rPr>
                <w:t>Queensland Ombudsman</w:t>
              </w:r>
            </w:hyperlink>
            <w:r w:rsidR="00E15196">
              <w:rPr>
                <w:rFonts w:cs="Arial"/>
                <w:color w:val="222222"/>
                <w:sz w:val="20"/>
                <w:shd w:val="clear" w:color="auto" w:fill="FFFFFF"/>
              </w:rPr>
              <w:t xml:space="preserve"> </w:t>
            </w:r>
          </w:p>
          <w:p w14:paraId="46D80653" w14:textId="77777777" w:rsidR="00E15196" w:rsidRPr="005F5BDB" w:rsidRDefault="00ED7D04" w:rsidP="00651A1B">
            <w:pPr>
              <w:spacing w:before="60" w:after="60"/>
              <w:ind w:left="0"/>
              <w:jc w:val="left"/>
              <w:rPr>
                <w:rFonts w:cs="Arial"/>
                <w:sz w:val="20"/>
              </w:rPr>
            </w:pPr>
            <w:hyperlink r:id="rId29" w:history="1">
              <w:r w:rsidR="00E15196" w:rsidRPr="0036085D">
                <w:rPr>
                  <w:rStyle w:val="Hyperlink"/>
                  <w:rFonts w:eastAsiaTheme="majorEastAsia" w:cs="Arial"/>
                  <w:sz w:val="20"/>
                  <w:lang w:eastAsia="en-US"/>
                </w:rPr>
                <w:t>Workplace Health and Safety Queensland</w:t>
              </w:r>
            </w:hyperlink>
            <w:r w:rsidR="00E15196" w:rsidRPr="007C74C4">
              <w:rPr>
                <w:rFonts w:cs="Arial"/>
                <w:sz w:val="20"/>
              </w:rPr>
              <w:t xml:space="preserve"> </w:t>
            </w:r>
          </w:p>
        </w:tc>
      </w:tr>
      <w:tr w:rsidR="00E15196" w:rsidRPr="00474FF5" w14:paraId="2D08573F" w14:textId="77777777" w:rsidTr="00651A1B">
        <w:tc>
          <w:tcPr>
            <w:tcW w:w="9639" w:type="dxa"/>
            <w:gridSpan w:val="2"/>
            <w:tcBorders>
              <w:top w:val="single" w:sz="12" w:space="0" w:color="D9D9D9" w:themeColor="background1" w:themeShade="D9"/>
              <w:bottom w:val="single" w:sz="12" w:space="0" w:color="D9D9D9" w:themeColor="background1" w:themeShade="D9"/>
            </w:tcBorders>
          </w:tcPr>
          <w:p w14:paraId="4B4B910C" w14:textId="77777777" w:rsidR="00E15196" w:rsidRPr="00474FF5" w:rsidRDefault="00E15196" w:rsidP="00651A1B">
            <w:pPr>
              <w:spacing w:before="60" w:after="60"/>
              <w:ind w:left="0"/>
              <w:rPr>
                <w:rFonts w:cs="Arial"/>
                <w:sz w:val="20"/>
              </w:rPr>
            </w:pPr>
            <w:r w:rsidRPr="006438E0">
              <w:rPr>
                <w:sz w:val="20"/>
              </w:rPr>
              <w:t>[</w:t>
            </w:r>
            <w:hyperlink w:anchor="introduction" w:history="1">
              <w:r w:rsidRPr="00101133">
                <w:rPr>
                  <w:rStyle w:val="Hyperlink"/>
                  <w:rFonts w:eastAsiaTheme="majorEastAsia"/>
                  <w:sz w:val="20"/>
                </w:rPr>
                <w:t>Introduction</w:t>
              </w:r>
            </w:hyperlink>
            <w:r w:rsidRPr="006438E0">
              <w:rPr>
                <w:sz w:val="20"/>
              </w:rPr>
              <w:t>] [</w:t>
            </w:r>
            <w:hyperlink w:anchor="scope" w:history="1">
              <w:r w:rsidRPr="00101133">
                <w:rPr>
                  <w:rStyle w:val="Hyperlink"/>
                  <w:rFonts w:eastAsiaTheme="majorEastAsia"/>
                  <w:sz w:val="20"/>
                </w:rPr>
                <w:t>Scope</w:t>
              </w:r>
            </w:hyperlink>
            <w:r w:rsidRPr="006438E0">
              <w:rPr>
                <w:sz w:val="20"/>
              </w:rPr>
              <w:t>] [</w:t>
            </w:r>
            <w:hyperlink w:anchor="definitions" w:history="1">
              <w:r>
                <w:rPr>
                  <w:rStyle w:val="Hyperlink"/>
                  <w:rFonts w:eastAsiaTheme="majorEastAsia"/>
                  <w:sz w:val="20"/>
                </w:rPr>
                <w:t>Definitions</w:t>
              </w:r>
            </w:hyperlink>
            <w:r w:rsidRPr="006438E0">
              <w:rPr>
                <w:sz w:val="20"/>
              </w:rPr>
              <w:t>] [</w:t>
            </w:r>
            <w:hyperlink w:anchor="application" w:history="1">
              <w:r w:rsidRPr="00101133">
                <w:rPr>
                  <w:rStyle w:val="Hyperlink"/>
                  <w:rFonts w:eastAsiaTheme="majorEastAsia"/>
                  <w:sz w:val="20"/>
                </w:rPr>
                <w:t>Application</w:t>
              </w:r>
            </w:hyperlink>
            <w:r w:rsidRPr="006438E0">
              <w:rPr>
                <w:sz w:val="20"/>
              </w:rPr>
              <w:t>] [</w:t>
            </w:r>
            <w:hyperlink w:anchor="responsibilities" w:history="1">
              <w:r>
                <w:rPr>
                  <w:rStyle w:val="Hyperlink"/>
                  <w:rFonts w:eastAsiaTheme="majorEastAsia"/>
                  <w:sz w:val="20"/>
                </w:rPr>
                <w:t>Responsibilities</w:t>
              </w:r>
            </w:hyperlink>
            <w:r w:rsidRPr="006438E0">
              <w:rPr>
                <w:sz w:val="20"/>
              </w:rPr>
              <w:t>]</w:t>
            </w:r>
            <w:r>
              <w:rPr>
                <w:sz w:val="20"/>
              </w:rPr>
              <w:t xml:space="preserve"> </w:t>
            </w:r>
            <w:r w:rsidRPr="006438E0">
              <w:rPr>
                <w:sz w:val="20"/>
              </w:rPr>
              <w:t>[</w:t>
            </w:r>
            <w:hyperlink w:anchor="glossary" w:history="1">
              <w:r w:rsidRPr="002048A2">
                <w:rPr>
                  <w:rStyle w:val="Hyperlink"/>
                  <w:rFonts w:eastAsiaTheme="majorEastAsia"/>
                  <w:sz w:val="20"/>
                </w:rPr>
                <w:t>Glossary of Terms</w:t>
              </w:r>
            </w:hyperlink>
            <w:r w:rsidRPr="006438E0">
              <w:rPr>
                <w:sz w:val="20"/>
              </w:rPr>
              <w:t>]</w:t>
            </w:r>
          </w:p>
        </w:tc>
      </w:tr>
    </w:tbl>
    <w:p w14:paraId="3407D637" w14:textId="77777777" w:rsidR="00E15196" w:rsidRPr="00B34D13" w:rsidRDefault="00E15196" w:rsidP="00E15196">
      <w:pPr>
        <w:numPr>
          <w:ilvl w:val="0"/>
          <w:numId w:val="3"/>
        </w:numPr>
        <w:spacing w:before="100" w:beforeAutospacing="1" w:after="240"/>
        <w:rPr>
          <w:rFonts w:cs="Arial"/>
          <w:b/>
          <w:caps/>
          <w:sz w:val="24"/>
          <w:szCs w:val="24"/>
        </w:rPr>
      </w:pPr>
      <w:bookmarkStart w:id="0" w:name="introduction"/>
      <w:bookmarkEnd w:id="0"/>
      <w:r w:rsidRPr="006438E0">
        <w:rPr>
          <w:b/>
          <w:caps/>
          <w:sz w:val="24"/>
          <w:szCs w:val="24"/>
        </w:rPr>
        <w:t>INTRODUCTION</w:t>
      </w:r>
    </w:p>
    <w:p w14:paraId="2BB1DD04" w14:textId="467F5070" w:rsidR="00E15196" w:rsidRDefault="00E15196" w:rsidP="00E15196">
      <w:pPr>
        <w:jc w:val="left"/>
        <w:rPr>
          <w:rFonts w:cs="Arial"/>
          <w:sz w:val="20"/>
        </w:rPr>
      </w:pPr>
      <w:r w:rsidRPr="006E4213">
        <w:rPr>
          <w:rFonts w:cs="Arial"/>
          <w:sz w:val="20"/>
        </w:rPr>
        <w:t xml:space="preserve">The University recognises the right </w:t>
      </w:r>
      <w:r>
        <w:rPr>
          <w:rFonts w:cs="Arial"/>
          <w:sz w:val="20"/>
        </w:rPr>
        <w:t>of</w:t>
      </w:r>
      <w:r w:rsidRPr="006E4213">
        <w:rPr>
          <w:rFonts w:cs="Arial"/>
          <w:sz w:val="20"/>
        </w:rPr>
        <w:t xml:space="preserve"> all staff </w:t>
      </w:r>
      <w:r>
        <w:rPr>
          <w:rFonts w:cs="Arial"/>
          <w:sz w:val="20"/>
        </w:rPr>
        <w:t>and students to a University environment f</w:t>
      </w:r>
      <w:r w:rsidRPr="006E4213">
        <w:rPr>
          <w:rFonts w:cs="Arial"/>
          <w:sz w:val="20"/>
        </w:rPr>
        <w:t>ree from harassment, bullying and discrimination and is committed to</w:t>
      </w:r>
      <w:r>
        <w:rPr>
          <w:rFonts w:cs="Arial"/>
          <w:sz w:val="20"/>
        </w:rPr>
        <w:t xml:space="preserve"> providing safe and inclusive campus communities.</w:t>
      </w:r>
      <w:r w:rsidR="006638E8">
        <w:rPr>
          <w:rFonts w:cs="Arial"/>
          <w:sz w:val="20"/>
        </w:rPr>
        <w:t xml:space="preserve"> </w:t>
      </w:r>
      <w:r w:rsidR="006638E8" w:rsidRPr="006638E8">
        <w:rPr>
          <w:rFonts w:cs="Arial"/>
          <w:sz w:val="20"/>
        </w:rPr>
        <w:t>This Policy aligns with the University’s commitment to the UN Sustainable Development Goals, particularly SDG 5: Gender Equality and SDG 10: Reduced Inequalities.</w:t>
      </w:r>
      <w:r>
        <w:rPr>
          <w:rFonts w:cs="Arial"/>
          <w:sz w:val="20"/>
        </w:rPr>
        <w:t xml:space="preserve"> </w:t>
      </w:r>
    </w:p>
    <w:p w14:paraId="61789E8B" w14:textId="77777777" w:rsidR="00E15196" w:rsidRDefault="00E15196" w:rsidP="00E15196">
      <w:pPr>
        <w:jc w:val="left"/>
        <w:rPr>
          <w:rFonts w:cs="Arial"/>
          <w:sz w:val="20"/>
        </w:rPr>
      </w:pPr>
      <w:r>
        <w:rPr>
          <w:rFonts w:cs="Arial"/>
          <w:sz w:val="20"/>
        </w:rPr>
        <w:t xml:space="preserve">The University has zero tolerance for harassment, bullying and discrimination and expects that all staff will behave professionally, with respect for others in accordance with the Code of Conduct and relevant legislation. </w:t>
      </w:r>
    </w:p>
    <w:p w14:paraId="6B672E42" w14:textId="77777777" w:rsidR="00E15196" w:rsidRPr="00A62490" w:rsidRDefault="00ED7D04" w:rsidP="00E15196">
      <w:pPr>
        <w:ind w:left="0"/>
        <w:rPr>
          <w:rFonts w:cs="Arial"/>
          <w:sz w:val="20"/>
        </w:rPr>
      </w:pPr>
      <w:r>
        <w:rPr>
          <w:rFonts w:cs="Arial"/>
          <w:sz w:val="20"/>
        </w:rPr>
        <w:pict w14:anchorId="63D85318">
          <v:rect id="_x0000_i1025" style="width:476.25pt;height:1pt;mso-position-vertical:absolute" o:hralign="center" o:hrstd="t" o:hrnoshade="t" o:hr="t" fillcolor="#d8d8d8 [2732]" stroked="f"/>
        </w:pict>
      </w:r>
    </w:p>
    <w:p w14:paraId="70668C2A" w14:textId="77777777" w:rsidR="00E15196" w:rsidRPr="00B34D13" w:rsidRDefault="00E15196" w:rsidP="00E15196">
      <w:pPr>
        <w:numPr>
          <w:ilvl w:val="0"/>
          <w:numId w:val="3"/>
        </w:numPr>
        <w:spacing w:before="100" w:beforeAutospacing="1" w:after="240"/>
        <w:rPr>
          <w:rFonts w:cs="Arial"/>
          <w:b/>
          <w:caps/>
          <w:sz w:val="24"/>
          <w:szCs w:val="24"/>
        </w:rPr>
      </w:pPr>
      <w:bookmarkStart w:id="1" w:name="scope"/>
      <w:bookmarkEnd w:id="1"/>
      <w:r w:rsidRPr="006438E0">
        <w:rPr>
          <w:b/>
          <w:caps/>
          <w:sz w:val="24"/>
          <w:szCs w:val="24"/>
        </w:rPr>
        <w:lastRenderedPageBreak/>
        <w:t>SCOPE</w:t>
      </w:r>
    </w:p>
    <w:p w14:paraId="291C2092" w14:textId="19B167C5" w:rsidR="00E15196" w:rsidRPr="008F1381" w:rsidRDefault="00E15196" w:rsidP="00E15196">
      <w:pPr>
        <w:pStyle w:val="ListParagraph"/>
        <w:ind w:left="570"/>
        <w:rPr>
          <w:rFonts w:cs="Arial"/>
          <w:sz w:val="20"/>
        </w:rPr>
      </w:pPr>
      <w:r w:rsidRPr="008F1381">
        <w:rPr>
          <w:rFonts w:cs="Arial"/>
          <w:sz w:val="20"/>
        </w:rPr>
        <w:t xml:space="preserve">This policy applies to </w:t>
      </w:r>
      <w:r>
        <w:rPr>
          <w:rFonts w:cs="Arial"/>
          <w:sz w:val="20"/>
        </w:rPr>
        <w:t xml:space="preserve">discriminatory, harassing and bullying behaviours </w:t>
      </w:r>
      <w:r w:rsidRPr="008F1381">
        <w:rPr>
          <w:rFonts w:cs="Arial"/>
          <w:sz w:val="20"/>
        </w:rPr>
        <w:t>conduct</w:t>
      </w:r>
      <w:r>
        <w:rPr>
          <w:rFonts w:cs="Arial"/>
          <w:sz w:val="20"/>
        </w:rPr>
        <w:t>ed</w:t>
      </w:r>
      <w:r w:rsidRPr="008F1381">
        <w:rPr>
          <w:rFonts w:cs="Arial"/>
          <w:sz w:val="20"/>
        </w:rPr>
        <w:t xml:space="preserve"> </w:t>
      </w:r>
      <w:r>
        <w:rPr>
          <w:rFonts w:cs="Arial"/>
          <w:sz w:val="20"/>
        </w:rPr>
        <w:t>by</w:t>
      </w:r>
      <w:r w:rsidRPr="008F1381">
        <w:rPr>
          <w:rFonts w:cs="Arial"/>
          <w:sz w:val="20"/>
        </w:rPr>
        <w:t xml:space="preserve"> </w:t>
      </w:r>
      <w:r w:rsidR="000C14E6">
        <w:rPr>
          <w:rFonts w:cs="Arial"/>
          <w:sz w:val="20"/>
        </w:rPr>
        <w:t xml:space="preserve">all </w:t>
      </w:r>
      <w:r w:rsidRPr="008F1381">
        <w:rPr>
          <w:rFonts w:cs="Arial"/>
          <w:sz w:val="20"/>
        </w:rPr>
        <w:t xml:space="preserve">staff when engaged in University related activities which are on campus, in transit to/from campus, off campus and online. </w:t>
      </w:r>
    </w:p>
    <w:p w14:paraId="371A3783" w14:textId="77777777" w:rsidR="00E15196" w:rsidRDefault="00E15196" w:rsidP="00E15196">
      <w:pPr>
        <w:pStyle w:val="ListParagraph"/>
        <w:ind w:left="570"/>
        <w:rPr>
          <w:rFonts w:cs="Arial"/>
          <w:sz w:val="20"/>
        </w:rPr>
      </w:pPr>
      <w:r w:rsidRPr="008F1381">
        <w:rPr>
          <w:rFonts w:cs="Arial"/>
          <w:sz w:val="20"/>
        </w:rPr>
        <w:t>Staff includes sessional, casual, visiting, honorary, adjunct, conjoint appointments and volunteers at Griffith University.</w:t>
      </w:r>
    </w:p>
    <w:p w14:paraId="6EC51452" w14:textId="7C0F8544" w:rsidR="00E14908" w:rsidRDefault="00E14908" w:rsidP="00E15196">
      <w:pPr>
        <w:pStyle w:val="ListParagraph"/>
        <w:numPr>
          <w:ilvl w:val="1"/>
          <w:numId w:val="3"/>
        </w:numPr>
        <w:rPr>
          <w:rFonts w:cs="Arial"/>
          <w:b/>
          <w:sz w:val="20"/>
        </w:rPr>
      </w:pPr>
      <w:bookmarkStart w:id="2" w:name="_Hlk33627058"/>
      <w:r>
        <w:rPr>
          <w:rFonts w:cs="Arial"/>
          <w:b/>
          <w:sz w:val="20"/>
        </w:rPr>
        <w:t>Academic Freedom and Freedom of Speech</w:t>
      </w:r>
    </w:p>
    <w:p w14:paraId="2DA4B77F" w14:textId="422E480E" w:rsidR="00E14908" w:rsidRDefault="005F7B19" w:rsidP="004F52B8">
      <w:pPr>
        <w:pStyle w:val="ListParagraph"/>
        <w:ind w:left="1146"/>
        <w:rPr>
          <w:rFonts w:cs="Arial"/>
          <w:b/>
          <w:sz w:val="20"/>
        </w:rPr>
      </w:pPr>
      <w:bookmarkStart w:id="3" w:name="_Hlk33627227"/>
      <w:r w:rsidRPr="004F6DAE">
        <w:rPr>
          <w:rFonts w:cstheme="minorHAnsi"/>
          <w:sz w:val="20"/>
        </w:rPr>
        <w:t>The Academic Freedom and Free</w:t>
      </w:r>
      <w:r>
        <w:rPr>
          <w:rFonts w:cstheme="minorHAnsi"/>
          <w:sz w:val="20"/>
        </w:rPr>
        <w:t>dom of</w:t>
      </w:r>
      <w:r w:rsidRPr="004F6DAE">
        <w:rPr>
          <w:rFonts w:cstheme="minorHAnsi"/>
          <w:sz w:val="20"/>
        </w:rPr>
        <w:t xml:space="preserve"> Speech Policy outlines the University’s commitment to freedom of speech and also sets out the Reasonable Academic Freedom, Reasonable Free Speech, and Reasonable Use Restrictions that apply. </w:t>
      </w:r>
    </w:p>
    <w:bookmarkEnd w:id="2"/>
    <w:bookmarkEnd w:id="3"/>
    <w:p w14:paraId="03D07875" w14:textId="1A92048B" w:rsidR="00E15196" w:rsidRPr="008F1381" w:rsidRDefault="00E15196" w:rsidP="00E15196">
      <w:pPr>
        <w:pStyle w:val="ListParagraph"/>
        <w:numPr>
          <w:ilvl w:val="1"/>
          <w:numId w:val="3"/>
        </w:numPr>
        <w:rPr>
          <w:rFonts w:cs="Arial"/>
          <w:b/>
          <w:sz w:val="20"/>
        </w:rPr>
      </w:pPr>
      <w:r w:rsidRPr="008F1381">
        <w:rPr>
          <w:rFonts w:cs="Arial"/>
          <w:b/>
          <w:sz w:val="20"/>
        </w:rPr>
        <w:t>Sexual Assault and Sexual Harassment</w:t>
      </w:r>
    </w:p>
    <w:p w14:paraId="6FA9C823" w14:textId="77777777" w:rsidR="00E15196" w:rsidRPr="008F1381" w:rsidRDefault="00E15196" w:rsidP="00E15196">
      <w:pPr>
        <w:ind w:left="1146"/>
        <w:rPr>
          <w:rFonts w:cs="Arial"/>
          <w:sz w:val="20"/>
        </w:rPr>
      </w:pPr>
      <w:r w:rsidRPr="008F1381">
        <w:rPr>
          <w:rFonts w:cs="Arial"/>
          <w:sz w:val="20"/>
        </w:rPr>
        <w:t>The University’s</w:t>
      </w:r>
      <w:r w:rsidRPr="008F1381">
        <w:t xml:space="preserve"> </w:t>
      </w:r>
      <w:r w:rsidRPr="008F1381">
        <w:rPr>
          <w:rFonts w:cs="Arial"/>
          <w:sz w:val="20"/>
        </w:rPr>
        <w:t xml:space="preserve">approach to preventing, reporting and responding to incidents of sexual assault and harassment by staff is outlined in the </w:t>
      </w:r>
      <w:r w:rsidRPr="0077374E">
        <w:rPr>
          <w:rFonts w:cs="Arial"/>
          <w:i/>
          <w:sz w:val="20"/>
        </w:rPr>
        <w:t>Staff Sexual Assault and Sexual Harassment Policy</w:t>
      </w:r>
      <w:r w:rsidRPr="0060731A">
        <w:rPr>
          <w:rFonts w:cs="Arial"/>
          <w:sz w:val="20"/>
        </w:rPr>
        <w:t>.</w:t>
      </w:r>
      <w:r w:rsidRPr="008F1381">
        <w:rPr>
          <w:rFonts w:cs="Arial"/>
          <w:sz w:val="20"/>
        </w:rPr>
        <w:t xml:space="preserve"> </w:t>
      </w:r>
    </w:p>
    <w:p w14:paraId="5F6FEA4A" w14:textId="77777777" w:rsidR="00E15196" w:rsidRPr="0077374E" w:rsidRDefault="00E15196" w:rsidP="00E15196">
      <w:pPr>
        <w:pStyle w:val="ListParagraph"/>
        <w:numPr>
          <w:ilvl w:val="1"/>
          <w:numId w:val="3"/>
        </w:numPr>
        <w:rPr>
          <w:rFonts w:cs="Arial"/>
          <w:b/>
          <w:sz w:val="20"/>
        </w:rPr>
      </w:pPr>
      <w:r w:rsidRPr="0077374E">
        <w:rPr>
          <w:rFonts w:cs="Arial"/>
          <w:b/>
          <w:sz w:val="20"/>
        </w:rPr>
        <w:t xml:space="preserve">Information and Communication Technology </w:t>
      </w:r>
    </w:p>
    <w:p w14:paraId="637BF139" w14:textId="77777777" w:rsidR="00E15196" w:rsidRPr="004176A1" w:rsidRDefault="00E15196" w:rsidP="00E15196">
      <w:pPr>
        <w:pStyle w:val="ListParagraph"/>
        <w:ind w:left="1146"/>
        <w:rPr>
          <w:rFonts w:cs="Arial"/>
          <w:sz w:val="20"/>
        </w:rPr>
      </w:pPr>
      <w:r w:rsidRPr="004176A1">
        <w:rPr>
          <w:rFonts w:cs="Arial"/>
          <w:sz w:val="20"/>
        </w:rPr>
        <w:t xml:space="preserve">The </w:t>
      </w:r>
      <w:hyperlink r:id="rId30" w:history="1">
        <w:r w:rsidRPr="004176A1">
          <w:rPr>
            <w:rStyle w:val="Hyperlink"/>
            <w:rFonts w:eastAsiaTheme="majorEastAsia" w:cs="Arial"/>
            <w:sz w:val="20"/>
          </w:rPr>
          <w:t>Information Technology Code of Practice</w:t>
        </w:r>
      </w:hyperlink>
      <w:r w:rsidRPr="004176A1">
        <w:rPr>
          <w:rFonts w:cs="Arial"/>
          <w:sz w:val="20"/>
        </w:rPr>
        <w:t xml:space="preserve"> provides guidance to authorised</w:t>
      </w:r>
      <w:r>
        <w:rPr>
          <w:rFonts w:cs="Arial"/>
          <w:sz w:val="20"/>
        </w:rPr>
        <w:t xml:space="preserve"> </w:t>
      </w:r>
      <w:r w:rsidRPr="004176A1">
        <w:rPr>
          <w:rFonts w:cs="Arial"/>
          <w:sz w:val="20"/>
        </w:rPr>
        <w:t>users, for the appropriate access and use of the University's Information</w:t>
      </w:r>
      <w:r>
        <w:rPr>
          <w:rFonts w:cs="Arial"/>
          <w:sz w:val="20"/>
        </w:rPr>
        <w:t xml:space="preserve"> </w:t>
      </w:r>
      <w:r w:rsidRPr="004176A1">
        <w:rPr>
          <w:rFonts w:cs="Arial"/>
          <w:sz w:val="20"/>
        </w:rPr>
        <w:t>Technology resources, usin</w:t>
      </w:r>
      <w:r>
        <w:rPr>
          <w:rFonts w:cs="Arial"/>
          <w:sz w:val="20"/>
        </w:rPr>
        <w:t xml:space="preserve">g any device from any location and prohibits the use of University ICT resources to engage in bullying, harassing, discriminatory or defamatory behaviour. </w:t>
      </w:r>
    </w:p>
    <w:p w14:paraId="24E1F778" w14:textId="77777777" w:rsidR="00E15196" w:rsidRDefault="00E15196" w:rsidP="00E15196">
      <w:pPr>
        <w:pStyle w:val="ListParagraph"/>
        <w:numPr>
          <w:ilvl w:val="1"/>
          <w:numId w:val="3"/>
        </w:numPr>
        <w:rPr>
          <w:rFonts w:cs="Arial"/>
          <w:b/>
          <w:sz w:val="20"/>
        </w:rPr>
      </w:pPr>
      <w:r>
        <w:rPr>
          <w:rFonts w:cs="Arial"/>
          <w:b/>
          <w:sz w:val="20"/>
        </w:rPr>
        <w:t>Student behaviour</w:t>
      </w:r>
    </w:p>
    <w:p w14:paraId="0BDF6F51" w14:textId="7AC10A07" w:rsidR="00E15196" w:rsidRPr="008F1381" w:rsidRDefault="00E15196" w:rsidP="00E15196">
      <w:pPr>
        <w:pStyle w:val="ListParagraph"/>
        <w:ind w:left="1134"/>
        <w:rPr>
          <w:rFonts w:cs="Arial"/>
          <w:sz w:val="20"/>
        </w:rPr>
      </w:pPr>
      <w:r w:rsidRPr="008F1381">
        <w:rPr>
          <w:rFonts w:cs="Arial"/>
          <w:sz w:val="20"/>
        </w:rPr>
        <w:t>The Univ</w:t>
      </w:r>
      <w:r w:rsidRPr="002C5834">
        <w:rPr>
          <w:rFonts w:cs="Arial"/>
          <w:sz w:val="20"/>
        </w:rPr>
        <w:t xml:space="preserve">ersity’s expectations in relation to student behaviour are outlined in the </w:t>
      </w:r>
      <w:hyperlink r:id="rId31" w:history="1">
        <w:r w:rsidRPr="002C5834">
          <w:rPr>
            <w:rStyle w:val="Hyperlink"/>
            <w:rFonts w:eastAsiaTheme="majorEastAsia" w:cs="Arial"/>
            <w:sz w:val="20"/>
          </w:rPr>
          <w:t>Student Sexual Assault, Harassment, Bullying and Discrimination Policy</w:t>
        </w:r>
      </w:hyperlink>
      <w:r w:rsidRPr="002C5834">
        <w:rPr>
          <w:rFonts w:cs="Arial"/>
          <w:sz w:val="20"/>
        </w:rPr>
        <w:t xml:space="preserve">, </w:t>
      </w:r>
      <w:hyperlink r:id="rId32" w:history="1">
        <w:r w:rsidRPr="002C5834">
          <w:rPr>
            <w:rStyle w:val="Hyperlink"/>
            <w:rFonts w:eastAsiaTheme="majorEastAsia" w:cs="Arial"/>
            <w:sz w:val="20"/>
          </w:rPr>
          <w:t>Student Misconduct Policy</w:t>
        </w:r>
      </w:hyperlink>
      <w:r w:rsidRPr="002C5834">
        <w:rPr>
          <w:rFonts w:cs="Arial"/>
          <w:sz w:val="20"/>
        </w:rPr>
        <w:t xml:space="preserve"> and </w:t>
      </w:r>
      <w:hyperlink r:id="rId33" w:history="1">
        <w:r w:rsidRPr="002C5834">
          <w:rPr>
            <w:rStyle w:val="Hyperlink"/>
            <w:rFonts w:eastAsiaTheme="majorEastAsia" w:cs="Arial"/>
            <w:sz w:val="20"/>
          </w:rPr>
          <w:t>Student Charte</w:t>
        </w:r>
        <w:r w:rsidR="00145ADF">
          <w:rPr>
            <w:rStyle w:val="Hyperlink"/>
            <w:rFonts w:eastAsiaTheme="majorEastAsia" w:cs="Arial"/>
            <w:sz w:val="20"/>
          </w:rPr>
          <w:t>r Framework</w:t>
        </w:r>
      </w:hyperlink>
      <w:r w:rsidRPr="002C5834">
        <w:rPr>
          <w:rFonts w:cs="Arial"/>
          <w:sz w:val="20"/>
        </w:rPr>
        <w:t>.   Where an individual is both a student and a staff member, the matter will be managed according to their role at the time of the alleged incident.</w:t>
      </w:r>
    </w:p>
    <w:p w14:paraId="15BE3D29" w14:textId="77777777" w:rsidR="00E15196" w:rsidRPr="00567901" w:rsidRDefault="00ED7D04" w:rsidP="00E15196">
      <w:pPr>
        <w:pStyle w:val="ListParagraph"/>
        <w:spacing w:before="100" w:beforeAutospacing="1" w:after="240"/>
        <w:ind w:left="0"/>
        <w:rPr>
          <w:rFonts w:cs="Arial"/>
          <w:b/>
          <w:caps/>
          <w:sz w:val="24"/>
          <w:szCs w:val="24"/>
        </w:rPr>
      </w:pPr>
      <w:r>
        <w:rPr>
          <w:rFonts w:cs="Arial"/>
          <w:sz w:val="20"/>
        </w:rPr>
        <w:pict w14:anchorId="7CF8BB59">
          <v:rect id="_x0000_i1026" style="width:476.25pt;height:1pt;mso-position-vertical:absolute" o:hralign="center" o:hrstd="t" o:hrnoshade="t" o:hr="t" fillcolor="#d8d8d8 [2732]" stroked="f"/>
        </w:pict>
      </w:r>
    </w:p>
    <w:p w14:paraId="3E3D135A" w14:textId="77777777" w:rsidR="00E15196" w:rsidRDefault="00E15196" w:rsidP="00E15196">
      <w:pPr>
        <w:numPr>
          <w:ilvl w:val="0"/>
          <w:numId w:val="3"/>
        </w:numPr>
        <w:spacing w:before="100" w:beforeAutospacing="1" w:after="240"/>
        <w:rPr>
          <w:rFonts w:cs="Arial"/>
          <w:b/>
          <w:caps/>
          <w:sz w:val="24"/>
          <w:szCs w:val="24"/>
        </w:rPr>
      </w:pPr>
      <w:bookmarkStart w:id="4" w:name="definitions"/>
      <w:r>
        <w:rPr>
          <w:rFonts w:cs="Arial"/>
          <w:b/>
          <w:caps/>
          <w:sz w:val="24"/>
          <w:szCs w:val="24"/>
        </w:rPr>
        <w:t>definitions</w:t>
      </w:r>
      <w:r w:rsidRPr="006438E0">
        <w:rPr>
          <w:rFonts w:cs="Arial"/>
          <w:sz w:val="20"/>
        </w:rPr>
        <w:t xml:space="preserve"> </w:t>
      </w:r>
    </w:p>
    <w:bookmarkEnd w:id="4"/>
    <w:p w14:paraId="481C4C25" w14:textId="77777777" w:rsidR="00E15196" w:rsidRDefault="00E15196" w:rsidP="00E15196">
      <w:pPr>
        <w:pStyle w:val="ListParagraph"/>
        <w:numPr>
          <w:ilvl w:val="1"/>
          <w:numId w:val="3"/>
        </w:numPr>
        <w:rPr>
          <w:sz w:val="20"/>
        </w:rPr>
      </w:pPr>
      <w:r w:rsidRPr="008F1381">
        <w:rPr>
          <w:b/>
          <w:sz w:val="20"/>
        </w:rPr>
        <w:t>Discrimination</w:t>
      </w:r>
      <w:r w:rsidRPr="008F1381">
        <w:rPr>
          <w:sz w:val="20"/>
        </w:rPr>
        <w:t xml:space="preserve"> </w:t>
      </w:r>
    </w:p>
    <w:p w14:paraId="00A2093A" w14:textId="77777777" w:rsidR="00E15196" w:rsidRDefault="00E15196" w:rsidP="00E15196">
      <w:pPr>
        <w:pStyle w:val="ListParagraph"/>
        <w:ind w:left="1146"/>
        <w:rPr>
          <w:sz w:val="20"/>
        </w:rPr>
      </w:pPr>
      <w:r>
        <w:rPr>
          <w:sz w:val="20"/>
        </w:rPr>
        <w:t>Discrimination occurs w</w:t>
      </w:r>
      <w:r w:rsidRPr="008F1381">
        <w:rPr>
          <w:sz w:val="20"/>
        </w:rPr>
        <w:t>hen a person treats, or proposes to treat, another person less favourably than</w:t>
      </w:r>
      <w:r>
        <w:rPr>
          <w:sz w:val="20"/>
        </w:rPr>
        <w:t xml:space="preserve"> another person</w:t>
      </w:r>
      <w:r w:rsidRPr="008F1381">
        <w:rPr>
          <w:sz w:val="20"/>
        </w:rPr>
        <w:t xml:space="preserve"> because of </w:t>
      </w:r>
      <w:r>
        <w:rPr>
          <w:sz w:val="20"/>
        </w:rPr>
        <w:t>a protected</w:t>
      </w:r>
      <w:r w:rsidRPr="008F1381">
        <w:rPr>
          <w:sz w:val="20"/>
        </w:rPr>
        <w:t xml:space="preserve"> attribute (direct discrimination), or when a requirement that is the same for everyone has an unfair effect on some people because</w:t>
      </w:r>
      <w:r>
        <w:rPr>
          <w:sz w:val="20"/>
        </w:rPr>
        <w:t xml:space="preserve"> they would be unable to participate or comply due to a protected </w:t>
      </w:r>
      <w:r w:rsidRPr="008F1381">
        <w:rPr>
          <w:sz w:val="20"/>
        </w:rPr>
        <w:t xml:space="preserve">attribute (indirect discrimination).  The grounds under which discrimination is unlawful and on which discrimination in this policy is based are stated in the </w:t>
      </w:r>
      <w:hyperlink r:id="rId34" w:anchor="ch.2" w:history="1">
        <w:r w:rsidRPr="008F1381">
          <w:rPr>
            <w:rStyle w:val="Hyperlink"/>
            <w:rFonts w:eastAsiaTheme="majorEastAsia"/>
            <w:sz w:val="20"/>
          </w:rPr>
          <w:t>Queensland Anti-Discrimination Act (1991)</w:t>
        </w:r>
      </w:hyperlink>
      <w:r w:rsidRPr="008F1381">
        <w:rPr>
          <w:sz w:val="20"/>
        </w:rPr>
        <w:t>.</w:t>
      </w:r>
    </w:p>
    <w:p w14:paraId="6348AB1E" w14:textId="77777777" w:rsidR="00E15196" w:rsidRDefault="00E15196" w:rsidP="00E15196">
      <w:pPr>
        <w:pStyle w:val="ListParagraph"/>
        <w:ind w:left="1146"/>
        <w:rPr>
          <w:sz w:val="20"/>
        </w:rPr>
      </w:pPr>
      <w:r w:rsidRPr="00E0313D">
        <w:rPr>
          <w:sz w:val="20"/>
        </w:rPr>
        <w:t xml:space="preserve">Unlawful </w:t>
      </w:r>
      <w:r w:rsidRPr="00E0313D">
        <w:rPr>
          <w:b/>
          <w:sz w:val="20"/>
        </w:rPr>
        <w:t>workplace discrimination</w:t>
      </w:r>
      <w:r w:rsidRPr="0084643C">
        <w:rPr>
          <w:sz w:val="20"/>
        </w:rPr>
        <w:t>,</w:t>
      </w:r>
      <w:r>
        <w:rPr>
          <w:b/>
          <w:sz w:val="20"/>
        </w:rPr>
        <w:t xml:space="preserve"> </w:t>
      </w:r>
      <w:r w:rsidRPr="0084643C">
        <w:rPr>
          <w:sz w:val="20"/>
        </w:rPr>
        <w:t xml:space="preserve">as </w:t>
      </w:r>
      <w:r>
        <w:rPr>
          <w:sz w:val="20"/>
        </w:rPr>
        <w:t>defined</w:t>
      </w:r>
      <w:r w:rsidRPr="0084643C">
        <w:rPr>
          <w:sz w:val="20"/>
        </w:rPr>
        <w:t xml:space="preserve"> in the </w:t>
      </w:r>
      <w:hyperlink r:id="rId35" w:history="1">
        <w:r w:rsidRPr="002C5834">
          <w:rPr>
            <w:rStyle w:val="Hyperlink"/>
            <w:rFonts w:eastAsiaTheme="majorEastAsia"/>
            <w:sz w:val="20"/>
          </w:rPr>
          <w:t>Fair Work Act 2009</w:t>
        </w:r>
      </w:hyperlink>
      <w:r w:rsidRPr="0084643C">
        <w:rPr>
          <w:sz w:val="20"/>
        </w:rPr>
        <w:t>,</w:t>
      </w:r>
      <w:r>
        <w:rPr>
          <w:b/>
          <w:sz w:val="20"/>
        </w:rPr>
        <w:t xml:space="preserve"> </w:t>
      </w:r>
      <w:r w:rsidRPr="00E0313D">
        <w:rPr>
          <w:sz w:val="20"/>
        </w:rPr>
        <w:t xml:space="preserve">occurs when an employer takes adverse action against a person who is an employee or prospective employee </w:t>
      </w:r>
      <w:r w:rsidRPr="0084643C">
        <w:rPr>
          <w:sz w:val="20"/>
        </w:rPr>
        <w:t xml:space="preserve"> because of the person’s race, colour, sex, sexual orientation, age, physical or mental disability, marital status, family or carer’s responsibilities, pregnancy, religion, political opinion, national extraction or social origin.</w:t>
      </w:r>
    </w:p>
    <w:p w14:paraId="75D98ED0" w14:textId="77777777" w:rsidR="00E15196" w:rsidRDefault="00E15196" w:rsidP="00E15196">
      <w:pPr>
        <w:pStyle w:val="ListParagraph"/>
        <w:ind w:left="1146"/>
        <w:rPr>
          <w:sz w:val="20"/>
        </w:rPr>
      </w:pPr>
      <w:r>
        <w:rPr>
          <w:sz w:val="20"/>
        </w:rPr>
        <w:t xml:space="preserve">Examples of direct discrimination include where </w:t>
      </w:r>
      <w:r w:rsidRPr="00CC0FAD">
        <w:rPr>
          <w:sz w:val="20"/>
        </w:rPr>
        <w:t>an emp</w:t>
      </w:r>
      <w:r>
        <w:rPr>
          <w:sz w:val="20"/>
        </w:rPr>
        <w:t>loyer refuses a promotion to a staff member after they have disclosed that they are bisexual (discrimination on the basi</w:t>
      </w:r>
      <w:r w:rsidRPr="00124FFF">
        <w:rPr>
          <w:sz w:val="20"/>
        </w:rPr>
        <w:t>s of sexual orientation</w:t>
      </w:r>
      <w:r>
        <w:rPr>
          <w:sz w:val="20"/>
        </w:rPr>
        <w:t xml:space="preserve">); and not hiring a woman for fear she won’t fit in to a traditionally male workplace (sex discrimination). </w:t>
      </w:r>
    </w:p>
    <w:p w14:paraId="3648C2F7" w14:textId="77777777" w:rsidR="00E15196" w:rsidRDefault="00E15196" w:rsidP="00E15196">
      <w:pPr>
        <w:pStyle w:val="ListParagraph"/>
        <w:ind w:left="1146"/>
        <w:rPr>
          <w:sz w:val="20"/>
        </w:rPr>
      </w:pPr>
      <w:r>
        <w:rPr>
          <w:sz w:val="20"/>
        </w:rPr>
        <w:t>An example of indirect discrimination includes requiring a deaf or hearing impaired</w:t>
      </w:r>
      <w:r w:rsidRPr="00E23807">
        <w:rPr>
          <w:sz w:val="20"/>
        </w:rPr>
        <w:t xml:space="preserve"> </w:t>
      </w:r>
      <w:r>
        <w:rPr>
          <w:sz w:val="20"/>
        </w:rPr>
        <w:t>staff member</w:t>
      </w:r>
      <w:r w:rsidRPr="00E23807">
        <w:rPr>
          <w:sz w:val="20"/>
        </w:rPr>
        <w:t xml:space="preserve"> to attend </w:t>
      </w:r>
      <w:r>
        <w:rPr>
          <w:sz w:val="20"/>
        </w:rPr>
        <w:t xml:space="preserve">regular </w:t>
      </w:r>
      <w:r w:rsidRPr="00E23807">
        <w:rPr>
          <w:sz w:val="20"/>
        </w:rPr>
        <w:t>meetings where no Auslan interpreter</w:t>
      </w:r>
      <w:r>
        <w:rPr>
          <w:sz w:val="20"/>
        </w:rPr>
        <w:t xml:space="preserve"> or captioning</w:t>
      </w:r>
      <w:r w:rsidRPr="00E23807">
        <w:rPr>
          <w:sz w:val="20"/>
        </w:rPr>
        <w:t xml:space="preserve"> is provided</w:t>
      </w:r>
      <w:r>
        <w:rPr>
          <w:sz w:val="20"/>
        </w:rPr>
        <w:t xml:space="preserve"> to enable them to understand what is being said. While the staff member is able to attend the meetings, they would be disadvantaged as they are unable to participate as fully as their colleagues. </w:t>
      </w:r>
    </w:p>
    <w:p w14:paraId="206C4BE2" w14:textId="77777777" w:rsidR="00E15196" w:rsidRPr="008F1381" w:rsidRDefault="00E15196" w:rsidP="00E15196">
      <w:pPr>
        <w:pStyle w:val="ListParagraph"/>
        <w:ind w:left="1146"/>
        <w:rPr>
          <w:sz w:val="20"/>
        </w:rPr>
      </w:pPr>
      <w:r w:rsidRPr="00D45EA8">
        <w:rPr>
          <w:sz w:val="20"/>
        </w:rPr>
        <w:t xml:space="preserve">The </w:t>
      </w:r>
      <w:hyperlink r:id="rId36" w:history="1">
        <w:r w:rsidRPr="00747813">
          <w:rPr>
            <w:rStyle w:val="Hyperlink"/>
            <w:rFonts w:eastAsiaTheme="majorEastAsia"/>
            <w:sz w:val="20"/>
          </w:rPr>
          <w:t>Australian Human Rights Commission Act 1986</w:t>
        </w:r>
      </w:hyperlink>
      <w:r>
        <w:rPr>
          <w:sz w:val="20"/>
        </w:rPr>
        <w:t xml:space="preserve"> </w:t>
      </w:r>
      <w:r w:rsidRPr="00044718">
        <w:rPr>
          <w:sz w:val="20"/>
        </w:rPr>
        <w:t xml:space="preserve">and other supporting federal legislation </w:t>
      </w:r>
      <w:r>
        <w:rPr>
          <w:sz w:val="20"/>
        </w:rPr>
        <w:t>also</w:t>
      </w:r>
      <w:r w:rsidRPr="00D45EA8">
        <w:rPr>
          <w:sz w:val="20"/>
        </w:rPr>
        <w:t xml:space="preserve"> prohibits discrimination in </w:t>
      </w:r>
      <w:r>
        <w:rPr>
          <w:sz w:val="20"/>
        </w:rPr>
        <w:t xml:space="preserve">employment and </w:t>
      </w:r>
      <w:r w:rsidRPr="00A734A2">
        <w:rPr>
          <w:sz w:val="20"/>
        </w:rPr>
        <w:t xml:space="preserve">includes a broad range of </w:t>
      </w:r>
      <w:r>
        <w:rPr>
          <w:sz w:val="20"/>
        </w:rPr>
        <w:t xml:space="preserve">attributes and </w:t>
      </w:r>
      <w:r w:rsidRPr="00A734A2">
        <w:rPr>
          <w:sz w:val="20"/>
        </w:rPr>
        <w:t xml:space="preserve">grounds </w:t>
      </w:r>
      <w:r>
        <w:rPr>
          <w:sz w:val="20"/>
        </w:rPr>
        <w:t xml:space="preserve">for </w:t>
      </w:r>
      <w:r w:rsidRPr="00A734A2">
        <w:rPr>
          <w:sz w:val="20"/>
        </w:rPr>
        <w:t xml:space="preserve">discrimination in addition to those in </w:t>
      </w:r>
      <w:r>
        <w:rPr>
          <w:sz w:val="20"/>
        </w:rPr>
        <w:t>State</w:t>
      </w:r>
      <w:r w:rsidRPr="00A734A2">
        <w:rPr>
          <w:sz w:val="20"/>
        </w:rPr>
        <w:t xml:space="preserve"> discrimination laws</w:t>
      </w:r>
      <w:r>
        <w:rPr>
          <w:sz w:val="20"/>
        </w:rPr>
        <w:t xml:space="preserve">. </w:t>
      </w:r>
    </w:p>
    <w:p w14:paraId="75A7E1E2" w14:textId="77777777" w:rsidR="00E15196" w:rsidRDefault="00E15196" w:rsidP="00E15196">
      <w:pPr>
        <w:pStyle w:val="ListParagraph"/>
        <w:numPr>
          <w:ilvl w:val="1"/>
          <w:numId w:val="3"/>
        </w:numPr>
        <w:rPr>
          <w:sz w:val="20"/>
        </w:rPr>
      </w:pPr>
      <w:r w:rsidRPr="00567901">
        <w:rPr>
          <w:b/>
          <w:sz w:val="20"/>
        </w:rPr>
        <w:t>Harassment</w:t>
      </w:r>
      <w:r w:rsidRPr="00567901">
        <w:rPr>
          <w:sz w:val="20"/>
        </w:rPr>
        <w:t xml:space="preserve"> </w:t>
      </w:r>
    </w:p>
    <w:p w14:paraId="44919190" w14:textId="77777777" w:rsidR="00E15196" w:rsidRPr="0029166B" w:rsidRDefault="00E15196" w:rsidP="00E15196">
      <w:pPr>
        <w:pStyle w:val="ListParagraph"/>
        <w:ind w:left="1134"/>
        <w:rPr>
          <w:sz w:val="20"/>
        </w:rPr>
      </w:pPr>
      <w:r w:rsidRPr="0029166B">
        <w:rPr>
          <w:sz w:val="20"/>
        </w:rPr>
        <w:lastRenderedPageBreak/>
        <w:t xml:space="preserve">Harassment is repeated behaviour that is directed at an individual or group of students or staff and is offensive, humiliating, intimidating or threatening. The behaviour is often unwelcome and makes it difficult for effective work or study to be conducted. </w:t>
      </w:r>
    </w:p>
    <w:p w14:paraId="1F8A21E6" w14:textId="77777777" w:rsidR="00E15196" w:rsidRPr="00700634" w:rsidRDefault="00E15196" w:rsidP="00E15196">
      <w:pPr>
        <w:pStyle w:val="ListParagraph"/>
        <w:ind w:left="1134"/>
        <w:rPr>
          <w:sz w:val="20"/>
        </w:rPr>
      </w:pPr>
      <w:r w:rsidRPr="0029166B">
        <w:rPr>
          <w:sz w:val="20"/>
        </w:rPr>
        <w:t>Harassment occurs in circumstances where a reasonable person would have expected that the behaviour was going to be offensive, humiliating or intimidating and may be sexual in nature or based on sex, gender</w:t>
      </w:r>
      <w:r>
        <w:rPr>
          <w:sz w:val="20"/>
        </w:rPr>
        <w:t>, gender</w:t>
      </w:r>
      <w:r w:rsidRPr="0029166B">
        <w:rPr>
          <w:sz w:val="20"/>
        </w:rPr>
        <w:t xml:space="preserve"> identity, race, disability, sexual orientation or a range of other attributes. </w:t>
      </w:r>
    </w:p>
    <w:p w14:paraId="11432D34" w14:textId="77777777" w:rsidR="00E15196" w:rsidRPr="00700634" w:rsidRDefault="00E15196" w:rsidP="00E15196">
      <w:pPr>
        <w:ind w:left="1134"/>
        <w:rPr>
          <w:sz w:val="20"/>
        </w:rPr>
      </w:pPr>
      <w:r>
        <w:rPr>
          <w:sz w:val="20"/>
        </w:rPr>
        <w:t xml:space="preserve">Examples of harassment include telling insulting jokes about particular racial groups; sending offensive emails or messages; sexist jokes or anecdotes including gender-derogatory nicknames; or asking repeated intrusive questions about someone’s personal life, for example asking about their family plans or commitments or their sexual orientation. </w:t>
      </w:r>
    </w:p>
    <w:p w14:paraId="5929E3A7" w14:textId="77777777" w:rsidR="00E15196" w:rsidRPr="0029166B" w:rsidRDefault="00E15196" w:rsidP="00E15196">
      <w:pPr>
        <w:pStyle w:val="ListParagraph"/>
        <w:ind w:left="1134"/>
        <w:rPr>
          <w:sz w:val="20"/>
        </w:rPr>
      </w:pPr>
      <w:r w:rsidRPr="0029166B">
        <w:rPr>
          <w:b/>
          <w:sz w:val="20"/>
        </w:rPr>
        <w:t>Sexual Harassment</w:t>
      </w:r>
      <w:r w:rsidRPr="0029166B">
        <w:rPr>
          <w:sz w:val="20"/>
        </w:rPr>
        <w:t xml:space="preserve"> is a form of harassment and includes any unwelcome </w:t>
      </w:r>
      <w:r>
        <w:rPr>
          <w:sz w:val="20"/>
        </w:rPr>
        <w:t xml:space="preserve">or unsolicited </w:t>
      </w:r>
      <w:r w:rsidRPr="0029166B">
        <w:rPr>
          <w:sz w:val="20"/>
        </w:rPr>
        <w:t xml:space="preserve">conduct of a sexual nature that is offensive, humiliating, intimidating or threatening. The behaviour does not have to be repeated for it to constitute sexual harassment. </w:t>
      </w:r>
      <w:r w:rsidRPr="00D24B99">
        <w:rPr>
          <w:sz w:val="20"/>
        </w:rPr>
        <w:t xml:space="preserve">Sexual harassment is unlawful under the </w:t>
      </w:r>
      <w:r>
        <w:rPr>
          <w:sz w:val="20"/>
        </w:rPr>
        <w:t xml:space="preserve">Anti-Discrimination Act </w:t>
      </w:r>
      <w:r w:rsidRPr="00D24B99">
        <w:rPr>
          <w:sz w:val="20"/>
        </w:rPr>
        <w:t>1991</w:t>
      </w:r>
      <w:r>
        <w:rPr>
          <w:sz w:val="20"/>
        </w:rPr>
        <w:t xml:space="preserve"> (Qld</w:t>
      </w:r>
      <w:r w:rsidRPr="00D24B99">
        <w:rPr>
          <w:sz w:val="20"/>
        </w:rPr>
        <w:t>) and the Sex Discrimination Act 1984 (Cth)</w:t>
      </w:r>
      <w:r>
        <w:rPr>
          <w:sz w:val="20"/>
        </w:rPr>
        <w:t xml:space="preserve"> and constitutes misconduct. F</w:t>
      </w:r>
      <w:r w:rsidRPr="0029166B">
        <w:rPr>
          <w:sz w:val="20"/>
        </w:rPr>
        <w:t xml:space="preserve">urther information on sexual harassment can be found in the </w:t>
      </w:r>
      <w:r w:rsidRPr="0077374E">
        <w:rPr>
          <w:i/>
          <w:sz w:val="20"/>
        </w:rPr>
        <w:t>Staff Sexual Assault and Sexual Harassment Policy</w:t>
      </w:r>
      <w:r w:rsidRPr="0029166B">
        <w:rPr>
          <w:sz w:val="20"/>
        </w:rPr>
        <w:t xml:space="preserve">. </w:t>
      </w:r>
    </w:p>
    <w:p w14:paraId="370F6D9D" w14:textId="77777777" w:rsidR="00E15196" w:rsidRPr="0029166B" w:rsidRDefault="00E15196" w:rsidP="00E15196">
      <w:pPr>
        <w:pStyle w:val="ListParagraph"/>
        <w:numPr>
          <w:ilvl w:val="1"/>
          <w:numId w:val="3"/>
        </w:numPr>
        <w:rPr>
          <w:b/>
          <w:sz w:val="20"/>
        </w:rPr>
      </w:pPr>
      <w:r w:rsidRPr="0029166B">
        <w:rPr>
          <w:b/>
          <w:sz w:val="20"/>
        </w:rPr>
        <w:t>Workplace Bullying</w:t>
      </w:r>
    </w:p>
    <w:p w14:paraId="65ECE1BF" w14:textId="77777777" w:rsidR="00E15196" w:rsidRPr="0029166B" w:rsidRDefault="00E15196" w:rsidP="00E15196">
      <w:pPr>
        <w:ind w:left="1134"/>
        <w:rPr>
          <w:sz w:val="20"/>
        </w:rPr>
      </w:pPr>
      <w:r w:rsidRPr="0029166B">
        <w:rPr>
          <w:sz w:val="20"/>
        </w:rPr>
        <w:t xml:space="preserve">As outlined in the </w:t>
      </w:r>
      <w:hyperlink r:id="rId37" w:history="1">
        <w:r w:rsidRPr="002C5834">
          <w:rPr>
            <w:rStyle w:val="Hyperlink"/>
            <w:rFonts w:eastAsiaTheme="majorEastAsia"/>
            <w:sz w:val="20"/>
          </w:rPr>
          <w:t>Fair Work Act 2009</w:t>
        </w:r>
      </w:hyperlink>
      <w:r w:rsidRPr="0029166B">
        <w:rPr>
          <w:sz w:val="20"/>
        </w:rPr>
        <w:t xml:space="preserve">, a worker is bullied at work when an individual, or group of individuals repeatedly behaves unreasonably towards the worker, or a group of workers and the behaviour creates a risk to health and safety.  </w:t>
      </w:r>
    </w:p>
    <w:p w14:paraId="4B9D41B0" w14:textId="77777777" w:rsidR="00E15196" w:rsidRDefault="00E15196" w:rsidP="00E15196">
      <w:pPr>
        <w:ind w:left="1134"/>
        <w:rPr>
          <w:sz w:val="20"/>
        </w:rPr>
      </w:pPr>
      <w:r>
        <w:rPr>
          <w:sz w:val="20"/>
        </w:rPr>
        <w:t xml:space="preserve">Examples of bullying are excluding a person from work related events; behaving aggressively towards others; and placing unreasonable work demands on a staff member or group of staff. </w:t>
      </w:r>
      <w:r w:rsidRPr="0029166B">
        <w:rPr>
          <w:sz w:val="20"/>
        </w:rPr>
        <w:t xml:space="preserve">Workplace bullying can be carried out in a variety of ways including through verbal or physical abuse, through email, text messages, internet chat rooms, instant messaging or other social media channels. </w:t>
      </w:r>
    </w:p>
    <w:p w14:paraId="6AEDECF4" w14:textId="77777777" w:rsidR="00E15196" w:rsidRPr="0029166B" w:rsidRDefault="00E15196" w:rsidP="00E15196">
      <w:pPr>
        <w:ind w:left="1134"/>
        <w:rPr>
          <w:sz w:val="20"/>
        </w:rPr>
      </w:pPr>
      <w:r w:rsidRPr="0029166B">
        <w:rPr>
          <w:sz w:val="20"/>
        </w:rPr>
        <w:t xml:space="preserve">In some cases workplace bullying can continue outside of the workplace.  Workplace bullying can also be directed at or perpetrated by other people at the workplace such as clients, patients, students, customers and members of the public </w:t>
      </w:r>
      <w:r w:rsidRPr="002C5834">
        <w:rPr>
          <w:sz w:val="20"/>
        </w:rPr>
        <w:t>(</w:t>
      </w:r>
      <w:hyperlink r:id="rId38" w:history="1">
        <w:r w:rsidRPr="002C5834">
          <w:rPr>
            <w:rStyle w:val="Hyperlink"/>
            <w:rFonts w:eastAsiaTheme="majorEastAsia"/>
            <w:sz w:val="20"/>
          </w:rPr>
          <w:t>Safe Work Australia, Guide for Preventing and Responding to Workplace Bullying</w:t>
        </w:r>
      </w:hyperlink>
      <w:r>
        <w:rPr>
          <w:sz w:val="20"/>
        </w:rPr>
        <w:t>, 2016</w:t>
      </w:r>
      <w:r w:rsidRPr="002C5834">
        <w:rPr>
          <w:sz w:val="20"/>
        </w:rPr>
        <w:t>)</w:t>
      </w:r>
      <w:r>
        <w:rPr>
          <w:sz w:val="20"/>
        </w:rPr>
        <w:t>.</w:t>
      </w:r>
    </w:p>
    <w:p w14:paraId="44A83BAF" w14:textId="77777777" w:rsidR="00E15196" w:rsidRPr="0029166B" w:rsidRDefault="00E15196" w:rsidP="00E15196">
      <w:pPr>
        <w:pStyle w:val="ListParagraph"/>
        <w:numPr>
          <w:ilvl w:val="1"/>
          <w:numId w:val="3"/>
        </w:numPr>
        <w:rPr>
          <w:b/>
          <w:sz w:val="20"/>
        </w:rPr>
      </w:pPr>
      <w:r w:rsidRPr="0029166B">
        <w:rPr>
          <w:b/>
          <w:sz w:val="20"/>
        </w:rPr>
        <w:t>Attributes</w:t>
      </w:r>
    </w:p>
    <w:p w14:paraId="050689E9" w14:textId="77777777" w:rsidR="00E15196" w:rsidRDefault="00E15196" w:rsidP="00E15196">
      <w:pPr>
        <w:pStyle w:val="ListParagraph"/>
        <w:ind w:left="1134"/>
        <w:rPr>
          <w:sz w:val="20"/>
        </w:rPr>
      </w:pPr>
      <w:r>
        <w:rPr>
          <w:sz w:val="20"/>
        </w:rPr>
        <w:t>Under State and Federal laws, t</w:t>
      </w:r>
      <w:r w:rsidRPr="0029166B">
        <w:rPr>
          <w:sz w:val="20"/>
        </w:rPr>
        <w:t>here are a range of attributes</w:t>
      </w:r>
      <w:r>
        <w:rPr>
          <w:sz w:val="20"/>
        </w:rPr>
        <w:t xml:space="preserve"> and grounds</w:t>
      </w:r>
      <w:r w:rsidRPr="0029166B">
        <w:rPr>
          <w:sz w:val="20"/>
        </w:rPr>
        <w:t xml:space="preserve"> for which it is unlawful to discriminate </w:t>
      </w:r>
      <w:r>
        <w:rPr>
          <w:sz w:val="20"/>
        </w:rPr>
        <w:t xml:space="preserve">against </w:t>
      </w:r>
      <w:r w:rsidRPr="0029166B">
        <w:rPr>
          <w:sz w:val="20"/>
        </w:rPr>
        <w:t>another person. These</w:t>
      </w:r>
      <w:r w:rsidRPr="0029166B">
        <w:rPr>
          <w:b/>
          <w:sz w:val="20"/>
        </w:rPr>
        <w:t xml:space="preserve"> </w:t>
      </w:r>
      <w:r w:rsidRPr="0029166B">
        <w:rPr>
          <w:sz w:val="20"/>
        </w:rPr>
        <w:t>include:</w:t>
      </w:r>
    </w:p>
    <w:tbl>
      <w:tblPr>
        <w:tblStyle w:val="TableGrid"/>
        <w:tblW w:w="0" w:type="auto"/>
        <w:tblInd w:w="1134" w:type="dxa"/>
        <w:tblBorders>
          <w:insideH w:val="none" w:sz="0" w:space="0" w:color="auto"/>
          <w:insideV w:val="none" w:sz="0" w:space="0" w:color="auto"/>
        </w:tblBorders>
        <w:tblLook w:val="04A0" w:firstRow="1" w:lastRow="0" w:firstColumn="1" w:lastColumn="0" w:noHBand="0" w:noVBand="1"/>
      </w:tblPr>
      <w:tblGrid>
        <w:gridCol w:w="3681"/>
        <w:gridCol w:w="4700"/>
      </w:tblGrid>
      <w:tr w:rsidR="00E15196" w14:paraId="6273F79A" w14:textId="77777777" w:rsidTr="00651A1B">
        <w:tc>
          <w:tcPr>
            <w:tcW w:w="3681" w:type="dxa"/>
          </w:tcPr>
          <w:p w14:paraId="66E5613F" w14:textId="77777777" w:rsidR="00E15196" w:rsidRPr="00AC01D2" w:rsidRDefault="00E15196" w:rsidP="00E15196">
            <w:pPr>
              <w:pStyle w:val="ListParagraph"/>
              <w:numPr>
                <w:ilvl w:val="0"/>
                <w:numId w:val="6"/>
              </w:numPr>
              <w:tabs>
                <w:tab w:val="clear" w:pos="570"/>
                <w:tab w:val="num" w:pos="315"/>
              </w:tabs>
              <w:ind w:left="315" w:hanging="315"/>
            </w:pPr>
            <w:r w:rsidRPr="00AC01D2">
              <w:t>age;</w:t>
            </w:r>
          </w:p>
          <w:p w14:paraId="08D0912C" w14:textId="77777777" w:rsidR="00E15196" w:rsidRDefault="00E15196" w:rsidP="00E15196">
            <w:pPr>
              <w:pStyle w:val="ListParagraph"/>
              <w:numPr>
                <w:ilvl w:val="0"/>
                <w:numId w:val="6"/>
              </w:numPr>
              <w:tabs>
                <w:tab w:val="clear" w:pos="570"/>
                <w:tab w:val="num" w:pos="315"/>
              </w:tabs>
              <w:ind w:left="315" w:hanging="315"/>
            </w:pPr>
            <w:r w:rsidRPr="00AC01D2">
              <w:t>breastfeeding;</w:t>
            </w:r>
          </w:p>
          <w:p w14:paraId="445DEBF2" w14:textId="77777777" w:rsidR="00E15196" w:rsidRPr="00AC01D2" w:rsidRDefault="00E15196" w:rsidP="00E15196">
            <w:pPr>
              <w:pStyle w:val="ListParagraph"/>
              <w:numPr>
                <w:ilvl w:val="0"/>
                <w:numId w:val="6"/>
              </w:numPr>
              <w:tabs>
                <w:tab w:val="clear" w:pos="570"/>
                <w:tab w:val="num" w:pos="315"/>
              </w:tabs>
              <w:ind w:left="315" w:hanging="315"/>
            </w:pPr>
            <w:r>
              <w:t>criminal record;</w:t>
            </w:r>
          </w:p>
          <w:p w14:paraId="62318E22" w14:textId="77777777" w:rsidR="00E15196" w:rsidRDefault="00E15196" w:rsidP="00E15196">
            <w:pPr>
              <w:pStyle w:val="ListParagraph"/>
              <w:numPr>
                <w:ilvl w:val="0"/>
                <w:numId w:val="6"/>
              </w:numPr>
              <w:tabs>
                <w:tab w:val="clear" w:pos="570"/>
                <w:tab w:val="num" w:pos="315"/>
              </w:tabs>
              <w:ind w:left="315" w:hanging="315"/>
            </w:pPr>
            <w:r w:rsidRPr="00AC01D2">
              <w:t>family responsibilities;</w:t>
            </w:r>
          </w:p>
          <w:p w14:paraId="2226ABC9" w14:textId="77777777" w:rsidR="00E15196" w:rsidRDefault="00E15196" w:rsidP="00E15196">
            <w:pPr>
              <w:pStyle w:val="ListParagraph"/>
              <w:numPr>
                <w:ilvl w:val="0"/>
                <w:numId w:val="6"/>
              </w:numPr>
              <w:tabs>
                <w:tab w:val="clear" w:pos="570"/>
                <w:tab w:val="num" w:pos="315"/>
              </w:tabs>
              <w:ind w:left="315" w:hanging="315"/>
            </w:pPr>
            <w:r w:rsidRPr="00AC01D2">
              <w:t>gender identity;</w:t>
            </w:r>
          </w:p>
          <w:p w14:paraId="4098F40B" w14:textId="77777777" w:rsidR="00E15196" w:rsidRPr="00AC01D2" w:rsidRDefault="00E15196" w:rsidP="00E15196">
            <w:pPr>
              <w:pStyle w:val="ListParagraph"/>
              <w:numPr>
                <w:ilvl w:val="0"/>
                <w:numId w:val="6"/>
              </w:numPr>
              <w:tabs>
                <w:tab w:val="clear" w:pos="570"/>
                <w:tab w:val="num" w:pos="315"/>
              </w:tabs>
              <w:ind w:left="315" w:hanging="315"/>
            </w:pPr>
            <w:r>
              <w:t>impairment, mental, intellectual, psychiatric and physical disability;</w:t>
            </w:r>
          </w:p>
          <w:p w14:paraId="46D72269" w14:textId="77777777" w:rsidR="00E15196" w:rsidRPr="00AC01D2" w:rsidRDefault="00E15196" w:rsidP="00E15196">
            <w:pPr>
              <w:pStyle w:val="ListParagraph"/>
              <w:numPr>
                <w:ilvl w:val="0"/>
                <w:numId w:val="6"/>
              </w:numPr>
              <w:tabs>
                <w:tab w:val="clear" w:pos="570"/>
                <w:tab w:val="num" w:pos="315"/>
              </w:tabs>
              <w:ind w:left="315" w:hanging="315"/>
            </w:pPr>
            <w:r w:rsidRPr="00AC01D2">
              <w:t>lawful sexual activity;</w:t>
            </w:r>
          </w:p>
          <w:p w14:paraId="464FFCDF" w14:textId="77777777" w:rsidR="00E15196" w:rsidRPr="00AC01D2" w:rsidRDefault="00E15196" w:rsidP="00E15196">
            <w:pPr>
              <w:pStyle w:val="ListParagraph"/>
              <w:numPr>
                <w:ilvl w:val="0"/>
                <w:numId w:val="6"/>
              </w:numPr>
              <w:tabs>
                <w:tab w:val="clear" w:pos="570"/>
                <w:tab w:val="num" w:pos="315"/>
              </w:tabs>
              <w:ind w:left="315" w:hanging="315"/>
            </w:pPr>
            <w:r>
              <w:t>marital status;</w:t>
            </w:r>
          </w:p>
          <w:p w14:paraId="05A4D1FB" w14:textId="77777777" w:rsidR="00E15196" w:rsidRDefault="00E15196" w:rsidP="00E15196">
            <w:pPr>
              <w:pStyle w:val="ListParagraph"/>
              <w:numPr>
                <w:ilvl w:val="0"/>
                <w:numId w:val="6"/>
              </w:numPr>
              <w:tabs>
                <w:tab w:val="clear" w:pos="570"/>
                <w:tab w:val="num" w:pos="315"/>
              </w:tabs>
              <w:ind w:left="315" w:hanging="315"/>
            </w:pPr>
            <w:r>
              <w:t>medical record;</w:t>
            </w:r>
          </w:p>
          <w:p w14:paraId="1F182AEE" w14:textId="77777777" w:rsidR="00E15196" w:rsidRPr="00A734A2" w:rsidRDefault="00E15196" w:rsidP="00E15196">
            <w:pPr>
              <w:pStyle w:val="ListParagraph"/>
              <w:numPr>
                <w:ilvl w:val="0"/>
                <w:numId w:val="6"/>
              </w:numPr>
              <w:tabs>
                <w:tab w:val="clear" w:pos="570"/>
                <w:tab w:val="num" w:pos="315"/>
              </w:tabs>
              <w:ind w:left="315" w:hanging="315"/>
            </w:pPr>
            <w:r w:rsidRPr="00AC01D2">
              <w:t>pregnancy;</w:t>
            </w:r>
          </w:p>
        </w:tc>
        <w:tc>
          <w:tcPr>
            <w:tcW w:w="4700" w:type="dxa"/>
          </w:tcPr>
          <w:p w14:paraId="7D33AE65" w14:textId="77777777" w:rsidR="00E15196" w:rsidRDefault="00E15196" w:rsidP="00E15196">
            <w:pPr>
              <w:pStyle w:val="ListParagraph"/>
              <w:numPr>
                <w:ilvl w:val="0"/>
                <w:numId w:val="6"/>
              </w:numPr>
              <w:tabs>
                <w:tab w:val="clear" w:pos="570"/>
                <w:tab w:val="num" w:pos="314"/>
              </w:tabs>
              <w:ind w:left="314" w:hanging="314"/>
            </w:pPr>
            <w:r w:rsidRPr="00AC01D2">
              <w:t>parental status;</w:t>
            </w:r>
          </w:p>
          <w:p w14:paraId="42B652E6" w14:textId="77777777" w:rsidR="00E15196" w:rsidRDefault="00E15196" w:rsidP="00E15196">
            <w:pPr>
              <w:pStyle w:val="ListParagraph"/>
              <w:numPr>
                <w:ilvl w:val="0"/>
                <w:numId w:val="6"/>
              </w:numPr>
              <w:tabs>
                <w:tab w:val="clear" w:pos="570"/>
                <w:tab w:val="num" w:pos="314"/>
              </w:tabs>
              <w:ind w:left="314" w:hanging="314"/>
            </w:pPr>
            <w:r w:rsidRPr="00AC01D2">
              <w:t xml:space="preserve">political </w:t>
            </w:r>
            <w:r>
              <w:t xml:space="preserve">opinion, </w:t>
            </w:r>
            <w:r w:rsidRPr="00AC01D2">
              <w:t>belief or activity;</w:t>
            </w:r>
          </w:p>
          <w:p w14:paraId="67972548" w14:textId="77777777" w:rsidR="00E15196" w:rsidRPr="00AC01D2" w:rsidRDefault="00E15196" w:rsidP="00E15196">
            <w:pPr>
              <w:pStyle w:val="ListParagraph"/>
              <w:numPr>
                <w:ilvl w:val="0"/>
                <w:numId w:val="6"/>
              </w:numPr>
              <w:tabs>
                <w:tab w:val="clear" w:pos="570"/>
                <w:tab w:val="num" w:pos="314"/>
              </w:tabs>
              <w:ind w:left="314" w:hanging="314"/>
            </w:pPr>
            <w:r>
              <w:t>race, colour, nationality or national extraction;</w:t>
            </w:r>
          </w:p>
          <w:p w14:paraId="2C7E324B" w14:textId="77777777" w:rsidR="00E15196" w:rsidRPr="00AC01D2" w:rsidRDefault="00E15196" w:rsidP="00E15196">
            <w:pPr>
              <w:pStyle w:val="ListParagraph"/>
              <w:numPr>
                <w:ilvl w:val="0"/>
                <w:numId w:val="6"/>
              </w:numPr>
              <w:tabs>
                <w:tab w:val="clear" w:pos="570"/>
                <w:tab w:val="num" w:pos="314"/>
              </w:tabs>
              <w:ind w:left="314" w:hanging="314"/>
            </w:pPr>
            <w:r w:rsidRPr="00AC01D2">
              <w:t>relationship status;</w:t>
            </w:r>
          </w:p>
          <w:p w14:paraId="005C39BF" w14:textId="77777777" w:rsidR="00E15196" w:rsidRDefault="00E15196" w:rsidP="00E15196">
            <w:pPr>
              <w:pStyle w:val="ListParagraph"/>
              <w:numPr>
                <w:ilvl w:val="0"/>
                <w:numId w:val="6"/>
              </w:numPr>
              <w:tabs>
                <w:tab w:val="clear" w:pos="570"/>
                <w:tab w:val="num" w:pos="314"/>
              </w:tabs>
              <w:ind w:left="314" w:hanging="314"/>
            </w:pPr>
            <w:r>
              <w:t>religion, r</w:t>
            </w:r>
            <w:r w:rsidRPr="00AC01D2">
              <w:t>eligious belief or religious activity;</w:t>
            </w:r>
          </w:p>
          <w:p w14:paraId="6D200756" w14:textId="77777777" w:rsidR="00E15196" w:rsidRPr="00AC01D2" w:rsidRDefault="00E15196" w:rsidP="00E15196">
            <w:pPr>
              <w:pStyle w:val="ListParagraph"/>
              <w:numPr>
                <w:ilvl w:val="0"/>
                <w:numId w:val="6"/>
              </w:numPr>
              <w:tabs>
                <w:tab w:val="clear" w:pos="570"/>
                <w:tab w:val="num" w:pos="314"/>
              </w:tabs>
              <w:ind w:left="314" w:hanging="314"/>
            </w:pPr>
            <w:r w:rsidRPr="00AC01D2">
              <w:t>sex;</w:t>
            </w:r>
          </w:p>
          <w:p w14:paraId="00C65BDE" w14:textId="77777777" w:rsidR="00E15196" w:rsidRDefault="00E15196" w:rsidP="00E15196">
            <w:pPr>
              <w:pStyle w:val="ListParagraph"/>
              <w:numPr>
                <w:ilvl w:val="0"/>
                <w:numId w:val="6"/>
              </w:numPr>
              <w:tabs>
                <w:tab w:val="clear" w:pos="570"/>
                <w:tab w:val="num" w:pos="314"/>
              </w:tabs>
              <w:ind w:left="314" w:hanging="314"/>
            </w:pPr>
            <w:r w:rsidRPr="00AC01D2">
              <w:t>sexuality</w:t>
            </w:r>
            <w:r>
              <w:t xml:space="preserve"> or sexual orientation</w:t>
            </w:r>
            <w:r w:rsidRPr="00AC01D2">
              <w:t>;</w:t>
            </w:r>
          </w:p>
          <w:p w14:paraId="54BF0B9E" w14:textId="77777777" w:rsidR="00E15196" w:rsidRPr="00AC01D2" w:rsidRDefault="00E15196" w:rsidP="00E15196">
            <w:pPr>
              <w:pStyle w:val="ListParagraph"/>
              <w:numPr>
                <w:ilvl w:val="0"/>
                <w:numId w:val="6"/>
              </w:numPr>
              <w:tabs>
                <w:tab w:val="clear" w:pos="570"/>
                <w:tab w:val="num" w:pos="314"/>
              </w:tabs>
              <w:ind w:left="314" w:hanging="314"/>
            </w:pPr>
            <w:r>
              <w:t>social origin;</w:t>
            </w:r>
          </w:p>
          <w:p w14:paraId="402DA08A" w14:textId="77777777" w:rsidR="00E15196" w:rsidRPr="00AC01D2" w:rsidRDefault="00E15196" w:rsidP="00E15196">
            <w:pPr>
              <w:pStyle w:val="ListParagraph"/>
              <w:numPr>
                <w:ilvl w:val="0"/>
                <w:numId w:val="6"/>
              </w:numPr>
              <w:tabs>
                <w:tab w:val="clear" w:pos="570"/>
                <w:tab w:val="num" w:pos="314"/>
              </w:tabs>
              <w:ind w:left="314" w:hanging="314"/>
            </w:pPr>
            <w:r w:rsidRPr="00AC01D2">
              <w:t>trade union activity;</w:t>
            </w:r>
          </w:p>
          <w:p w14:paraId="3174A1E7" w14:textId="77777777" w:rsidR="00E15196" w:rsidRDefault="00E15196" w:rsidP="00E15196">
            <w:pPr>
              <w:pStyle w:val="ListParagraph"/>
              <w:numPr>
                <w:ilvl w:val="0"/>
                <w:numId w:val="6"/>
              </w:numPr>
              <w:tabs>
                <w:tab w:val="clear" w:pos="570"/>
                <w:tab w:val="num" w:pos="314"/>
              </w:tabs>
              <w:ind w:left="314" w:hanging="314"/>
            </w:pPr>
            <w:r>
              <w:t xml:space="preserve">imputation of, </w:t>
            </w:r>
            <w:r w:rsidRPr="0029166B">
              <w:t>association with, or relation to a person identified on the basis of any of the above attributes.</w:t>
            </w:r>
          </w:p>
        </w:tc>
      </w:tr>
    </w:tbl>
    <w:p w14:paraId="15EEC33D" w14:textId="77777777" w:rsidR="00E15196" w:rsidRPr="0029166B" w:rsidRDefault="00E15196" w:rsidP="00E15196">
      <w:pPr>
        <w:pStyle w:val="ListParagraph"/>
        <w:ind w:left="1134"/>
        <w:rPr>
          <w:sz w:val="20"/>
        </w:rPr>
      </w:pPr>
    </w:p>
    <w:p w14:paraId="03C4AB0B" w14:textId="77777777" w:rsidR="00E15196" w:rsidRDefault="00E15196" w:rsidP="00E15196">
      <w:pPr>
        <w:pStyle w:val="ListParagraph"/>
        <w:numPr>
          <w:ilvl w:val="1"/>
          <w:numId w:val="3"/>
        </w:numPr>
        <w:rPr>
          <w:b/>
          <w:sz w:val="20"/>
        </w:rPr>
      </w:pPr>
      <w:r>
        <w:rPr>
          <w:b/>
          <w:sz w:val="20"/>
        </w:rPr>
        <w:t>Vilification</w:t>
      </w:r>
    </w:p>
    <w:p w14:paraId="2AE27B19" w14:textId="77777777" w:rsidR="00E15196" w:rsidRDefault="00E15196" w:rsidP="00E15196">
      <w:pPr>
        <w:pStyle w:val="ListParagraph"/>
        <w:ind w:left="1146"/>
        <w:rPr>
          <w:sz w:val="20"/>
        </w:rPr>
      </w:pPr>
      <w:r w:rsidRPr="00A63F3E">
        <w:rPr>
          <w:rFonts w:cs="Arial"/>
          <w:sz w:val="20"/>
        </w:rPr>
        <w:t>Unlawful vilification is a public act which is capable of inciting hatred, serious content for, or severe ridicule of a person or group of persons</w:t>
      </w:r>
      <w:r w:rsidRPr="00A63F3E">
        <w:rPr>
          <w:rFonts w:cs="Arial"/>
          <w:i/>
          <w:sz w:val="20"/>
        </w:rPr>
        <w:t xml:space="preserve"> </w:t>
      </w:r>
      <w:r w:rsidRPr="00A63F3E">
        <w:rPr>
          <w:rStyle w:val="HTMLCite"/>
          <w:rFonts w:cs="Arial"/>
          <w:sz w:val="19"/>
          <w:szCs w:val="19"/>
          <w:shd w:val="clear" w:color="auto" w:fill="FFFFFF"/>
        </w:rPr>
        <w:t xml:space="preserve">on the grounds of race, religion, sexuality or gender </w:t>
      </w:r>
      <w:r w:rsidRPr="00A63F3E">
        <w:rPr>
          <w:rStyle w:val="HTMLCite"/>
          <w:rFonts w:cs="Arial"/>
          <w:sz w:val="19"/>
          <w:szCs w:val="19"/>
          <w:shd w:val="clear" w:color="auto" w:fill="FFFFFF"/>
        </w:rPr>
        <w:lastRenderedPageBreak/>
        <w:t>identity.</w:t>
      </w:r>
      <w:r>
        <w:rPr>
          <w:rStyle w:val="HTMLCite"/>
          <w:rFonts w:cs="Arial"/>
          <w:sz w:val="19"/>
          <w:szCs w:val="19"/>
          <w:shd w:val="clear" w:color="auto" w:fill="FFFFFF"/>
        </w:rPr>
        <w:t xml:space="preserve"> </w:t>
      </w:r>
      <w:r>
        <w:rPr>
          <w:sz w:val="20"/>
        </w:rPr>
        <w:t xml:space="preserve"> Examples of vilification are racist or antireligious artworks or expressions painted on buildings; and calling out or broadcasting racist, homophobic or transphobic remarks and inviting others to do the same.  </w:t>
      </w:r>
    </w:p>
    <w:p w14:paraId="4D99271A" w14:textId="77777777" w:rsidR="00E15196" w:rsidRPr="00A63F3E" w:rsidRDefault="00E15196" w:rsidP="00E15196">
      <w:pPr>
        <w:pStyle w:val="ListParagraph"/>
        <w:ind w:left="1146"/>
        <w:rPr>
          <w:sz w:val="20"/>
        </w:rPr>
      </w:pPr>
      <w:r>
        <w:rPr>
          <w:sz w:val="20"/>
        </w:rPr>
        <w:t xml:space="preserve">As outlined in the </w:t>
      </w:r>
      <w:hyperlink r:id="rId39" w:history="1">
        <w:r w:rsidRPr="00A63F3E">
          <w:rPr>
            <w:rStyle w:val="Hyperlink"/>
            <w:rFonts w:eastAsiaTheme="majorEastAsia" w:cs="Arial"/>
            <w:sz w:val="19"/>
            <w:szCs w:val="19"/>
            <w:shd w:val="clear" w:color="auto" w:fill="FFFFFF"/>
          </w:rPr>
          <w:t>Queensland Anti-Discrimination Act 1991</w:t>
        </w:r>
      </w:hyperlink>
      <w:r>
        <w:rPr>
          <w:sz w:val="20"/>
        </w:rPr>
        <w:t xml:space="preserve"> there are some exceptions which ensure the right of freedom of speech is not unduly restricted, including, but not limited to</w:t>
      </w:r>
      <w:r w:rsidRPr="0046238B">
        <w:rPr>
          <w:sz w:val="20"/>
        </w:rPr>
        <w:t xml:space="preserve">, </w:t>
      </w:r>
      <w:r w:rsidRPr="0046238B">
        <w:rPr>
          <w:rFonts w:cs="Arial"/>
          <w:sz w:val="19"/>
          <w:szCs w:val="19"/>
          <w:shd w:val="clear" w:color="auto" w:fill="FFFFFF"/>
        </w:rPr>
        <w:t>a public act done reasonably and in good faith for purposes in the public interest, including discussion and debate or for academic, artistic, scientific, or research purposes.</w:t>
      </w:r>
      <w:r w:rsidRPr="0046238B">
        <w:rPr>
          <w:sz w:val="20"/>
        </w:rPr>
        <w:t xml:space="preserve"> </w:t>
      </w:r>
    </w:p>
    <w:p w14:paraId="077DF30E" w14:textId="77777777" w:rsidR="00E15196" w:rsidRPr="0029166B" w:rsidRDefault="00E15196" w:rsidP="00E15196">
      <w:pPr>
        <w:pStyle w:val="ListParagraph"/>
        <w:numPr>
          <w:ilvl w:val="1"/>
          <w:numId w:val="3"/>
        </w:numPr>
        <w:rPr>
          <w:b/>
          <w:sz w:val="20"/>
        </w:rPr>
      </w:pPr>
      <w:r w:rsidRPr="0029166B">
        <w:rPr>
          <w:b/>
          <w:sz w:val="20"/>
        </w:rPr>
        <w:t>What is not workplace bullying or harassment</w:t>
      </w:r>
    </w:p>
    <w:p w14:paraId="05E21510" w14:textId="77777777" w:rsidR="00E15196" w:rsidRDefault="00E15196" w:rsidP="00E15196">
      <w:pPr>
        <w:ind w:left="1134"/>
        <w:rPr>
          <w:sz w:val="20"/>
        </w:rPr>
      </w:pPr>
      <w:r w:rsidRPr="003D2EB0">
        <w:rPr>
          <w:sz w:val="20"/>
        </w:rPr>
        <w:t>Reasonable management action taken by managers or supervisors to direct and control the way work is carried out is not workplace bullying if the action is carried out in a lawful and reasonable way, taking the particular circumstances into account.</w:t>
      </w:r>
    </w:p>
    <w:p w14:paraId="4D4ECA66" w14:textId="77777777" w:rsidR="00E15196" w:rsidRDefault="00E15196" w:rsidP="00E15196">
      <w:pPr>
        <w:ind w:left="1134"/>
        <w:rPr>
          <w:sz w:val="20"/>
        </w:rPr>
      </w:pPr>
      <w:r w:rsidRPr="00567901">
        <w:rPr>
          <w:sz w:val="20"/>
        </w:rPr>
        <w:t xml:space="preserve">Except in the case of sexual harassment, a single incident of unreasonable or harassing behaviour does not, of itself, constitute workplace </w:t>
      </w:r>
      <w:r>
        <w:rPr>
          <w:sz w:val="20"/>
        </w:rPr>
        <w:t>harassment or b</w:t>
      </w:r>
      <w:r w:rsidRPr="00567901">
        <w:rPr>
          <w:sz w:val="20"/>
        </w:rPr>
        <w:t xml:space="preserve">ullying. </w:t>
      </w:r>
    </w:p>
    <w:p w14:paraId="62B77EBF" w14:textId="77777777" w:rsidR="00E15196" w:rsidRPr="00CC7365" w:rsidRDefault="00E15196" w:rsidP="00E15196">
      <w:pPr>
        <w:ind w:left="1134"/>
        <w:rPr>
          <w:sz w:val="20"/>
        </w:rPr>
      </w:pPr>
      <w:r w:rsidRPr="00567901">
        <w:rPr>
          <w:sz w:val="20"/>
        </w:rPr>
        <w:t>Ne</w:t>
      </w:r>
      <w:r>
        <w:rPr>
          <w:sz w:val="20"/>
        </w:rPr>
        <w:t>ver</w:t>
      </w:r>
      <w:r w:rsidRPr="00567901">
        <w:rPr>
          <w:sz w:val="20"/>
        </w:rPr>
        <w:t xml:space="preserve">theless, such behaviour is unacceptable at the University and may be in breach of the </w:t>
      </w:r>
      <w:hyperlink r:id="rId40" w:history="1">
        <w:r w:rsidRPr="003D2EB0">
          <w:rPr>
            <w:rStyle w:val="Hyperlink"/>
            <w:rFonts w:eastAsiaTheme="majorEastAsia"/>
            <w:sz w:val="20"/>
          </w:rPr>
          <w:t>Code of Conduct</w:t>
        </w:r>
      </w:hyperlink>
      <w:r>
        <w:rPr>
          <w:sz w:val="20"/>
        </w:rPr>
        <w:t xml:space="preserve"> or other University policies</w:t>
      </w:r>
      <w:r w:rsidRPr="00567901">
        <w:rPr>
          <w:sz w:val="20"/>
        </w:rPr>
        <w:t xml:space="preserve"> and lead to disciplinary procedures.</w:t>
      </w:r>
      <w:r>
        <w:rPr>
          <w:rFonts w:cs="Arial"/>
          <w:sz w:val="20"/>
        </w:rPr>
        <w:t xml:space="preserve">  </w:t>
      </w:r>
    </w:p>
    <w:p w14:paraId="34866178" w14:textId="77777777" w:rsidR="00E15196" w:rsidRDefault="00E15196" w:rsidP="00E15196">
      <w:pPr>
        <w:pStyle w:val="ListParagraph"/>
        <w:numPr>
          <w:ilvl w:val="1"/>
          <w:numId w:val="3"/>
        </w:numPr>
        <w:rPr>
          <w:b/>
          <w:sz w:val="20"/>
        </w:rPr>
      </w:pPr>
      <w:r>
        <w:rPr>
          <w:b/>
          <w:sz w:val="20"/>
        </w:rPr>
        <w:t>Adverse Action</w:t>
      </w:r>
    </w:p>
    <w:p w14:paraId="22560AA4" w14:textId="77777777" w:rsidR="00E15196" w:rsidRDefault="00E15196" w:rsidP="00E15196">
      <w:pPr>
        <w:pStyle w:val="ListParagraph"/>
        <w:ind w:left="1146"/>
        <w:rPr>
          <w:b/>
          <w:sz w:val="20"/>
        </w:rPr>
      </w:pPr>
      <w:r>
        <w:rPr>
          <w:sz w:val="20"/>
        </w:rPr>
        <w:t>Ad</w:t>
      </w:r>
      <w:r w:rsidRPr="0029166B">
        <w:rPr>
          <w:sz w:val="20"/>
        </w:rPr>
        <w:t xml:space="preserve">verse action can include action that is unlawful if it is taken for a discriminatory reason. The </w:t>
      </w:r>
      <w:hyperlink r:id="rId41" w:anchor="_Toc494463729" w:history="1">
        <w:r w:rsidRPr="0029166B">
          <w:rPr>
            <w:rStyle w:val="Hyperlink"/>
            <w:rFonts w:eastAsiaTheme="majorEastAsia"/>
            <w:sz w:val="20"/>
          </w:rPr>
          <w:t>Fair Work Act 2009</w:t>
        </w:r>
      </w:hyperlink>
      <w:r w:rsidRPr="0029166B">
        <w:rPr>
          <w:sz w:val="20"/>
        </w:rPr>
        <w:t xml:space="preserve"> describes a number of adverse actions</w:t>
      </w:r>
      <w:r w:rsidRPr="0029166B">
        <w:rPr>
          <w:b/>
          <w:sz w:val="20"/>
        </w:rPr>
        <w:t>.</w:t>
      </w:r>
    </w:p>
    <w:p w14:paraId="59E30B72" w14:textId="77777777" w:rsidR="00E15196" w:rsidRPr="0029166B" w:rsidRDefault="00E15196" w:rsidP="00E15196">
      <w:pPr>
        <w:pStyle w:val="ListParagraph"/>
        <w:numPr>
          <w:ilvl w:val="1"/>
          <w:numId w:val="3"/>
        </w:numPr>
        <w:rPr>
          <w:b/>
          <w:sz w:val="20"/>
        </w:rPr>
      </w:pPr>
      <w:r w:rsidRPr="0029166B">
        <w:rPr>
          <w:b/>
          <w:sz w:val="20"/>
        </w:rPr>
        <w:t>Repeated behaviour</w:t>
      </w:r>
    </w:p>
    <w:p w14:paraId="763AF465" w14:textId="77777777" w:rsidR="00E15196" w:rsidRPr="0029166B" w:rsidRDefault="00E15196" w:rsidP="00E15196">
      <w:pPr>
        <w:ind w:left="1134"/>
        <w:rPr>
          <w:sz w:val="20"/>
        </w:rPr>
      </w:pPr>
      <w:r>
        <w:rPr>
          <w:sz w:val="20"/>
        </w:rPr>
        <w:t>R</w:t>
      </w:r>
      <w:r w:rsidRPr="0029166B">
        <w:rPr>
          <w:sz w:val="20"/>
        </w:rPr>
        <w:t>efers to the persistent nature of the behaviour and can involve a range of behaviours over time.</w:t>
      </w:r>
    </w:p>
    <w:p w14:paraId="4EBEBAAE" w14:textId="77777777" w:rsidR="00E15196" w:rsidRPr="0029166B" w:rsidRDefault="00E15196" w:rsidP="00E15196">
      <w:pPr>
        <w:pStyle w:val="ListParagraph"/>
        <w:numPr>
          <w:ilvl w:val="1"/>
          <w:numId w:val="3"/>
        </w:numPr>
        <w:rPr>
          <w:b/>
          <w:sz w:val="20"/>
        </w:rPr>
      </w:pPr>
      <w:r w:rsidRPr="0029166B">
        <w:rPr>
          <w:b/>
          <w:sz w:val="20"/>
        </w:rPr>
        <w:t>Unreasonable behaviour</w:t>
      </w:r>
    </w:p>
    <w:p w14:paraId="060C85F2" w14:textId="77777777" w:rsidR="00E15196" w:rsidRPr="0029166B" w:rsidRDefault="00E15196" w:rsidP="00E15196">
      <w:pPr>
        <w:ind w:left="1134"/>
        <w:rPr>
          <w:sz w:val="20"/>
        </w:rPr>
      </w:pPr>
      <w:r w:rsidRPr="0029166B">
        <w:rPr>
          <w:sz w:val="20"/>
        </w:rPr>
        <w:t>Describes</w:t>
      </w:r>
      <w:r>
        <w:rPr>
          <w:b/>
          <w:sz w:val="20"/>
        </w:rPr>
        <w:t xml:space="preserve"> </w:t>
      </w:r>
      <w:r w:rsidRPr="0029166B">
        <w:rPr>
          <w:sz w:val="20"/>
        </w:rPr>
        <w:t>behaviour that a reasonable person, having considered the circumstances, would see as unreasonable, including behaviour that is victimising, humiliating, intimidating or threatening (</w:t>
      </w:r>
      <w:hyperlink r:id="rId42" w:history="1">
        <w:r w:rsidRPr="00AE28D8">
          <w:rPr>
            <w:rStyle w:val="Hyperlink"/>
            <w:rFonts w:eastAsiaTheme="majorEastAsia"/>
            <w:sz w:val="20"/>
          </w:rPr>
          <w:t>Safe Work Australia, Guide for Preventing and Responding to Workplace Bullying</w:t>
        </w:r>
      </w:hyperlink>
      <w:r w:rsidRPr="00AE28D8">
        <w:rPr>
          <w:sz w:val="20"/>
        </w:rPr>
        <w:t>, 2016</w:t>
      </w:r>
      <w:r w:rsidRPr="0029166B">
        <w:rPr>
          <w:sz w:val="20"/>
        </w:rPr>
        <w:t>)</w:t>
      </w:r>
      <w:r>
        <w:rPr>
          <w:sz w:val="20"/>
        </w:rPr>
        <w:t>.</w:t>
      </w:r>
    </w:p>
    <w:p w14:paraId="297B5B80" w14:textId="77777777" w:rsidR="00E15196" w:rsidRDefault="00E15196" w:rsidP="00E15196">
      <w:pPr>
        <w:pStyle w:val="ListParagraph"/>
        <w:numPr>
          <w:ilvl w:val="1"/>
          <w:numId w:val="3"/>
        </w:numPr>
        <w:rPr>
          <w:b/>
          <w:sz w:val="20"/>
        </w:rPr>
      </w:pPr>
      <w:r>
        <w:rPr>
          <w:b/>
          <w:sz w:val="20"/>
        </w:rPr>
        <w:t>Worker</w:t>
      </w:r>
    </w:p>
    <w:p w14:paraId="7C71F505" w14:textId="77777777" w:rsidR="00E15196" w:rsidRPr="00126914" w:rsidRDefault="00E15196" w:rsidP="00E15196">
      <w:pPr>
        <w:pStyle w:val="ListParagraph"/>
        <w:ind w:left="1146"/>
        <w:rPr>
          <w:sz w:val="20"/>
        </w:rPr>
      </w:pPr>
      <w:r w:rsidRPr="00126914">
        <w:rPr>
          <w:sz w:val="20"/>
        </w:rPr>
        <w:t xml:space="preserve">Under the </w:t>
      </w:r>
      <w:hyperlink r:id="rId43" w:anchor="_Toc494463729" w:history="1">
        <w:r w:rsidRPr="0029166B">
          <w:rPr>
            <w:rStyle w:val="Hyperlink"/>
            <w:rFonts w:eastAsiaTheme="majorEastAsia"/>
            <w:sz w:val="20"/>
          </w:rPr>
          <w:t>Fair Work Act 2009</w:t>
        </w:r>
      </w:hyperlink>
      <w:r w:rsidRPr="00126914">
        <w:rPr>
          <w:sz w:val="20"/>
        </w:rPr>
        <w:t>, a worker is defined as an individual who performs work in any capacity, including as an employee, a contractor, a subcontractor, an outworker, an apprentice, a trainee, a student gaining work experience or a volunteer.</w:t>
      </w:r>
    </w:p>
    <w:p w14:paraId="3AD1B182" w14:textId="77777777" w:rsidR="00E15196" w:rsidRPr="00A62490" w:rsidRDefault="00ED7D04" w:rsidP="00E15196">
      <w:pPr>
        <w:ind w:left="0"/>
        <w:rPr>
          <w:rFonts w:cs="Arial"/>
          <w:sz w:val="20"/>
        </w:rPr>
      </w:pPr>
      <w:r>
        <w:rPr>
          <w:rFonts w:cs="Arial"/>
          <w:sz w:val="20"/>
        </w:rPr>
        <w:pict w14:anchorId="6D383A4B">
          <v:rect id="_x0000_i1027" style="width:476.25pt;height:1pt;mso-position-vertical:absolute" o:hralign="center" o:hrstd="t" o:hrnoshade="t" o:hr="t" fillcolor="#d8d8d8 [2732]" stroked="f"/>
        </w:pict>
      </w:r>
    </w:p>
    <w:p w14:paraId="1993A943" w14:textId="77777777" w:rsidR="00E15196" w:rsidRPr="00B34D13" w:rsidRDefault="00E15196" w:rsidP="00E15196">
      <w:pPr>
        <w:numPr>
          <w:ilvl w:val="0"/>
          <w:numId w:val="3"/>
        </w:numPr>
        <w:spacing w:before="100" w:beforeAutospacing="1" w:after="240"/>
        <w:rPr>
          <w:rFonts w:cs="Arial"/>
          <w:b/>
          <w:caps/>
          <w:sz w:val="24"/>
          <w:szCs w:val="24"/>
        </w:rPr>
      </w:pPr>
      <w:bookmarkStart w:id="5" w:name="application"/>
      <w:bookmarkEnd w:id="5"/>
      <w:r w:rsidRPr="006438E0">
        <w:rPr>
          <w:b/>
          <w:caps/>
          <w:sz w:val="24"/>
          <w:szCs w:val="24"/>
        </w:rPr>
        <w:t>APPLICATION</w:t>
      </w:r>
    </w:p>
    <w:p w14:paraId="50D12B6E" w14:textId="77777777" w:rsidR="00E15196" w:rsidRPr="006438E0" w:rsidRDefault="00E15196" w:rsidP="00E15196">
      <w:pPr>
        <w:jc w:val="left"/>
        <w:rPr>
          <w:rFonts w:cs="Arial"/>
          <w:sz w:val="20"/>
        </w:rPr>
      </w:pPr>
      <w:r w:rsidRPr="00D10217">
        <w:rPr>
          <w:rFonts w:cs="Arial"/>
          <w:sz w:val="20"/>
        </w:rPr>
        <w:t>Unlawful harassment, bullying and discrimination by staff is unacceptable and contrary to the employment policies of the University.  These behaviours can be harmful to the individual, or group of individuals experiencing them, and to those who witness incidents or hear disclosures.</w:t>
      </w:r>
    </w:p>
    <w:p w14:paraId="037C0EBB" w14:textId="77777777" w:rsidR="00E15196" w:rsidRPr="00F6577F" w:rsidRDefault="00E15196" w:rsidP="00E15196">
      <w:pPr>
        <w:jc w:val="left"/>
        <w:rPr>
          <w:rFonts w:cs="Arial"/>
          <w:sz w:val="20"/>
        </w:rPr>
      </w:pPr>
      <w:r w:rsidRPr="006438E0">
        <w:rPr>
          <w:rFonts w:cs="Arial"/>
          <w:sz w:val="20"/>
        </w:rPr>
        <w:t xml:space="preserve">All forms of </w:t>
      </w:r>
      <w:r>
        <w:rPr>
          <w:rFonts w:cs="Arial"/>
          <w:sz w:val="20"/>
        </w:rPr>
        <w:t>h</w:t>
      </w:r>
      <w:r w:rsidRPr="006438E0">
        <w:rPr>
          <w:rFonts w:cs="Arial"/>
          <w:sz w:val="20"/>
        </w:rPr>
        <w:t xml:space="preserve">arassment, </w:t>
      </w:r>
      <w:r>
        <w:rPr>
          <w:rFonts w:cs="Arial"/>
          <w:sz w:val="20"/>
        </w:rPr>
        <w:t>b</w:t>
      </w:r>
      <w:r w:rsidRPr="006438E0">
        <w:rPr>
          <w:rFonts w:cs="Arial"/>
          <w:sz w:val="20"/>
        </w:rPr>
        <w:t xml:space="preserve">ullying and </w:t>
      </w:r>
      <w:r>
        <w:rPr>
          <w:rFonts w:cs="Arial"/>
          <w:sz w:val="20"/>
        </w:rPr>
        <w:t>d</w:t>
      </w:r>
      <w:r w:rsidRPr="006438E0">
        <w:rPr>
          <w:rFonts w:cs="Arial"/>
          <w:sz w:val="20"/>
        </w:rPr>
        <w:t>iscrimination are of concern as the behaviour may</w:t>
      </w:r>
      <w:r w:rsidRPr="000A4EE1">
        <w:rPr>
          <w:rFonts w:cs="Arial"/>
          <w:sz w:val="20"/>
        </w:rPr>
        <w:t>:</w:t>
      </w:r>
      <w:r w:rsidRPr="00F6577F">
        <w:rPr>
          <w:rFonts w:cs="Arial"/>
          <w:sz w:val="20"/>
        </w:rPr>
        <w:t xml:space="preserve"> </w:t>
      </w:r>
    </w:p>
    <w:p w14:paraId="494DC166" w14:textId="77777777" w:rsidR="00E15196" w:rsidRPr="000A4EE1" w:rsidRDefault="00E15196" w:rsidP="00E15196">
      <w:pPr>
        <w:numPr>
          <w:ilvl w:val="0"/>
          <w:numId w:val="5"/>
        </w:numPr>
        <w:jc w:val="left"/>
        <w:rPr>
          <w:rFonts w:cs="Arial"/>
          <w:sz w:val="20"/>
        </w:rPr>
      </w:pPr>
      <w:r w:rsidRPr="000A4EE1">
        <w:rPr>
          <w:rFonts w:cs="Arial"/>
          <w:sz w:val="20"/>
        </w:rPr>
        <w:t xml:space="preserve">create an intimidating hostile, offensive or distressing work or study environment; </w:t>
      </w:r>
    </w:p>
    <w:p w14:paraId="47013900" w14:textId="77777777" w:rsidR="00E15196" w:rsidRDefault="00E15196" w:rsidP="00E15196">
      <w:pPr>
        <w:numPr>
          <w:ilvl w:val="0"/>
          <w:numId w:val="5"/>
        </w:numPr>
        <w:jc w:val="left"/>
        <w:rPr>
          <w:rFonts w:cs="Arial"/>
          <w:sz w:val="20"/>
        </w:rPr>
      </w:pPr>
      <w:r>
        <w:rPr>
          <w:rFonts w:cs="Arial"/>
          <w:sz w:val="20"/>
        </w:rPr>
        <w:t>adversely affect the wellbeing of affected staff or students;</w:t>
      </w:r>
    </w:p>
    <w:p w14:paraId="14F491C4" w14:textId="77777777" w:rsidR="00E15196" w:rsidRPr="000A4EE1" w:rsidRDefault="00E15196" w:rsidP="00E15196">
      <w:pPr>
        <w:numPr>
          <w:ilvl w:val="0"/>
          <w:numId w:val="5"/>
        </w:numPr>
        <w:jc w:val="left"/>
        <w:rPr>
          <w:rFonts w:cs="Arial"/>
          <w:sz w:val="20"/>
        </w:rPr>
      </w:pPr>
      <w:r w:rsidRPr="000A4EE1">
        <w:rPr>
          <w:rFonts w:cs="Arial"/>
          <w:sz w:val="20"/>
        </w:rPr>
        <w:t xml:space="preserve">adversely affect the performance of </w:t>
      </w:r>
      <w:r>
        <w:rPr>
          <w:rFonts w:cs="Arial"/>
          <w:sz w:val="20"/>
        </w:rPr>
        <w:t>affected</w:t>
      </w:r>
      <w:r w:rsidRPr="000A4EE1">
        <w:rPr>
          <w:rFonts w:cs="Arial"/>
          <w:sz w:val="20"/>
        </w:rPr>
        <w:t xml:space="preserve"> staff or students; </w:t>
      </w:r>
    </w:p>
    <w:p w14:paraId="0588BABD" w14:textId="77777777" w:rsidR="00E15196" w:rsidRPr="000A4EE1" w:rsidRDefault="00E15196" w:rsidP="00E15196">
      <w:pPr>
        <w:numPr>
          <w:ilvl w:val="0"/>
          <w:numId w:val="5"/>
        </w:numPr>
        <w:jc w:val="left"/>
        <w:rPr>
          <w:rFonts w:cs="Arial"/>
          <w:sz w:val="20"/>
        </w:rPr>
      </w:pPr>
      <w:r w:rsidRPr="000A4EE1">
        <w:rPr>
          <w:rFonts w:cs="Arial"/>
          <w:sz w:val="20"/>
        </w:rPr>
        <w:t>adversely affect a</w:t>
      </w:r>
      <w:r>
        <w:rPr>
          <w:rFonts w:cs="Arial"/>
          <w:sz w:val="20"/>
        </w:rPr>
        <w:t xml:space="preserve">n individual’s </w:t>
      </w:r>
      <w:r w:rsidRPr="000A4EE1">
        <w:rPr>
          <w:rFonts w:cs="Arial"/>
          <w:sz w:val="20"/>
        </w:rPr>
        <w:t xml:space="preserve">admission into a program or progress within a program; </w:t>
      </w:r>
    </w:p>
    <w:p w14:paraId="6970906B" w14:textId="77777777" w:rsidR="00E15196" w:rsidRPr="000A4EE1" w:rsidRDefault="00E15196" w:rsidP="00E15196">
      <w:pPr>
        <w:numPr>
          <w:ilvl w:val="0"/>
          <w:numId w:val="5"/>
        </w:numPr>
        <w:jc w:val="left"/>
        <w:rPr>
          <w:rFonts w:cs="Arial"/>
          <w:sz w:val="20"/>
        </w:rPr>
      </w:pPr>
      <w:r w:rsidRPr="000A4EE1">
        <w:rPr>
          <w:rFonts w:cs="Arial"/>
          <w:sz w:val="20"/>
        </w:rPr>
        <w:t xml:space="preserve">adversely affect an individual's recruitment, level of appointment, promotion and progress opportunities; </w:t>
      </w:r>
    </w:p>
    <w:p w14:paraId="1E6135B6" w14:textId="77777777" w:rsidR="00E15196" w:rsidRPr="000A4EE1" w:rsidRDefault="00E15196" w:rsidP="00E15196">
      <w:pPr>
        <w:numPr>
          <w:ilvl w:val="0"/>
          <w:numId w:val="5"/>
        </w:numPr>
        <w:jc w:val="left"/>
        <w:rPr>
          <w:rFonts w:cs="Arial"/>
          <w:sz w:val="20"/>
        </w:rPr>
      </w:pPr>
      <w:r w:rsidRPr="000A4EE1">
        <w:rPr>
          <w:rFonts w:cs="Arial"/>
          <w:sz w:val="20"/>
        </w:rPr>
        <w:t xml:space="preserve">adversely affect an individual's access to and participation in the range of </w:t>
      </w:r>
      <w:r>
        <w:rPr>
          <w:rFonts w:cs="Arial"/>
          <w:sz w:val="20"/>
        </w:rPr>
        <w:t xml:space="preserve">workplace and </w:t>
      </w:r>
      <w:r w:rsidRPr="000A4EE1">
        <w:rPr>
          <w:rFonts w:cs="Arial"/>
          <w:sz w:val="20"/>
        </w:rPr>
        <w:t xml:space="preserve">educational opportunities, support services, social and recreational facilities provided by the University; </w:t>
      </w:r>
    </w:p>
    <w:p w14:paraId="12563C9E" w14:textId="77777777" w:rsidR="00E15196" w:rsidRDefault="00E15196" w:rsidP="00E15196">
      <w:pPr>
        <w:numPr>
          <w:ilvl w:val="0"/>
          <w:numId w:val="5"/>
        </w:numPr>
        <w:jc w:val="left"/>
        <w:rPr>
          <w:rFonts w:cs="Arial"/>
          <w:sz w:val="20"/>
        </w:rPr>
      </w:pPr>
      <w:r w:rsidRPr="000A4EE1">
        <w:rPr>
          <w:rFonts w:cs="Arial"/>
          <w:sz w:val="20"/>
        </w:rPr>
        <w:t xml:space="preserve">adversely reflect on the integrity and standing of the University; </w:t>
      </w:r>
    </w:p>
    <w:p w14:paraId="11604767" w14:textId="77777777" w:rsidR="00E15196" w:rsidRPr="000A4EE1" w:rsidRDefault="00E15196" w:rsidP="00E15196">
      <w:pPr>
        <w:numPr>
          <w:ilvl w:val="0"/>
          <w:numId w:val="5"/>
        </w:numPr>
        <w:jc w:val="left"/>
        <w:rPr>
          <w:rFonts w:cs="Arial"/>
          <w:sz w:val="20"/>
        </w:rPr>
      </w:pPr>
      <w:r w:rsidRPr="00D10217">
        <w:rPr>
          <w:rFonts w:cs="Arial"/>
          <w:sz w:val="20"/>
        </w:rPr>
        <w:t>(where reasonable steps have not been implemented) cause the University to be found vicariously liable for the actions of the perpetrator and/or the manager or supervisor.</w:t>
      </w:r>
    </w:p>
    <w:p w14:paraId="359FF144" w14:textId="77777777" w:rsidR="00E15196" w:rsidRDefault="00E15196" w:rsidP="00E15196">
      <w:pPr>
        <w:pStyle w:val="ListParagraph"/>
        <w:numPr>
          <w:ilvl w:val="1"/>
          <w:numId w:val="3"/>
        </w:numPr>
        <w:rPr>
          <w:rFonts w:cs="Arial"/>
          <w:b/>
          <w:sz w:val="20"/>
        </w:rPr>
      </w:pPr>
      <w:r>
        <w:rPr>
          <w:rFonts w:cs="Arial"/>
          <w:b/>
          <w:sz w:val="20"/>
        </w:rPr>
        <w:t>Prevention</w:t>
      </w:r>
    </w:p>
    <w:p w14:paraId="53F7960B" w14:textId="77777777" w:rsidR="00E15196" w:rsidRDefault="00E15196" w:rsidP="00E15196">
      <w:pPr>
        <w:ind w:left="1134"/>
        <w:jc w:val="left"/>
        <w:rPr>
          <w:rFonts w:cs="Arial"/>
          <w:sz w:val="20"/>
        </w:rPr>
      </w:pPr>
      <w:r w:rsidRPr="006438E0">
        <w:rPr>
          <w:rFonts w:cs="Arial"/>
          <w:sz w:val="20"/>
        </w:rPr>
        <w:lastRenderedPageBreak/>
        <w:t xml:space="preserve">The University </w:t>
      </w:r>
      <w:r>
        <w:rPr>
          <w:rFonts w:cs="Arial"/>
          <w:sz w:val="20"/>
        </w:rPr>
        <w:t xml:space="preserve">is committed to promoting and supporting </w:t>
      </w:r>
      <w:hyperlink r:id="rId44" w:history="1">
        <w:r w:rsidRPr="00747813">
          <w:rPr>
            <w:rStyle w:val="Hyperlink"/>
            <w:rFonts w:eastAsiaTheme="majorEastAsia" w:cs="Arial"/>
            <w:sz w:val="20"/>
          </w:rPr>
          <w:t>eq</w:t>
        </w:r>
        <w:r>
          <w:rPr>
            <w:rStyle w:val="Hyperlink"/>
            <w:rFonts w:eastAsiaTheme="majorEastAsia" w:cs="Arial"/>
            <w:sz w:val="20"/>
          </w:rPr>
          <w:t>uity, diversity and inclusion</w:t>
        </w:r>
      </w:hyperlink>
      <w:r>
        <w:rPr>
          <w:rFonts w:cs="Arial"/>
          <w:sz w:val="20"/>
        </w:rPr>
        <w:t xml:space="preserve"> and </w:t>
      </w:r>
      <w:r w:rsidRPr="006438E0">
        <w:rPr>
          <w:rFonts w:cs="Arial"/>
          <w:sz w:val="20"/>
        </w:rPr>
        <w:t xml:space="preserve">aims to eliminate </w:t>
      </w:r>
      <w:r>
        <w:rPr>
          <w:rFonts w:cs="Arial"/>
          <w:sz w:val="20"/>
        </w:rPr>
        <w:t>all forms of workplace h</w:t>
      </w:r>
      <w:r w:rsidRPr="006438E0">
        <w:rPr>
          <w:rFonts w:cs="Arial"/>
          <w:sz w:val="20"/>
        </w:rPr>
        <w:t xml:space="preserve">arassment, </w:t>
      </w:r>
      <w:r>
        <w:rPr>
          <w:rFonts w:cs="Arial"/>
          <w:sz w:val="20"/>
        </w:rPr>
        <w:t>b</w:t>
      </w:r>
      <w:r w:rsidRPr="006438E0">
        <w:rPr>
          <w:rFonts w:cs="Arial"/>
          <w:sz w:val="20"/>
        </w:rPr>
        <w:t xml:space="preserve">ullying and </w:t>
      </w:r>
      <w:r>
        <w:rPr>
          <w:rFonts w:cs="Arial"/>
          <w:sz w:val="20"/>
        </w:rPr>
        <w:t>d</w:t>
      </w:r>
      <w:r w:rsidRPr="006438E0">
        <w:rPr>
          <w:rFonts w:cs="Arial"/>
          <w:sz w:val="20"/>
        </w:rPr>
        <w:t>iscrimination fr</w:t>
      </w:r>
      <w:r>
        <w:rPr>
          <w:rFonts w:cs="Arial"/>
          <w:sz w:val="20"/>
        </w:rPr>
        <w:t xml:space="preserve">om its campuses.  </w:t>
      </w:r>
    </w:p>
    <w:p w14:paraId="5C4403C1" w14:textId="77777777" w:rsidR="00E15196" w:rsidRDefault="00E15196" w:rsidP="00E15196">
      <w:pPr>
        <w:ind w:left="1134"/>
        <w:jc w:val="left"/>
        <w:rPr>
          <w:rFonts w:cs="Arial"/>
          <w:sz w:val="20"/>
        </w:rPr>
      </w:pPr>
      <w:r>
        <w:rPr>
          <w:rFonts w:cs="Arial"/>
          <w:sz w:val="20"/>
        </w:rPr>
        <w:t xml:space="preserve">The University </w:t>
      </w:r>
      <w:r w:rsidRPr="00C20F59">
        <w:rPr>
          <w:rFonts w:cs="Arial"/>
          <w:sz w:val="20"/>
        </w:rPr>
        <w:t>will ensure that staff are informed of this policy and their responsibilities in ensuring that it is upheld</w:t>
      </w:r>
      <w:r>
        <w:rPr>
          <w:rFonts w:cs="Arial"/>
          <w:sz w:val="20"/>
        </w:rPr>
        <w:t xml:space="preserve">.  </w:t>
      </w:r>
    </w:p>
    <w:p w14:paraId="3850E233" w14:textId="77777777" w:rsidR="00E15196" w:rsidRDefault="00E15196" w:rsidP="00E15196">
      <w:pPr>
        <w:ind w:left="1134"/>
        <w:jc w:val="left"/>
        <w:rPr>
          <w:rFonts w:cs="Arial"/>
          <w:sz w:val="20"/>
        </w:rPr>
      </w:pPr>
      <w:r>
        <w:rPr>
          <w:rFonts w:cs="Arial"/>
          <w:sz w:val="20"/>
        </w:rPr>
        <w:t xml:space="preserve">Further, the University will ensure that </w:t>
      </w:r>
      <w:r w:rsidRPr="00C20F59">
        <w:rPr>
          <w:rFonts w:cs="Arial"/>
          <w:sz w:val="20"/>
        </w:rPr>
        <w:t xml:space="preserve">managers and other supervisory staff are aware of </w:t>
      </w:r>
      <w:r>
        <w:rPr>
          <w:rFonts w:cs="Arial"/>
          <w:sz w:val="20"/>
        </w:rPr>
        <w:t xml:space="preserve">and act on </w:t>
      </w:r>
      <w:r w:rsidRPr="00C20F59">
        <w:rPr>
          <w:rFonts w:cs="Arial"/>
          <w:sz w:val="20"/>
        </w:rPr>
        <w:t>their particular responsibilities in the prevention</w:t>
      </w:r>
      <w:r>
        <w:rPr>
          <w:rFonts w:cs="Arial"/>
          <w:sz w:val="20"/>
        </w:rPr>
        <w:t>,</w:t>
      </w:r>
      <w:r w:rsidRPr="00C20F59">
        <w:rPr>
          <w:rFonts w:cs="Arial"/>
          <w:sz w:val="20"/>
        </w:rPr>
        <w:t xml:space="preserve"> </w:t>
      </w:r>
      <w:r>
        <w:rPr>
          <w:rFonts w:cs="Arial"/>
          <w:sz w:val="20"/>
        </w:rPr>
        <w:t xml:space="preserve">as far as possible, of harassment, bullying and discrimination </w:t>
      </w:r>
      <w:r w:rsidRPr="00C20F59">
        <w:rPr>
          <w:rFonts w:cs="Arial"/>
          <w:sz w:val="20"/>
        </w:rPr>
        <w:t xml:space="preserve">and </w:t>
      </w:r>
      <w:r>
        <w:rPr>
          <w:rFonts w:cs="Arial"/>
          <w:sz w:val="20"/>
        </w:rPr>
        <w:t xml:space="preserve">in responding to and resolving </w:t>
      </w:r>
      <w:r w:rsidRPr="00C20F59">
        <w:rPr>
          <w:rFonts w:cs="Arial"/>
          <w:sz w:val="20"/>
        </w:rPr>
        <w:t>complaints</w:t>
      </w:r>
      <w:r>
        <w:rPr>
          <w:rFonts w:cs="Arial"/>
          <w:sz w:val="20"/>
        </w:rPr>
        <w:t xml:space="preserve"> in accordance with the </w:t>
      </w:r>
      <w:r w:rsidRPr="000B73DE">
        <w:rPr>
          <w:rFonts w:cs="Arial"/>
          <w:sz w:val="20"/>
          <w:u w:val="single"/>
        </w:rPr>
        <w:t>procedures</w:t>
      </w:r>
      <w:r>
        <w:rPr>
          <w:rFonts w:cs="Arial"/>
          <w:sz w:val="20"/>
        </w:rPr>
        <w:t xml:space="preserve">. </w:t>
      </w:r>
    </w:p>
    <w:p w14:paraId="12028543" w14:textId="77777777" w:rsidR="00E15196" w:rsidRPr="006C2F61" w:rsidRDefault="00E15196" w:rsidP="00E15196">
      <w:pPr>
        <w:pStyle w:val="ListParagraph"/>
        <w:numPr>
          <w:ilvl w:val="2"/>
          <w:numId w:val="3"/>
        </w:numPr>
        <w:tabs>
          <w:tab w:val="num" w:pos="993"/>
        </w:tabs>
        <w:rPr>
          <w:rFonts w:cs="Arial"/>
          <w:sz w:val="20"/>
        </w:rPr>
      </w:pPr>
      <w:r w:rsidRPr="006C2F61">
        <w:rPr>
          <w:rFonts w:cs="Arial"/>
          <w:sz w:val="20"/>
        </w:rPr>
        <w:t>Training and resources</w:t>
      </w:r>
    </w:p>
    <w:p w14:paraId="05BF20CD" w14:textId="77777777" w:rsidR="00E15196" w:rsidRPr="006C2F61" w:rsidRDefault="00E15196" w:rsidP="00E15196">
      <w:pPr>
        <w:tabs>
          <w:tab w:val="num" w:pos="993"/>
        </w:tabs>
        <w:ind w:left="1152"/>
        <w:rPr>
          <w:rFonts w:cs="Arial"/>
          <w:sz w:val="20"/>
        </w:rPr>
      </w:pPr>
      <w:r w:rsidRPr="006C2F61">
        <w:rPr>
          <w:rFonts w:cs="Arial"/>
          <w:sz w:val="20"/>
        </w:rPr>
        <w:t>All staff, including those with supervisory and/or management roles, have a responsibility to prevent</w:t>
      </w:r>
      <w:r>
        <w:rPr>
          <w:rFonts w:cs="Arial"/>
          <w:sz w:val="20"/>
        </w:rPr>
        <w:t xml:space="preserve">, as far as possible, </w:t>
      </w:r>
      <w:r w:rsidRPr="006C2F61">
        <w:rPr>
          <w:rFonts w:cs="Arial"/>
          <w:sz w:val="20"/>
        </w:rPr>
        <w:t xml:space="preserve">and </w:t>
      </w:r>
      <w:r>
        <w:rPr>
          <w:rFonts w:cs="Arial"/>
          <w:sz w:val="20"/>
        </w:rPr>
        <w:t xml:space="preserve">if necessary </w:t>
      </w:r>
      <w:r w:rsidRPr="006C2F61">
        <w:rPr>
          <w:rFonts w:cs="Arial"/>
          <w:sz w:val="20"/>
        </w:rPr>
        <w:t>respond to behaviour</w:t>
      </w:r>
      <w:r>
        <w:rPr>
          <w:rFonts w:cs="Arial"/>
          <w:sz w:val="20"/>
        </w:rPr>
        <w:t xml:space="preserve"> such as bullying, harassment and discrimination.  As such, all staff should</w:t>
      </w:r>
      <w:r w:rsidRPr="006C2F61">
        <w:rPr>
          <w:rFonts w:cs="Arial"/>
          <w:sz w:val="20"/>
        </w:rPr>
        <w:t xml:space="preserve"> complete </w:t>
      </w:r>
      <w:hyperlink r:id="rId45" w:history="1">
        <w:r w:rsidRPr="006C2F61">
          <w:rPr>
            <w:rStyle w:val="Hyperlink"/>
            <w:rFonts w:eastAsiaTheme="majorEastAsia" w:cs="Arial"/>
            <w:sz w:val="20"/>
          </w:rPr>
          <w:t>harassment and discrimination training online</w:t>
        </w:r>
      </w:hyperlink>
      <w:r w:rsidRPr="006C2F61">
        <w:rPr>
          <w:rFonts w:cs="Arial"/>
          <w:sz w:val="20"/>
        </w:rPr>
        <w:t xml:space="preserve">, both on commencement </w:t>
      </w:r>
      <w:r>
        <w:rPr>
          <w:rFonts w:cs="Arial"/>
          <w:sz w:val="20"/>
        </w:rPr>
        <w:t xml:space="preserve">at the University </w:t>
      </w:r>
      <w:r w:rsidRPr="006C2F61">
        <w:rPr>
          <w:rFonts w:cs="Arial"/>
          <w:sz w:val="20"/>
        </w:rPr>
        <w:t xml:space="preserve">and </w:t>
      </w:r>
      <w:r>
        <w:rPr>
          <w:rFonts w:cs="Arial"/>
          <w:sz w:val="20"/>
        </w:rPr>
        <w:t xml:space="preserve">then </w:t>
      </w:r>
      <w:r w:rsidRPr="006C2F61">
        <w:rPr>
          <w:rFonts w:cs="Arial"/>
          <w:sz w:val="20"/>
        </w:rPr>
        <w:t>at least every two years to ensure that their knowledge is up to date.</w:t>
      </w:r>
    </w:p>
    <w:p w14:paraId="105A1A90" w14:textId="77777777" w:rsidR="00E15196" w:rsidRPr="00C305F1" w:rsidRDefault="00E15196" w:rsidP="00E15196">
      <w:pPr>
        <w:tabs>
          <w:tab w:val="num" w:pos="993"/>
        </w:tabs>
        <w:ind w:left="1134"/>
        <w:rPr>
          <w:rFonts w:cs="Arial"/>
          <w:sz w:val="20"/>
        </w:rPr>
      </w:pPr>
      <w:r w:rsidRPr="00C305F1">
        <w:rPr>
          <w:rFonts w:cs="Arial"/>
          <w:sz w:val="20"/>
        </w:rPr>
        <w:t xml:space="preserve">Resources to proactively assist </w:t>
      </w:r>
      <w:r>
        <w:rPr>
          <w:rFonts w:cs="Arial"/>
          <w:sz w:val="20"/>
        </w:rPr>
        <w:t xml:space="preserve">staff to deal with </w:t>
      </w:r>
      <w:r w:rsidRPr="00C305F1">
        <w:rPr>
          <w:rFonts w:cs="Arial"/>
          <w:sz w:val="20"/>
        </w:rPr>
        <w:t>such behaviours are available on</w:t>
      </w:r>
      <w:r>
        <w:rPr>
          <w:rFonts w:cs="Arial"/>
          <w:sz w:val="20"/>
        </w:rPr>
        <w:t xml:space="preserve">line via the </w:t>
      </w:r>
      <w:hyperlink r:id="rId46" w:history="1">
        <w:r w:rsidR="00E51BA9">
          <w:rPr>
            <w:rStyle w:val="Hyperlink"/>
            <w:rFonts w:eastAsiaTheme="majorEastAsia" w:cs="Arial"/>
            <w:sz w:val="20"/>
          </w:rPr>
          <w:t>People and Wellbeing</w:t>
        </w:r>
      </w:hyperlink>
      <w:r>
        <w:rPr>
          <w:rFonts w:cs="Arial"/>
          <w:sz w:val="20"/>
        </w:rPr>
        <w:t xml:space="preserve"> and </w:t>
      </w:r>
      <w:hyperlink r:id="rId47" w:history="1">
        <w:r w:rsidRPr="00847438">
          <w:rPr>
            <w:rStyle w:val="Hyperlink"/>
            <w:rFonts w:eastAsiaTheme="majorEastAsia" w:cs="Arial"/>
            <w:sz w:val="20"/>
          </w:rPr>
          <w:t>Safe Campuses</w:t>
        </w:r>
      </w:hyperlink>
      <w:r>
        <w:rPr>
          <w:rFonts w:cs="Arial"/>
          <w:sz w:val="20"/>
        </w:rPr>
        <w:t xml:space="preserve"> </w:t>
      </w:r>
      <w:hyperlink r:id="rId48" w:history="1">
        <w:r w:rsidRPr="00C305F1">
          <w:rPr>
            <w:sz w:val="20"/>
          </w:rPr>
          <w:t>website</w:t>
        </w:r>
      </w:hyperlink>
      <w:r>
        <w:rPr>
          <w:sz w:val="20"/>
        </w:rPr>
        <w:t>s.  M</w:t>
      </w:r>
      <w:r w:rsidRPr="00C305F1">
        <w:rPr>
          <w:rFonts w:cs="Arial"/>
          <w:sz w:val="20"/>
        </w:rPr>
        <w:t xml:space="preserve">anagers should </w:t>
      </w:r>
      <w:r>
        <w:rPr>
          <w:rFonts w:cs="Arial"/>
          <w:sz w:val="20"/>
        </w:rPr>
        <w:t xml:space="preserve">also </w:t>
      </w:r>
      <w:r w:rsidRPr="00C305F1">
        <w:rPr>
          <w:rFonts w:cs="Arial"/>
          <w:sz w:val="20"/>
        </w:rPr>
        <w:t xml:space="preserve">consult their </w:t>
      </w:r>
      <w:hyperlink r:id="rId49" w:history="1">
        <w:r w:rsidRPr="00E06E60">
          <w:rPr>
            <w:rStyle w:val="Hyperlink"/>
            <w:rFonts w:eastAsiaTheme="majorEastAsia"/>
            <w:sz w:val="20"/>
          </w:rPr>
          <w:t>Group HR Business Partners</w:t>
        </w:r>
      </w:hyperlink>
      <w:r w:rsidRPr="00C305F1">
        <w:rPr>
          <w:sz w:val="20"/>
        </w:rPr>
        <w:t xml:space="preserve"> </w:t>
      </w:r>
      <w:r w:rsidRPr="00C305F1">
        <w:rPr>
          <w:rFonts w:cs="Arial"/>
          <w:sz w:val="20"/>
        </w:rPr>
        <w:t xml:space="preserve">for assistance.  </w:t>
      </w:r>
    </w:p>
    <w:p w14:paraId="6BB9C1BA" w14:textId="77777777" w:rsidR="00E15196" w:rsidRPr="009C1700" w:rsidRDefault="00E15196" w:rsidP="00E15196">
      <w:pPr>
        <w:pStyle w:val="ListParagraph"/>
        <w:numPr>
          <w:ilvl w:val="1"/>
          <w:numId w:val="3"/>
        </w:numPr>
        <w:rPr>
          <w:rFonts w:cs="Arial"/>
          <w:b/>
          <w:sz w:val="20"/>
        </w:rPr>
      </w:pPr>
      <w:r>
        <w:rPr>
          <w:rFonts w:cs="Arial"/>
          <w:b/>
          <w:sz w:val="20"/>
        </w:rPr>
        <w:t>Disclosures and complaints</w:t>
      </w:r>
    </w:p>
    <w:p w14:paraId="5049FE58" w14:textId="77777777" w:rsidR="00E15196" w:rsidRPr="006438E0" w:rsidRDefault="00E15196" w:rsidP="00E15196">
      <w:pPr>
        <w:ind w:left="1134"/>
        <w:jc w:val="left"/>
        <w:rPr>
          <w:rFonts w:cs="Arial"/>
          <w:sz w:val="20"/>
        </w:rPr>
      </w:pPr>
      <w:r>
        <w:rPr>
          <w:rFonts w:cs="Arial"/>
          <w:sz w:val="20"/>
        </w:rPr>
        <w:t>The University has zero tolerance for unlawful h</w:t>
      </w:r>
      <w:r w:rsidRPr="006438E0">
        <w:rPr>
          <w:rFonts w:cs="Arial"/>
          <w:sz w:val="20"/>
        </w:rPr>
        <w:t xml:space="preserve">arassment, </w:t>
      </w:r>
      <w:r>
        <w:rPr>
          <w:rFonts w:cs="Arial"/>
          <w:sz w:val="20"/>
        </w:rPr>
        <w:t>b</w:t>
      </w:r>
      <w:r w:rsidRPr="006438E0">
        <w:rPr>
          <w:rFonts w:cs="Arial"/>
          <w:sz w:val="20"/>
        </w:rPr>
        <w:t xml:space="preserve">ullying and </w:t>
      </w:r>
      <w:r>
        <w:rPr>
          <w:rFonts w:cs="Arial"/>
          <w:sz w:val="20"/>
        </w:rPr>
        <w:t>d</w:t>
      </w:r>
      <w:r w:rsidRPr="006438E0">
        <w:rPr>
          <w:rFonts w:cs="Arial"/>
          <w:sz w:val="20"/>
        </w:rPr>
        <w:t>iscrimination</w:t>
      </w:r>
      <w:r>
        <w:rPr>
          <w:rFonts w:cs="Arial"/>
          <w:sz w:val="20"/>
        </w:rPr>
        <w:t xml:space="preserve"> and provides options for informal disclosure and formal complaints.  Complaints </w:t>
      </w:r>
      <w:r w:rsidRPr="006438E0">
        <w:rPr>
          <w:rFonts w:cs="Arial"/>
          <w:sz w:val="20"/>
        </w:rPr>
        <w:t>will be treated seriously and investigated promptly</w:t>
      </w:r>
      <w:r>
        <w:rPr>
          <w:rFonts w:cs="Arial"/>
          <w:sz w:val="20"/>
        </w:rPr>
        <w:t>.</w:t>
      </w:r>
      <w:r w:rsidRPr="006438E0">
        <w:rPr>
          <w:rFonts w:cs="Arial"/>
          <w:sz w:val="20"/>
        </w:rPr>
        <w:t xml:space="preserve"> </w:t>
      </w:r>
      <w:r>
        <w:rPr>
          <w:rFonts w:cs="Arial"/>
          <w:sz w:val="20"/>
        </w:rPr>
        <w:t xml:space="preserve">All documentation related to the resolution process will be confidential with </w:t>
      </w:r>
      <w:r w:rsidRPr="006438E0">
        <w:rPr>
          <w:rFonts w:cs="Arial"/>
          <w:sz w:val="20"/>
        </w:rPr>
        <w:t>the principles of natural justice appl</w:t>
      </w:r>
      <w:r>
        <w:rPr>
          <w:rFonts w:cs="Arial"/>
          <w:sz w:val="20"/>
        </w:rPr>
        <w:t xml:space="preserve">ied. </w:t>
      </w:r>
    </w:p>
    <w:p w14:paraId="41AF66E3" w14:textId="77777777" w:rsidR="00E15196" w:rsidRDefault="00E15196" w:rsidP="00E15196">
      <w:pPr>
        <w:ind w:left="1134"/>
        <w:jc w:val="left"/>
        <w:rPr>
          <w:rFonts w:cs="Arial"/>
          <w:sz w:val="20"/>
        </w:rPr>
      </w:pPr>
      <w:r w:rsidRPr="006438E0">
        <w:rPr>
          <w:rFonts w:cs="Arial"/>
          <w:sz w:val="20"/>
        </w:rPr>
        <w:t xml:space="preserve">The </w:t>
      </w:r>
      <w:r>
        <w:rPr>
          <w:rFonts w:cs="Arial"/>
          <w:sz w:val="20"/>
        </w:rPr>
        <w:t>University expects that all complaints made under this policy</w:t>
      </w:r>
      <w:r w:rsidRPr="006438E0">
        <w:rPr>
          <w:rFonts w:cs="Arial"/>
          <w:sz w:val="20"/>
        </w:rPr>
        <w:t xml:space="preserve"> </w:t>
      </w:r>
      <w:r>
        <w:rPr>
          <w:rFonts w:cs="Arial"/>
          <w:sz w:val="20"/>
        </w:rPr>
        <w:t>will be</w:t>
      </w:r>
      <w:r w:rsidRPr="006438E0">
        <w:rPr>
          <w:rFonts w:cs="Arial"/>
          <w:sz w:val="20"/>
        </w:rPr>
        <w:t xml:space="preserve"> </w:t>
      </w:r>
      <w:r>
        <w:rPr>
          <w:rFonts w:cs="Arial"/>
          <w:sz w:val="20"/>
        </w:rPr>
        <w:t>made</w:t>
      </w:r>
      <w:r w:rsidRPr="006438E0">
        <w:rPr>
          <w:rFonts w:cs="Arial"/>
          <w:sz w:val="20"/>
        </w:rPr>
        <w:t xml:space="preserve"> in good faith</w:t>
      </w:r>
      <w:r>
        <w:rPr>
          <w:rFonts w:cs="Arial"/>
          <w:sz w:val="20"/>
        </w:rPr>
        <w:t xml:space="preserve">. </w:t>
      </w:r>
      <w:r w:rsidRPr="006438E0">
        <w:rPr>
          <w:rFonts w:cs="Arial"/>
          <w:sz w:val="20"/>
        </w:rPr>
        <w:t xml:space="preserve"> </w:t>
      </w:r>
      <w:r>
        <w:rPr>
          <w:rFonts w:cs="Arial"/>
          <w:sz w:val="20"/>
        </w:rPr>
        <w:t>D</w:t>
      </w:r>
      <w:r w:rsidRPr="00DD7BD2">
        <w:rPr>
          <w:rFonts w:cs="Arial"/>
          <w:sz w:val="20"/>
        </w:rPr>
        <w:t xml:space="preserve">isciplinary procedures </w:t>
      </w:r>
      <w:r>
        <w:rPr>
          <w:rFonts w:cs="Arial"/>
          <w:sz w:val="20"/>
        </w:rPr>
        <w:t xml:space="preserve">may be initiated by the University </w:t>
      </w:r>
      <w:r w:rsidRPr="00DD7BD2">
        <w:rPr>
          <w:rFonts w:cs="Arial"/>
          <w:sz w:val="20"/>
        </w:rPr>
        <w:t xml:space="preserve">if a complaint is found to be frivolous or vexatious. </w:t>
      </w:r>
    </w:p>
    <w:p w14:paraId="010AE20B" w14:textId="77777777" w:rsidR="00E15196" w:rsidRPr="001A06C5" w:rsidRDefault="00E15196" w:rsidP="00E15196">
      <w:pPr>
        <w:ind w:left="1134"/>
        <w:jc w:val="left"/>
        <w:rPr>
          <w:rFonts w:cs="Arial"/>
          <w:sz w:val="20"/>
        </w:rPr>
      </w:pPr>
      <w:r>
        <w:rPr>
          <w:rFonts w:cs="Arial"/>
          <w:sz w:val="20"/>
        </w:rPr>
        <w:t>T</w:t>
      </w:r>
      <w:r w:rsidRPr="001A06C5">
        <w:rPr>
          <w:rFonts w:cs="Arial"/>
          <w:sz w:val="20"/>
        </w:rPr>
        <w:t xml:space="preserve">he University does not tolerate victimisation of individuals who have taken action </w:t>
      </w:r>
      <w:r>
        <w:rPr>
          <w:rFonts w:cs="Arial"/>
          <w:sz w:val="20"/>
        </w:rPr>
        <w:t xml:space="preserve">under this policy </w:t>
      </w:r>
      <w:r w:rsidRPr="00B7153D">
        <w:rPr>
          <w:rFonts w:cs="Arial"/>
          <w:sz w:val="20"/>
        </w:rPr>
        <w:t>and will take reasonable steps to ensure that affected individuals are not victimised.</w:t>
      </w:r>
    </w:p>
    <w:p w14:paraId="198E6FBA" w14:textId="77777777" w:rsidR="00E15196" w:rsidRDefault="00E15196" w:rsidP="00E15196">
      <w:pPr>
        <w:ind w:left="1134"/>
        <w:jc w:val="left"/>
        <w:rPr>
          <w:rFonts w:cs="Arial"/>
          <w:sz w:val="20"/>
        </w:rPr>
      </w:pPr>
      <w:r>
        <w:rPr>
          <w:rFonts w:cs="Arial"/>
          <w:sz w:val="20"/>
        </w:rPr>
        <w:t xml:space="preserve">Further information on the reporting and complaints process is available in the </w:t>
      </w:r>
      <w:hyperlink r:id="rId50" w:history="1">
        <w:r w:rsidRPr="00BF4C3E">
          <w:rPr>
            <w:rStyle w:val="Hyperlink"/>
            <w:rFonts w:eastAsiaTheme="majorEastAsia" w:cs="Arial"/>
            <w:sz w:val="20"/>
          </w:rPr>
          <w:t>Reporting and Resolution of Staff Sexual Assault, Harassment, Bullying and Discrimination Procedures</w:t>
        </w:r>
      </w:hyperlink>
      <w:r w:rsidRPr="006438E0">
        <w:rPr>
          <w:rFonts w:cs="Arial"/>
          <w:sz w:val="20"/>
        </w:rPr>
        <w:t>.</w:t>
      </w:r>
    </w:p>
    <w:p w14:paraId="0861011A" w14:textId="77777777" w:rsidR="00E15196" w:rsidRPr="00747813" w:rsidRDefault="00E15196" w:rsidP="00E15196">
      <w:pPr>
        <w:pStyle w:val="ListParagraph"/>
        <w:numPr>
          <w:ilvl w:val="2"/>
          <w:numId w:val="3"/>
        </w:numPr>
        <w:rPr>
          <w:rFonts w:cs="Arial"/>
          <w:sz w:val="20"/>
        </w:rPr>
      </w:pPr>
      <w:r w:rsidRPr="00747813">
        <w:rPr>
          <w:rFonts w:cs="Arial"/>
          <w:sz w:val="20"/>
        </w:rPr>
        <w:t>External Agencies</w:t>
      </w:r>
    </w:p>
    <w:p w14:paraId="0C73E8D9" w14:textId="77777777" w:rsidR="00E15196" w:rsidRDefault="00E15196" w:rsidP="00E15196">
      <w:pPr>
        <w:ind w:left="1134"/>
        <w:jc w:val="left"/>
        <w:rPr>
          <w:rFonts w:cs="Arial"/>
          <w:sz w:val="20"/>
        </w:rPr>
      </w:pPr>
      <w:r>
        <w:rPr>
          <w:rFonts w:cs="Arial"/>
          <w:sz w:val="20"/>
        </w:rPr>
        <w:t>W</w:t>
      </w:r>
      <w:r w:rsidRPr="002658AD">
        <w:rPr>
          <w:rFonts w:cs="Arial"/>
          <w:sz w:val="20"/>
        </w:rPr>
        <w:t xml:space="preserve">here </w:t>
      </w:r>
      <w:r>
        <w:rPr>
          <w:rFonts w:cs="Arial"/>
          <w:sz w:val="20"/>
        </w:rPr>
        <w:t>an</w:t>
      </w:r>
      <w:r w:rsidRPr="002658AD">
        <w:rPr>
          <w:rFonts w:cs="Arial"/>
          <w:sz w:val="20"/>
        </w:rPr>
        <w:t xml:space="preserve"> individual remains dissatisfied with the outcome of a University </w:t>
      </w:r>
      <w:r>
        <w:rPr>
          <w:rFonts w:cs="Arial"/>
          <w:sz w:val="20"/>
        </w:rPr>
        <w:t>response</w:t>
      </w:r>
      <w:r w:rsidRPr="002658AD">
        <w:rPr>
          <w:rFonts w:cs="Arial"/>
          <w:sz w:val="20"/>
        </w:rPr>
        <w:t>, they may choose to refer their concern to an external body, such as the</w:t>
      </w:r>
      <w:r>
        <w:rPr>
          <w:rFonts w:cs="Arial"/>
          <w:sz w:val="20"/>
        </w:rPr>
        <w:t xml:space="preserve"> </w:t>
      </w:r>
      <w:hyperlink r:id="rId51" w:history="1">
        <w:r>
          <w:rPr>
            <w:rStyle w:val="Hyperlink"/>
            <w:rFonts w:eastAsiaTheme="majorEastAsia" w:cs="Arial"/>
            <w:bCs/>
            <w:sz w:val="20"/>
            <w:lang w:eastAsia="en-US"/>
          </w:rPr>
          <w:t>Anti-</w:t>
        </w:r>
        <w:r w:rsidRPr="00867983">
          <w:rPr>
            <w:rStyle w:val="Hyperlink"/>
            <w:rFonts w:eastAsiaTheme="majorEastAsia" w:cs="Arial"/>
            <w:bCs/>
            <w:sz w:val="20"/>
            <w:lang w:eastAsia="en-US"/>
          </w:rPr>
          <w:t>Discrimination Commission Queensland</w:t>
        </w:r>
      </w:hyperlink>
      <w:r w:rsidRPr="00867983">
        <w:rPr>
          <w:rFonts w:cs="Arial"/>
          <w:bCs/>
          <w:sz w:val="20"/>
          <w:lang w:eastAsia="en-US"/>
        </w:rPr>
        <w:t xml:space="preserve">, </w:t>
      </w:r>
      <w:hyperlink r:id="rId52" w:history="1">
        <w:r w:rsidRPr="00867983">
          <w:rPr>
            <w:rStyle w:val="Hyperlink"/>
            <w:rFonts w:eastAsiaTheme="majorEastAsia" w:cs="Arial"/>
            <w:bCs/>
            <w:sz w:val="20"/>
            <w:lang w:eastAsia="en-US"/>
          </w:rPr>
          <w:t>Australian Human Rights Commission</w:t>
        </w:r>
      </w:hyperlink>
      <w:r w:rsidRPr="00867983">
        <w:rPr>
          <w:rFonts w:cs="Arial"/>
          <w:bCs/>
          <w:sz w:val="20"/>
          <w:lang w:eastAsia="en-US"/>
        </w:rPr>
        <w:t xml:space="preserve">, </w:t>
      </w:r>
      <w:hyperlink r:id="rId53" w:history="1">
        <w:r w:rsidRPr="00867983">
          <w:rPr>
            <w:rStyle w:val="Hyperlink"/>
            <w:rFonts w:eastAsiaTheme="majorEastAsia" w:cs="Arial"/>
            <w:bCs/>
            <w:sz w:val="20"/>
            <w:lang w:eastAsia="en-US"/>
          </w:rPr>
          <w:t>Fair Work Commission</w:t>
        </w:r>
      </w:hyperlink>
      <w:r w:rsidRPr="00867983">
        <w:rPr>
          <w:rFonts w:cs="Arial"/>
          <w:bCs/>
          <w:sz w:val="20"/>
          <w:lang w:eastAsia="en-US"/>
        </w:rPr>
        <w:t xml:space="preserve">, </w:t>
      </w:r>
      <w:hyperlink r:id="rId54" w:history="1">
        <w:r w:rsidRPr="00867983">
          <w:rPr>
            <w:rStyle w:val="Hyperlink"/>
            <w:rFonts w:eastAsiaTheme="majorEastAsia" w:cs="Arial"/>
            <w:bCs/>
            <w:sz w:val="20"/>
            <w:lang w:eastAsia="en-US"/>
          </w:rPr>
          <w:t>Queensland Ombudsman</w:t>
        </w:r>
      </w:hyperlink>
      <w:r w:rsidRPr="00867983">
        <w:rPr>
          <w:rFonts w:cs="Arial"/>
          <w:bCs/>
          <w:sz w:val="20"/>
          <w:lang w:eastAsia="en-US"/>
        </w:rPr>
        <w:t xml:space="preserve"> or </w:t>
      </w:r>
      <w:hyperlink r:id="rId55" w:history="1">
        <w:r w:rsidRPr="00867983">
          <w:rPr>
            <w:rStyle w:val="Hyperlink"/>
            <w:rFonts w:eastAsiaTheme="majorEastAsia" w:cs="Arial"/>
            <w:bCs/>
            <w:sz w:val="20"/>
            <w:lang w:eastAsia="en-US"/>
          </w:rPr>
          <w:t>Workplace Health and Safety Queensland</w:t>
        </w:r>
      </w:hyperlink>
      <w:r>
        <w:rPr>
          <w:rStyle w:val="Hyperlink"/>
          <w:rFonts w:eastAsiaTheme="majorEastAsia" w:cs="Arial"/>
          <w:bCs/>
          <w:sz w:val="20"/>
          <w:lang w:eastAsia="en-US"/>
        </w:rPr>
        <w:t>.</w:t>
      </w:r>
    </w:p>
    <w:p w14:paraId="55B896F9" w14:textId="77777777" w:rsidR="00E15196" w:rsidRPr="00D25482" w:rsidRDefault="00E15196" w:rsidP="00E15196">
      <w:pPr>
        <w:ind w:left="1134"/>
        <w:jc w:val="left"/>
        <w:rPr>
          <w:rFonts w:cs="Arial"/>
          <w:sz w:val="20"/>
        </w:rPr>
      </w:pPr>
      <w:r w:rsidRPr="007C74C4">
        <w:rPr>
          <w:rFonts w:cs="Arial"/>
          <w:sz w:val="20"/>
        </w:rPr>
        <w:t xml:space="preserve">If </w:t>
      </w:r>
      <w:r>
        <w:rPr>
          <w:rFonts w:cs="Arial"/>
          <w:sz w:val="20"/>
        </w:rPr>
        <w:t xml:space="preserve">such steps are taken for workplace matters, any relevant </w:t>
      </w:r>
      <w:r w:rsidRPr="007C74C4">
        <w:rPr>
          <w:rFonts w:cs="Arial"/>
          <w:sz w:val="20"/>
        </w:rPr>
        <w:t xml:space="preserve">University procedures being applied at the time will </w:t>
      </w:r>
      <w:r>
        <w:rPr>
          <w:rFonts w:cs="Arial"/>
          <w:sz w:val="20"/>
        </w:rPr>
        <w:t xml:space="preserve">cease and </w:t>
      </w:r>
      <w:r w:rsidRPr="00D25482">
        <w:rPr>
          <w:rFonts w:cs="Arial"/>
          <w:sz w:val="20"/>
        </w:rPr>
        <w:t>the staff member will no longer have access to these procedures for that particular matter.</w:t>
      </w:r>
    </w:p>
    <w:p w14:paraId="2584B140" w14:textId="77777777" w:rsidR="00E15196" w:rsidRPr="00A62490" w:rsidRDefault="00ED7D04" w:rsidP="00E15196">
      <w:pPr>
        <w:ind w:left="0"/>
        <w:rPr>
          <w:rFonts w:cs="Arial"/>
          <w:sz w:val="20"/>
        </w:rPr>
      </w:pPr>
      <w:r>
        <w:rPr>
          <w:rFonts w:cs="Arial"/>
          <w:sz w:val="20"/>
        </w:rPr>
        <w:pict w14:anchorId="21213DEB">
          <v:rect id="_x0000_i1028" style="width:476.25pt;height:1pt;mso-position-vertical:absolute" o:hralign="center" o:hrstd="t" o:hrnoshade="t" o:hr="t" fillcolor="#d8d8d8 [2732]" stroked="f"/>
        </w:pict>
      </w:r>
    </w:p>
    <w:p w14:paraId="6E90BDDD" w14:textId="77777777" w:rsidR="00E15196" w:rsidRPr="00B34D13" w:rsidRDefault="00E15196" w:rsidP="00E15196">
      <w:pPr>
        <w:numPr>
          <w:ilvl w:val="0"/>
          <w:numId w:val="3"/>
        </w:numPr>
        <w:spacing w:before="100" w:beforeAutospacing="1" w:after="240"/>
        <w:rPr>
          <w:rFonts w:cs="Arial"/>
          <w:b/>
          <w:caps/>
          <w:sz w:val="24"/>
          <w:szCs w:val="24"/>
        </w:rPr>
      </w:pPr>
      <w:bookmarkStart w:id="6" w:name="delegations"/>
      <w:bookmarkStart w:id="7" w:name="responsibilities"/>
      <w:bookmarkEnd w:id="6"/>
      <w:r>
        <w:rPr>
          <w:b/>
          <w:caps/>
          <w:sz w:val="24"/>
          <w:szCs w:val="24"/>
        </w:rPr>
        <w:t>rESPONSIBILITIES</w:t>
      </w:r>
    </w:p>
    <w:bookmarkEnd w:id="7"/>
    <w:p w14:paraId="41D0AA6A" w14:textId="77777777" w:rsidR="00E15196" w:rsidRPr="003C1B2C" w:rsidRDefault="00E15196" w:rsidP="00E15196">
      <w:pPr>
        <w:pStyle w:val="ListParagraph"/>
        <w:ind w:left="570"/>
        <w:rPr>
          <w:rFonts w:cs="Arial"/>
          <w:sz w:val="20"/>
          <w:lang w:val="en-US" w:eastAsia="en-US"/>
        </w:rPr>
      </w:pPr>
      <w:r w:rsidRPr="001356FC">
        <w:rPr>
          <w:rFonts w:cs="Arial"/>
          <w:sz w:val="20"/>
          <w:lang w:val="en-US" w:eastAsia="en-US"/>
        </w:rPr>
        <w:t xml:space="preserve">All staff have a responsibility to behave professionally and with respect for others in accordance with the Code of Conduct and relevant legislation. </w:t>
      </w:r>
    </w:p>
    <w:p w14:paraId="7D268A55" w14:textId="77777777" w:rsidR="00E15196" w:rsidRDefault="00E15196" w:rsidP="00E15196">
      <w:pPr>
        <w:rPr>
          <w:rFonts w:cs="Arial"/>
          <w:sz w:val="20"/>
        </w:rPr>
      </w:pPr>
      <w:r>
        <w:rPr>
          <w:rFonts w:cs="Arial"/>
          <w:sz w:val="20"/>
        </w:rPr>
        <w:t>S</w:t>
      </w:r>
      <w:r w:rsidRPr="006A4ECC">
        <w:rPr>
          <w:rFonts w:cs="Arial"/>
          <w:sz w:val="20"/>
        </w:rPr>
        <w:t xml:space="preserve">enior </w:t>
      </w:r>
      <w:r>
        <w:rPr>
          <w:rFonts w:cs="Arial"/>
          <w:sz w:val="20"/>
        </w:rPr>
        <w:t>M</w:t>
      </w:r>
      <w:r w:rsidRPr="006A4ECC">
        <w:rPr>
          <w:rFonts w:cs="Arial"/>
          <w:sz w:val="20"/>
        </w:rPr>
        <w:t>anagers</w:t>
      </w:r>
      <w:r>
        <w:rPr>
          <w:rFonts w:cs="Arial"/>
          <w:sz w:val="20"/>
        </w:rPr>
        <w:t xml:space="preserve"> are</w:t>
      </w:r>
      <w:r w:rsidRPr="006A4ECC">
        <w:rPr>
          <w:rFonts w:cs="Arial"/>
          <w:sz w:val="20"/>
        </w:rPr>
        <w:t xml:space="preserve"> </w:t>
      </w:r>
      <w:r>
        <w:rPr>
          <w:rFonts w:cs="Arial"/>
          <w:sz w:val="20"/>
        </w:rPr>
        <w:t>a</w:t>
      </w:r>
      <w:r w:rsidRPr="006A4ECC">
        <w:rPr>
          <w:rFonts w:cs="Arial"/>
          <w:sz w:val="20"/>
        </w:rPr>
        <w:t>ccou</w:t>
      </w:r>
      <w:r>
        <w:rPr>
          <w:rFonts w:cs="Arial"/>
          <w:sz w:val="20"/>
        </w:rPr>
        <w:t>ntable</w:t>
      </w:r>
      <w:r w:rsidRPr="006A4ECC">
        <w:rPr>
          <w:rFonts w:cs="Arial"/>
          <w:sz w:val="20"/>
        </w:rPr>
        <w:t xml:space="preserve"> for ensuring that </w:t>
      </w:r>
      <w:r>
        <w:rPr>
          <w:rFonts w:cs="Arial"/>
          <w:sz w:val="20"/>
        </w:rPr>
        <w:t>h</w:t>
      </w:r>
      <w:r w:rsidRPr="006A4ECC">
        <w:rPr>
          <w:rFonts w:cs="Arial"/>
          <w:sz w:val="20"/>
        </w:rPr>
        <w:t xml:space="preserve">arassment, </w:t>
      </w:r>
      <w:r>
        <w:rPr>
          <w:rFonts w:cs="Arial"/>
          <w:sz w:val="20"/>
        </w:rPr>
        <w:t>b</w:t>
      </w:r>
      <w:r w:rsidRPr="006A4ECC">
        <w:rPr>
          <w:rFonts w:cs="Arial"/>
          <w:sz w:val="20"/>
        </w:rPr>
        <w:t xml:space="preserve">ullying and </w:t>
      </w:r>
      <w:r>
        <w:rPr>
          <w:rFonts w:cs="Arial"/>
          <w:sz w:val="20"/>
        </w:rPr>
        <w:t>d</w:t>
      </w:r>
      <w:r w:rsidRPr="006A4ECC">
        <w:rPr>
          <w:rFonts w:cs="Arial"/>
          <w:sz w:val="20"/>
        </w:rPr>
        <w:t>iscrimination are prevented</w:t>
      </w:r>
      <w:r>
        <w:rPr>
          <w:rFonts w:cs="Arial"/>
          <w:sz w:val="20"/>
        </w:rPr>
        <w:t xml:space="preserve">, as far as possible, and if necessary </w:t>
      </w:r>
      <w:r w:rsidRPr="006A4ECC">
        <w:rPr>
          <w:rFonts w:cs="Arial"/>
          <w:sz w:val="20"/>
        </w:rPr>
        <w:t>dealt with effectively</w:t>
      </w:r>
      <w:r>
        <w:rPr>
          <w:rFonts w:cs="Arial"/>
          <w:sz w:val="20"/>
        </w:rPr>
        <w:t xml:space="preserve"> </w:t>
      </w:r>
      <w:r w:rsidRPr="006A4ECC">
        <w:rPr>
          <w:rFonts w:cs="Arial"/>
          <w:sz w:val="20"/>
        </w:rPr>
        <w:t xml:space="preserve">at </w:t>
      </w:r>
      <w:r>
        <w:rPr>
          <w:rFonts w:cs="Arial"/>
          <w:sz w:val="20"/>
        </w:rPr>
        <w:t xml:space="preserve">the </w:t>
      </w:r>
      <w:hyperlink w:anchor="glossary" w:history="1">
        <w:r w:rsidRPr="00B7153D">
          <w:rPr>
            <w:rStyle w:val="Hyperlink"/>
            <w:rFonts w:eastAsiaTheme="majorEastAsia" w:cs="Arial"/>
            <w:sz w:val="20"/>
          </w:rPr>
          <w:t xml:space="preserve">Element </w:t>
        </w:r>
      </w:hyperlink>
      <w:r w:rsidRPr="006A4ECC">
        <w:rPr>
          <w:rFonts w:cs="Arial"/>
          <w:sz w:val="20"/>
        </w:rPr>
        <w:t xml:space="preserve">level. </w:t>
      </w:r>
      <w:r>
        <w:rPr>
          <w:rFonts w:cs="Arial"/>
          <w:sz w:val="20"/>
        </w:rPr>
        <w:t xml:space="preserve"> </w:t>
      </w:r>
    </w:p>
    <w:p w14:paraId="4A95D950" w14:textId="6CDECE40" w:rsidR="00E15196" w:rsidRPr="006438E0" w:rsidRDefault="00E15196" w:rsidP="00E15196">
      <w:pPr>
        <w:jc w:val="left"/>
        <w:rPr>
          <w:rFonts w:cs="Arial"/>
          <w:sz w:val="20"/>
        </w:rPr>
      </w:pPr>
      <w:r>
        <w:rPr>
          <w:rFonts w:cs="Arial"/>
          <w:sz w:val="20"/>
        </w:rPr>
        <w:t>T</w:t>
      </w:r>
      <w:r w:rsidRPr="006438E0">
        <w:rPr>
          <w:rFonts w:cs="Arial"/>
          <w:sz w:val="20"/>
        </w:rPr>
        <w:t xml:space="preserve">he </w:t>
      </w:r>
      <w:r w:rsidR="00E94E29">
        <w:rPr>
          <w:rFonts w:cs="Arial"/>
          <w:sz w:val="20"/>
        </w:rPr>
        <w:t>Chief People Officer</w:t>
      </w:r>
      <w:r>
        <w:rPr>
          <w:rFonts w:cs="Arial"/>
          <w:sz w:val="20"/>
        </w:rPr>
        <w:t xml:space="preserve"> </w:t>
      </w:r>
      <w:r w:rsidRPr="006438E0">
        <w:rPr>
          <w:rFonts w:cs="Arial"/>
          <w:sz w:val="20"/>
        </w:rPr>
        <w:t xml:space="preserve">is the senior officer responsible for supervising the management of </w:t>
      </w:r>
      <w:r>
        <w:rPr>
          <w:rFonts w:cs="Arial"/>
          <w:sz w:val="20"/>
        </w:rPr>
        <w:t>a</w:t>
      </w:r>
      <w:r w:rsidRPr="006438E0">
        <w:rPr>
          <w:rFonts w:cs="Arial"/>
          <w:sz w:val="20"/>
        </w:rPr>
        <w:t xml:space="preserve"> program of activity, which includes:</w:t>
      </w:r>
    </w:p>
    <w:p w14:paraId="71BEA468" w14:textId="77777777" w:rsidR="00E15196" w:rsidRPr="006A4ECC" w:rsidRDefault="00E15196" w:rsidP="00E15196">
      <w:pPr>
        <w:pStyle w:val="ListParagraph"/>
        <w:numPr>
          <w:ilvl w:val="0"/>
          <w:numId w:val="4"/>
        </w:numPr>
        <w:ind w:left="993" w:hanging="426"/>
        <w:jc w:val="left"/>
        <w:rPr>
          <w:rFonts w:cs="Arial"/>
          <w:sz w:val="20"/>
        </w:rPr>
      </w:pPr>
      <w:r w:rsidRPr="006A4ECC">
        <w:rPr>
          <w:rFonts w:cs="Arial"/>
          <w:sz w:val="20"/>
        </w:rPr>
        <w:t>educating staff about acceptable</w:t>
      </w:r>
      <w:r>
        <w:rPr>
          <w:rFonts w:cs="Arial"/>
          <w:sz w:val="20"/>
        </w:rPr>
        <w:t>, pro-social and respectful</w:t>
      </w:r>
      <w:r w:rsidRPr="006A4ECC">
        <w:rPr>
          <w:rFonts w:cs="Arial"/>
          <w:sz w:val="20"/>
        </w:rPr>
        <w:t xml:space="preserve"> behaviour at work and in an educational environment; </w:t>
      </w:r>
    </w:p>
    <w:p w14:paraId="39B61B86" w14:textId="77777777" w:rsidR="00E15196" w:rsidRPr="006A4ECC" w:rsidRDefault="00E15196" w:rsidP="00E15196">
      <w:pPr>
        <w:pStyle w:val="ListParagraph"/>
        <w:numPr>
          <w:ilvl w:val="0"/>
          <w:numId w:val="4"/>
        </w:numPr>
        <w:ind w:left="993" w:hanging="426"/>
        <w:jc w:val="left"/>
        <w:rPr>
          <w:rFonts w:cs="Arial"/>
          <w:sz w:val="20"/>
        </w:rPr>
      </w:pPr>
      <w:r>
        <w:rPr>
          <w:rFonts w:cs="Arial"/>
          <w:sz w:val="20"/>
        </w:rPr>
        <w:t xml:space="preserve">educating supervisors and managers to </w:t>
      </w:r>
      <w:r w:rsidRPr="006A4ECC">
        <w:rPr>
          <w:rFonts w:cs="Arial"/>
          <w:sz w:val="20"/>
        </w:rPr>
        <w:t>promptly, effective</w:t>
      </w:r>
      <w:r>
        <w:rPr>
          <w:rFonts w:cs="Arial"/>
          <w:sz w:val="20"/>
        </w:rPr>
        <w:t>ly and confidentially address</w:t>
      </w:r>
      <w:r w:rsidRPr="006A4ECC">
        <w:rPr>
          <w:rFonts w:cs="Arial"/>
          <w:sz w:val="20"/>
        </w:rPr>
        <w:t xml:space="preserve"> complaints of </w:t>
      </w:r>
      <w:r>
        <w:rPr>
          <w:rFonts w:cs="Arial"/>
          <w:sz w:val="20"/>
        </w:rPr>
        <w:t>workplace h</w:t>
      </w:r>
      <w:r w:rsidRPr="006438E0">
        <w:rPr>
          <w:rFonts w:cs="Arial"/>
          <w:sz w:val="20"/>
        </w:rPr>
        <w:t>arassment</w:t>
      </w:r>
      <w:r>
        <w:rPr>
          <w:rFonts w:cs="Arial"/>
          <w:sz w:val="20"/>
        </w:rPr>
        <w:t>, b</w:t>
      </w:r>
      <w:r w:rsidRPr="006438E0">
        <w:rPr>
          <w:rFonts w:cs="Arial"/>
          <w:sz w:val="20"/>
        </w:rPr>
        <w:t xml:space="preserve">ullying </w:t>
      </w:r>
      <w:r>
        <w:rPr>
          <w:rFonts w:cs="Arial"/>
          <w:sz w:val="20"/>
        </w:rPr>
        <w:t>and discrimination</w:t>
      </w:r>
      <w:r w:rsidRPr="006A4ECC">
        <w:rPr>
          <w:rFonts w:cs="Arial"/>
          <w:sz w:val="20"/>
        </w:rPr>
        <w:t xml:space="preserve">; </w:t>
      </w:r>
    </w:p>
    <w:p w14:paraId="1A4AB355" w14:textId="77777777" w:rsidR="00E15196" w:rsidRPr="006A4ECC" w:rsidRDefault="00E15196" w:rsidP="00E15196">
      <w:pPr>
        <w:pStyle w:val="ListParagraph"/>
        <w:numPr>
          <w:ilvl w:val="0"/>
          <w:numId w:val="4"/>
        </w:numPr>
        <w:ind w:left="993" w:hanging="426"/>
        <w:rPr>
          <w:rFonts w:cs="Arial"/>
          <w:sz w:val="20"/>
        </w:rPr>
      </w:pPr>
      <w:r w:rsidRPr="006A4ECC">
        <w:rPr>
          <w:rFonts w:cs="Arial"/>
          <w:sz w:val="20"/>
        </w:rPr>
        <w:lastRenderedPageBreak/>
        <w:t xml:space="preserve">actively encouraging appropriate behaviour by </w:t>
      </w:r>
      <w:r>
        <w:rPr>
          <w:rFonts w:cs="Arial"/>
          <w:sz w:val="20"/>
        </w:rPr>
        <w:t xml:space="preserve">all staff, including </w:t>
      </w:r>
      <w:r w:rsidRPr="006A4ECC">
        <w:rPr>
          <w:rFonts w:cs="Arial"/>
          <w:sz w:val="20"/>
        </w:rPr>
        <w:t xml:space="preserve">those in positions of authority, that is, supervisors, managers and teaching staff; </w:t>
      </w:r>
      <w:r>
        <w:rPr>
          <w:rFonts w:cs="Arial"/>
          <w:sz w:val="20"/>
        </w:rPr>
        <w:t xml:space="preserve">and </w:t>
      </w:r>
    </w:p>
    <w:p w14:paraId="3ECE7A94" w14:textId="77777777" w:rsidR="00E15196" w:rsidRDefault="00E15196" w:rsidP="00E15196">
      <w:pPr>
        <w:pStyle w:val="ListParagraph"/>
        <w:numPr>
          <w:ilvl w:val="0"/>
          <w:numId w:val="4"/>
        </w:numPr>
        <w:ind w:left="993" w:hanging="426"/>
        <w:rPr>
          <w:rFonts w:cs="Arial"/>
          <w:sz w:val="20"/>
        </w:rPr>
      </w:pPr>
      <w:r w:rsidRPr="001A06C5">
        <w:rPr>
          <w:rFonts w:cs="Arial"/>
          <w:sz w:val="20"/>
        </w:rPr>
        <w:t xml:space="preserve">providing appropriate and effective processes, structures and </w:t>
      </w:r>
      <w:r w:rsidRPr="00B7153D">
        <w:rPr>
          <w:rFonts w:cs="Arial"/>
          <w:sz w:val="20"/>
        </w:rPr>
        <w:t>resources</w:t>
      </w:r>
      <w:r w:rsidRPr="001A06C5">
        <w:rPr>
          <w:rFonts w:cs="Arial"/>
          <w:sz w:val="20"/>
        </w:rPr>
        <w:t xml:space="preserve"> to prevent and address issues of harassment, bullying and discrimination.</w:t>
      </w:r>
    </w:p>
    <w:p w14:paraId="12414A2C" w14:textId="77777777" w:rsidR="00E15196" w:rsidRPr="00A62490" w:rsidRDefault="00ED7D04" w:rsidP="00E15196">
      <w:pPr>
        <w:ind w:left="0"/>
        <w:rPr>
          <w:rFonts w:cs="Arial"/>
          <w:sz w:val="20"/>
        </w:rPr>
      </w:pPr>
      <w:r>
        <w:rPr>
          <w:rFonts w:cs="Arial"/>
          <w:sz w:val="20"/>
        </w:rPr>
        <w:pict w14:anchorId="13511ECA">
          <v:rect id="_x0000_i1029" style="width:476.25pt;height:1pt;mso-position-vertical:absolute" o:hralign="center" o:hrstd="t" o:hrnoshade="t" o:hr="t" fillcolor="#d8d8d8 [2732]" stroked="f"/>
        </w:pict>
      </w:r>
    </w:p>
    <w:p w14:paraId="6DC73B9E" w14:textId="77777777" w:rsidR="00E15196" w:rsidRPr="00B34D13" w:rsidRDefault="00E15196" w:rsidP="00E15196">
      <w:pPr>
        <w:numPr>
          <w:ilvl w:val="0"/>
          <w:numId w:val="3"/>
        </w:numPr>
        <w:spacing w:before="100" w:beforeAutospacing="1" w:after="240"/>
        <w:rPr>
          <w:rFonts w:cs="Arial"/>
          <w:b/>
          <w:caps/>
          <w:sz w:val="24"/>
          <w:szCs w:val="24"/>
        </w:rPr>
      </w:pPr>
      <w:bookmarkStart w:id="8" w:name="glossary"/>
      <w:r>
        <w:rPr>
          <w:b/>
          <w:caps/>
          <w:sz w:val="24"/>
          <w:szCs w:val="24"/>
        </w:rPr>
        <w:t>GLOSSARY OF TERMS</w:t>
      </w:r>
    </w:p>
    <w:bookmarkEnd w:id="8"/>
    <w:p w14:paraId="0F47211A" w14:textId="77777777" w:rsidR="00E15196" w:rsidRPr="00B7153D" w:rsidRDefault="00E15196" w:rsidP="00E15196">
      <w:pPr>
        <w:rPr>
          <w:rFonts w:cs="Arial"/>
          <w:sz w:val="20"/>
        </w:rPr>
      </w:pPr>
      <w:r>
        <w:rPr>
          <w:rFonts w:cs="Arial"/>
          <w:b/>
          <w:i/>
          <w:sz w:val="20"/>
        </w:rPr>
        <w:t xml:space="preserve">Bullying </w:t>
      </w:r>
      <w:r w:rsidRPr="00B7153D">
        <w:rPr>
          <w:rFonts w:cs="Arial"/>
          <w:sz w:val="20"/>
        </w:rPr>
        <w:t>is defined in section 3 of this policy–</w:t>
      </w:r>
      <w:hyperlink w:anchor="definitions" w:history="1">
        <w:r w:rsidRPr="00B7153D">
          <w:rPr>
            <w:rStyle w:val="Hyperlink"/>
            <w:rFonts w:eastAsiaTheme="majorEastAsia" w:cs="Arial"/>
            <w:sz w:val="20"/>
          </w:rPr>
          <w:t xml:space="preserve">Definitions  </w:t>
        </w:r>
      </w:hyperlink>
    </w:p>
    <w:p w14:paraId="36CD89EF" w14:textId="77777777" w:rsidR="00E15196" w:rsidRDefault="00E15196" w:rsidP="00E15196">
      <w:pPr>
        <w:rPr>
          <w:rFonts w:cs="Arial"/>
          <w:sz w:val="20"/>
        </w:rPr>
      </w:pPr>
      <w:r>
        <w:rPr>
          <w:rFonts w:cs="Arial"/>
          <w:b/>
          <w:i/>
          <w:sz w:val="20"/>
        </w:rPr>
        <w:t xml:space="preserve">Discrimination </w:t>
      </w:r>
      <w:r w:rsidRPr="00B7153D">
        <w:rPr>
          <w:rFonts w:cs="Arial"/>
          <w:sz w:val="20"/>
        </w:rPr>
        <w:t>is defined in section 3 of this policy–</w:t>
      </w:r>
      <w:hyperlink w:anchor="definitions" w:history="1">
        <w:r w:rsidRPr="00B7153D">
          <w:rPr>
            <w:rStyle w:val="Hyperlink"/>
            <w:rFonts w:eastAsiaTheme="majorEastAsia" w:cs="Arial"/>
            <w:sz w:val="20"/>
          </w:rPr>
          <w:t xml:space="preserve">Definitions  </w:t>
        </w:r>
      </w:hyperlink>
    </w:p>
    <w:p w14:paraId="0631651A" w14:textId="77777777" w:rsidR="00E15196" w:rsidRDefault="00E15196" w:rsidP="00E15196">
      <w:pPr>
        <w:rPr>
          <w:rFonts w:cs="Arial"/>
          <w:sz w:val="20"/>
        </w:rPr>
      </w:pPr>
      <w:r w:rsidRPr="001A06C5">
        <w:rPr>
          <w:rFonts w:cs="Arial"/>
          <w:b/>
          <w:i/>
          <w:sz w:val="20"/>
        </w:rPr>
        <w:t>Element</w:t>
      </w:r>
      <w:r w:rsidRPr="00C20F59">
        <w:rPr>
          <w:rFonts w:cs="Arial"/>
          <w:sz w:val="20"/>
        </w:rPr>
        <w:t xml:space="preserve"> refers to a business unit and means the relevant Office, School, Department or Centre.</w:t>
      </w:r>
    </w:p>
    <w:p w14:paraId="300050AA" w14:textId="77777777" w:rsidR="00E15196" w:rsidRDefault="00E15196" w:rsidP="00E15196">
      <w:pPr>
        <w:rPr>
          <w:rFonts w:cs="Arial"/>
          <w:sz w:val="20"/>
        </w:rPr>
      </w:pPr>
      <w:r w:rsidRPr="00B7153D">
        <w:rPr>
          <w:rFonts w:cs="Arial"/>
          <w:b/>
          <w:i/>
          <w:sz w:val="20"/>
        </w:rPr>
        <w:t>Harassment</w:t>
      </w:r>
      <w:r w:rsidRPr="00B7153D">
        <w:rPr>
          <w:rFonts w:cs="Arial"/>
          <w:sz w:val="20"/>
        </w:rPr>
        <w:t xml:space="preserve"> is defined in section 3 of this policy–</w:t>
      </w:r>
      <w:hyperlink w:anchor="definitions" w:history="1">
        <w:r w:rsidRPr="00B7153D">
          <w:rPr>
            <w:rStyle w:val="Hyperlink"/>
            <w:rFonts w:eastAsiaTheme="majorEastAsia" w:cs="Arial"/>
            <w:sz w:val="20"/>
          </w:rPr>
          <w:t xml:space="preserve">Definitions  </w:t>
        </w:r>
      </w:hyperlink>
    </w:p>
    <w:p w14:paraId="172368C5" w14:textId="77777777" w:rsidR="00E15196" w:rsidRDefault="00E15196" w:rsidP="00E15196">
      <w:pPr>
        <w:rPr>
          <w:rFonts w:cs="Arial"/>
          <w:sz w:val="20"/>
        </w:rPr>
      </w:pPr>
      <w:r w:rsidRPr="00B7153D">
        <w:rPr>
          <w:rFonts w:cs="Arial"/>
          <w:b/>
          <w:i/>
          <w:sz w:val="20"/>
        </w:rPr>
        <w:t>Repeated</w:t>
      </w:r>
      <w:r w:rsidRPr="00B7153D">
        <w:rPr>
          <w:rFonts w:cs="Arial"/>
          <w:sz w:val="20"/>
        </w:rPr>
        <w:t xml:space="preserve"> refers to the persistent nature of the behaviour and can involve a range of behaviours over time.</w:t>
      </w:r>
    </w:p>
    <w:p w14:paraId="44770D55" w14:textId="77777777" w:rsidR="00E15196" w:rsidRDefault="00E15196" w:rsidP="00E15196">
      <w:pPr>
        <w:rPr>
          <w:rFonts w:cs="Arial"/>
          <w:sz w:val="20"/>
        </w:rPr>
      </w:pPr>
      <w:r w:rsidRPr="00B7153D">
        <w:rPr>
          <w:rFonts w:cs="Arial"/>
          <w:b/>
          <w:i/>
          <w:sz w:val="20"/>
        </w:rPr>
        <w:t>Staff</w:t>
      </w:r>
      <w:r w:rsidRPr="00B7153D">
        <w:rPr>
          <w:rFonts w:cs="Arial"/>
          <w:sz w:val="20"/>
        </w:rPr>
        <w:t xml:space="preserve"> refers to all staff, including sessional, casual, visiting, honorary, adjunct, conjoint appointments and volunteers at Griffith University.</w:t>
      </w:r>
    </w:p>
    <w:p w14:paraId="26473F76" w14:textId="77777777" w:rsidR="00E15196" w:rsidRDefault="00E15196" w:rsidP="00E15196">
      <w:pPr>
        <w:rPr>
          <w:rFonts w:cs="Arial"/>
          <w:sz w:val="20"/>
        </w:rPr>
      </w:pPr>
      <w:r w:rsidRPr="00B7153D">
        <w:rPr>
          <w:rFonts w:cs="Arial"/>
          <w:b/>
          <w:i/>
          <w:sz w:val="20"/>
        </w:rPr>
        <w:t>University related activity</w:t>
      </w:r>
      <w:r w:rsidRPr="00B7153D">
        <w:rPr>
          <w:rFonts w:cs="Arial"/>
          <w:sz w:val="20"/>
        </w:rPr>
        <w:t xml:space="preserve"> means any conduct that is connected to the University, including conduct that: </w:t>
      </w:r>
    </w:p>
    <w:p w14:paraId="165A5395" w14:textId="77777777" w:rsidR="00E15196" w:rsidRPr="00B7153D" w:rsidRDefault="00E15196" w:rsidP="00E15196">
      <w:pPr>
        <w:pStyle w:val="ListParagraph"/>
        <w:numPr>
          <w:ilvl w:val="0"/>
          <w:numId w:val="8"/>
        </w:numPr>
        <w:ind w:left="993" w:hanging="426"/>
        <w:rPr>
          <w:rFonts w:cs="Arial"/>
          <w:sz w:val="20"/>
        </w:rPr>
      </w:pPr>
      <w:r w:rsidRPr="00B7153D">
        <w:rPr>
          <w:rFonts w:cs="Arial"/>
          <w:sz w:val="20"/>
        </w:rPr>
        <w:t xml:space="preserve">occurs on, or in connection to, University lands or other property owned by the University or elsewhere in the context of a person’s membership of the University;  </w:t>
      </w:r>
    </w:p>
    <w:p w14:paraId="22453A12" w14:textId="77777777" w:rsidR="00E15196" w:rsidRDefault="00E15196" w:rsidP="00E15196">
      <w:pPr>
        <w:pStyle w:val="ListParagraph"/>
        <w:numPr>
          <w:ilvl w:val="0"/>
          <w:numId w:val="7"/>
        </w:numPr>
        <w:ind w:left="993" w:hanging="426"/>
        <w:rPr>
          <w:rFonts w:cs="Arial"/>
          <w:sz w:val="20"/>
        </w:rPr>
      </w:pPr>
      <w:r w:rsidRPr="00B7153D">
        <w:rPr>
          <w:rFonts w:cs="Arial"/>
          <w:sz w:val="20"/>
        </w:rPr>
        <w:t xml:space="preserve">occurs at or in connection with, a residential college that is located within University lands or is associated with the University; </w:t>
      </w:r>
    </w:p>
    <w:p w14:paraId="54D18E31" w14:textId="77777777" w:rsidR="00E15196" w:rsidRDefault="00E15196" w:rsidP="00E15196">
      <w:pPr>
        <w:pStyle w:val="ListParagraph"/>
        <w:numPr>
          <w:ilvl w:val="0"/>
          <w:numId w:val="7"/>
        </w:numPr>
        <w:ind w:left="993" w:hanging="426"/>
        <w:rPr>
          <w:rFonts w:cs="Arial"/>
          <w:sz w:val="20"/>
        </w:rPr>
      </w:pPr>
      <w:r w:rsidRPr="00B7153D">
        <w:rPr>
          <w:rFonts w:cs="Arial"/>
          <w:sz w:val="20"/>
        </w:rPr>
        <w:t xml:space="preserve">occurs using, or is facilitated by, University information technology resources or other University equipment; </w:t>
      </w:r>
    </w:p>
    <w:p w14:paraId="0648DCD9" w14:textId="77777777" w:rsidR="00E15196" w:rsidRDefault="00E15196" w:rsidP="00E15196">
      <w:pPr>
        <w:pStyle w:val="ListParagraph"/>
        <w:numPr>
          <w:ilvl w:val="0"/>
          <w:numId w:val="7"/>
        </w:numPr>
        <w:ind w:left="993" w:hanging="426"/>
        <w:rPr>
          <w:rFonts w:cs="Arial"/>
          <w:sz w:val="20"/>
        </w:rPr>
      </w:pPr>
      <w:r w:rsidRPr="00B7153D">
        <w:rPr>
          <w:rFonts w:cs="Arial"/>
          <w:sz w:val="20"/>
        </w:rPr>
        <w:t xml:space="preserve">occurs during, or relates to, the performance of duties for the University; </w:t>
      </w:r>
    </w:p>
    <w:p w14:paraId="344D2BA7" w14:textId="77777777" w:rsidR="00E15196" w:rsidRDefault="00E15196" w:rsidP="00E15196">
      <w:pPr>
        <w:pStyle w:val="ListParagraph"/>
        <w:numPr>
          <w:ilvl w:val="0"/>
          <w:numId w:val="7"/>
        </w:numPr>
        <w:ind w:left="993" w:hanging="426"/>
        <w:rPr>
          <w:rFonts w:cs="Arial"/>
          <w:sz w:val="20"/>
        </w:rPr>
      </w:pPr>
      <w:r w:rsidRPr="00B7153D">
        <w:rPr>
          <w:rFonts w:cs="Arial"/>
          <w:sz w:val="20"/>
        </w:rPr>
        <w:t>occurs during or in connection to any University related function or event (whether sanctioned or organised by the University or not) or when representing the University in any capacity.</w:t>
      </w:r>
    </w:p>
    <w:p w14:paraId="0F906FB3" w14:textId="77777777" w:rsidR="00E15196" w:rsidRPr="00B7153D" w:rsidRDefault="00E15196" w:rsidP="00E15196">
      <w:pPr>
        <w:rPr>
          <w:rFonts w:cs="Arial"/>
          <w:sz w:val="20"/>
          <w:lang w:val="en-US" w:eastAsia="en-US"/>
        </w:rPr>
      </w:pPr>
      <w:r w:rsidRPr="00B7153D">
        <w:rPr>
          <w:rFonts w:cs="Arial"/>
          <w:b/>
          <w:i/>
          <w:sz w:val="20"/>
          <w:lang w:eastAsia="en-US"/>
        </w:rPr>
        <w:t>Victimisation</w:t>
      </w:r>
      <w:r w:rsidRPr="00B7153D">
        <w:rPr>
          <w:rFonts w:cs="Arial"/>
          <w:b/>
          <w:i/>
          <w:sz w:val="20"/>
          <w:lang w:val="en-US" w:eastAsia="en-US"/>
        </w:rPr>
        <w:t xml:space="preserve"> </w:t>
      </w:r>
      <w:r w:rsidRPr="00B7153D">
        <w:rPr>
          <w:rFonts w:cs="Arial"/>
          <w:sz w:val="20"/>
          <w:lang w:val="en-US" w:eastAsia="en-US"/>
        </w:rPr>
        <w:t>refers to behavior that seeks to</w:t>
      </w:r>
      <w:r w:rsidRPr="00B7153D">
        <w:rPr>
          <w:rFonts w:cs="Arial"/>
          <w:sz w:val="20"/>
          <w:lang w:eastAsia="en-US"/>
        </w:rPr>
        <w:t xml:space="preserve"> penalise</w:t>
      </w:r>
      <w:r w:rsidRPr="00B7153D">
        <w:rPr>
          <w:rFonts w:cs="Arial"/>
          <w:sz w:val="20"/>
          <w:lang w:val="en-US" w:eastAsia="en-US"/>
        </w:rPr>
        <w:t xml:space="preserve"> a person for taking action or making a complaint in good faith.</w:t>
      </w:r>
    </w:p>
    <w:p w14:paraId="3319EB30" w14:textId="77777777" w:rsidR="00E15196" w:rsidRPr="00B7153D" w:rsidRDefault="00E15196" w:rsidP="00E15196">
      <w:pPr>
        <w:rPr>
          <w:rFonts w:cs="Arial"/>
          <w:sz w:val="20"/>
        </w:rPr>
      </w:pPr>
    </w:p>
    <w:p w14:paraId="04605D05" w14:textId="77777777" w:rsidR="00C057B0" w:rsidRDefault="00C057B0"/>
    <w:sectPr w:rsidR="00C057B0" w:rsidSect="00147712">
      <w:footerReference w:type="default" r:id="rId56"/>
      <w:pgSz w:w="11906" w:h="16838"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136F" w14:textId="77777777" w:rsidR="00A4344A" w:rsidRDefault="00A4344A">
      <w:pPr>
        <w:spacing w:after="0"/>
      </w:pPr>
      <w:r>
        <w:separator/>
      </w:r>
    </w:p>
  </w:endnote>
  <w:endnote w:type="continuationSeparator" w:id="0">
    <w:p w14:paraId="44792CB5" w14:textId="77777777" w:rsidR="00A4344A" w:rsidRDefault="00A434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undrySterling-Light">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otia Medium">
    <w:panose1 w:val="00000000000000000000"/>
    <w:charset w:val="00"/>
    <w:family w:val="modern"/>
    <w:notTrueType/>
    <w:pitch w:val="variable"/>
    <w:sig w:usb0="00000007" w:usb1="00000000" w:usb2="00000000" w:usb3="00000000" w:csb0="00000093" w:csb1="00000000"/>
  </w:font>
  <w:font w:name="Jotia">
    <w:panose1 w:val="00000000000000000000"/>
    <w:charset w:val="00"/>
    <w:family w:val="modern"/>
    <w:notTrueType/>
    <w:pitch w:val="variable"/>
    <w:sig w:usb0="00000007" w:usb1="00000000" w:usb2="00000000" w:usb3="00000000" w:csb0="00000093" w:csb1="00000000"/>
  </w:font>
  <w:font w:name="FoundrySterling-Bold">
    <w:charset w:val="00"/>
    <w:family w:val="auto"/>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6438E0" w:rsidRPr="00D96726" w14:paraId="354F68E2" w14:textId="77777777" w:rsidTr="00C245CA">
      <w:tc>
        <w:tcPr>
          <w:tcW w:w="918" w:type="dxa"/>
          <w:vAlign w:val="bottom"/>
        </w:tcPr>
        <w:p w14:paraId="4A426FA5" w14:textId="77777777" w:rsidR="00923385" w:rsidRPr="0089097B" w:rsidRDefault="00E2366D"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E51BA9" w:rsidRPr="00E51BA9">
            <w:rPr>
              <w:bCs/>
              <w:noProof/>
              <w:color w:val="BFBFBF" w:themeColor="background1" w:themeShade="BF"/>
              <w:sz w:val="16"/>
              <w:szCs w:val="16"/>
            </w:rPr>
            <w:t>6</w:t>
          </w:r>
          <w:r w:rsidRPr="0089097B">
            <w:rPr>
              <w:bCs/>
              <w:noProof/>
              <w:color w:val="BFBFBF" w:themeColor="background1" w:themeShade="BF"/>
              <w:sz w:val="16"/>
              <w:szCs w:val="16"/>
            </w:rPr>
            <w:fldChar w:fldCharType="end"/>
          </w:r>
        </w:p>
      </w:tc>
      <w:tc>
        <w:tcPr>
          <w:tcW w:w="7938" w:type="dxa"/>
          <w:vAlign w:val="bottom"/>
        </w:tcPr>
        <w:p w14:paraId="71C1DD30" w14:textId="77777777" w:rsidR="00923385" w:rsidRPr="0089097B" w:rsidRDefault="00E2366D" w:rsidP="00E00460">
          <w:pPr>
            <w:pStyle w:val="Footer"/>
            <w:spacing w:before="20" w:after="20"/>
            <w:ind w:left="0"/>
            <w:rPr>
              <w:color w:val="BFBFBF" w:themeColor="background1" w:themeShade="BF"/>
              <w:sz w:val="16"/>
              <w:szCs w:val="16"/>
            </w:rPr>
          </w:pPr>
          <w:r>
            <w:rPr>
              <w:color w:val="BFBFBF" w:themeColor="background1" w:themeShade="BF"/>
              <w:sz w:val="16"/>
              <w:szCs w:val="16"/>
            </w:rPr>
            <w:t xml:space="preserve">Staff </w:t>
          </w:r>
          <w:r w:rsidRPr="00120EAE">
            <w:rPr>
              <w:color w:val="BFBFBF" w:themeColor="background1" w:themeShade="BF"/>
              <w:sz w:val="16"/>
              <w:szCs w:val="16"/>
            </w:rPr>
            <w:t>Harassment, Bullying and Discrimination Policy</w:t>
          </w:r>
        </w:p>
      </w:tc>
    </w:tr>
  </w:tbl>
  <w:p w14:paraId="4277760D" w14:textId="77777777" w:rsidR="00923385" w:rsidRPr="0084456D" w:rsidRDefault="00923385"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37EB5" w14:textId="77777777" w:rsidR="00A4344A" w:rsidRDefault="00A4344A">
      <w:pPr>
        <w:spacing w:after="0"/>
      </w:pPr>
      <w:r>
        <w:separator/>
      </w:r>
    </w:p>
  </w:footnote>
  <w:footnote w:type="continuationSeparator" w:id="0">
    <w:p w14:paraId="62D37E6B" w14:textId="77777777" w:rsidR="00A4344A" w:rsidRDefault="00A4344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919"/>
    <w:multiLevelType w:val="multilevel"/>
    <w:tmpl w:val="FA0EB468"/>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b/>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 w15:restartNumberingAfterBreak="0">
    <w:nsid w:val="0ED116E0"/>
    <w:multiLevelType w:val="hybridMultilevel"/>
    <w:tmpl w:val="109C6CE2"/>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50A61DA"/>
    <w:multiLevelType w:val="hybridMultilevel"/>
    <w:tmpl w:val="523AE78C"/>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3C217BA6"/>
    <w:multiLevelType w:val="hybridMultilevel"/>
    <w:tmpl w:val="34A28BC0"/>
    <w:lvl w:ilvl="0" w:tplc="C194F56C">
      <w:start w:val="1"/>
      <w:numFmt w:val="bullet"/>
      <w:pStyle w:val="BulletPoints"/>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6C5C2B"/>
    <w:multiLevelType w:val="hybridMultilevel"/>
    <w:tmpl w:val="47E0D2D0"/>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5F8C5866"/>
    <w:multiLevelType w:val="multilevel"/>
    <w:tmpl w:val="CF187DF6"/>
    <w:lvl w:ilvl="0">
      <w:start w:val="1"/>
      <w:numFmt w:val="bullet"/>
      <w:lvlText w:val=""/>
      <w:lvlJc w:val="left"/>
      <w:pPr>
        <w:tabs>
          <w:tab w:val="num" w:pos="570"/>
        </w:tabs>
        <w:ind w:left="570" w:hanging="570"/>
      </w:pPr>
      <w:rPr>
        <w:rFonts w:ascii="Symbol" w:hAnsi="Symbol" w:hint="default"/>
        <w:caps w:val="0"/>
      </w:rPr>
    </w:lvl>
    <w:lvl w:ilvl="1">
      <w:start w:val="1"/>
      <w:numFmt w:val="decimal"/>
      <w:isLgl/>
      <w:lvlText w:val="%1.%2"/>
      <w:lvlJc w:val="left"/>
      <w:pPr>
        <w:tabs>
          <w:tab w:val="num" w:pos="1146"/>
        </w:tabs>
        <w:ind w:left="1146" w:hanging="570"/>
      </w:pPr>
      <w:rPr>
        <w:rFonts w:hint="default"/>
        <w:b/>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6" w15:restartNumberingAfterBreak="0">
    <w:nsid w:val="68ED1324"/>
    <w:multiLevelType w:val="hybridMultilevel"/>
    <w:tmpl w:val="FFEE1A02"/>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7D2A1B0A"/>
    <w:multiLevelType w:val="hybridMultilevel"/>
    <w:tmpl w:val="E6F84CAE"/>
    <w:lvl w:ilvl="0" w:tplc="0A022C86">
      <w:start w:val="1"/>
      <w:numFmt w:val="decimal"/>
      <w:pStyle w:val="Numberedlist"/>
      <w:lvlText w:val="%1."/>
      <w:lvlJc w:val="left"/>
      <w:pPr>
        <w:ind w:left="720" w:hanging="360"/>
      </w:pPr>
      <w:rPr>
        <w:rFonts w:ascii="FoundrySterling-Light" w:hAnsi="FoundrySterling-Light"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63086821">
    <w:abstractNumId w:val="3"/>
  </w:num>
  <w:num w:numId="2" w16cid:durableId="1122113419">
    <w:abstractNumId w:val="7"/>
  </w:num>
  <w:num w:numId="3" w16cid:durableId="2124228952">
    <w:abstractNumId w:val="0"/>
  </w:num>
  <w:num w:numId="4" w16cid:durableId="1674139792">
    <w:abstractNumId w:val="6"/>
  </w:num>
  <w:num w:numId="5" w16cid:durableId="953637538">
    <w:abstractNumId w:val="4"/>
  </w:num>
  <w:num w:numId="6" w16cid:durableId="1070495219">
    <w:abstractNumId w:val="5"/>
  </w:num>
  <w:num w:numId="7" w16cid:durableId="1880239953">
    <w:abstractNumId w:val="1"/>
  </w:num>
  <w:num w:numId="8" w16cid:durableId="2087150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196"/>
    <w:rsid w:val="00026D6D"/>
    <w:rsid w:val="000C14E6"/>
    <w:rsid w:val="000F68FF"/>
    <w:rsid w:val="00145ADF"/>
    <w:rsid w:val="0017176D"/>
    <w:rsid w:val="002026B7"/>
    <w:rsid w:val="002A0259"/>
    <w:rsid w:val="002E48B0"/>
    <w:rsid w:val="003128F5"/>
    <w:rsid w:val="00334DFD"/>
    <w:rsid w:val="00341296"/>
    <w:rsid w:val="003A2F3F"/>
    <w:rsid w:val="00457DA8"/>
    <w:rsid w:val="004D60A9"/>
    <w:rsid w:val="004F52B8"/>
    <w:rsid w:val="005F7B19"/>
    <w:rsid w:val="006638E8"/>
    <w:rsid w:val="00734A3E"/>
    <w:rsid w:val="00867326"/>
    <w:rsid w:val="00923385"/>
    <w:rsid w:val="009627FC"/>
    <w:rsid w:val="009934C1"/>
    <w:rsid w:val="009F4F08"/>
    <w:rsid w:val="00A4344A"/>
    <w:rsid w:val="00B066A8"/>
    <w:rsid w:val="00B47566"/>
    <w:rsid w:val="00BA63D0"/>
    <w:rsid w:val="00C057B0"/>
    <w:rsid w:val="00C177C8"/>
    <w:rsid w:val="00C724D7"/>
    <w:rsid w:val="00D7714D"/>
    <w:rsid w:val="00D84B21"/>
    <w:rsid w:val="00DA413A"/>
    <w:rsid w:val="00DE2CA4"/>
    <w:rsid w:val="00E14908"/>
    <w:rsid w:val="00E15196"/>
    <w:rsid w:val="00E2366D"/>
    <w:rsid w:val="00E51BA9"/>
    <w:rsid w:val="00E94E29"/>
    <w:rsid w:val="00ED7D04"/>
    <w:rsid w:val="00F464B5"/>
    <w:rsid w:val="00F675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14936C1"/>
  <w15:chartTrackingRefBased/>
  <w15:docId w15:val="{D0A33B4E-F356-4AD1-8649-5A4B25ED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space after"/>
    <w:qFormat/>
    <w:rsid w:val="00E15196"/>
    <w:pPr>
      <w:spacing w:after="120" w:line="240" w:lineRule="auto"/>
      <w:ind w:left="567"/>
      <w:jc w:val="both"/>
    </w:pPr>
    <w:rPr>
      <w:rFonts w:ascii="Arial" w:eastAsia="Times New Roman" w:hAnsi="Arial" w:cs="Times New Roman"/>
      <w:szCs w:val="20"/>
      <w:lang w:eastAsia="en-AU"/>
    </w:rPr>
  </w:style>
  <w:style w:type="paragraph" w:styleId="Heading1">
    <w:name w:val="heading 1"/>
    <w:basedOn w:val="Normal"/>
    <w:next w:val="Normal"/>
    <w:link w:val="Heading1Char"/>
    <w:uiPriority w:val="9"/>
    <w:qFormat/>
    <w:rsid w:val="00BA63D0"/>
    <w:pPr>
      <w:keepNext/>
      <w:keepLines/>
      <w:spacing w:before="480" w:after="0"/>
      <w:outlineLvl w:val="0"/>
    </w:pPr>
    <w:rPr>
      <w:rFonts w:ascii="Jotia Medium" w:eastAsiaTheme="majorEastAsia" w:hAnsi="Jotia Medium" w:cstheme="majorBidi"/>
      <w:color w:val="FF0000"/>
      <w:sz w:val="36"/>
      <w:szCs w:val="36"/>
    </w:rPr>
  </w:style>
  <w:style w:type="paragraph" w:styleId="Heading2">
    <w:name w:val="heading 2"/>
    <w:basedOn w:val="Normal"/>
    <w:next w:val="Normal"/>
    <w:link w:val="Heading2Char"/>
    <w:uiPriority w:val="9"/>
    <w:unhideWhenUsed/>
    <w:qFormat/>
    <w:rsid w:val="00BA63D0"/>
    <w:pPr>
      <w:keepNext/>
      <w:keepLines/>
      <w:spacing w:before="200"/>
      <w:outlineLvl w:val="1"/>
    </w:pPr>
    <w:rPr>
      <w:rFonts w:ascii="Jotia" w:eastAsiaTheme="majorEastAsia" w:hAnsi="Jotia" w:cstheme="majorBidi"/>
      <w:sz w:val="32"/>
      <w:szCs w:val="26"/>
    </w:rPr>
  </w:style>
  <w:style w:type="paragraph" w:styleId="Heading3">
    <w:name w:val="heading 3"/>
    <w:basedOn w:val="Normal"/>
    <w:next w:val="Normal"/>
    <w:link w:val="Heading3Char"/>
    <w:uiPriority w:val="9"/>
    <w:unhideWhenUsed/>
    <w:qFormat/>
    <w:rsid w:val="00BA63D0"/>
    <w:pPr>
      <w:keepNext/>
      <w:keepLines/>
      <w:spacing w:before="200" w:after="0"/>
      <w:outlineLvl w:val="2"/>
    </w:pPr>
    <w:rPr>
      <w:rFonts w:ascii="Jotia" w:eastAsiaTheme="majorEastAsia" w:hAnsi="Jotia" w:cstheme="majorBidi"/>
      <w:sz w:val="28"/>
    </w:rPr>
  </w:style>
  <w:style w:type="paragraph" w:styleId="Heading4">
    <w:name w:val="heading 4"/>
    <w:basedOn w:val="Normal"/>
    <w:next w:val="Normal"/>
    <w:link w:val="Heading4Char"/>
    <w:uiPriority w:val="9"/>
    <w:unhideWhenUsed/>
    <w:qFormat/>
    <w:rsid w:val="00BA63D0"/>
    <w:pPr>
      <w:keepNext/>
      <w:keepLines/>
      <w:spacing w:before="200"/>
      <w:outlineLvl w:val="3"/>
    </w:pPr>
    <w:rPr>
      <w:rFonts w:ascii="Jotia" w:eastAsiaTheme="majorEastAsia" w:hAnsi="Jotia" w:cstheme="majorBidi"/>
      <w:sz w:val="24"/>
    </w:rPr>
  </w:style>
  <w:style w:type="paragraph" w:styleId="Heading5">
    <w:name w:val="heading 5"/>
    <w:basedOn w:val="Normal"/>
    <w:next w:val="Normal"/>
    <w:link w:val="Heading5Char"/>
    <w:uiPriority w:val="9"/>
    <w:unhideWhenUsed/>
    <w:qFormat/>
    <w:rsid w:val="00BA63D0"/>
    <w:pPr>
      <w:keepNext/>
      <w:keepLines/>
      <w:spacing w:before="200"/>
      <w:outlineLvl w:val="4"/>
    </w:pPr>
    <w:rPr>
      <w:rFonts w:ascii="FoundrySterling-Bold" w:eastAsiaTheme="majorEastAsia" w:hAnsi="FoundrySterling-Bold"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emarkable">
    <w:name w:val="Be Remarkable"/>
    <w:basedOn w:val="Title"/>
    <w:qFormat/>
    <w:rsid w:val="00F464B5"/>
    <w:rPr>
      <w:b w:val="0"/>
    </w:rPr>
  </w:style>
  <w:style w:type="paragraph" w:styleId="Title">
    <w:name w:val="Title"/>
    <w:basedOn w:val="Normal"/>
    <w:next w:val="Normal"/>
    <w:link w:val="TitleChar"/>
    <w:uiPriority w:val="10"/>
    <w:qFormat/>
    <w:rsid w:val="00026D6D"/>
    <w:pPr>
      <w:pBdr>
        <w:bottom w:val="single" w:sz="8" w:space="4" w:color="4F81BD"/>
      </w:pBdr>
      <w:spacing w:after="300"/>
      <w:contextualSpacing/>
    </w:pPr>
    <w:rPr>
      <w:rFonts w:ascii="Rockwell" w:eastAsiaTheme="majorEastAsia" w:hAnsi="Rockwell" w:cstheme="majorBidi"/>
      <w:b/>
      <w:color w:val="FF0000"/>
      <w:spacing w:val="5"/>
      <w:kern w:val="28"/>
      <w:sz w:val="52"/>
      <w:szCs w:val="52"/>
    </w:rPr>
  </w:style>
  <w:style w:type="character" w:customStyle="1" w:styleId="TitleChar">
    <w:name w:val="Title Char"/>
    <w:link w:val="Title"/>
    <w:uiPriority w:val="10"/>
    <w:rsid w:val="00026D6D"/>
    <w:rPr>
      <w:rFonts w:ascii="Rockwell" w:eastAsiaTheme="majorEastAsia" w:hAnsi="Rockwell" w:cstheme="majorBidi"/>
      <w:b/>
      <w:color w:val="FF0000"/>
      <w:spacing w:val="5"/>
      <w:kern w:val="28"/>
      <w:sz w:val="52"/>
      <w:szCs w:val="52"/>
    </w:rPr>
  </w:style>
  <w:style w:type="character" w:customStyle="1" w:styleId="Heading2Char">
    <w:name w:val="Heading 2 Char"/>
    <w:link w:val="Heading2"/>
    <w:uiPriority w:val="9"/>
    <w:rsid w:val="00BA63D0"/>
    <w:rPr>
      <w:rFonts w:ascii="Jotia" w:eastAsiaTheme="majorEastAsia" w:hAnsi="Jotia" w:cstheme="majorBidi"/>
      <w:sz w:val="32"/>
      <w:szCs w:val="26"/>
    </w:rPr>
  </w:style>
  <w:style w:type="character" w:customStyle="1" w:styleId="Heading3Char">
    <w:name w:val="Heading 3 Char"/>
    <w:link w:val="Heading3"/>
    <w:uiPriority w:val="9"/>
    <w:rsid w:val="00BA63D0"/>
    <w:rPr>
      <w:rFonts w:ascii="Jotia" w:eastAsiaTheme="majorEastAsia" w:hAnsi="Jotia" w:cstheme="majorBidi"/>
      <w:sz w:val="28"/>
    </w:rPr>
  </w:style>
  <w:style w:type="character" w:customStyle="1" w:styleId="Heading4Char">
    <w:name w:val="Heading 4 Char"/>
    <w:link w:val="Heading4"/>
    <w:uiPriority w:val="9"/>
    <w:rsid w:val="00BA63D0"/>
    <w:rPr>
      <w:rFonts w:ascii="Jotia" w:eastAsiaTheme="majorEastAsia" w:hAnsi="Jotia" w:cstheme="majorBidi"/>
      <w:sz w:val="24"/>
    </w:rPr>
  </w:style>
  <w:style w:type="character" w:customStyle="1" w:styleId="Heading5Char">
    <w:name w:val="Heading 5 Char"/>
    <w:link w:val="Heading5"/>
    <w:uiPriority w:val="9"/>
    <w:rsid w:val="00BA63D0"/>
    <w:rPr>
      <w:rFonts w:ascii="FoundrySterling-Bold" w:eastAsiaTheme="majorEastAsia" w:hAnsi="FoundrySterling-Bold" w:cstheme="majorBidi"/>
      <w:sz w:val="20"/>
    </w:rPr>
  </w:style>
  <w:style w:type="character" w:customStyle="1" w:styleId="Heading1Char">
    <w:name w:val="Heading 1 Char"/>
    <w:link w:val="Heading1"/>
    <w:uiPriority w:val="9"/>
    <w:rsid w:val="00BA63D0"/>
    <w:rPr>
      <w:rFonts w:ascii="Jotia Medium" w:eastAsiaTheme="majorEastAsia" w:hAnsi="Jotia Medium" w:cstheme="majorBidi"/>
      <w:color w:val="FF0000"/>
      <w:sz w:val="36"/>
      <w:szCs w:val="36"/>
    </w:rPr>
  </w:style>
  <w:style w:type="paragraph" w:styleId="NoSpacing">
    <w:name w:val="No Spacing"/>
    <w:uiPriority w:val="1"/>
    <w:qFormat/>
    <w:rsid w:val="00BA63D0"/>
    <w:pPr>
      <w:spacing w:after="0" w:line="240" w:lineRule="auto"/>
    </w:pPr>
    <w:rPr>
      <w:rFonts w:ascii="FoundrySterling-Light" w:hAnsi="FoundrySterling-Light"/>
      <w:sz w:val="20"/>
      <w:lang w:eastAsia="en-AU"/>
    </w:rPr>
  </w:style>
  <w:style w:type="paragraph" w:customStyle="1" w:styleId="blockquote">
    <w:name w:val="block quote"/>
    <w:basedOn w:val="Normal"/>
    <w:link w:val="blockquoteChar"/>
    <w:qFormat/>
    <w:rsid w:val="00BA63D0"/>
    <w:pPr>
      <w:spacing w:before="120"/>
      <w:ind w:left="1134" w:right="1134"/>
    </w:pPr>
    <w:rPr>
      <w:lang w:eastAsia="en-US"/>
    </w:rPr>
  </w:style>
  <w:style w:type="character" w:customStyle="1" w:styleId="blockquoteChar">
    <w:name w:val="block quote Char"/>
    <w:basedOn w:val="DefaultParagraphFont"/>
    <w:link w:val="blockquote"/>
    <w:rsid w:val="00BA63D0"/>
    <w:rPr>
      <w:rFonts w:ascii="FoundrySterling-Light" w:hAnsi="FoundrySterling-Light"/>
      <w:sz w:val="20"/>
    </w:rPr>
  </w:style>
  <w:style w:type="paragraph" w:customStyle="1" w:styleId="BulletPoints">
    <w:name w:val="Bullet Points"/>
    <w:basedOn w:val="Normal"/>
    <w:qFormat/>
    <w:rsid w:val="00BA63D0"/>
    <w:pPr>
      <w:numPr>
        <w:numId w:val="1"/>
      </w:numPr>
    </w:pPr>
  </w:style>
  <w:style w:type="paragraph" w:customStyle="1" w:styleId="Numberedlist">
    <w:name w:val="Numbered list"/>
    <w:basedOn w:val="Normal"/>
    <w:qFormat/>
    <w:rsid w:val="00BA63D0"/>
    <w:pPr>
      <w:numPr>
        <w:numId w:val="2"/>
      </w:numPr>
    </w:pPr>
  </w:style>
  <w:style w:type="paragraph" w:customStyle="1" w:styleId="RemarkableHeader">
    <w:name w:val="Remarkable Header"/>
    <w:basedOn w:val="Header"/>
    <w:link w:val="RemarkableHeaderChar"/>
    <w:qFormat/>
    <w:rsid w:val="002A0259"/>
    <w:rPr>
      <w:sz w:val="18"/>
    </w:rPr>
  </w:style>
  <w:style w:type="character" w:customStyle="1" w:styleId="RemarkableHeaderChar">
    <w:name w:val="Remarkable Header Char"/>
    <w:basedOn w:val="HeaderChar"/>
    <w:link w:val="RemarkableHeader"/>
    <w:rsid w:val="002A0259"/>
    <w:rPr>
      <w:rFonts w:ascii="FoundrySterling-Light" w:hAnsi="FoundrySterling-Light"/>
      <w:sz w:val="18"/>
      <w:lang w:eastAsia="en-AU"/>
    </w:rPr>
  </w:style>
  <w:style w:type="paragraph" w:styleId="Header">
    <w:name w:val="header"/>
    <w:basedOn w:val="Normal"/>
    <w:link w:val="HeaderChar"/>
    <w:uiPriority w:val="99"/>
    <w:semiHidden/>
    <w:unhideWhenUsed/>
    <w:rsid w:val="002A0259"/>
    <w:pPr>
      <w:tabs>
        <w:tab w:val="center" w:pos="4513"/>
        <w:tab w:val="right" w:pos="9026"/>
      </w:tabs>
      <w:spacing w:after="0"/>
    </w:pPr>
  </w:style>
  <w:style w:type="character" w:customStyle="1" w:styleId="HeaderChar">
    <w:name w:val="Header Char"/>
    <w:basedOn w:val="DefaultParagraphFont"/>
    <w:link w:val="Header"/>
    <w:uiPriority w:val="99"/>
    <w:semiHidden/>
    <w:rsid w:val="002A0259"/>
    <w:rPr>
      <w:rFonts w:ascii="FoundrySterling-Light" w:hAnsi="FoundrySterling-Light"/>
      <w:sz w:val="20"/>
      <w:lang w:eastAsia="en-AU"/>
    </w:rPr>
  </w:style>
  <w:style w:type="paragraph" w:customStyle="1" w:styleId="RemarkableFooter">
    <w:name w:val="Remarkable Footer"/>
    <w:basedOn w:val="Normal"/>
    <w:link w:val="RemarkableFooterChar"/>
    <w:qFormat/>
    <w:rsid w:val="002A0259"/>
    <w:rPr>
      <w:sz w:val="18"/>
    </w:rPr>
  </w:style>
  <w:style w:type="character" w:customStyle="1" w:styleId="RemarkableFooterChar">
    <w:name w:val="Remarkable Footer Char"/>
    <w:basedOn w:val="DefaultParagraphFont"/>
    <w:link w:val="RemarkableFooter"/>
    <w:rsid w:val="002A0259"/>
    <w:rPr>
      <w:rFonts w:ascii="FoundrySterling-Light" w:hAnsi="FoundrySterling-Light"/>
      <w:sz w:val="18"/>
      <w:lang w:eastAsia="en-AU"/>
    </w:rPr>
  </w:style>
  <w:style w:type="paragraph" w:customStyle="1" w:styleId="FooterRemarkable">
    <w:name w:val="Footer Remarkable"/>
    <w:basedOn w:val="Normal"/>
    <w:link w:val="FooterRemarkableChar"/>
    <w:qFormat/>
    <w:rsid w:val="00341296"/>
    <w:rPr>
      <w:sz w:val="18"/>
    </w:rPr>
  </w:style>
  <w:style w:type="character" w:customStyle="1" w:styleId="FooterRemarkableChar">
    <w:name w:val="Footer Remarkable Char"/>
    <w:basedOn w:val="DefaultParagraphFont"/>
    <w:link w:val="FooterRemarkable"/>
    <w:rsid w:val="00341296"/>
    <w:rPr>
      <w:rFonts w:ascii="FoundrySterling-Light" w:hAnsi="FoundrySterling-Light"/>
      <w:sz w:val="18"/>
      <w:lang w:eastAsia="en-AU"/>
    </w:rPr>
  </w:style>
  <w:style w:type="paragraph" w:customStyle="1" w:styleId="HeaderRemarkable">
    <w:name w:val="Header Remarkable"/>
    <w:basedOn w:val="Header"/>
    <w:link w:val="HeaderRemarkableChar"/>
    <w:qFormat/>
    <w:rsid w:val="00341296"/>
    <w:rPr>
      <w:sz w:val="18"/>
    </w:rPr>
  </w:style>
  <w:style w:type="character" w:customStyle="1" w:styleId="HeaderRemarkableChar">
    <w:name w:val="Header Remarkable Char"/>
    <w:basedOn w:val="HeaderChar"/>
    <w:link w:val="HeaderRemarkable"/>
    <w:rsid w:val="00341296"/>
    <w:rPr>
      <w:rFonts w:ascii="FoundrySterling-Light" w:hAnsi="FoundrySterling-Light"/>
      <w:sz w:val="18"/>
      <w:lang w:eastAsia="en-AU"/>
    </w:rPr>
  </w:style>
  <w:style w:type="paragraph" w:styleId="Footer">
    <w:name w:val="footer"/>
    <w:basedOn w:val="Normal"/>
    <w:link w:val="FooterChar"/>
    <w:uiPriority w:val="99"/>
    <w:rsid w:val="00E15196"/>
    <w:pPr>
      <w:tabs>
        <w:tab w:val="center" w:pos="4153"/>
        <w:tab w:val="right" w:pos="8306"/>
      </w:tabs>
    </w:pPr>
  </w:style>
  <w:style w:type="character" w:customStyle="1" w:styleId="FooterChar">
    <w:name w:val="Footer Char"/>
    <w:basedOn w:val="DefaultParagraphFont"/>
    <w:link w:val="Footer"/>
    <w:uiPriority w:val="99"/>
    <w:rsid w:val="00E15196"/>
    <w:rPr>
      <w:rFonts w:ascii="Arial" w:eastAsia="Times New Roman" w:hAnsi="Arial" w:cs="Times New Roman"/>
      <w:szCs w:val="20"/>
      <w:lang w:eastAsia="en-AU"/>
    </w:rPr>
  </w:style>
  <w:style w:type="table" w:styleId="TableGrid">
    <w:name w:val="Table Grid"/>
    <w:basedOn w:val="TableNormal"/>
    <w:rsid w:val="00E15196"/>
    <w:pPr>
      <w:spacing w:after="120" w:line="240" w:lineRule="auto"/>
      <w:ind w:left="567"/>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5196"/>
    <w:rPr>
      <w:color w:val="2F5496" w:themeColor="accent1" w:themeShade="BF"/>
      <w:u w:val="single"/>
    </w:rPr>
  </w:style>
  <w:style w:type="paragraph" w:styleId="ListParagraph">
    <w:name w:val="List Paragraph"/>
    <w:basedOn w:val="Normal"/>
    <w:uiPriority w:val="34"/>
    <w:qFormat/>
    <w:rsid w:val="00E15196"/>
    <w:pPr>
      <w:ind w:left="720"/>
    </w:pPr>
  </w:style>
  <w:style w:type="character" w:styleId="HTMLCite">
    <w:name w:val="HTML Cite"/>
    <w:basedOn w:val="DefaultParagraphFont"/>
    <w:uiPriority w:val="99"/>
    <w:semiHidden/>
    <w:unhideWhenUsed/>
    <w:rsid w:val="00E15196"/>
    <w:rPr>
      <w:i/>
      <w:iCs/>
    </w:rPr>
  </w:style>
  <w:style w:type="paragraph" w:styleId="BalloonText">
    <w:name w:val="Balloon Text"/>
    <w:basedOn w:val="Normal"/>
    <w:link w:val="BalloonTextChar"/>
    <w:uiPriority w:val="99"/>
    <w:semiHidden/>
    <w:unhideWhenUsed/>
    <w:rsid w:val="00C177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7C8"/>
    <w:rPr>
      <w:rFonts w:ascii="Segoe UI" w:eastAsia="Times New Roman" w:hAnsi="Segoe UI" w:cs="Segoe UI"/>
      <w:sz w:val="18"/>
      <w:szCs w:val="18"/>
      <w:lang w:eastAsia="en-AU"/>
    </w:rPr>
  </w:style>
  <w:style w:type="character" w:styleId="UnresolvedMention">
    <w:name w:val="Unresolved Mention"/>
    <w:basedOn w:val="DefaultParagraphFont"/>
    <w:uiPriority w:val="99"/>
    <w:semiHidden/>
    <w:unhideWhenUsed/>
    <w:rsid w:val="004F5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cies.griffith.edu.au/pdf/Griffith%20University%20Academic%20Staff%20Enterprise%20Agreement%202012-2016.pdf" TargetMode="External"/><Relationship Id="rId18" Type="http://schemas.openxmlformats.org/officeDocument/2006/relationships/hyperlink" Target="http://policies.griffith.edu.au/pdf/Public%20Interest%20Disclosure%20Policy.pdf" TargetMode="External"/><Relationship Id="rId26" Type="http://schemas.openxmlformats.org/officeDocument/2006/relationships/hyperlink" Target="https://www.legislation.gov.au/Details/C2017C00323" TargetMode="External"/><Relationship Id="rId39" Type="http://schemas.openxmlformats.org/officeDocument/2006/relationships/hyperlink" Target="https://www.legislation.qld.gov.au/view/pdf/2017-06-05/act-1991-085" TargetMode="External"/><Relationship Id="rId21" Type="http://schemas.openxmlformats.org/officeDocument/2006/relationships/hyperlink" Target="http://policies.griffith.edu.au/pdf/Student%20Sexual%20Assault%20Harassment%20Bullying%20and%20Discrimination%20Policy.pdf" TargetMode="External"/><Relationship Id="rId34" Type="http://schemas.openxmlformats.org/officeDocument/2006/relationships/hyperlink" Target="https://www.legislation.qld.gov.au/view/html/inforce/current/act-1991-085" TargetMode="External"/><Relationship Id="rId42" Type="http://schemas.openxmlformats.org/officeDocument/2006/relationships/hyperlink" Target="https://www.safeworkaustralia.gov.au/system/files/documents/1702/guide-preventing-responding-workplace-bullying.pdf" TargetMode="External"/><Relationship Id="rId47" Type="http://schemas.openxmlformats.org/officeDocument/2006/relationships/hyperlink" Target="https://www.griffith.edu.au/safe-campuses" TargetMode="External"/><Relationship Id="rId50" Type="http://schemas.openxmlformats.org/officeDocument/2006/relationships/hyperlink" Target="http://policies.griffith.edu.au/pdf/Reporting%20and%20Resolution%20of%20Staff%20Sexual%20Assault%20Harassment%20Bullying%20and%20Discrimination%20Procedures.pdf" TargetMode="External"/><Relationship Id="rId55" Type="http://schemas.openxmlformats.org/officeDocument/2006/relationships/hyperlink" Target="http://www.worksafe.qld.gov.au" TargetMode="External"/><Relationship Id="rId7" Type="http://schemas.openxmlformats.org/officeDocument/2006/relationships/webSettings" Target="webSettings.xml"/><Relationship Id="rId12" Type="http://schemas.openxmlformats.org/officeDocument/2006/relationships/hyperlink" Target="http://policies.griffith.edu.au/pdf/Code%20of%20Conduct.pdf" TargetMode="External"/><Relationship Id="rId17" Type="http://schemas.openxmlformats.org/officeDocument/2006/relationships/hyperlink" Target="http://policies.griffith.edu.au/pdf/Information%20Technology%20Code%20of%20Practice.pdf" TargetMode="External"/><Relationship Id="rId25" Type="http://schemas.openxmlformats.org/officeDocument/2006/relationships/hyperlink" Target="https://www.fwc.gov.au/" TargetMode="External"/><Relationship Id="rId33" Type="http://schemas.openxmlformats.org/officeDocument/2006/relationships/hyperlink" Target="https://sharepointpubstor.blob.core.windows.net/policylibrary-prod/Student%20Charter%20Framework.pdf" TargetMode="External"/><Relationship Id="rId38" Type="http://schemas.openxmlformats.org/officeDocument/2006/relationships/hyperlink" Target="https://www.safeworkaustralia.gov.au/system/files/documents/1702/guide-preventing-responding-workplace-bullying.pdf" TargetMode="External"/><Relationship Id="rId46" Type="http://schemas.openxmlformats.org/officeDocument/2006/relationships/hyperlink" Target="https://www.griffith.edu.au/staff/human-resources" TargetMode="External"/><Relationship Id="rId2" Type="http://schemas.openxmlformats.org/officeDocument/2006/relationships/customXml" Target="../customXml/item2.xml"/><Relationship Id="rId16" Type="http://schemas.openxmlformats.org/officeDocument/2006/relationships/hyperlink" Target="http://policies.griffith.edu.au/pdf/Individual%20Grievance%20Resolution%20Procedure.pdf" TargetMode="External"/><Relationship Id="rId20" Type="http://schemas.openxmlformats.org/officeDocument/2006/relationships/hyperlink" Target="http://policies.griffith.edu.au/pdf/Staff%20Sexual%20Assault%20and%20Sexual%20Harassment%20Policy.pdf" TargetMode="External"/><Relationship Id="rId29" Type="http://schemas.openxmlformats.org/officeDocument/2006/relationships/hyperlink" Target="https://www.worksafe.qld.gov.au/" TargetMode="External"/><Relationship Id="rId41" Type="http://schemas.openxmlformats.org/officeDocument/2006/relationships/hyperlink" Target="https://www.legislation.gov.au/Details/C2017C00323/Html/Volume_1" TargetMode="External"/><Relationship Id="rId54" Type="http://schemas.openxmlformats.org/officeDocument/2006/relationships/hyperlink" Target="http://www.ombudsman.qld.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griffith.edu.au/pdf/Academic%20Freedom%20and%20Freedom%20of%20Speech%20Policy.pdf" TargetMode="External"/><Relationship Id="rId24" Type="http://schemas.openxmlformats.org/officeDocument/2006/relationships/hyperlink" Target="https://www.legislation.gov.au/Details/C2018C00050" TargetMode="External"/><Relationship Id="rId32" Type="http://schemas.openxmlformats.org/officeDocument/2006/relationships/hyperlink" Target="http://policies.griffith.edu.au/pdf/Student%20Misconduct%20Policy.pdf" TargetMode="External"/><Relationship Id="rId37" Type="http://schemas.openxmlformats.org/officeDocument/2006/relationships/hyperlink" Target="https://www.legislation.gov.au/Details/C2017C00323" TargetMode="External"/><Relationship Id="rId40" Type="http://schemas.openxmlformats.org/officeDocument/2006/relationships/hyperlink" Target="http://policies.griffith.edu.au/pdf/Code%20of%20Conduct.pdf" TargetMode="External"/><Relationship Id="rId45" Type="http://schemas.openxmlformats.org/officeDocument/2006/relationships/hyperlink" Target="https://eoonlinev2.uow.edu.au/splash.aspx?ReturnUrl=%2fDefault.aspx" TargetMode="External"/><Relationship Id="rId53" Type="http://schemas.openxmlformats.org/officeDocument/2006/relationships/hyperlink" Target="http://www.fwc.gov.au"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policies.griffith.edu.au/pdf/Health%20and%20Safety%20Policy.pdf" TargetMode="External"/><Relationship Id="rId23" Type="http://schemas.openxmlformats.org/officeDocument/2006/relationships/hyperlink" Target="https://www.humanrights.gov.au/our-work/employers" TargetMode="External"/><Relationship Id="rId28" Type="http://schemas.openxmlformats.org/officeDocument/2006/relationships/hyperlink" Target="http://www.ombudsman.qld.gov.au/" TargetMode="External"/><Relationship Id="rId36" Type="http://schemas.openxmlformats.org/officeDocument/2006/relationships/hyperlink" Target="https://www.legislation.gov.au/Details/C2018C00050" TargetMode="External"/><Relationship Id="rId49" Type="http://schemas.openxmlformats.org/officeDocument/2006/relationships/hyperlink" Target="https://app.secure.griffith.edu.au/phonebook/browse.php?level=4&amp;id=Corporate+Services&amp;id2=People+and+Wellbeing&amp;id3=HR+Business+Partners" TargetMode="External"/><Relationship Id="rId57"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policies.griffith.edu.au/pdf/Reporting%20and%20Resolution%20of%20Staff%20Sexual%20Assault%20Harassment%20Bullying%20and%20Discrimination%20Procedures.pdf" TargetMode="External"/><Relationship Id="rId31" Type="http://schemas.openxmlformats.org/officeDocument/2006/relationships/hyperlink" Target="http://policies.griffith.edu.au/pdf/Student%20Sexual%20Assault%20Harassment%20Bullying%20and%20Discrimination%20Policy.pdf" TargetMode="External"/><Relationship Id="rId44" Type="http://schemas.openxmlformats.org/officeDocument/2006/relationships/hyperlink" Target="http://policies.griffith.edu.au/pdf/Equity%20Diversity%20and%20Inclusion%20Policy.pdf" TargetMode="External"/><Relationship Id="rId52" Type="http://schemas.openxmlformats.org/officeDocument/2006/relationships/hyperlink" Target="http://www.humanrights.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olicies.griffith.edu.au/pdf/Griffith%20University%20General%20Staff%20Enterprise%20Agreement%202012-2016.pdf" TargetMode="External"/><Relationship Id="rId22" Type="http://schemas.openxmlformats.org/officeDocument/2006/relationships/hyperlink" Target="https://www.adcq.qld.gov.au/" TargetMode="External"/><Relationship Id="rId27" Type="http://schemas.openxmlformats.org/officeDocument/2006/relationships/hyperlink" Target="http://www.safeworkaustralia.gov.au/sites/swa/about/publications/pages/guide-workplace-bullying" TargetMode="External"/><Relationship Id="rId30" Type="http://schemas.openxmlformats.org/officeDocument/2006/relationships/hyperlink" Target="http://policies.griffith.edu.au/pdf/Information%20Technology%20Code%20of%20Practice.pdf" TargetMode="External"/><Relationship Id="rId35" Type="http://schemas.openxmlformats.org/officeDocument/2006/relationships/hyperlink" Target="https://www.legislation.gov.au/Details/C2017C00323" TargetMode="External"/><Relationship Id="rId43" Type="http://schemas.openxmlformats.org/officeDocument/2006/relationships/hyperlink" Target="https://www.legislation.gov.au/Details/C2017C00323/Html/Volume_1" TargetMode="External"/><Relationship Id="rId48" Type="http://schemas.openxmlformats.org/officeDocument/2006/relationships/hyperlink" Target="https://intranet.secure.griffith.edu.au/community-welfare-recreation/equity-diversity/harassment-discrimination-bullying" TargetMode="External"/><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www.adcq.qld.gov.au"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licyadvisor xmlns="2f261a70-825f-4a37-b7b5-f6ecc2f4c5fa">
      <UserInfo>
        <DisplayName>Jacques Liebenberg</DisplayName>
        <AccountId>237</AccountId>
        <AccountType/>
      </UserInfo>
    </policyadvisor>
    <datedeclared xmlns="2f261a70-825f-4a37-b7b5-f6ecc2f4c5fa">2018-08-29T14:00:00+00:00</datedeclared>
    <extlink xmlns="2f261a70-825f-4a37-b7b5-f6ecc2f4c5fa">
      <Url xsi:nil="true"/>
      <Description xsi:nil="true"/>
    </extlink>
    <policysummary xmlns="2f261a70-825f-4a37-b7b5-f6ecc2f4c5fa">This policy is designed to provide an overview of the University's approach to harassment, bullying and discrimination by staff.</policysummary>
    <TaxCatchAll xmlns="b40c662e-0380-4817-843d-2c7e10d40c39">
      <Value>48</Value>
      <Value>82</Value>
      <Value>522</Value>
      <Value>78</Value>
      <Value>111</Value>
      <Value>75</Value>
      <Value>69</Value>
    </TaxCatchAll>
    <docsort xmlns="2f261a70-825f-4a37-b7b5-f6ecc2f4c5fa">10</docsort>
    <doccomments xmlns="2f261a70-825f-4a37-b7b5-f6ecc2f4c5fa">03/04/2024 - Standing COO Admin editorial approval - Rescinded Student Charter links/references updated to new Student Charter Framework.</doccomments>
    <PublishOn xmlns="2f261a70-825f-4a37-b7b5-f6ecc2f4c5fa">2021-02-05T11:02:51+00:00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fa4a663b-66b4-447a-906e-c740a2fee828</TermId>
        </TermInfo>
      </Terms>
    </l92b321e1c6d4932b3b7fc50f551e57a>
    <PDFBlobURL xmlns="2f261a70-825f-4a37-b7b5-f6ecc2f4c5fa" xsi:nil="true"/>
    <PolicyCategoryPath xmlns="2f261a70-825f-4a37-b7b5-f6ecc2f4c5fa">Operational:Staff</PolicyCategoryPath>
    <PolicyCategory0 xmlns="2f261a70-825f-4a37-b7b5-f6ecc2f4c5fa">Staff</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Grievances</TermName>
          <TermId xmlns="http://schemas.microsoft.com/office/infopath/2007/PartnerControls">7d841a3e-08e2-499c-beb5-4ef9df5cb67d</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Operational</PolicyCategoryParent>
    <LastPublished xmlns="2f261a70-825f-4a37-b7b5-f6ecc2f4c5fa">2024-04-02T14:00:00+00:00</LastPublished>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895e1bd4-e176-48a8-a408-81b6fcc49086</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Chancellor</TermName>
          <TermId xmlns="http://schemas.microsoft.com/office/infopath/2007/PartnerControls">eaca6187-2c86-4c60-9b31-6cf3c86aa1e1</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A5454-7858-4E68-B027-29F13D2120A0}">
  <ds:schemaRefs>
    <ds:schemaRef ds:uri="http://purl.org/dc/terms/"/>
    <ds:schemaRef ds:uri="2f261a70-825f-4a37-b7b5-f6ecc2f4c5fa"/>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 ds:uri="http://schemas.openxmlformats.org/package/2006/metadata/core-properties"/>
    <ds:schemaRef ds:uri="b40c662e-0380-4817-843d-2c7e10d40c39"/>
    <ds:schemaRef ds:uri="http://purl.org/dc/dcmitype/"/>
  </ds:schemaRefs>
</ds:datastoreItem>
</file>

<file path=customXml/itemProps2.xml><?xml version="1.0" encoding="utf-8"?>
<ds:datastoreItem xmlns:ds="http://schemas.openxmlformats.org/officeDocument/2006/customXml" ds:itemID="{329CDE0D-371F-4D3E-83B4-CEE97F9AEE57}">
  <ds:schemaRefs>
    <ds:schemaRef ds:uri="http://schemas.microsoft.com/sharepoint/v3/contenttype/forms"/>
  </ds:schemaRefs>
</ds:datastoreItem>
</file>

<file path=customXml/itemProps3.xml><?xml version="1.0" encoding="utf-8"?>
<ds:datastoreItem xmlns:ds="http://schemas.openxmlformats.org/officeDocument/2006/customXml" ds:itemID="{603C831F-01C2-478F-9838-475E7FD7B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22</TotalTime>
  <Pages>6</Pages>
  <Words>3310</Words>
  <Characters>18871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Staff Harassment Bullying and Discrimination Policy</vt:lpstr>
    </vt:vector>
  </TitlesOfParts>
  <Company>Griffith University</Company>
  <LinksUpToDate>false</LinksUpToDate>
  <CharactersWithSpaces>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Harassment Bullying and Discrimination Policy</dc:title>
  <dc:subject/>
  <dc:creator>soeadmin</dc:creator>
  <cp:keywords>Offensive behaviour, belittling behaviour, humiliating behaviour, intimidating behaviour, behaviour directed to an individual, bullying policy, reporting harassment, discrimination, workplace, issues, bullying, threatening, repeated behaviour, unwanted behaviour, unwarranted</cp:keywords>
  <dc:description/>
  <cp:lastModifiedBy>John Montgomery</cp:lastModifiedBy>
  <cp:revision>15</cp:revision>
  <cp:lastPrinted>2018-10-11T05:43:00Z</cp:lastPrinted>
  <dcterms:created xsi:type="dcterms:W3CDTF">2020-07-01T09:04:00Z</dcterms:created>
  <dcterms:modified xsi:type="dcterms:W3CDTF">2024-04-26T03:40:00Z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c3548c89-8857-4ea7-a7c9-0977c5cf15e0</vt:lpwstr>
  </property>
  <property fmtid="{D5CDD505-2E9C-101B-9397-08002B2CF9AE}" pid="4" name="policysection">
    <vt:lpwstr>48;#Grievances|7d841a3e-08e2-499c-beb5-4ef9df5cb67d</vt:lpwstr>
  </property>
  <property fmtid="{D5CDD505-2E9C-101B-9397-08002B2CF9AE}" pid="5" name="policycategory">
    <vt:lpwstr>69;#Policy|9279309a-7669-47c5-bf96-cc165d8b3ede</vt:lpwstr>
  </property>
  <property fmtid="{D5CDD505-2E9C-101B-9397-08002B2CF9AE}" pid="6" name="appauthority">
    <vt:lpwstr>111;#Vice Chancellor|eaca6187-2c86-4c60-9b31-6cf3c86aa1e1</vt:lpwstr>
  </property>
  <property fmtid="{D5CDD505-2E9C-101B-9397-08002B2CF9AE}" pid="7" name="glossaryterms">
    <vt:lpwstr/>
  </property>
  <property fmtid="{D5CDD505-2E9C-101B-9397-08002B2CF9AE}" pid="8" name="officearea">
    <vt:lpwstr>82;#HR|fa4a663b-66b4-447a-906e-c740a2fee828</vt:lpwstr>
  </property>
  <property fmtid="{D5CDD505-2E9C-101B-9397-08002B2CF9AE}" pid="9" name="policyaudience">
    <vt:lpwstr>75;#Public|57bf670e-9d88-4715-a670-60ecbe232471</vt:lpwstr>
  </property>
  <property fmtid="{D5CDD505-2E9C-101B-9397-08002B2CF9AE}" pid="10" name="policyreview">
    <vt:lpwstr>78;#2023|895e1bd4-e176-48a8-a408-81b6fcc49086</vt:lpwstr>
  </property>
  <property fmtid="{D5CDD505-2E9C-101B-9397-08002B2CF9AE}" pid="11" name="doccomments">
    <vt:lpwstr/>
  </property>
  <property fmtid="{D5CDD505-2E9C-101B-9397-08002B2CF9AE}" pid="12" name="Order">
    <vt:r8>72500</vt:r8>
  </property>
  <property fmtid="{D5CDD505-2E9C-101B-9397-08002B2CF9AE}" pid="13" name="xd_ProgID">
    <vt:lpwstr/>
  </property>
  <property fmtid="{D5CDD505-2E9C-101B-9397-08002B2CF9AE}" pid="14" name="TemplateUrl">
    <vt:lpwstr/>
  </property>
  <property fmtid="{D5CDD505-2E9C-101B-9397-08002B2CF9AE}" pid="15" name="policy-category">
    <vt:lpwstr>522;#Staff|3e9f4474-6295-47f7-a166-0065c4fb1613</vt:lpwstr>
  </property>
  <property fmtid="{D5CDD505-2E9C-101B-9397-08002B2CF9AE}" pid="16" name="DelayPublish">
    <vt:lpwstr>No</vt:lpwstr>
  </property>
  <property fmtid="{D5CDD505-2E9C-101B-9397-08002B2CF9AE}" pid="17" name="Managed_Testing_Field">
    <vt:lpwstr/>
  </property>
</Properties>
</file>