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D2EA" w14:textId="04F0F060" w:rsidR="00397C16" w:rsidRPr="000F02B6" w:rsidRDefault="00397C16" w:rsidP="00E875A7">
      <w:pPr>
        <w:pStyle w:val="Title"/>
        <w:spacing w:before="120" w:after="120" w:line="240" w:lineRule="auto"/>
        <w:ind w:right="56"/>
        <w:rPr>
          <w:rFonts w:ascii="Arial" w:hAnsi="Arial" w:cs="Arial"/>
        </w:rPr>
      </w:pPr>
      <w:bookmarkStart w:id="0" w:name="_Ref20321537"/>
      <w:r w:rsidRPr="000F02B6">
        <w:rPr>
          <w:rFonts w:ascii="Arial" w:hAnsi="Arial" w:cs="Arial"/>
        </w:rPr>
        <w:t>Staff Direction: Identifying</w:t>
      </w:r>
      <w:r w:rsidR="00A33A27">
        <w:rPr>
          <w:rFonts w:ascii="Arial" w:hAnsi="Arial" w:cs="Arial"/>
        </w:rPr>
        <w:br/>
      </w:r>
      <w:r w:rsidRPr="000F02B6">
        <w:rPr>
          <w:rFonts w:ascii="Arial" w:hAnsi="Arial" w:cs="Arial"/>
        </w:rPr>
        <w:t xml:space="preserve">and Preventing Breaches of </w:t>
      </w:r>
      <w:r w:rsidR="00A33A27">
        <w:rPr>
          <w:rFonts w:ascii="Arial" w:hAnsi="Arial" w:cs="Arial"/>
        </w:rPr>
        <w:br/>
      </w:r>
      <w:r w:rsidRPr="000F02B6">
        <w:rPr>
          <w:rFonts w:ascii="Arial" w:hAnsi="Arial" w:cs="Arial"/>
        </w:rPr>
        <w:t xml:space="preserve">Academic Integrity </w:t>
      </w:r>
    </w:p>
    <w:p w14:paraId="5DCD3371" w14:textId="1D4A6C61" w:rsidR="008F75E7" w:rsidRPr="000F02B6" w:rsidRDefault="008F75E7" w:rsidP="00E875A7">
      <w:pPr>
        <w:pStyle w:val="TOC1"/>
        <w:ind w:right="56"/>
        <w:rPr>
          <w:rFonts w:eastAsiaTheme="minorEastAsia"/>
          <w:color w:val="auto"/>
          <w:szCs w:val="24"/>
          <w14:ligatures w14:val="standardContextual"/>
        </w:rPr>
      </w:pPr>
      <w:r w:rsidRPr="000F02B6">
        <w:rPr>
          <w:szCs w:val="24"/>
        </w:rPr>
        <w:fldChar w:fldCharType="begin"/>
      </w:r>
      <w:r w:rsidRPr="000F02B6">
        <w:rPr>
          <w:szCs w:val="24"/>
        </w:rPr>
        <w:instrText xml:space="preserve"> TOC \o "1-2" \n \p " " \h \z \u </w:instrText>
      </w:r>
      <w:r w:rsidRPr="000F02B6">
        <w:rPr>
          <w:szCs w:val="24"/>
        </w:rPr>
        <w:fldChar w:fldCharType="separate"/>
      </w:r>
      <w:hyperlink w:anchor="_Toc148329304" w:history="1">
        <w:r w:rsidRPr="000F02B6">
          <w:rPr>
            <w:rStyle w:val="Hyperlink"/>
            <w:sz w:val="24"/>
            <w:szCs w:val="24"/>
          </w:rPr>
          <w:t>1.0 Purpose</w:t>
        </w:r>
      </w:hyperlink>
    </w:p>
    <w:p w14:paraId="243B53CA" w14:textId="60DCD55B" w:rsidR="008F75E7" w:rsidRPr="000F02B6" w:rsidRDefault="0087374C" w:rsidP="00E875A7">
      <w:pPr>
        <w:pStyle w:val="TOC1"/>
        <w:ind w:right="56"/>
        <w:rPr>
          <w:rFonts w:eastAsiaTheme="minorEastAsia"/>
          <w:color w:val="auto"/>
          <w:szCs w:val="24"/>
          <w14:ligatures w14:val="standardContextual"/>
        </w:rPr>
      </w:pPr>
      <w:r w:rsidRPr="000F02B6">
        <w:rPr>
          <w:szCs w:val="24"/>
        </w:rPr>
        <w:t xml:space="preserve">2.0 </w:t>
      </w:r>
      <w:hyperlink w:anchor="_Toc148329305" w:history="1">
        <w:r w:rsidR="008F75E7" w:rsidRPr="000F02B6">
          <w:rPr>
            <w:rStyle w:val="Hyperlink"/>
            <w:sz w:val="24"/>
            <w:szCs w:val="24"/>
          </w:rPr>
          <w:t>Scope</w:t>
        </w:r>
      </w:hyperlink>
    </w:p>
    <w:p w14:paraId="6AB19858" w14:textId="3CB0B3CC" w:rsidR="007C70B4" w:rsidRPr="000F02B6" w:rsidRDefault="0087374C" w:rsidP="00E875A7">
      <w:pPr>
        <w:pStyle w:val="TOC1"/>
        <w:ind w:right="56"/>
        <w:rPr>
          <w:rStyle w:val="Hyperlink"/>
          <w:sz w:val="24"/>
          <w:szCs w:val="24"/>
        </w:rPr>
      </w:pPr>
      <w:r w:rsidRPr="000F02B6">
        <w:rPr>
          <w:szCs w:val="24"/>
        </w:rPr>
        <w:t xml:space="preserve">3.0 </w:t>
      </w:r>
      <w:hyperlink w:anchor="_Toc148329306" w:history="1">
        <w:r w:rsidR="008F75E7" w:rsidRPr="000F02B6">
          <w:rPr>
            <w:rStyle w:val="Hyperlink"/>
            <w:sz w:val="24"/>
            <w:szCs w:val="24"/>
          </w:rPr>
          <w:t>Guidelines</w:t>
        </w:r>
      </w:hyperlink>
      <w:r w:rsidR="008F75E7" w:rsidRPr="000F02B6">
        <w:rPr>
          <w:rStyle w:val="Hyperlink"/>
          <w:sz w:val="24"/>
          <w:szCs w:val="24"/>
        </w:rPr>
        <w:t xml:space="preserve"> </w:t>
      </w:r>
    </w:p>
    <w:p w14:paraId="07CB1D35" w14:textId="61EE5AAB" w:rsidR="008F75E7" w:rsidRPr="00AB433E" w:rsidRDefault="00A23C82" w:rsidP="00E875A7">
      <w:pPr>
        <w:pStyle w:val="TOC1"/>
        <w:ind w:left="284" w:right="56"/>
        <w:rPr>
          <w:rFonts w:eastAsiaTheme="minorEastAsia"/>
          <w:szCs w:val="24"/>
          <w14:ligatures w14:val="standardContextual"/>
        </w:rPr>
      </w:pPr>
      <w:hyperlink w:anchor="_Toc148329307" w:history="1">
        <w:r w:rsidR="008F75E7" w:rsidRPr="00AB433E">
          <w:rPr>
            <w:rStyle w:val="Hyperlink"/>
            <w:sz w:val="24"/>
            <w:szCs w:val="24"/>
          </w:rPr>
          <w:t>3.1 Responding to Academic Misconduct</w:t>
        </w:r>
      </w:hyperlink>
    </w:p>
    <w:p w14:paraId="162C359A" w14:textId="5E122205" w:rsidR="008F75E7" w:rsidRPr="000F02B6" w:rsidRDefault="0087374C" w:rsidP="00E875A7">
      <w:pPr>
        <w:pStyle w:val="TOC1"/>
        <w:ind w:right="56"/>
        <w:rPr>
          <w:rFonts w:eastAsiaTheme="minorEastAsia"/>
          <w:color w:val="auto"/>
          <w:szCs w:val="24"/>
          <w14:ligatures w14:val="standardContextual"/>
        </w:rPr>
      </w:pPr>
      <w:r w:rsidRPr="000F02B6">
        <w:rPr>
          <w:szCs w:val="24"/>
        </w:rPr>
        <w:t xml:space="preserve">4.0 </w:t>
      </w:r>
      <w:hyperlink w:anchor="_Toc148329308" w:history="1">
        <w:r w:rsidR="008F75E7" w:rsidRPr="000F02B6">
          <w:rPr>
            <w:rStyle w:val="Hyperlink"/>
            <w:sz w:val="24"/>
            <w:szCs w:val="24"/>
          </w:rPr>
          <w:t>Definitions</w:t>
        </w:r>
      </w:hyperlink>
    </w:p>
    <w:p w14:paraId="39110307" w14:textId="4898BB99" w:rsidR="008F75E7" w:rsidRPr="000F02B6" w:rsidRDefault="0087374C" w:rsidP="00E875A7">
      <w:pPr>
        <w:pStyle w:val="TOC1"/>
        <w:ind w:right="56"/>
        <w:rPr>
          <w:rFonts w:eastAsiaTheme="minorEastAsia"/>
          <w:color w:val="auto"/>
          <w:szCs w:val="24"/>
          <w14:ligatures w14:val="standardContextual"/>
        </w:rPr>
      </w:pPr>
      <w:r w:rsidRPr="000F02B6">
        <w:rPr>
          <w:szCs w:val="24"/>
        </w:rPr>
        <w:t xml:space="preserve">5.0 </w:t>
      </w:r>
      <w:hyperlink w:anchor="_Toc148329309" w:history="1">
        <w:r w:rsidR="008F75E7" w:rsidRPr="000F02B6">
          <w:rPr>
            <w:rStyle w:val="Hyperlink"/>
            <w:sz w:val="24"/>
            <w:szCs w:val="24"/>
          </w:rPr>
          <w:t>Information</w:t>
        </w:r>
      </w:hyperlink>
    </w:p>
    <w:p w14:paraId="0E00B45A" w14:textId="3FE34CC7" w:rsidR="008F75E7" w:rsidRPr="000F02B6" w:rsidRDefault="0087374C" w:rsidP="00E875A7">
      <w:pPr>
        <w:pStyle w:val="TOC1"/>
        <w:ind w:right="56"/>
        <w:rPr>
          <w:szCs w:val="24"/>
        </w:rPr>
      </w:pPr>
      <w:r w:rsidRPr="000F02B6">
        <w:rPr>
          <w:szCs w:val="24"/>
        </w:rPr>
        <w:t xml:space="preserve">6.0 </w:t>
      </w:r>
      <w:hyperlink w:anchor="_Toc148329310" w:history="1">
        <w:r w:rsidR="008F75E7" w:rsidRPr="000F02B6">
          <w:rPr>
            <w:rStyle w:val="Hyperlink"/>
            <w:sz w:val="24"/>
            <w:szCs w:val="24"/>
          </w:rPr>
          <w:t>Related Policy Documents and Supporting Documents</w:t>
        </w:r>
      </w:hyperlink>
      <w:r w:rsidR="008F75E7" w:rsidRPr="000F02B6">
        <w:rPr>
          <w:szCs w:val="24"/>
        </w:rPr>
        <w:fldChar w:fldCharType="end"/>
      </w:r>
    </w:p>
    <w:p w14:paraId="2DF7559D" w14:textId="5B7884A8" w:rsidR="00A144B2" w:rsidRPr="000F02B6" w:rsidRDefault="00A144B2" w:rsidP="00E875A7">
      <w:pPr>
        <w:pStyle w:val="Heading1"/>
        <w:spacing w:line="240" w:lineRule="auto"/>
        <w:ind w:right="56"/>
        <w:rPr>
          <w:rFonts w:ascii="Arial" w:hAnsi="Arial" w:cs="Arial"/>
        </w:rPr>
      </w:pPr>
      <w:bookmarkStart w:id="1" w:name="_Toc148329191"/>
      <w:bookmarkStart w:id="2" w:name="_Toc148329304"/>
      <w:bookmarkEnd w:id="0"/>
      <w:r w:rsidRPr="000F02B6">
        <w:rPr>
          <w:rFonts w:ascii="Arial" w:hAnsi="Arial" w:cs="Arial"/>
        </w:rPr>
        <w:t>Purpose</w:t>
      </w:r>
      <w:bookmarkEnd w:id="1"/>
      <w:bookmarkEnd w:id="2"/>
    </w:p>
    <w:p w14:paraId="7C2325E9" w14:textId="77777777" w:rsidR="00B82F66" w:rsidRPr="000F02B6" w:rsidRDefault="00B82F66" w:rsidP="00E875A7">
      <w:pPr>
        <w:ind w:right="56"/>
        <w:rPr>
          <w:shd w:val="clear" w:color="auto" w:fill="FFFFFF"/>
        </w:rPr>
      </w:pPr>
      <w:r w:rsidRPr="000F02B6">
        <w:rPr>
          <w:shd w:val="clear" w:color="auto" w:fill="FFFFFF"/>
        </w:rPr>
        <w:t xml:space="preserve">These guidelines support the </w:t>
      </w:r>
      <w:r w:rsidRPr="00112E2F">
        <w:rPr>
          <w:i/>
          <w:iCs/>
          <w:lang w:eastAsia="en-GB"/>
        </w:rPr>
        <w:t>Student Academic Integrity Policy</w:t>
      </w:r>
      <w:r w:rsidRPr="000F02B6">
        <w:rPr>
          <w:lang w:eastAsia="en-GB"/>
        </w:rPr>
        <w:t xml:space="preserve"> and </w:t>
      </w:r>
      <w:r w:rsidRPr="00112E2F">
        <w:rPr>
          <w:i/>
          <w:iCs/>
          <w:lang w:eastAsia="en-GB"/>
        </w:rPr>
        <w:t>Student Breaches of Academic Integrity Procedure</w:t>
      </w:r>
      <w:r w:rsidRPr="000F02B6">
        <w:rPr>
          <w:shd w:val="clear" w:color="auto" w:fill="FFFFFF"/>
        </w:rPr>
        <w:t xml:space="preserve"> by outlining the ways in which breaches of academic integrity may take place in a range of teaching, student research and assessment environments, including online. </w:t>
      </w:r>
      <w:bookmarkStart w:id="3" w:name="_2.0_Scope"/>
      <w:bookmarkEnd w:id="3"/>
    </w:p>
    <w:p w14:paraId="72B0B98C" w14:textId="69CB9B35" w:rsidR="00B82F66" w:rsidRPr="000F02B6" w:rsidRDefault="00B82F66" w:rsidP="00E875A7">
      <w:pPr>
        <w:ind w:right="56"/>
      </w:pPr>
      <w:r w:rsidRPr="000F02B6">
        <w:t xml:space="preserve">Additionally, students who fall within the scope of these guidelines must conduct their research in accordance with the standards of research conduct set out in the </w:t>
      </w:r>
      <w:hyperlink r:id="rId11">
        <w:r w:rsidRPr="000F02B6">
          <w:t>Australian Code for the Responsible Conduct of Research 2018</w:t>
        </w:r>
      </w:hyperlink>
      <w:r w:rsidRPr="000F02B6">
        <w:t xml:space="preserve"> (Australian Code 2018) and supported by the University’s </w:t>
      </w:r>
      <w:hyperlink r:id="rId12">
        <w:r w:rsidRPr="00112E2F">
          <w:rPr>
            <w:i/>
            <w:iCs/>
          </w:rPr>
          <w:t>Responsible Conduct of Research Policy</w:t>
        </w:r>
      </w:hyperlink>
      <w:r w:rsidRPr="000F02B6">
        <w:t>. Students with a professional practice component to their program must adhere to the professional practice standards for their field.</w:t>
      </w:r>
    </w:p>
    <w:p w14:paraId="7F0EA822" w14:textId="7DC19B11" w:rsidR="00A144B2" w:rsidRPr="000F02B6" w:rsidRDefault="00A144B2" w:rsidP="00E875A7">
      <w:pPr>
        <w:pStyle w:val="Heading1"/>
        <w:spacing w:line="240" w:lineRule="auto"/>
        <w:ind w:right="56"/>
        <w:rPr>
          <w:rFonts w:ascii="Arial" w:hAnsi="Arial" w:cs="Arial"/>
        </w:rPr>
      </w:pPr>
      <w:bookmarkStart w:id="4" w:name="_Toc148329192"/>
      <w:bookmarkStart w:id="5" w:name="_Toc148329305"/>
      <w:r w:rsidRPr="000F02B6">
        <w:rPr>
          <w:rFonts w:ascii="Arial" w:hAnsi="Arial" w:cs="Arial"/>
        </w:rPr>
        <w:t>Scope</w:t>
      </w:r>
      <w:bookmarkEnd w:id="4"/>
      <w:bookmarkEnd w:id="5"/>
    </w:p>
    <w:p w14:paraId="6E9D9238" w14:textId="7909F2C0" w:rsidR="00103DE9" w:rsidRPr="000F02B6" w:rsidRDefault="00103DE9" w:rsidP="00E875A7">
      <w:pPr>
        <w:ind w:right="56"/>
        <w:rPr>
          <w:shd w:val="clear" w:color="auto" w:fill="FFFFFF"/>
        </w:rPr>
      </w:pPr>
      <w:r w:rsidRPr="000F02B6">
        <w:rPr>
          <w:rFonts w:eastAsia="Arial"/>
        </w:rPr>
        <w:t xml:space="preserve">These guidelines apply to </w:t>
      </w:r>
      <w:r w:rsidRPr="000F02B6">
        <w:rPr>
          <w:shd w:val="clear" w:color="auto" w:fill="FFFFFF"/>
        </w:rPr>
        <w:t xml:space="preserve">all students </w:t>
      </w:r>
      <w:proofErr w:type="gramStart"/>
      <w:r w:rsidRPr="000F02B6">
        <w:rPr>
          <w:shd w:val="clear" w:color="auto" w:fill="FFFFFF"/>
        </w:rPr>
        <w:t>of</w:t>
      </w:r>
      <w:proofErr w:type="gramEnd"/>
      <w:r w:rsidRPr="000F02B6">
        <w:rPr>
          <w:shd w:val="clear" w:color="auto" w:fill="FFFFFF"/>
        </w:rPr>
        <w:t xml:space="preserve"> the University in all career levels, modes of study and locations, physical or </w:t>
      </w:r>
      <w:r w:rsidRPr="000F02B6">
        <w:t>digital, undertaking</w:t>
      </w:r>
      <w:r w:rsidRPr="000F02B6">
        <w:rPr>
          <w:shd w:val="clear" w:color="auto" w:fill="FFFFFF"/>
        </w:rPr>
        <w:t xml:space="preserve"> academic work/</w:t>
      </w:r>
      <w:r w:rsidR="00E5774F" w:rsidRPr="000F02B6">
        <w:rPr>
          <w:shd w:val="clear" w:color="auto" w:fill="FFFFFF"/>
        </w:rPr>
        <w:t xml:space="preserve">practice </w:t>
      </w:r>
      <w:r w:rsidRPr="000F02B6">
        <w:rPr>
          <w:shd w:val="clear" w:color="auto" w:fill="FFFFFF"/>
        </w:rPr>
        <w:t>towards</w:t>
      </w:r>
      <w:r w:rsidRPr="000F02B6">
        <w:rPr>
          <w:rFonts w:eastAsia="Arial"/>
          <w:color w:val="333333"/>
        </w:rPr>
        <w:t xml:space="preserve"> the completion of their program</w:t>
      </w:r>
      <w:r w:rsidRPr="000F02B6">
        <w:rPr>
          <w:shd w:val="clear" w:color="auto" w:fill="FFFFFF"/>
        </w:rPr>
        <w:t xml:space="preserve"> or, more generally, under the auspices of the University. </w:t>
      </w:r>
    </w:p>
    <w:p w14:paraId="2DFF6A47" w14:textId="402A8ECC" w:rsidR="00103DE9" w:rsidRPr="000F02B6" w:rsidRDefault="00103DE9" w:rsidP="00E875A7">
      <w:pPr>
        <w:ind w:right="56"/>
      </w:pPr>
      <w:proofErr w:type="gramStart"/>
      <w:r w:rsidRPr="000F02B6">
        <w:t>For the purpose of</w:t>
      </w:r>
      <w:proofErr w:type="gramEnd"/>
      <w:r w:rsidRPr="000F02B6">
        <w:t xml:space="preserve"> these guidelines, the term ‘student’ includes:</w:t>
      </w:r>
    </w:p>
    <w:p w14:paraId="3A9CEA0E" w14:textId="098165B5" w:rsidR="00103DE9" w:rsidRPr="000F02B6" w:rsidRDefault="00103DE9" w:rsidP="00E875A7">
      <w:pPr>
        <w:pStyle w:val="H1BulletPoints"/>
        <w:ind w:right="56"/>
      </w:pPr>
      <w:r w:rsidRPr="000F02B6">
        <w:t>all enrolled students and Higher Degree Research (HDR) candidates at the University</w:t>
      </w:r>
    </w:p>
    <w:p w14:paraId="30CBE0C5" w14:textId="708E75C6" w:rsidR="00103DE9" w:rsidRPr="000F02B6" w:rsidRDefault="00103DE9" w:rsidP="00E875A7">
      <w:pPr>
        <w:pStyle w:val="H1BulletPoints"/>
        <w:ind w:right="56"/>
      </w:pPr>
      <w:r w:rsidRPr="000F02B6">
        <w:t xml:space="preserve">students with Active Enrolment Status, including those who are not ‘carrying load’ and students on approved </w:t>
      </w:r>
      <w:r w:rsidR="009266B8" w:rsidRPr="000F02B6">
        <w:t>leave, including l</w:t>
      </w:r>
      <w:r w:rsidRPr="000F02B6">
        <w:t xml:space="preserve">eave of </w:t>
      </w:r>
      <w:r w:rsidR="009266B8" w:rsidRPr="000F02B6">
        <w:t>a</w:t>
      </w:r>
      <w:r w:rsidRPr="000F02B6">
        <w:t xml:space="preserve">bsence, </w:t>
      </w:r>
      <w:r w:rsidR="009266B8" w:rsidRPr="000F02B6">
        <w:t>d</w:t>
      </w:r>
      <w:r w:rsidRPr="000F02B6">
        <w:t>eferment or between enrolment periods.</w:t>
      </w:r>
    </w:p>
    <w:p w14:paraId="738A9BC3" w14:textId="73929FAC" w:rsidR="00A144B2" w:rsidRPr="000F02B6" w:rsidRDefault="002A0A33" w:rsidP="00E875A7">
      <w:pPr>
        <w:pStyle w:val="Heading1"/>
        <w:spacing w:line="240" w:lineRule="auto"/>
        <w:ind w:right="56"/>
        <w:rPr>
          <w:rFonts w:ascii="Arial" w:hAnsi="Arial" w:cs="Arial"/>
        </w:rPr>
      </w:pPr>
      <w:bookmarkStart w:id="6" w:name="_3.0_Policy_statement"/>
      <w:bookmarkStart w:id="7" w:name="_3.0_Procedure"/>
      <w:bookmarkStart w:id="8" w:name="_3.0_Framework"/>
      <w:bookmarkStart w:id="9" w:name="_Toc148329193"/>
      <w:bookmarkStart w:id="10" w:name="_Toc148329306"/>
      <w:bookmarkEnd w:id="6"/>
      <w:bookmarkEnd w:id="7"/>
      <w:bookmarkEnd w:id="8"/>
      <w:r w:rsidRPr="000F02B6">
        <w:rPr>
          <w:rFonts w:ascii="Arial" w:hAnsi="Arial" w:cs="Arial"/>
        </w:rPr>
        <w:t>Guidelines</w:t>
      </w:r>
      <w:bookmarkEnd w:id="9"/>
      <w:bookmarkEnd w:id="10"/>
    </w:p>
    <w:p w14:paraId="5DA0C782" w14:textId="77777777" w:rsidR="00B82F66" w:rsidRPr="000F02B6" w:rsidRDefault="00B82F66" w:rsidP="00E875A7">
      <w:pPr>
        <w:pStyle w:val="H1Numberedlist"/>
        <w:ind w:right="56"/>
        <w:rPr>
          <w:lang w:eastAsia="en-GB"/>
        </w:rPr>
      </w:pPr>
      <w:r w:rsidRPr="000F02B6">
        <w:rPr>
          <w:lang w:eastAsia="en-GB"/>
        </w:rPr>
        <w:t>Academic misconduct involves the misrepresentation of any aspect of academic achievement by act or omission. This includes any behaviour by which a student seeks to gain an unfair or unjustified advantage in their studies.</w:t>
      </w:r>
    </w:p>
    <w:p w14:paraId="60193875" w14:textId="64A8A262" w:rsidR="00B82F66" w:rsidRPr="000F02B6" w:rsidRDefault="00B82F66" w:rsidP="00E875A7">
      <w:pPr>
        <w:pStyle w:val="H1Numberedlist"/>
        <w:ind w:right="56"/>
        <w:rPr>
          <w:lang w:eastAsia="en-GB"/>
        </w:rPr>
      </w:pPr>
      <w:r w:rsidRPr="000F02B6">
        <w:rPr>
          <w:lang w:eastAsia="en-GB"/>
        </w:rPr>
        <w:t xml:space="preserve">When students breach academic integrity expectations in a way that goes beyond </w:t>
      </w:r>
      <w:r w:rsidR="008E7F02" w:rsidRPr="000F02B6">
        <w:rPr>
          <w:lang w:eastAsia="en-GB"/>
        </w:rPr>
        <w:t>Incomplete A</w:t>
      </w:r>
      <w:r w:rsidRPr="000F02B6">
        <w:rPr>
          <w:lang w:eastAsia="en-GB"/>
        </w:rPr>
        <w:t xml:space="preserve">cademic </w:t>
      </w:r>
      <w:r w:rsidR="008E7F02" w:rsidRPr="000F02B6">
        <w:rPr>
          <w:lang w:eastAsia="en-GB"/>
        </w:rPr>
        <w:t>P</w:t>
      </w:r>
      <w:r w:rsidRPr="000F02B6">
        <w:rPr>
          <w:lang w:eastAsia="en-GB"/>
        </w:rPr>
        <w:t xml:space="preserve">ractice, </w:t>
      </w:r>
      <w:r w:rsidR="00BA3141" w:rsidRPr="000F02B6">
        <w:rPr>
          <w:lang w:eastAsia="en-GB"/>
        </w:rPr>
        <w:t>Academic Misconduct</w:t>
      </w:r>
      <w:r w:rsidRPr="000F02B6">
        <w:rPr>
          <w:lang w:eastAsia="en-GB"/>
        </w:rPr>
        <w:t xml:space="preserve"> occurs. The Student Breaches of Academic Integrity Procedure establishes the rules, </w:t>
      </w:r>
      <w:proofErr w:type="gramStart"/>
      <w:r w:rsidRPr="000F02B6">
        <w:rPr>
          <w:lang w:eastAsia="en-GB"/>
        </w:rPr>
        <w:t>processes</w:t>
      </w:r>
      <w:proofErr w:type="gramEnd"/>
      <w:r w:rsidRPr="000F02B6">
        <w:rPr>
          <w:lang w:eastAsia="en-GB"/>
        </w:rPr>
        <w:t xml:space="preserve"> and decision-making authority for considering alleged </w:t>
      </w:r>
      <w:r w:rsidR="00ED4804" w:rsidRPr="000F02B6">
        <w:rPr>
          <w:lang w:eastAsia="en-GB"/>
        </w:rPr>
        <w:t>Academic M</w:t>
      </w:r>
      <w:r w:rsidRPr="000F02B6">
        <w:rPr>
          <w:lang w:eastAsia="en-GB"/>
        </w:rPr>
        <w:t>isconduct.</w:t>
      </w:r>
    </w:p>
    <w:p w14:paraId="54AAD79C" w14:textId="07384810" w:rsidR="00ED4804" w:rsidRPr="000F02B6" w:rsidRDefault="00ED4804" w:rsidP="00E875A7">
      <w:pPr>
        <w:pStyle w:val="H1Numberedlist"/>
        <w:ind w:right="56"/>
        <w:rPr>
          <w:shd w:val="clear" w:color="auto" w:fill="FFFFFF"/>
        </w:rPr>
      </w:pPr>
      <w:r w:rsidRPr="000F02B6">
        <w:rPr>
          <w:shd w:val="clear" w:color="auto" w:fill="FFFFFF"/>
        </w:rPr>
        <w:t xml:space="preserve">Types of conduct that may be either </w:t>
      </w:r>
      <w:r w:rsidR="006A75EC" w:rsidRPr="000F02B6">
        <w:rPr>
          <w:lang w:eastAsia="en-GB"/>
        </w:rPr>
        <w:t>Incomplete Academic Practice</w:t>
      </w:r>
      <w:r w:rsidR="006A75EC" w:rsidRPr="000F02B6">
        <w:rPr>
          <w:shd w:val="clear" w:color="auto" w:fill="FFFFFF"/>
        </w:rPr>
        <w:t xml:space="preserve"> </w:t>
      </w:r>
      <w:r w:rsidRPr="000F02B6">
        <w:rPr>
          <w:shd w:val="clear" w:color="auto" w:fill="FFFFFF"/>
        </w:rPr>
        <w:t>or Academic Misconduct, depending on the scale and circumstances of the conduct, include:</w:t>
      </w:r>
    </w:p>
    <w:p w14:paraId="391E5297" w14:textId="77777777" w:rsidR="00ED4804" w:rsidRPr="000F02B6" w:rsidRDefault="00ED4804" w:rsidP="00E875A7">
      <w:pPr>
        <w:pStyle w:val="H1LetteredList"/>
        <w:ind w:right="56"/>
      </w:pPr>
      <w:r w:rsidRPr="000F02B6">
        <w:t>Academic File-sharing</w:t>
      </w:r>
    </w:p>
    <w:p w14:paraId="5B53394E" w14:textId="77777777" w:rsidR="00ED4804" w:rsidRPr="000F02B6" w:rsidRDefault="00ED4804" w:rsidP="00E875A7">
      <w:pPr>
        <w:pStyle w:val="H1LetteredList"/>
        <w:ind w:right="56"/>
      </w:pPr>
      <w:r w:rsidRPr="000F02B6">
        <w:t>Assisting Plagiarism</w:t>
      </w:r>
    </w:p>
    <w:p w14:paraId="22CA45FF" w14:textId="77777777" w:rsidR="00ED4804" w:rsidRPr="000F02B6" w:rsidRDefault="00ED4804" w:rsidP="00E875A7">
      <w:pPr>
        <w:pStyle w:val="H1LetteredList"/>
        <w:ind w:right="56"/>
      </w:pPr>
      <w:r w:rsidRPr="000F02B6">
        <w:lastRenderedPageBreak/>
        <w:t>Collusion</w:t>
      </w:r>
    </w:p>
    <w:p w14:paraId="44EC0740" w14:textId="305C4BB0" w:rsidR="00ED4804" w:rsidRPr="000F02B6" w:rsidRDefault="00ED4804" w:rsidP="00E875A7">
      <w:pPr>
        <w:pStyle w:val="H1LetteredList"/>
        <w:ind w:right="56"/>
      </w:pPr>
      <w:r w:rsidRPr="000F02B6">
        <w:t>Plagiarism (where this involves inadequate citation rather than no attempt at citation)</w:t>
      </w:r>
      <w:r w:rsidR="00855860" w:rsidRPr="000F02B6">
        <w:t>.</w:t>
      </w:r>
    </w:p>
    <w:p w14:paraId="03B8F287" w14:textId="77777777" w:rsidR="00ED4804" w:rsidRPr="000F02B6" w:rsidRDefault="00ED4804" w:rsidP="00E875A7">
      <w:pPr>
        <w:pStyle w:val="H1Numberedlist"/>
        <w:ind w:right="56"/>
        <w:rPr>
          <w:shd w:val="clear" w:color="auto" w:fill="FFFFFF"/>
        </w:rPr>
      </w:pPr>
      <w:r w:rsidRPr="000F02B6">
        <w:rPr>
          <w:shd w:val="clear" w:color="auto" w:fill="FFFFFF"/>
        </w:rPr>
        <w:t>Types of conduct that always constitute Academic Misconduct include:</w:t>
      </w:r>
    </w:p>
    <w:p w14:paraId="693CD30C" w14:textId="47A48E28" w:rsidR="00ED4804" w:rsidRPr="000F02B6" w:rsidDel="00747410" w:rsidRDefault="00ED4804" w:rsidP="00E875A7">
      <w:pPr>
        <w:pStyle w:val="H1LetteredList"/>
        <w:numPr>
          <w:ilvl w:val="0"/>
          <w:numId w:val="21"/>
        </w:numPr>
        <w:ind w:right="56"/>
      </w:pPr>
      <w:r w:rsidRPr="000F02B6" w:rsidDel="00747410">
        <w:t>Plagiarism (where no attempt at citation is made</w:t>
      </w:r>
      <w:r w:rsidR="00D1008C" w:rsidRPr="000F02B6">
        <w:t>, including for graphical and pictorial sources</w:t>
      </w:r>
      <w:r w:rsidRPr="000F02B6" w:rsidDel="00747410">
        <w:t>)</w:t>
      </w:r>
    </w:p>
    <w:p w14:paraId="5D79616D" w14:textId="2458DAAF" w:rsidR="00ED4804" w:rsidRPr="000F02B6" w:rsidRDefault="00101541" w:rsidP="00E875A7">
      <w:pPr>
        <w:pStyle w:val="H1LetteredList"/>
        <w:ind w:right="56"/>
      </w:pPr>
      <w:r w:rsidRPr="000F02B6">
        <w:t>U</w:t>
      </w:r>
      <w:r w:rsidR="00ED4804" w:rsidRPr="000F02B6">
        <w:t>ncited content created using Generative Artificial Intelligence Software</w:t>
      </w:r>
    </w:p>
    <w:p w14:paraId="149B8C49" w14:textId="041F6611" w:rsidR="00ED4804" w:rsidRPr="000F02B6" w:rsidRDefault="00ED4804" w:rsidP="00E875A7">
      <w:pPr>
        <w:pStyle w:val="H1LetteredList"/>
        <w:ind w:right="56"/>
      </w:pPr>
      <w:r w:rsidRPr="000F02B6">
        <w:t>Cheating</w:t>
      </w:r>
      <w:r w:rsidR="4462428F" w:rsidRPr="000F02B6">
        <w:t>, for instance,</w:t>
      </w:r>
      <w:r w:rsidRPr="000F02B6">
        <w:t xml:space="preserve"> in examinations, tests and quizzes</w:t>
      </w:r>
    </w:p>
    <w:p w14:paraId="2E617F66" w14:textId="77777777" w:rsidR="00ED4804" w:rsidRPr="000F02B6" w:rsidRDefault="00ED4804" w:rsidP="00E875A7">
      <w:pPr>
        <w:pStyle w:val="H1LetteredList"/>
        <w:ind w:right="56"/>
      </w:pPr>
      <w:r w:rsidRPr="000F02B6">
        <w:t>Contract Cheating</w:t>
      </w:r>
    </w:p>
    <w:p w14:paraId="6D612C57" w14:textId="7C846511" w:rsidR="00ED4804" w:rsidRPr="000F02B6" w:rsidRDefault="00ED4804" w:rsidP="00E875A7">
      <w:pPr>
        <w:pStyle w:val="H1LetteredList"/>
        <w:ind w:right="56"/>
      </w:pPr>
      <w:r w:rsidRPr="000F02B6">
        <w:t>Fabrication</w:t>
      </w:r>
      <w:r w:rsidR="07F788E7" w:rsidRPr="000F02B6">
        <w:t>, for instance,</w:t>
      </w:r>
      <w:r w:rsidRPr="000F02B6">
        <w:t xml:space="preserve"> of data, </w:t>
      </w:r>
      <w:proofErr w:type="gramStart"/>
      <w:r w:rsidRPr="000F02B6">
        <w:t>results</w:t>
      </w:r>
      <w:proofErr w:type="gramEnd"/>
      <w:r w:rsidRPr="000F02B6">
        <w:t xml:space="preserve"> or other work items</w:t>
      </w:r>
    </w:p>
    <w:p w14:paraId="43EEFFF7" w14:textId="222D3197" w:rsidR="00ED4804" w:rsidRPr="000F02B6" w:rsidRDefault="00ED4804" w:rsidP="00E875A7">
      <w:pPr>
        <w:pStyle w:val="H1LetteredList"/>
        <w:ind w:right="56"/>
      </w:pPr>
      <w:r w:rsidRPr="000F02B6">
        <w:t>Falsification</w:t>
      </w:r>
      <w:r w:rsidR="7D3D542F" w:rsidRPr="000F02B6">
        <w:t>, for instance,</w:t>
      </w:r>
      <w:r w:rsidRPr="000F02B6">
        <w:t xml:space="preserve"> of data, </w:t>
      </w:r>
      <w:proofErr w:type="gramStart"/>
      <w:r w:rsidRPr="000F02B6">
        <w:t>results</w:t>
      </w:r>
      <w:proofErr w:type="gramEnd"/>
      <w:r w:rsidRPr="000F02B6">
        <w:t xml:space="preserve"> or other work items</w:t>
      </w:r>
    </w:p>
    <w:p w14:paraId="42DE7209" w14:textId="77777777" w:rsidR="00ED4804" w:rsidRPr="000F02B6" w:rsidRDefault="00ED4804" w:rsidP="00E875A7">
      <w:pPr>
        <w:pStyle w:val="H1LetteredList"/>
        <w:ind w:right="56"/>
      </w:pPr>
      <w:r w:rsidRPr="000F02B6">
        <w:t>Misrepresentation of the Student’s Identity or Activities</w:t>
      </w:r>
    </w:p>
    <w:p w14:paraId="6AC98BCC" w14:textId="77777777" w:rsidR="00ED4804" w:rsidRPr="000F02B6" w:rsidRDefault="00ED4804" w:rsidP="00E875A7">
      <w:pPr>
        <w:pStyle w:val="H1LetteredList"/>
        <w:ind w:right="56"/>
      </w:pPr>
      <w:r w:rsidRPr="000F02B6">
        <w:t xml:space="preserve">Solicitation </w:t>
      </w:r>
    </w:p>
    <w:p w14:paraId="51050AB8" w14:textId="77777777" w:rsidR="00ED4804" w:rsidRPr="000F02B6" w:rsidRDefault="00ED4804" w:rsidP="00E875A7">
      <w:pPr>
        <w:pStyle w:val="H1LetteredList"/>
        <w:ind w:right="56"/>
      </w:pPr>
      <w:r w:rsidRPr="000F02B6">
        <w:t>Washing</w:t>
      </w:r>
    </w:p>
    <w:p w14:paraId="49790731" w14:textId="2EEF8A51" w:rsidR="00ED4804" w:rsidRPr="000F02B6" w:rsidRDefault="00ED4804" w:rsidP="00E875A7">
      <w:pPr>
        <w:pStyle w:val="H1LetteredList"/>
        <w:ind w:right="56"/>
      </w:pPr>
      <w:r w:rsidRPr="000F02B6">
        <w:t xml:space="preserve">Over-editing </w:t>
      </w:r>
    </w:p>
    <w:p w14:paraId="4315AE2E" w14:textId="77777777" w:rsidR="00ED4804" w:rsidRPr="000F02B6" w:rsidRDefault="00ED4804" w:rsidP="00E875A7">
      <w:pPr>
        <w:pStyle w:val="H1LetteredList"/>
        <w:ind w:right="56"/>
      </w:pPr>
      <w:r w:rsidRPr="000F02B6">
        <w:t>Breach of Ethical Standards, including conducting research without the required ethics clearance</w:t>
      </w:r>
    </w:p>
    <w:p w14:paraId="0A785BA8" w14:textId="77777777" w:rsidR="00685CFE" w:rsidRPr="000F02B6" w:rsidRDefault="00ED4804" w:rsidP="00E875A7">
      <w:pPr>
        <w:pStyle w:val="H1LetteredList"/>
        <w:ind w:right="56"/>
      </w:pPr>
      <w:r w:rsidRPr="000F02B6">
        <w:t>Breach of HDR Thesis Examination Procedures</w:t>
      </w:r>
    </w:p>
    <w:p w14:paraId="31C7EA36" w14:textId="6EAF05B6" w:rsidR="00ED4804" w:rsidRPr="000F02B6" w:rsidRDefault="00685CFE" w:rsidP="00E875A7">
      <w:pPr>
        <w:pStyle w:val="H1LetteredList"/>
        <w:ind w:right="56"/>
      </w:pPr>
      <w:r w:rsidRPr="000F02B6">
        <w:t xml:space="preserve">Attempting to </w:t>
      </w:r>
      <w:r w:rsidR="001B4F09" w:rsidRPr="000F02B6">
        <w:t>inappropriately influence a peer review process</w:t>
      </w:r>
      <w:r w:rsidR="00855860" w:rsidRPr="000F02B6">
        <w:t>.</w:t>
      </w:r>
    </w:p>
    <w:p w14:paraId="478C6E1E" w14:textId="2CBC39BA" w:rsidR="00B82F66" w:rsidRPr="000F02B6" w:rsidRDefault="00B82F66" w:rsidP="00E875A7">
      <w:pPr>
        <w:pStyle w:val="Heading2"/>
        <w:spacing w:line="240" w:lineRule="auto"/>
        <w:ind w:right="56"/>
        <w:rPr>
          <w:rFonts w:ascii="Arial" w:hAnsi="Arial" w:cs="Arial"/>
        </w:rPr>
      </w:pPr>
      <w:bookmarkStart w:id="11" w:name="_Toc148329194"/>
      <w:bookmarkStart w:id="12" w:name="_Toc148329307"/>
      <w:r w:rsidRPr="000F02B6">
        <w:rPr>
          <w:rFonts w:ascii="Arial" w:hAnsi="Arial" w:cs="Arial"/>
        </w:rPr>
        <w:t>Responding to Academic Misconduct</w:t>
      </w:r>
      <w:bookmarkEnd w:id="11"/>
      <w:bookmarkEnd w:id="12"/>
    </w:p>
    <w:p w14:paraId="7169516F" w14:textId="1F203647" w:rsidR="00B82F66" w:rsidRPr="000F02B6" w:rsidRDefault="00B82F66" w:rsidP="00E875A7">
      <w:pPr>
        <w:pStyle w:val="H2NumberedList"/>
        <w:ind w:right="56"/>
      </w:pPr>
      <w:r w:rsidRPr="000F02B6">
        <w:t xml:space="preserve">It is important to think about student </w:t>
      </w:r>
      <w:r w:rsidR="00BA3141" w:rsidRPr="000F02B6">
        <w:t>Academic Misconduct</w:t>
      </w:r>
      <w:r w:rsidRPr="000F02B6">
        <w:t xml:space="preserve"> from three angles:</w:t>
      </w:r>
    </w:p>
    <w:p w14:paraId="7065F5AC" w14:textId="77777777" w:rsidR="00B82F66" w:rsidRPr="000F02B6" w:rsidRDefault="00B82F66" w:rsidP="00E875A7">
      <w:pPr>
        <w:pStyle w:val="H2LetteredList"/>
        <w:ind w:right="56"/>
      </w:pPr>
      <w:r w:rsidRPr="000F02B6">
        <w:t>What motivates it?</w:t>
      </w:r>
    </w:p>
    <w:p w14:paraId="128ECC7C" w14:textId="77777777" w:rsidR="00B82F66" w:rsidRPr="000F02B6" w:rsidRDefault="00B82F66" w:rsidP="00E875A7">
      <w:pPr>
        <w:pStyle w:val="H2LetteredList"/>
        <w:ind w:right="56"/>
      </w:pPr>
      <w:r w:rsidRPr="000F02B6">
        <w:t>How can it be detected?</w:t>
      </w:r>
    </w:p>
    <w:p w14:paraId="0B477469" w14:textId="77777777" w:rsidR="00B82F66" w:rsidRPr="000F02B6" w:rsidRDefault="00B82F66" w:rsidP="00E875A7">
      <w:pPr>
        <w:pStyle w:val="H2LetteredList"/>
        <w:ind w:right="56"/>
      </w:pPr>
      <w:r w:rsidRPr="000F02B6">
        <w:t>How can it be minimised or prevented?</w:t>
      </w:r>
    </w:p>
    <w:p w14:paraId="4F499EEF" w14:textId="6F5B9EEE" w:rsidR="00B82F66" w:rsidRPr="000F02B6" w:rsidRDefault="00B82F66" w:rsidP="00E875A7">
      <w:pPr>
        <w:pStyle w:val="H2NumberedList"/>
        <w:ind w:right="56"/>
      </w:pPr>
      <w:r w:rsidRPr="000F02B6">
        <w:t xml:space="preserve">Key factors in reducing both the impetus and opportunity to commit </w:t>
      </w:r>
      <w:r w:rsidR="00BA3141" w:rsidRPr="000F02B6">
        <w:t>Academic Misconduct</w:t>
      </w:r>
      <w:r w:rsidRPr="000F02B6">
        <w:t xml:space="preserve">, and therefore reduce its frequency, are: </w:t>
      </w:r>
    </w:p>
    <w:p w14:paraId="566318E8" w14:textId="332B1FAC" w:rsidR="00B82F66" w:rsidRPr="000F02B6" w:rsidRDefault="00B82F66" w:rsidP="00E875A7">
      <w:pPr>
        <w:pStyle w:val="H2LetteredList"/>
        <w:numPr>
          <w:ilvl w:val="0"/>
          <w:numId w:val="20"/>
        </w:numPr>
        <w:ind w:right="56"/>
      </w:pPr>
      <w:r w:rsidRPr="000F02B6">
        <w:t xml:space="preserve">appropriate assessment design, which rewards good </w:t>
      </w:r>
      <w:r w:rsidR="00E5774F" w:rsidRPr="000F02B6">
        <w:t xml:space="preserve">academic practice </w:t>
      </w:r>
      <w:r w:rsidRPr="000F02B6">
        <w:t xml:space="preserve">and makes </w:t>
      </w:r>
      <w:r w:rsidR="00BA3141" w:rsidRPr="000F02B6">
        <w:t>Academic Misconduct</w:t>
      </w:r>
      <w:r w:rsidRPr="000F02B6">
        <w:t xml:space="preserve"> less useful and viable as an </w:t>
      </w:r>
      <w:proofErr w:type="gramStart"/>
      <w:r w:rsidRPr="000F02B6">
        <w:t>option</w:t>
      </w:r>
      <w:proofErr w:type="gramEnd"/>
      <w:r w:rsidRPr="000F02B6">
        <w:t xml:space="preserve"> </w:t>
      </w:r>
    </w:p>
    <w:p w14:paraId="32BF4D34" w14:textId="77777777" w:rsidR="00B82F66" w:rsidRPr="000F02B6" w:rsidRDefault="00B82F66" w:rsidP="00E875A7">
      <w:pPr>
        <w:pStyle w:val="H2LetteredList"/>
        <w:ind w:right="56"/>
      </w:pPr>
      <w:r w:rsidRPr="000F02B6">
        <w:t xml:space="preserve">the provision of early, </w:t>
      </w:r>
      <w:proofErr w:type="gramStart"/>
      <w:r w:rsidRPr="000F02B6">
        <w:t>frequent</w:t>
      </w:r>
      <w:proofErr w:type="gramEnd"/>
      <w:r w:rsidRPr="000F02B6">
        <w:t xml:space="preserve"> and easily accessible academic skills support</w:t>
      </w:r>
    </w:p>
    <w:p w14:paraId="0066A16C" w14:textId="0EDEF6C9" w:rsidR="007A517B" w:rsidRPr="000F02B6" w:rsidRDefault="00B82F66" w:rsidP="00E875A7">
      <w:pPr>
        <w:pStyle w:val="H2LetteredList"/>
        <w:ind w:right="56"/>
      </w:pPr>
      <w:r w:rsidRPr="000F02B6">
        <w:t xml:space="preserve">early, clear explanation of academic integrity and </w:t>
      </w:r>
      <w:r w:rsidR="00BA3141" w:rsidRPr="000F02B6">
        <w:t>Academic Misconduct</w:t>
      </w:r>
      <w:r w:rsidRPr="000F02B6">
        <w:t xml:space="preserve"> to students</w:t>
      </w:r>
    </w:p>
    <w:p w14:paraId="0A09D53A" w14:textId="256FFFE2" w:rsidR="00B82F66" w:rsidRPr="000F02B6" w:rsidRDefault="00B82F66" w:rsidP="00E875A7">
      <w:pPr>
        <w:pStyle w:val="H2LetteredList"/>
        <w:ind w:right="56"/>
      </w:pPr>
      <w:r w:rsidRPr="000F02B6">
        <w:t>awareness of the overall academic circumstances of students (</w:t>
      </w:r>
      <w:r w:rsidR="00F94583" w:rsidRPr="000F02B6">
        <w:t>i.e.</w:t>
      </w:r>
      <w:r w:rsidRPr="000F02B6">
        <w:t xml:space="preserve"> having multiple assessments due simultaneously may push students who are not coping towards perceived </w:t>
      </w:r>
      <w:r w:rsidR="00D17506" w:rsidRPr="000F02B6">
        <w:t>‘</w:t>
      </w:r>
      <w:r w:rsidRPr="000F02B6">
        <w:t>shortcuts</w:t>
      </w:r>
      <w:r w:rsidR="00D17506" w:rsidRPr="000F02B6">
        <w:t>’</w:t>
      </w:r>
      <w:r w:rsidRPr="000F02B6">
        <w:t xml:space="preserve">) </w:t>
      </w:r>
    </w:p>
    <w:p w14:paraId="3645DA3A" w14:textId="22D63D5D" w:rsidR="00B82F66" w:rsidRPr="000F02B6" w:rsidRDefault="00B82F66" w:rsidP="00E875A7">
      <w:pPr>
        <w:pStyle w:val="H2LetteredList"/>
        <w:ind w:right="56"/>
      </w:pPr>
      <w:r w:rsidRPr="000F02B6">
        <w:t xml:space="preserve">clear directions to students on all assessment tasks, including </w:t>
      </w:r>
      <w:r w:rsidR="00EF5597" w:rsidRPr="000F02B6">
        <w:t>guidelines for</w:t>
      </w:r>
      <w:r w:rsidRPr="000F02B6">
        <w:t xml:space="preserve"> referencing</w:t>
      </w:r>
      <w:r w:rsidR="00EF5597" w:rsidRPr="000F02B6">
        <w:t xml:space="preserve">, citing content </w:t>
      </w:r>
      <w:r w:rsidRPr="000F02B6">
        <w:t xml:space="preserve">appropriate use of artificial </w:t>
      </w:r>
      <w:proofErr w:type="gramStart"/>
      <w:r w:rsidRPr="000F02B6">
        <w:t>intelligence</w:t>
      </w:r>
      <w:proofErr w:type="gramEnd"/>
    </w:p>
    <w:p w14:paraId="2AEB62C1" w14:textId="4B9E8542" w:rsidR="00BD6AD7" w:rsidRPr="000F02B6" w:rsidRDefault="00BD6AD7" w:rsidP="00E875A7">
      <w:pPr>
        <w:pStyle w:val="H2LetteredList"/>
        <w:ind w:right="56"/>
      </w:pPr>
      <w:r w:rsidRPr="000F02B6">
        <w:t xml:space="preserve">clear directions </w:t>
      </w:r>
      <w:r w:rsidR="00EE19EE" w:rsidRPr="000F02B6">
        <w:t xml:space="preserve">on required ethics, biosafety and data management processes </w:t>
      </w:r>
      <w:r w:rsidRPr="000F02B6">
        <w:t xml:space="preserve">to students undertaking </w:t>
      </w:r>
      <w:proofErr w:type="gramStart"/>
      <w:r w:rsidRPr="000F02B6">
        <w:t>research</w:t>
      </w:r>
      <w:proofErr w:type="gramEnd"/>
    </w:p>
    <w:p w14:paraId="30D1B9D7" w14:textId="77777777" w:rsidR="00B82F66" w:rsidRPr="000F02B6" w:rsidRDefault="00B82F66" w:rsidP="00E875A7">
      <w:pPr>
        <w:pStyle w:val="H2LetteredList"/>
        <w:ind w:right="56"/>
      </w:pPr>
      <w:r w:rsidRPr="000F02B6">
        <w:t>building a collaborative, not punitive, culture with students wherever possible</w:t>
      </w:r>
    </w:p>
    <w:p w14:paraId="78D32D9E" w14:textId="07E7E6A8" w:rsidR="00B82F66" w:rsidRPr="000F02B6" w:rsidRDefault="00B82F66" w:rsidP="00E875A7">
      <w:pPr>
        <w:pStyle w:val="H2LetteredList"/>
        <w:ind w:right="56"/>
      </w:pPr>
      <w:r w:rsidRPr="000F02B6">
        <w:t xml:space="preserve">ensuring that students struggling with courses or work can access time and assistance from academic teaching </w:t>
      </w:r>
      <w:r w:rsidR="00A3418A" w:rsidRPr="000F02B6">
        <w:t>staff</w:t>
      </w:r>
      <w:r w:rsidR="00F6217A" w:rsidRPr="000F02B6">
        <w:t xml:space="preserve"> </w:t>
      </w:r>
      <w:r w:rsidRPr="000F02B6">
        <w:t xml:space="preserve">to help them meet their required </w:t>
      </w:r>
      <w:proofErr w:type="gramStart"/>
      <w:r w:rsidRPr="000F02B6">
        <w:t>learning</w:t>
      </w:r>
      <w:proofErr w:type="gramEnd"/>
    </w:p>
    <w:p w14:paraId="47FF7854" w14:textId="77777777" w:rsidR="00454374" w:rsidRPr="000F02B6" w:rsidRDefault="00B82F66" w:rsidP="00E875A7">
      <w:pPr>
        <w:pStyle w:val="H2LetteredList"/>
        <w:ind w:right="56"/>
      </w:pPr>
      <w:r w:rsidRPr="000F02B6">
        <w:lastRenderedPageBreak/>
        <w:t xml:space="preserve">communication between academic colleagues to help build consistency in approach, discuss emerging issues of concern and provide a unified position for </w:t>
      </w:r>
      <w:proofErr w:type="gramStart"/>
      <w:r w:rsidRPr="000F02B6">
        <w:t>students</w:t>
      </w:r>
      <w:proofErr w:type="gramEnd"/>
    </w:p>
    <w:p w14:paraId="5889EF4C" w14:textId="4D9836AF" w:rsidR="00B82F66" w:rsidRPr="000F02B6" w:rsidRDefault="00454374" w:rsidP="00E875A7">
      <w:pPr>
        <w:pStyle w:val="H2LetteredList"/>
        <w:ind w:right="56"/>
      </w:pPr>
      <w:r w:rsidRPr="000F02B6">
        <w:t>empowering</w:t>
      </w:r>
      <w:r w:rsidR="00895C2C" w:rsidRPr="000F02B6">
        <w:t xml:space="preserve"> HDR candidates with knowledge to ensure they are operating within defined research and candidature policy and procedure</w:t>
      </w:r>
      <w:r w:rsidR="00B82F66" w:rsidRPr="000F02B6">
        <w:t>.</w:t>
      </w:r>
    </w:p>
    <w:p w14:paraId="35A5208F" w14:textId="2DF63D88" w:rsidR="00C62871" w:rsidRPr="000F02B6" w:rsidRDefault="00213ED5" w:rsidP="00E875A7">
      <w:pPr>
        <w:pStyle w:val="H2NumberedList"/>
        <w:ind w:right="56"/>
      </w:pPr>
      <w:r w:rsidRPr="000F02B6">
        <w:t xml:space="preserve">The table </w:t>
      </w:r>
      <w:r w:rsidR="00A026FA" w:rsidRPr="000F02B6">
        <w:t xml:space="preserve">in 3.2 </w:t>
      </w:r>
      <w:r w:rsidR="00B82F66" w:rsidRPr="000F02B6">
        <w:t xml:space="preserve">provides guidance on how </w:t>
      </w:r>
      <w:r w:rsidR="00BA3141" w:rsidRPr="000F02B6">
        <w:t>Academic Misconduct</w:t>
      </w:r>
      <w:r w:rsidR="00B82F66" w:rsidRPr="000F02B6">
        <w:t xml:space="preserve"> can be detected and proactively addressed. It is </w:t>
      </w:r>
      <w:r w:rsidR="00B82F66" w:rsidRPr="000F02B6">
        <w:rPr>
          <w:b/>
          <w:bCs/>
        </w:rPr>
        <w:t>not</w:t>
      </w:r>
      <w:r w:rsidR="00B82F66" w:rsidRPr="000F02B6">
        <w:t xml:space="preserve"> a substitute for following the</w:t>
      </w:r>
      <w:r w:rsidR="00ED4804" w:rsidRPr="000F02B6">
        <w:t xml:space="preserve"> </w:t>
      </w:r>
      <w:r w:rsidR="00B82F66" w:rsidRPr="000F02B6">
        <w:t xml:space="preserve">processes prescribed in the Student </w:t>
      </w:r>
      <w:r w:rsidR="00F94583" w:rsidRPr="000F02B6">
        <w:t>Breaches of Academic Integrity Procedure</w:t>
      </w:r>
      <w:r w:rsidR="00B82F66" w:rsidRPr="000F02B6">
        <w:t>, which are the only processes that allow for penalties to be applied.</w:t>
      </w:r>
    </w:p>
    <w:p w14:paraId="63152A0A" w14:textId="77777777" w:rsidR="00E56983" w:rsidRPr="000F02B6" w:rsidRDefault="00E56983" w:rsidP="00E875A7">
      <w:pPr>
        <w:pStyle w:val="H2NumberedList"/>
        <w:numPr>
          <w:ilvl w:val="0"/>
          <w:numId w:val="0"/>
        </w:numPr>
        <w:ind w:left="993" w:right="56"/>
      </w:pPr>
    </w:p>
    <w:p w14:paraId="4B99AE1A" w14:textId="77777777" w:rsidR="00016AA7" w:rsidRPr="000F02B6" w:rsidRDefault="00016AA7" w:rsidP="00E875A7">
      <w:pPr>
        <w:pStyle w:val="H2NumberedList"/>
        <w:numPr>
          <w:ilvl w:val="0"/>
          <w:numId w:val="0"/>
        </w:numPr>
        <w:ind w:right="56"/>
        <w:sectPr w:rsidR="00016AA7" w:rsidRPr="000F02B6" w:rsidSect="00812FB8">
          <w:headerReference w:type="even" r:id="rId13"/>
          <w:headerReference w:type="default" r:id="rId14"/>
          <w:footerReference w:type="even" r:id="rId15"/>
          <w:footerReference w:type="default" r:id="rId16"/>
          <w:headerReference w:type="first" r:id="rId17"/>
          <w:footerReference w:type="first" r:id="rId18"/>
          <w:pgSz w:w="11906" w:h="16838"/>
          <w:pgMar w:top="1985" w:right="680" w:bottom="851" w:left="680" w:header="680" w:footer="454" w:gutter="0"/>
          <w:cols w:space="708"/>
          <w:titlePg/>
          <w:docGrid w:linePitch="360"/>
        </w:sectPr>
      </w:pPr>
    </w:p>
    <w:p w14:paraId="7E6499C3" w14:textId="2B1D9098" w:rsidR="00317C5E" w:rsidRPr="000F02B6" w:rsidRDefault="00351163" w:rsidP="00E875A7">
      <w:pPr>
        <w:pStyle w:val="Heading2"/>
        <w:spacing w:line="240" w:lineRule="auto"/>
        <w:ind w:right="56"/>
        <w:rPr>
          <w:rFonts w:ascii="Arial" w:hAnsi="Arial" w:cs="Arial"/>
        </w:rPr>
      </w:pPr>
      <w:bookmarkStart w:id="13" w:name="_Toc148329195"/>
      <w:r w:rsidRPr="000F02B6">
        <w:rPr>
          <w:rFonts w:ascii="Arial" w:hAnsi="Arial" w:cs="Arial"/>
        </w:rPr>
        <w:lastRenderedPageBreak/>
        <w:t>Identifying and preventing breaches of academic integrity</w:t>
      </w:r>
      <w:bookmarkEnd w:id="13"/>
    </w:p>
    <w:tbl>
      <w:tblPr>
        <w:tblStyle w:val="TableGrid"/>
        <w:tblW w:w="4949" w:type="pct"/>
        <w:tblBorders>
          <w:top w:val="none" w:sz="0" w:space="0" w:color="auto"/>
          <w:left w:val="none" w:sz="0" w:space="0" w:color="auto"/>
          <w:right w:val="none" w:sz="0" w:space="0" w:color="auto"/>
          <w:insideV w:val="none" w:sz="0" w:space="0" w:color="auto"/>
        </w:tblBorders>
        <w:tblLayout w:type="fixed"/>
        <w:tblCellMar>
          <w:top w:w="170" w:type="dxa"/>
          <w:left w:w="0" w:type="dxa"/>
          <w:bottom w:w="57" w:type="dxa"/>
          <w:right w:w="0" w:type="dxa"/>
        </w:tblCellMar>
        <w:tblLook w:val="04A0" w:firstRow="1" w:lastRow="0" w:firstColumn="1" w:lastColumn="0" w:noHBand="0" w:noVBand="1"/>
      </w:tblPr>
      <w:tblGrid>
        <w:gridCol w:w="1985"/>
        <w:gridCol w:w="4536"/>
        <w:gridCol w:w="4252"/>
        <w:gridCol w:w="4533"/>
        <w:gridCol w:w="6"/>
        <w:gridCol w:w="8"/>
      </w:tblGrid>
      <w:tr w:rsidR="00D265A5" w:rsidRPr="00746E09" w14:paraId="5CC74632" w14:textId="77777777" w:rsidTr="00D0117A">
        <w:tc>
          <w:tcPr>
            <w:tcW w:w="1985" w:type="dxa"/>
          </w:tcPr>
          <w:p w14:paraId="73FBBDF7" w14:textId="77777777" w:rsidR="00351163" w:rsidRPr="00746E09" w:rsidRDefault="00351163" w:rsidP="00F95825">
            <w:pPr>
              <w:pStyle w:val="Heading4"/>
            </w:pPr>
          </w:p>
        </w:tc>
        <w:tc>
          <w:tcPr>
            <w:tcW w:w="4536" w:type="dxa"/>
          </w:tcPr>
          <w:p w14:paraId="1BB39841" w14:textId="77777777" w:rsidR="00351163" w:rsidRPr="00746E09" w:rsidRDefault="00351163" w:rsidP="00F95825">
            <w:pPr>
              <w:pStyle w:val="Heading4"/>
            </w:pPr>
            <w:r w:rsidRPr="00746E09">
              <w:t>What is it?</w:t>
            </w:r>
          </w:p>
        </w:tc>
        <w:tc>
          <w:tcPr>
            <w:tcW w:w="4252" w:type="dxa"/>
          </w:tcPr>
          <w:p w14:paraId="53E4C244" w14:textId="77777777" w:rsidR="00351163" w:rsidRPr="00746E09" w:rsidRDefault="00351163" w:rsidP="00F95825">
            <w:pPr>
              <w:pStyle w:val="Heading4"/>
            </w:pPr>
            <w:r w:rsidRPr="00746E09">
              <w:t>How can you detect it?</w:t>
            </w:r>
          </w:p>
        </w:tc>
        <w:tc>
          <w:tcPr>
            <w:tcW w:w="4547" w:type="dxa"/>
            <w:gridSpan w:val="3"/>
          </w:tcPr>
          <w:p w14:paraId="09FD7D94" w14:textId="77777777" w:rsidR="00351163" w:rsidRPr="00746E09" w:rsidRDefault="00351163" w:rsidP="00F95825">
            <w:pPr>
              <w:pStyle w:val="Heading4"/>
            </w:pPr>
            <w:r w:rsidRPr="00746E09">
              <w:t>How can you prevent it?</w:t>
            </w:r>
          </w:p>
        </w:tc>
      </w:tr>
      <w:tr w:rsidR="00D265A5" w:rsidRPr="000F02B6" w14:paraId="6C4F4346" w14:textId="77777777" w:rsidTr="00D0117A">
        <w:tc>
          <w:tcPr>
            <w:tcW w:w="1985" w:type="dxa"/>
          </w:tcPr>
          <w:p w14:paraId="63DCC52D" w14:textId="77777777" w:rsidR="00351163" w:rsidRPr="000F02B6" w:rsidRDefault="00351163" w:rsidP="00F95825">
            <w:pPr>
              <w:pStyle w:val="Tablesideheading"/>
              <w:spacing w:before="100" w:after="100"/>
            </w:pPr>
            <w:r w:rsidRPr="000F02B6">
              <w:t>Academic Filesharing</w:t>
            </w:r>
          </w:p>
        </w:tc>
        <w:tc>
          <w:tcPr>
            <w:tcW w:w="4536" w:type="dxa"/>
          </w:tcPr>
          <w:p w14:paraId="27854776" w14:textId="1BE478D0" w:rsidR="00351163" w:rsidRPr="000F02B6" w:rsidRDefault="00351163" w:rsidP="00F95825">
            <w:pPr>
              <w:pStyle w:val="TableContents"/>
              <w:spacing w:before="100" w:after="100"/>
              <w:ind w:right="191"/>
            </w:pPr>
            <w:r w:rsidRPr="000F02B6">
              <w:t xml:space="preserve">Academic filesharing is when a student shares any aspect of their assessment materials with another student. This includes materials related to past year assessment tasks without the explicit permission of academic </w:t>
            </w:r>
            <w:r w:rsidR="00A3418A" w:rsidRPr="000F02B6">
              <w:t>staff</w:t>
            </w:r>
            <w:r w:rsidRPr="000F02B6">
              <w:t>.</w:t>
            </w:r>
          </w:p>
          <w:p w14:paraId="3F1333DD" w14:textId="0DCF9A61" w:rsidR="00351163" w:rsidRPr="000F02B6" w:rsidRDefault="00351163" w:rsidP="00F95825">
            <w:pPr>
              <w:pStyle w:val="TableContents"/>
              <w:spacing w:before="100" w:after="100"/>
              <w:ind w:right="191"/>
            </w:pPr>
            <w:r w:rsidRPr="000F02B6">
              <w:t>This is distinguished from contract cheating in not being a paid transaction</w:t>
            </w:r>
            <w:r w:rsidR="007D48EA" w:rsidRPr="000F02B6">
              <w:t>. However</w:t>
            </w:r>
            <w:r w:rsidR="009B0EDB" w:rsidRPr="000F02B6">
              <w:t>,</w:t>
            </w:r>
            <w:r w:rsidRPr="000F02B6">
              <w:t xml:space="preserve"> students may barter materials. </w:t>
            </w:r>
          </w:p>
          <w:p w14:paraId="5EB96F63" w14:textId="19B570BB" w:rsidR="00351163" w:rsidRPr="000F02B6" w:rsidRDefault="00351163" w:rsidP="00F95825">
            <w:pPr>
              <w:pStyle w:val="TableContents"/>
              <w:spacing w:before="100" w:after="100"/>
              <w:ind w:right="191"/>
            </w:pPr>
            <w:r w:rsidRPr="000F02B6">
              <w:t xml:space="preserve">In the case of class notes, academic filesharing may not always constitute </w:t>
            </w:r>
            <w:r w:rsidR="00BA3141" w:rsidRPr="000F02B6">
              <w:t>Academic Misconduct</w:t>
            </w:r>
            <w:r w:rsidRPr="000F02B6">
              <w:t>. Students may share notes with other students as a collaborative and mutually supportive act.</w:t>
            </w:r>
          </w:p>
        </w:tc>
        <w:tc>
          <w:tcPr>
            <w:tcW w:w="4252" w:type="dxa"/>
          </w:tcPr>
          <w:p w14:paraId="0AF31B75" w14:textId="406099EA" w:rsidR="00351163" w:rsidRPr="000F02B6" w:rsidRDefault="00351163" w:rsidP="00F95825">
            <w:pPr>
              <w:pStyle w:val="TableContents"/>
              <w:spacing w:before="100" w:after="100"/>
            </w:pPr>
            <w:r w:rsidRPr="000F02B6">
              <w:t xml:space="preserve">Academic filesharing may be detected by </w:t>
            </w:r>
            <w:r w:rsidR="00EF5597" w:rsidRPr="000F02B6">
              <w:t xml:space="preserve">Turnitin </w:t>
            </w:r>
            <w:r w:rsidRPr="000F02B6">
              <w:t xml:space="preserve">automated checking software in the case of direct plagiarism. </w:t>
            </w:r>
          </w:p>
          <w:p w14:paraId="2B711FF6" w14:textId="62BB5F8E" w:rsidR="00351163" w:rsidRPr="000F02B6" w:rsidRDefault="00351163" w:rsidP="00F95825">
            <w:pPr>
              <w:pStyle w:val="TableContents"/>
              <w:spacing w:before="100" w:after="100"/>
            </w:pPr>
            <w:r w:rsidRPr="000F02B6">
              <w:t xml:space="preserve">In the case of suspected filesharing from an external (non-Griffith) source, academics may also consult services such as </w:t>
            </w:r>
            <w:proofErr w:type="spellStart"/>
            <w:r w:rsidRPr="000F02B6">
              <w:t>StuDocu</w:t>
            </w:r>
            <w:proofErr w:type="spellEnd"/>
            <w:r w:rsidRPr="000F02B6">
              <w:t xml:space="preserve">, </w:t>
            </w:r>
            <w:proofErr w:type="spellStart"/>
            <w:r w:rsidRPr="000F02B6">
              <w:t>CourseHero</w:t>
            </w:r>
            <w:proofErr w:type="spellEnd"/>
            <w:r w:rsidRPr="000F02B6">
              <w:t xml:space="preserve">, </w:t>
            </w:r>
            <w:proofErr w:type="spellStart"/>
            <w:r w:rsidRPr="000F02B6">
              <w:t>ThinkSwap</w:t>
            </w:r>
            <w:proofErr w:type="spellEnd"/>
            <w:r w:rsidRPr="000F02B6">
              <w:t>, Student VIP, and Chegg.com</w:t>
            </w:r>
            <w:r w:rsidR="00564FB3" w:rsidRPr="000F02B6">
              <w:t>,</w:t>
            </w:r>
            <w:r w:rsidRPr="000F02B6">
              <w:t xml:space="preserve"> which crowdsource assessment materials.</w:t>
            </w:r>
          </w:p>
        </w:tc>
        <w:tc>
          <w:tcPr>
            <w:tcW w:w="4547" w:type="dxa"/>
            <w:gridSpan w:val="3"/>
          </w:tcPr>
          <w:p w14:paraId="2DE3ECA5" w14:textId="1B9363F5" w:rsidR="00351163" w:rsidRPr="000F02B6" w:rsidRDefault="00351163" w:rsidP="00F95825">
            <w:pPr>
              <w:pStyle w:val="TableContents"/>
              <w:spacing w:before="100" w:after="100"/>
            </w:pPr>
            <w:r w:rsidRPr="000F02B6">
              <w:t xml:space="preserve">Filesharing may be reduced by academic </w:t>
            </w:r>
            <w:r w:rsidR="00A3418A" w:rsidRPr="000F02B6">
              <w:t>staff</w:t>
            </w:r>
            <w:r w:rsidR="00F6217A" w:rsidRPr="000F02B6">
              <w:t xml:space="preserve"> </w:t>
            </w:r>
            <w:r w:rsidRPr="000F02B6">
              <w:t xml:space="preserve">communicating to students clearly Griffith’s expectations about document sharing of assessed materials, noting explicitly that it constitutes both plagiarism and collusion, even after the conclusion of a </w:t>
            </w:r>
            <w:r w:rsidR="00A159BC" w:rsidRPr="000F02B6">
              <w:t>course</w:t>
            </w:r>
            <w:r w:rsidRPr="000F02B6">
              <w:t xml:space="preserve">. </w:t>
            </w:r>
          </w:p>
          <w:p w14:paraId="1BFA4C56" w14:textId="1F1AF151" w:rsidR="00351163" w:rsidRPr="000F02B6" w:rsidRDefault="00EF5597" w:rsidP="00F95825">
            <w:pPr>
              <w:pStyle w:val="TableContents"/>
              <w:spacing w:before="100" w:after="100"/>
              <w:rPr>
                <w:color w:val="FF0000"/>
                <w:sz w:val="24"/>
                <w:szCs w:val="24"/>
              </w:rPr>
            </w:pPr>
            <w:r w:rsidRPr="000F02B6">
              <w:t>Staff</w:t>
            </w:r>
            <w:r w:rsidR="00351163" w:rsidRPr="000F02B6">
              <w:t xml:space="preserve"> should also provide examples of assessments and conduct searches of the most popular filesharing services</w:t>
            </w:r>
          </w:p>
        </w:tc>
      </w:tr>
      <w:tr w:rsidR="00D265A5" w:rsidRPr="000F02B6" w14:paraId="1EAD0010" w14:textId="77777777" w:rsidTr="00D0117A">
        <w:trPr>
          <w:gridAfter w:val="2"/>
          <w:wAfter w:w="14" w:type="dxa"/>
        </w:trPr>
        <w:tc>
          <w:tcPr>
            <w:tcW w:w="1985" w:type="dxa"/>
          </w:tcPr>
          <w:p w14:paraId="0E590F00" w14:textId="77777777" w:rsidR="00317C5E" w:rsidRPr="000F02B6" w:rsidRDefault="00317C5E" w:rsidP="00F95825">
            <w:pPr>
              <w:pStyle w:val="Tablesideheading"/>
              <w:spacing w:before="100" w:after="100"/>
            </w:pPr>
            <w:r w:rsidRPr="000F02B6">
              <w:t>Assisting Plagiarism</w:t>
            </w:r>
          </w:p>
        </w:tc>
        <w:tc>
          <w:tcPr>
            <w:tcW w:w="4536" w:type="dxa"/>
          </w:tcPr>
          <w:p w14:paraId="09A12D99" w14:textId="1BA64284" w:rsidR="00317C5E" w:rsidRPr="000F02B6" w:rsidRDefault="00317C5E" w:rsidP="00F95825">
            <w:pPr>
              <w:pStyle w:val="TableContents"/>
              <w:spacing w:before="100" w:after="100"/>
              <w:ind w:right="191"/>
              <w:rPr>
                <w:color w:val="FF0000"/>
                <w:sz w:val="24"/>
                <w:szCs w:val="24"/>
              </w:rPr>
            </w:pPr>
            <w:r w:rsidRPr="000F02B6">
              <w:t xml:space="preserve">Assisting Plagiarism occurs when a student willingly assists another student to circumvent the purpose of assessment through cheating, misrepresentation, </w:t>
            </w:r>
            <w:proofErr w:type="gramStart"/>
            <w:r w:rsidRPr="000F02B6">
              <w:t>plagiarism</w:t>
            </w:r>
            <w:proofErr w:type="gramEnd"/>
            <w:r w:rsidRPr="000F02B6">
              <w:t xml:space="preserve"> or solicitation (e.g., by willingly sharing their own work, giving them access to their own work, using a file</w:t>
            </w:r>
            <w:r w:rsidR="00193CE9" w:rsidRPr="000F02B6">
              <w:t>-</w:t>
            </w:r>
            <w:r w:rsidRPr="000F02B6">
              <w:t>swapping/sharing site or advertising the availability of their own work or someone else’s work).</w:t>
            </w:r>
          </w:p>
        </w:tc>
        <w:tc>
          <w:tcPr>
            <w:tcW w:w="4252" w:type="dxa"/>
          </w:tcPr>
          <w:p w14:paraId="075EFBB6" w14:textId="77777777" w:rsidR="00317C5E" w:rsidRPr="000F02B6" w:rsidRDefault="00317C5E" w:rsidP="00F95825">
            <w:pPr>
              <w:pStyle w:val="TableContents"/>
              <w:spacing w:before="100" w:after="100"/>
              <w:ind w:right="191"/>
            </w:pPr>
            <w:r w:rsidRPr="000F02B6">
              <w:t xml:space="preserve">Assisting plagiarism is detected in similar ways to academic filesharing (see above). </w:t>
            </w:r>
          </w:p>
          <w:p w14:paraId="61EB2046" w14:textId="77777777" w:rsidR="00317C5E" w:rsidRPr="000F02B6" w:rsidRDefault="00317C5E" w:rsidP="00F95825">
            <w:pPr>
              <w:pStyle w:val="TableContents"/>
              <w:spacing w:before="100" w:after="100"/>
              <w:ind w:right="191"/>
            </w:pPr>
          </w:p>
        </w:tc>
        <w:tc>
          <w:tcPr>
            <w:tcW w:w="4533" w:type="dxa"/>
          </w:tcPr>
          <w:p w14:paraId="14420F40" w14:textId="77777777" w:rsidR="00317C5E" w:rsidRPr="000F02B6" w:rsidRDefault="00317C5E" w:rsidP="00F95825">
            <w:pPr>
              <w:pStyle w:val="TableContents"/>
              <w:spacing w:before="100" w:after="100"/>
            </w:pPr>
            <w:r w:rsidRPr="000F02B6">
              <w:t xml:space="preserve">Assisting plagiarism is prevented in similar ways to academic filesharing (see above). </w:t>
            </w:r>
          </w:p>
          <w:p w14:paraId="454FBA5B" w14:textId="77777777" w:rsidR="00317C5E" w:rsidRPr="000F02B6" w:rsidRDefault="00317C5E" w:rsidP="00F95825">
            <w:pPr>
              <w:pStyle w:val="TableContents"/>
              <w:spacing w:before="100" w:after="100"/>
            </w:pPr>
          </w:p>
        </w:tc>
      </w:tr>
      <w:tr w:rsidR="00E71C51" w:rsidRPr="00746E09" w14:paraId="6981D7F8" w14:textId="77777777" w:rsidTr="00D0117A">
        <w:trPr>
          <w:tblHeader/>
        </w:trPr>
        <w:tc>
          <w:tcPr>
            <w:tcW w:w="1985" w:type="dxa"/>
          </w:tcPr>
          <w:p w14:paraId="3B923354" w14:textId="77777777" w:rsidR="00E71C51" w:rsidRPr="00746E09" w:rsidRDefault="00E71C51" w:rsidP="00B86085">
            <w:pPr>
              <w:pStyle w:val="Heading4"/>
            </w:pPr>
          </w:p>
        </w:tc>
        <w:tc>
          <w:tcPr>
            <w:tcW w:w="4536" w:type="dxa"/>
          </w:tcPr>
          <w:p w14:paraId="72C7F15C" w14:textId="77777777" w:rsidR="00E71C51" w:rsidRPr="00746E09" w:rsidRDefault="00E71C51" w:rsidP="00B86085">
            <w:pPr>
              <w:pStyle w:val="Heading4"/>
            </w:pPr>
            <w:r w:rsidRPr="00746E09">
              <w:t>What is it?</w:t>
            </w:r>
          </w:p>
        </w:tc>
        <w:tc>
          <w:tcPr>
            <w:tcW w:w="4252" w:type="dxa"/>
          </w:tcPr>
          <w:p w14:paraId="7B833A13" w14:textId="77777777" w:rsidR="00E71C51" w:rsidRPr="00746E09" w:rsidRDefault="00E71C51" w:rsidP="00B86085">
            <w:pPr>
              <w:pStyle w:val="Heading4"/>
            </w:pPr>
            <w:r w:rsidRPr="00746E09">
              <w:t>How can you detect it?</w:t>
            </w:r>
          </w:p>
        </w:tc>
        <w:tc>
          <w:tcPr>
            <w:tcW w:w="4547" w:type="dxa"/>
            <w:gridSpan w:val="3"/>
          </w:tcPr>
          <w:p w14:paraId="7457DB38" w14:textId="77777777" w:rsidR="00E71C51" w:rsidRPr="00746E09" w:rsidRDefault="00E71C51" w:rsidP="00B86085">
            <w:pPr>
              <w:pStyle w:val="Heading4"/>
            </w:pPr>
            <w:r w:rsidRPr="00746E09">
              <w:t>How can you prevent it?</w:t>
            </w:r>
          </w:p>
        </w:tc>
      </w:tr>
      <w:tr w:rsidR="00D265A5" w:rsidRPr="000F02B6" w14:paraId="63345585" w14:textId="77777777" w:rsidTr="00D0117A">
        <w:trPr>
          <w:gridAfter w:val="2"/>
          <w:wAfter w:w="14" w:type="dxa"/>
        </w:trPr>
        <w:tc>
          <w:tcPr>
            <w:tcW w:w="1985" w:type="dxa"/>
          </w:tcPr>
          <w:p w14:paraId="3BE42C37" w14:textId="6C601F51" w:rsidR="001B4F09" w:rsidRPr="000F02B6" w:rsidRDefault="001B4F09" w:rsidP="00F95825">
            <w:pPr>
              <w:pStyle w:val="Tablesideheading"/>
              <w:spacing w:before="100" w:after="100"/>
            </w:pPr>
            <w:r w:rsidRPr="000F02B6">
              <w:t>Attempting to inappropriately influence a peer review process</w:t>
            </w:r>
          </w:p>
        </w:tc>
        <w:tc>
          <w:tcPr>
            <w:tcW w:w="4536" w:type="dxa"/>
          </w:tcPr>
          <w:p w14:paraId="3B80FEB1" w14:textId="73B69385" w:rsidR="001B4F09" w:rsidRPr="000F02B6" w:rsidRDefault="00B83EA8" w:rsidP="00F95825">
            <w:pPr>
              <w:pStyle w:val="TableContents"/>
              <w:spacing w:before="100" w:after="100"/>
              <w:ind w:right="191"/>
            </w:pPr>
            <w:r w:rsidRPr="000F02B6">
              <w:t>A</w:t>
            </w:r>
            <w:r w:rsidR="001B4F09" w:rsidRPr="000F02B6">
              <w:t>ttempting to inappropriately influence a peer review process</w:t>
            </w:r>
            <w:r w:rsidRPr="000F02B6">
              <w:t xml:space="preserve"> </w:t>
            </w:r>
            <w:r w:rsidR="001B4F09" w:rsidRPr="000F02B6">
              <w:t>occurs when a student whose work is undergoing peer review seeks to influence the process or outcomes in any way, whether directly or indirectly.</w:t>
            </w:r>
          </w:p>
        </w:tc>
        <w:tc>
          <w:tcPr>
            <w:tcW w:w="4252" w:type="dxa"/>
          </w:tcPr>
          <w:p w14:paraId="1DAE3152" w14:textId="77777777" w:rsidR="008218C8" w:rsidRPr="000F02B6" w:rsidRDefault="008218C8" w:rsidP="00F95825">
            <w:pPr>
              <w:pStyle w:val="TableContents"/>
              <w:spacing w:before="100" w:after="100"/>
              <w:ind w:right="191"/>
            </w:pPr>
            <w:r w:rsidRPr="000F02B6">
              <w:t xml:space="preserve">Such breaches are typically detected by whistleblowers, including supervisors, </w:t>
            </w:r>
            <w:proofErr w:type="gramStart"/>
            <w:r w:rsidRPr="000F02B6">
              <w:t>examiners</w:t>
            </w:r>
            <w:proofErr w:type="gramEnd"/>
            <w:r w:rsidRPr="000F02B6">
              <w:t xml:space="preserve"> and peers.</w:t>
            </w:r>
          </w:p>
          <w:p w14:paraId="5EB7956E" w14:textId="77777777" w:rsidR="001B4F09" w:rsidRPr="000F02B6" w:rsidRDefault="001B4F09" w:rsidP="00F95825">
            <w:pPr>
              <w:pStyle w:val="TableContents"/>
              <w:spacing w:before="100" w:after="100"/>
              <w:ind w:right="191"/>
            </w:pPr>
          </w:p>
        </w:tc>
        <w:tc>
          <w:tcPr>
            <w:tcW w:w="4533" w:type="dxa"/>
          </w:tcPr>
          <w:p w14:paraId="43EC8197" w14:textId="1358BC17" w:rsidR="001B4F09" w:rsidRPr="000F02B6" w:rsidRDefault="008218C8" w:rsidP="00F95825">
            <w:pPr>
              <w:pStyle w:val="TableContents"/>
              <w:spacing w:before="100" w:after="100"/>
            </w:pPr>
            <w:r w:rsidRPr="000F02B6">
              <w:t>Attempts to inappropriately influence a peer review process can be prevented by</w:t>
            </w:r>
            <w:r w:rsidR="00996B72" w:rsidRPr="000F02B6">
              <w:t xml:space="preserve"> </w:t>
            </w:r>
            <w:r w:rsidR="00AF5A9E" w:rsidRPr="000F02B6">
              <w:t>HDR, Honours and postgraduate research supervisors setting</w:t>
            </w:r>
            <w:r w:rsidRPr="000F02B6">
              <w:t xml:space="preserve"> clear expectations </w:t>
            </w:r>
            <w:r w:rsidR="006B3B39" w:rsidRPr="000F02B6">
              <w:t xml:space="preserve">with </w:t>
            </w:r>
            <w:r w:rsidRPr="000F02B6">
              <w:t xml:space="preserve">students before </w:t>
            </w:r>
            <w:r w:rsidR="006B3B39" w:rsidRPr="000F02B6">
              <w:t xml:space="preserve">they </w:t>
            </w:r>
            <w:r w:rsidRPr="000F02B6">
              <w:t>submi</w:t>
            </w:r>
            <w:r w:rsidR="006B3B39" w:rsidRPr="000F02B6">
              <w:t xml:space="preserve">t their research work for peer review. </w:t>
            </w:r>
          </w:p>
        </w:tc>
      </w:tr>
      <w:tr w:rsidR="00D265A5" w:rsidRPr="000F02B6" w14:paraId="2674F70C" w14:textId="77777777" w:rsidTr="00D0117A">
        <w:trPr>
          <w:gridAfter w:val="2"/>
          <w:wAfter w:w="14" w:type="dxa"/>
        </w:trPr>
        <w:tc>
          <w:tcPr>
            <w:tcW w:w="1985" w:type="dxa"/>
          </w:tcPr>
          <w:p w14:paraId="6DE838D5" w14:textId="77777777" w:rsidR="007D48EA" w:rsidRPr="000F02B6" w:rsidRDefault="007D48EA" w:rsidP="00F95825">
            <w:pPr>
              <w:pStyle w:val="Tablesideheading"/>
              <w:spacing w:before="100" w:after="100"/>
            </w:pPr>
            <w:r w:rsidRPr="000F02B6">
              <w:t>Breach of ethical standards (research)</w:t>
            </w:r>
          </w:p>
        </w:tc>
        <w:tc>
          <w:tcPr>
            <w:tcW w:w="4536" w:type="dxa"/>
          </w:tcPr>
          <w:p w14:paraId="25BE2E05" w14:textId="2548522F" w:rsidR="007D48EA" w:rsidRPr="000F02B6" w:rsidRDefault="007D48EA" w:rsidP="00F95825">
            <w:pPr>
              <w:pStyle w:val="TableContents"/>
              <w:spacing w:before="100" w:after="100"/>
              <w:ind w:right="191"/>
            </w:pPr>
            <w:r w:rsidRPr="000F02B6">
              <w:t xml:space="preserve">A breach of ethical standards in research is a breach of the Australian Code </w:t>
            </w:r>
            <w:r w:rsidR="00DD7C5D" w:rsidRPr="000F02B6">
              <w:t xml:space="preserve">for the Responsible Conduct of Research </w:t>
            </w:r>
            <w:r w:rsidRPr="000F02B6">
              <w:t>2018</w:t>
            </w:r>
            <w:r w:rsidR="007A7929" w:rsidRPr="000F02B6">
              <w:t>,</w:t>
            </w:r>
            <w:r w:rsidRPr="000F02B6">
              <w:t xml:space="preserve"> which occurs when </w:t>
            </w:r>
            <w:proofErr w:type="gramStart"/>
            <w:r w:rsidR="00DD7C5D" w:rsidRPr="000F02B6">
              <w:t xml:space="preserve">a </w:t>
            </w:r>
            <w:r w:rsidRPr="000F02B6">
              <w:t>student conducts research</w:t>
            </w:r>
            <w:proofErr w:type="gramEnd"/>
            <w:r w:rsidRPr="000F02B6">
              <w:t xml:space="preserve"> without the required ethical clearance or fails to comply with the terms of the research project’s ethical clearance.</w:t>
            </w:r>
          </w:p>
        </w:tc>
        <w:tc>
          <w:tcPr>
            <w:tcW w:w="4252" w:type="dxa"/>
          </w:tcPr>
          <w:p w14:paraId="0BF84F49" w14:textId="28561E0F" w:rsidR="007D48EA" w:rsidRPr="000F02B6" w:rsidRDefault="007D48EA" w:rsidP="00F95825">
            <w:pPr>
              <w:pStyle w:val="TableContents"/>
              <w:spacing w:before="100" w:after="100"/>
              <w:ind w:right="191"/>
            </w:pPr>
            <w:r w:rsidRPr="000F02B6">
              <w:t xml:space="preserve">Breach of ethical standards is typically detected by supervising academic </w:t>
            </w:r>
            <w:r w:rsidR="00A3418A" w:rsidRPr="000F02B6">
              <w:t>staff</w:t>
            </w:r>
            <w:r w:rsidRPr="000F02B6">
              <w:t>.</w:t>
            </w:r>
            <w:r w:rsidR="00F6217A" w:rsidRPr="000F02B6">
              <w:t xml:space="preserve"> </w:t>
            </w:r>
            <w:r w:rsidRPr="000F02B6">
              <w:t>On occasion, it may be reported by a whistleblower.</w:t>
            </w:r>
          </w:p>
        </w:tc>
        <w:tc>
          <w:tcPr>
            <w:tcW w:w="4533" w:type="dxa"/>
          </w:tcPr>
          <w:p w14:paraId="1F4B4A7A" w14:textId="4620421B" w:rsidR="007D48EA" w:rsidRPr="000F02B6" w:rsidRDefault="00EF5597" w:rsidP="00F95825">
            <w:pPr>
              <w:pStyle w:val="TableContents"/>
              <w:spacing w:before="100" w:after="100"/>
            </w:pPr>
            <w:r w:rsidRPr="000F02B6">
              <w:t>Staff</w:t>
            </w:r>
            <w:r w:rsidR="007D48EA" w:rsidRPr="000F02B6">
              <w:t xml:space="preserve"> should be vigilant about ethical clearances when examining assessments</w:t>
            </w:r>
            <w:r w:rsidR="00BB620E" w:rsidRPr="000F02B6">
              <w:t xml:space="preserve"> or HDR milestone documentation and draft thesis chapters</w:t>
            </w:r>
            <w:r w:rsidRPr="000F02B6">
              <w:t>. The necessary ethical standards should be made</w:t>
            </w:r>
            <w:r w:rsidR="00305315" w:rsidRPr="000F02B6">
              <w:t xml:space="preserve"> </w:t>
            </w:r>
            <w:r w:rsidR="007D48EA" w:rsidRPr="000F02B6">
              <w:t xml:space="preserve">clear </w:t>
            </w:r>
            <w:r w:rsidRPr="000F02B6">
              <w:t xml:space="preserve">to students </w:t>
            </w:r>
            <w:r w:rsidR="002515B4" w:rsidRPr="000F02B6">
              <w:t xml:space="preserve">through guidance from their supervisors as well as </w:t>
            </w:r>
            <w:r w:rsidRPr="000F02B6">
              <w:t>in online</w:t>
            </w:r>
            <w:r w:rsidR="00305315" w:rsidRPr="000F02B6">
              <w:t xml:space="preserve"> </w:t>
            </w:r>
            <w:r w:rsidR="007D48EA" w:rsidRPr="000F02B6">
              <w:t>materials a</w:t>
            </w:r>
            <w:r w:rsidR="00BB3D39" w:rsidRPr="000F02B6">
              <w:t>nd</w:t>
            </w:r>
            <w:r w:rsidR="007D48EA" w:rsidRPr="000F02B6">
              <w:t xml:space="preserve"> in class or in recorded materials.</w:t>
            </w:r>
          </w:p>
        </w:tc>
      </w:tr>
      <w:tr w:rsidR="00D265A5" w:rsidRPr="000F02B6" w14:paraId="325257C7" w14:textId="77777777" w:rsidTr="00D0117A">
        <w:trPr>
          <w:gridAfter w:val="1"/>
          <w:wAfter w:w="8" w:type="dxa"/>
        </w:trPr>
        <w:tc>
          <w:tcPr>
            <w:tcW w:w="1985" w:type="dxa"/>
          </w:tcPr>
          <w:p w14:paraId="70366132" w14:textId="77777777" w:rsidR="00317C5E" w:rsidRPr="000F02B6" w:rsidRDefault="00317C5E" w:rsidP="00F95825">
            <w:pPr>
              <w:pStyle w:val="Tablesideheading"/>
              <w:spacing w:before="100" w:after="100"/>
              <w:ind w:right="191"/>
            </w:pPr>
            <w:r w:rsidRPr="000F02B6">
              <w:t>Breach of HDR thesis examination procedures</w:t>
            </w:r>
          </w:p>
        </w:tc>
        <w:tc>
          <w:tcPr>
            <w:tcW w:w="4536" w:type="dxa"/>
          </w:tcPr>
          <w:p w14:paraId="043BB96B" w14:textId="06B1DC7C" w:rsidR="00317C5E" w:rsidRPr="000F02B6" w:rsidRDefault="00317C5E" w:rsidP="00F95825">
            <w:pPr>
              <w:pStyle w:val="TableContents"/>
              <w:spacing w:before="100" w:after="100"/>
              <w:ind w:right="191"/>
            </w:pPr>
            <w:r w:rsidRPr="000F02B6">
              <w:t>Breach of HDR thesis examination procedures occurs when a candidate fails to comply with the protocols for the examination process, including</w:t>
            </w:r>
            <w:r w:rsidR="00B83EA8" w:rsidRPr="000F02B6">
              <w:t xml:space="preserve"> </w:t>
            </w:r>
            <w:r w:rsidR="00193CE9" w:rsidRPr="000F02B6">
              <w:t>u</w:t>
            </w:r>
            <w:r w:rsidRPr="000F02B6">
              <w:t xml:space="preserve">nauthorised contact with an examiner, as set out in the </w:t>
            </w:r>
            <w:r w:rsidRPr="00112E2F">
              <w:rPr>
                <w:i/>
                <w:iCs/>
              </w:rPr>
              <w:t xml:space="preserve">Higher Degree </w:t>
            </w:r>
            <w:r w:rsidR="00112E2F" w:rsidRPr="00112E2F">
              <w:rPr>
                <w:i/>
                <w:iCs/>
              </w:rPr>
              <w:t xml:space="preserve">by </w:t>
            </w:r>
            <w:r w:rsidRPr="00112E2F">
              <w:rPr>
                <w:i/>
                <w:iCs/>
              </w:rPr>
              <w:t>Research Policy</w:t>
            </w:r>
          </w:p>
        </w:tc>
        <w:tc>
          <w:tcPr>
            <w:tcW w:w="4252" w:type="dxa"/>
          </w:tcPr>
          <w:p w14:paraId="0244E1FE" w14:textId="77777777" w:rsidR="00317C5E" w:rsidRPr="000F02B6" w:rsidRDefault="00317C5E" w:rsidP="00F95825">
            <w:pPr>
              <w:pStyle w:val="TableContents"/>
              <w:spacing w:before="100" w:after="100"/>
            </w:pPr>
            <w:r w:rsidRPr="000F02B6">
              <w:t xml:space="preserve">Such breaches are typically detected by whistleblowers, including supervisors, </w:t>
            </w:r>
            <w:proofErr w:type="gramStart"/>
            <w:r w:rsidRPr="000F02B6">
              <w:t>examiners</w:t>
            </w:r>
            <w:proofErr w:type="gramEnd"/>
            <w:r w:rsidRPr="000F02B6">
              <w:t xml:space="preserve"> and peers.</w:t>
            </w:r>
          </w:p>
          <w:p w14:paraId="279E6F84" w14:textId="77777777" w:rsidR="00317C5E" w:rsidRPr="000F02B6" w:rsidRDefault="00317C5E" w:rsidP="00F95825">
            <w:pPr>
              <w:pStyle w:val="TableContents"/>
              <w:spacing w:before="100" w:after="100"/>
            </w:pPr>
          </w:p>
        </w:tc>
        <w:tc>
          <w:tcPr>
            <w:tcW w:w="4539" w:type="dxa"/>
            <w:gridSpan w:val="2"/>
          </w:tcPr>
          <w:p w14:paraId="0428F52C" w14:textId="77777777" w:rsidR="00317C5E" w:rsidRPr="000F02B6" w:rsidRDefault="00317C5E" w:rsidP="00F95825">
            <w:pPr>
              <w:pStyle w:val="TableContents"/>
              <w:spacing w:before="100" w:after="100"/>
              <w:rPr>
                <w:color w:val="FF0000"/>
                <w:sz w:val="24"/>
                <w:szCs w:val="24"/>
              </w:rPr>
            </w:pPr>
            <w:r w:rsidRPr="000F02B6">
              <w:t>Breach of thesis examination procedures can be prevented by clear expectations delivered by HDR supervisors to students before submission of theses for examination.</w:t>
            </w:r>
          </w:p>
        </w:tc>
      </w:tr>
    </w:tbl>
    <w:p w14:paraId="73A89DB8" w14:textId="77777777" w:rsidR="00E71C51" w:rsidRDefault="00E71C51">
      <w:r>
        <w:rPr>
          <w:b/>
        </w:rPr>
        <w:br w:type="page"/>
      </w:r>
    </w:p>
    <w:tbl>
      <w:tblPr>
        <w:tblStyle w:val="TableGrid"/>
        <w:tblW w:w="4996" w:type="pct"/>
        <w:tblBorders>
          <w:top w:val="none" w:sz="0" w:space="0" w:color="auto"/>
          <w:left w:val="none" w:sz="0" w:space="0" w:color="auto"/>
          <w:right w:val="none" w:sz="0" w:space="0" w:color="auto"/>
          <w:insideV w:val="none" w:sz="0" w:space="0" w:color="auto"/>
        </w:tblBorders>
        <w:tblLayout w:type="fixed"/>
        <w:tblCellMar>
          <w:top w:w="170" w:type="dxa"/>
          <w:left w:w="0" w:type="dxa"/>
          <w:bottom w:w="57" w:type="dxa"/>
          <w:right w:w="0" w:type="dxa"/>
        </w:tblCellMar>
        <w:tblLook w:val="04A0" w:firstRow="1" w:lastRow="0" w:firstColumn="1" w:lastColumn="0" w:noHBand="0" w:noVBand="1"/>
      </w:tblPr>
      <w:tblGrid>
        <w:gridCol w:w="1985"/>
        <w:gridCol w:w="4536"/>
        <w:gridCol w:w="53"/>
        <w:gridCol w:w="4431"/>
        <w:gridCol w:w="52"/>
        <w:gridCol w:w="4409"/>
      </w:tblGrid>
      <w:tr w:rsidR="00E71C51" w:rsidRPr="00746E09" w14:paraId="1BC7E1F8" w14:textId="77777777" w:rsidTr="0082428C">
        <w:trPr>
          <w:tblHeader/>
        </w:trPr>
        <w:tc>
          <w:tcPr>
            <w:tcW w:w="1985" w:type="dxa"/>
          </w:tcPr>
          <w:p w14:paraId="26B780D0" w14:textId="77777777" w:rsidR="00E71C51" w:rsidRPr="00746E09" w:rsidRDefault="00E71C51" w:rsidP="00B86085">
            <w:pPr>
              <w:pStyle w:val="Heading4"/>
            </w:pPr>
          </w:p>
        </w:tc>
        <w:tc>
          <w:tcPr>
            <w:tcW w:w="4589" w:type="dxa"/>
            <w:gridSpan w:val="2"/>
          </w:tcPr>
          <w:p w14:paraId="68D56914" w14:textId="77777777" w:rsidR="00E71C51" w:rsidRPr="00746E09" w:rsidRDefault="00E71C51" w:rsidP="00B86085">
            <w:pPr>
              <w:pStyle w:val="Heading4"/>
            </w:pPr>
            <w:r w:rsidRPr="00746E09">
              <w:t>What is it?</w:t>
            </w:r>
          </w:p>
        </w:tc>
        <w:tc>
          <w:tcPr>
            <w:tcW w:w="4431" w:type="dxa"/>
          </w:tcPr>
          <w:p w14:paraId="5E2D02F9" w14:textId="77777777" w:rsidR="00E71C51" w:rsidRPr="00746E09" w:rsidRDefault="00E71C51" w:rsidP="00B86085">
            <w:pPr>
              <w:pStyle w:val="Heading4"/>
            </w:pPr>
            <w:r w:rsidRPr="00746E09">
              <w:t>How can you detect it?</w:t>
            </w:r>
          </w:p>
        </w:tc>
        <w:tc>
          <w:tcPr>
            <w:tcW w:w="4461" w:type="dxa"/>
            <w:gridSpan w:val="2"/>
          </w:tcPr>
          <w:p w14:paraId="7FD7FB12" w14:textId="77777777" w:rsidR="00E71C51" w:rsidRPr="00746E09" w:rsidRDefault="00E71C51" w:rsidP="00B86085">
            <w:pPr>
              <w:pStyle w:val="Heading4"/>
            </w:pPr>
            <w:r w:rsidRPr="00746E09">
              <w:t>How can you prevent it?</w:t>
            </w:r>
          </w:p>
        </w:tc>
      </w:tr>
      <w:tr w:rsidR="00D265A5" w:rsidRPr="000F02B6" w14:paraId="6547E366" w14:textId="77777777" w:rsidTr="0082428C">
        <w:tc>
          <w:tcPr>
            <w:tcW w:w="1985" w:type="dxa"/>
          </w:tcPr>
          <w:p w14:paraId="7D98659D" w14:textId="29F6946B" w:rsidR="00D265A5" w:rsidRPr="000F02B6" w:rsidRDefault="00D265A5" w:rsidP="00B86085">
            <w:pPr>
              <w:pStyle w:val="Tablesideheading"/>
              <w:spacing w:before="100" w:after="100"/>
              <w:ind w:right="146"/>
            </w:pPr>
            <w:r>
              <w:t>Cheating</w:t>
            </w:r>
          </w:p>
        </w:tc>
        <w:tc>
          <w:tcPr>
            <w:tcW w:w="4589" w:type="dxa"/>
            <w:gridSpan w:val="2"/>
          </w:tcPr>
          <w:p w14:paraId="3851C1ED" w14:textId="77777777" w:rsidR="00D265A5" w:rsidRPr="000F02B6" w:rsidRDefault="00D265A5" w:rsidP="00B86085">
            <w:pPr>
              <w:pStyle w:val="TableContents"/>
              <w:spacing w:before="100" w:after="100"/>
              <w:ind w:right="146"/>
            </w:pPr>
            <w:r>
              <w:t xml:space="preserve">Cheating, </w:t>
            </w:r>
            <w:r w:rsidRPr="000F02B6">
              <w:t>for instance, in examinations, tests and quizzes occurs when a student fails to comply with the requirements, conditions and instructions specified for their conduct in the assessment task, including:</w:t>
            </w:r>
          </w:p>
          <w:p w14:paraId="338963B6" w14:textId="77777777" w:rsidR="00D265A5" w:rsidRPr="000F02B6" w:rsidRDefault="00D265A5" w:rsidP="00B86085">
            <w:pPr>
              <w:pStyle w:val="Tablebullet"/>
              <w:numPr>
                <w:ilvl w:val="0"/>
                <w:numId w:val="34"/>
              </w:numPr>
              <w:spacing w:before="100" w:after="100"/>
              <w:ind w:left="407" w:right="146"/>
            </w:pPr>
            <w:r w:rsidRPr="000F02B6">
              <w:t xml:space="preserve">communicating, or attempting to communicate, with a fellow student or individual who is neither a proctor nor a </w:t>
            </w:r>
            <w:proofErr w:type="gramStart"/>
            <w:r w:rsidRPr="000F02B6">
              <w:t>University</w:t>
            </w:r>
            <w:proofErr w:type="gramEnd"/>
            <w:r w:rsidRPr="000F02B6">
              <w:t xml:space="preserve"> employee </w:t>
            </w:r>
          </w:p>
          <w:p w14:paraId="38C30E6A" w14:textId="77777777" w:rsidR="00D265A5" w:rsidRPr="000F02B6" w:rsidRDefault="00D265A5" w:rsidP="00B86085">
            <w:pPr>
              <w:pStyle w:val="Tablebullet"/>
              <w:numPr>
                <w:ilvl w:val="0"/>
                <w:numId w:val="34"/>
              </w:numPr>
              <w:spacing w:before="100" w:after="100"/>
              <w:ind w:left="407" w:right="146"/>
            </w:pPr>
            <w:r w:rsidRPr="000F02B6">
              <w:t xml:space="preserve">copying, or attempting to copy, from a fellow student, website or AI-based machine </w:t>
            </w:r>
            <w:proofErr w:type="gramStart"/>
            <w:r w:rsidRPr="000F02B6">
              <w:t>learning</w:t>
            </w:r>
            <w:proofErr w:type="gramEnd"/>
          </w:p>
          <w:p w14:paraId="2E0CD56C" w14:textId="77777777" w:rsidR="00D265A5" w:rsidRPr="000F02B6" w:rsidRDefault="00D265A5" w:rsidP="00B86085">
            <w:pPr>
              <w:pStyle w:val="Tablebullet"/>
              <w:numPr>
                <w:ilvl w:val="0"/>
                <w:numId w:val="34"/>
              </w:numPr>
              <w:spacing w:before="100" w:after="100"/>
              <w:ind w:left="407" w:right="146"/>
            </w:pPr>
            <w:r w:rsidRPr="000F02B6">
              <w:t xml:space="preserve">attempting to introduce, consult during the examination, or having in their possession, any unauthorised printed or written material, or electronic calculating or information storage device, or mobile phones or other communication </w:t>
            </w:r>
            <w:proofErr w:type="gramStart"/>
            <w:r w:rsidRPr="000F02B6">
              <w:t>device</w:t>
            </w:r>
            <w:proofErr w:type="gramEnd"/>
          </w:p>
          <w:p w14:paraId="3D644CB4" w14:textId="77777777" w:rsidR="00D265A5" w:rsidRPr="000F02B6" w:rsidRDefault="00D265A5" w:rsidP="00B86085">
            <w:pPr>
              <w:pStyle w:val="Tablebullet"/>
              <w:numPr>
                <w:ilvl w:val="0"/>
                <w:numId w:val="34"/>
              </w:numPr>
              <w:spacing w:before="100" w:after="100"/>
              <w:ind w:left="407" w:right="146"/>
            </w:pPr>
            <w:r w:rsidRPr="000F02B6">
              <w:t xml:space="preserve">recording, transmitting or disseminating questions and/or answers to themselves or another </w:t>
            </w:r>
            <w:proofErr w:type="gramStart"/>
            <w:r w:rsidRPr="000F02B6">
              <w:t>person</w:t>
            </w:r>
            <w:proofErr w:type="gramEnd"/>
          </w:p>
          <w:p w14:paraId="4BDF5F45" w14:textId="77777777" w:rsidR="00D265A5" w:rsidRPr="000F02B6" w:rsidRDefault="00D265A5" w:rsidP="00B86085">
            <w:pPr>
              <w:pStyle w:val="Tablebullet"/>
              <w:numPr>
                <w:ilvl w:val="0"/>
                <w:numId w:val="34"/>
              </w:numPr>
              <w:spacing w:before="100" w:after="100"/>
              <w:ind w:left="407" w:right="146"/>
            </w:pPr>
            <w:r w:rsidRPr="000F02B6">
              <w:t>impersonating another student and</w:t>
            </w:r>
          </w:p>
          <w:p w14:paraId="5A7F2B33" w14:textId="5356B7A7" w:rsidR="00D265A5" w:rsidRPr="000F02B6" w:rsidRDefault="00D265A5" w:rsidP="00B86085">
            <w:pPr>
              <w:pStyle w:val="TableContents"/>
              <w:numPr>
                <w:ilvl w:val="0"/>
                <w:numId w:val="34"/>
              </w:numPr>
              <w:spacing w:before="100" w:after="100"/>
              <w:ind w:right="146"/>
            </w:pPr>
            <w:r w:rsidRPr="000F02B6">
              <w:t xml:space="preserve">failing to comply with an instruction by a </w:t>
            </w:r>
            <w:proofErr w:type="gramStart"/>
            <w:r w:rsidRPr="000F02B6">
              <w:t>University</w:t>
            </w:r>
            <w:proofErr w:type="gramEnd"/>
            <w:r w:rsidRPr="000F02B6">
              <w:t xml:space="preserve"> officer appointed to supervise the examination(s).</w:t>
            </w:r>
          </w:p>
        </w:tc>
        <w:tc>
          <w:tcPr>
            <w:tcW w:w="4431" w:type="dxa"/>
          </w:tcPr>
          <w:p w14:paraId="0CFBA8A5" w14:textId="77777777" w:rsidR="00D265A5" w:rsidRPr="000F02B6" w:rsidRDefault="00D265A5" w:rsidP="00B86085">
            <w:pPr>
              <w:pStyle w:val="TableContents"/>
              <w:spacing w:before="100" w:after="100"/>
            </w:pPr>
            <w:r w:rsidRPr="000F02B6">
              <w:t xml:space="preserve">Cheating may be detected by an academic employee or invigilator supervising the examination. </w:t>
            </w:r>
          </w:p>
          <w:p w14:paraId="2D818335" w14:textId="77777777" w:rsidR="00D265A5" w:rsidRPr="000F02B6" w:rsidRDefault="00D265A5" w:rsidP="00B86085">
            <w:pPr>
              <w:pStyle w:val="TableContents"/>
              <w:spacing w:before="100" w:after="100"/>
            </w:pPr>
            <w:r w:rsidRPr="000F02B6">
              <w:t xml:space="preserve">Cheating may also be detected by another student and brought to the course coordinator’s attention. </w:t>
            </w:r>
          </w:p>
          <w:p w14:paraId="5C9343BF" w14:textId="77777777" w:rsidR="00D265A5" w:rsidRPr="000F02B6" w:rsidRDefault="00D265A5" w:rsidP="00B86085">
            <w:pPr>
              <w:pStyle w:val="TableContents"/>
              <w:spacing w:before="100" w:after="100"/>
            </w:pPr>
            <w:r w:rsidRPr="000F02B6">
              <w:t xml:space="preserve">Signs that a student may have cheated in an exam may include: </w:t>
            </w:r>
          </w:p>
          <w:p w14:paraId="189AD8C5" w14:textId="77777777" w:rsidR="00D265A5" w:rsidRPr="000F02B6" w:rsidRDefault="00D265A5" w:rsidP="00B86085">
            <w:pPr>
              <w:pStyle w:val="Tablebullet"/>
              <w:numPr>
                <w:ilvl w:val="0"/>
                <w:numId w:val="33"/>
              </w:numPr>
              <w:tabs>
                <w:tab w:val="left" w:pos="708"/>
                <w:tab w:val="left" w:pos="785"/>
              </w:tabs>
              <w:spacing w:before="100" w:after="100"/>
              <w:ind w:right="56"/>
            </w:pPr>
            <w:r w:rsidRPr="000F02B6">
              <w:t>a sudden jump in grades from previous assessments to exam result</w:t>
            </w:r>
          </w:p>
          <w:p w14:paraId="077AC401" w14:textId="77777777" w:rsidR="00D265A5" w:rsidRPr="000F02B6" w:rsidRDefault="00D265A5" w:rsidP="00B86085">
            <w:pPr>
              <w:pStyle w:val="Tablebullet"/>
              <w:numPr>
                <w:ilvl w:val="0"/>
                <w:numId w:val="33"/>
              </w:numPr>
              <w:tabs>
                <w:tab w:val="left" w:pos="708"/>
                <w:tab w:val="left" w:pos="785"/>
              </w:tabs>
              <w:spacing w:before="100" w:after="100"/>
              <w:ind w:right="56"/>
            </w:pPr>
            <w:r w:rsidRPr="000F02B6">
              <w:t xml:space="preserve">uncharacteristic answers from previous assessments or </w:t>
            </w:r>
          </w:p>
          <w:p w14:paraId="5BA92469" w14:textId="1E5E7B19" w:rsidR="00D265A5" w:rsidRPr="000F02B6" w:rsidRDefault="00D265A5" w:rsidP="00B86085">
            <w:pPr>
              <w:pStyle w:val="Tablebullet"/>
              <w:numPr>
                <w:ilvl w:val="0"/>
                <w:numId w:val="33"/>
              </w:numPr>
              <w:tabs>
                <w:tab w:val="left" w:pos="708"/>
                <w:tab w:val="left" w:pos="785"/>
              </w:tabs>
              <w:spacing w:before="100" w:after="100"/>
              <w:ind w:right="56"/>
            </w:pPr>
            <w:r w:rsidRPr="000F02B6">
              <w:t>students with the same or extremely similar answers or mistakes.</w:t>
            </w:r>
          </w:p>
        </w:tc>
        <w:tc>
          <w:tcPr>
            <w:tcW w:w="4461" w:type="dxa"/>
            <w:gridSpan w:val="2"/>
          </w:tcPr>
          <w:p w14:paraId="22D3FBE5" w14:textId="77777777" w:rsidR="00D265A5" w:rsidRPr="000F02B6" w:rsidRDefault="00D265A5" w:rsidP="00B86085">
            <w:pPr>
              <w:pStyle w:val="TableContents"/>
              <w:spacing w:before="100" w:after="100"/>
              <w:ind w:right="0"/>
            </w:pPr>
            <w:r w:rsidRPr="000F02B6">
              <w:t>Cheating may be prevented by vigilant supervision of examinations, including appropriate checking of identity through student cards and assessments.</w:t>
            </w:r>
          </w:p>
          <w:p w14:paraId="02E6A4AB" w14:textId="77777777" w:rsidR="00D265A5" w:rsidRPr="000F02B6" w:rsidRDefault="00D265A5" w:rsidP="00B86085">
            <w:pPr>
              <w:pStyle w:val="TableContents"/>
              <w:spacing w:before="100" w:after="100"/>
              <w:ind w:right="0"/>
            </w:pPr>
          </w:p>
        </w:tc>
      </w:tr>
      <w:tr w:rsidR="00D265A5" w:rsidRPr="000F02B6" w14:paraId="7FE2E85C" w14:textId="77777777" w:rsidTr="0082428C">
        <w:tc>
          <w:tcPr>
            <w:tcW w:w="1985" w:type="dxa"/>
          </w:tcPr>
          <w:p w14:paraId="3E7F9732" w14:textId="126EDE44" w:rsidR="00D265A5" w:rsidRPr="000F02B6" w:rsidRDefault="00D265A5" w:rsidP="00B86085">
            <w:pPr>
              <w:pStyle w:val="Tablesideheading"/>
              <w:spacing w:before="100" w:after="100"/>
            </w:pPr>
            <w:r w:rsidRPr="000F02B6">
              <w:lastRenderedPageBreak/>
              <w:t>Collusion</w:t>
            </w:r>
          </w:p>
        </w:tc>
        <w:tc>
          <w:tcPr>
            <w:tcW w:w="4536" w:type="dxa"/>
          </w:tcPr>
          <w:p w14:paraId="3FD82F2F" w14:textId="77777777" w:rsidR="00D265A5" w:rsidRPr="000F02B6" w:rsidRDefault="00D265A5" w:rsidP="00B86085">
            <w:pPr>
              <w:pStyle w:val="TableContents"/>
              <w:spacing w:before="100" w:after="100"/>
              <w:ind w:right="146"/>
            </w:pPr>
            <w:r w:rsidRPr="000F02B6">
              <w:t>Collusion, where a piece of work prepared by working closely with one or more individuals or in a group, is represented as if it were the student’s or candidate’s own, this includes:</w:t>
            </w:r>
          </w:p>
          <w:p w14:paraId="6396E5A1" w14:textId="77777777" w:rsidR="00D265A5" w:rsidRPr="000F02B6" w:rsidRDefault="00D265A5" w:rsidP="00B86085">
            <w:pPr>
              <w:pStyle w:val="Tablebullet"/>
              <w:numPr>
                <w:ilvl w:val="0"/>
                <w:numId w:val="32"/>
              </w:numPr>
              <w:tabs>
                <w:tab w:val="left" w:pos="708"/>
              </w:tabs>
              <w:spacing w:before="100" w:after="100"/>
              <w:ind w:right="146"/>
            </w:pPr>
            <w:r w:rsidRPr="000F02B6">
              <w:t>producing the piece of work together</w:t>
            </w:r>
          </w:p>
          <w:p w14:paraId="2EF43D3D" w14:textId="77777777" w:rsidR="00D265A5" w:rsidRPr="000F02B6" w:rsidRDefault="00D265A5" w:rsidP="00B86085">
            <w:pPr>
              <w:pStyle w:val="Tablebullet"/>
              <w:numPr>
                <w:ilvl w:val="0"/>
                <w:numId w:val="32"/>
              </w:numPr>
              <w:tabs>
                <w:tab w:val="left" w:pos="708"/>
              </w:tabs>
              <w:spacing w:before="100" w:after="100"/>
              <w:ind w:right="146"/>
            </w:pPr>
            <w:r w:rsidRPr="000F02B6">
              <w:t>determining the method or approach to a question or assessment task together</w:t>
            </w:r>
          </w:p>
          <w:p w14:paraId="6ADE0847" w14:textId="77777777" w:rsidR="00D265A5" w:rsidRPr="000F02B6" w:rsidRDefault="00D265A5" w:rsidP="00B86085">
            <w:pPr>
              <w:pStyle w:val="Tablebullet"/>
              <w:numPr>
                <w:ilvl w:val="0"/>
                <w:numId w:val="32"/>
              </w:numPr>
              <w:tabs>
                <w:tab w:val="left" w:pos="708"/>
              </w:tabs>
              <w:spacing w:before="100" w:after="100"/>
              <w:ind w:right="146"/>
            </w:pPr>
            <w:r w:rsidRPr="000F02B6">
              <w:t xml:space="preserve">sharing answers or giving access to questions and answers or completed assessment </w:t>
            </w:r>
            <w:proofErr w:type="gramStart"/>
            <w:r w:rsidRPr="000F02B6">
              <w:t>tasks</w:t>
            </w:r>
            <w:proofErr w:type="gramEnd"/>
            <w:r w:rsidRPr="000F02B6">
              <w:t xml:space="preserve"> </w:t>
            </w:r>
          </w:p>
          <w:p w14:paraId="62F071B2" w14:textId="77777777" w:rsidR="00D265A5" w:rsidRPr="000F02B6" w:rsidRDefault="00D265A5" w:rsidP="00B86085">
            <w:pPr>
              <w:pStyle w:val="Tablebullet"/>
              <w:numPr>
                <w:ilvl w:val="0"/>
                <w:numId w:val="32"/>
              </w:numPr>
              <w:tabs>
                <w:tab w:val="left" w:pos="708"/>
              </w:tabs>
              <w:spacing w:before="100" w:after="100"/>
              <w:ind w:right="146"/>
            </w:pPr>
            <w:r w:rsidRPr="000F02B6">
              <w:t>submitting as one’s own work all or part of another student’s work with the student’s knowledge or consent.</w:t>
            </w:r>
          </w:p>
        </w:tc>
        <w:tc>
          <w:tcPr>
            <w:tcW w:w="4536" w:type="dxa"/>
            <w:gridSpan w:val="3"/>
          </w:tcPr>
          <w:p w14:paraId="3D4694B4" w14:textId="77777777" w:rsidR="00D265A5" w:rsidRPr="000F02B6" w:rsidRDefault="00D265A5" w:rsidP="00B86085">
            <w:pPr>
              <w:pStyle w:val="TableContents"/>
              <w:spacing w:before="100" w:after="100"/>
              <w:ind w:right="146"/>
            </w:pPr>
            <w:r w:rsidRPr="000F02B6">
              <w:t>Collusion can be detected through rigorous cross-marking of assessment items across classes. Inconsistencies within the assignment, such as different fonts or sizes or uncharacteristic or uneven use of ‘voice’ may be signs of plagiarism, as is a sudden jump in grades.</w:t>
            </w:r>
          </w:p>
          <w:p w14:paraId="57C38B77" w14:textId="77777777" w:rsidR="00D265A5" w:rsidRPr="000F02B6" w:rsidRDefault="00D265A5" w:rsidP="00B86085">
            <w:pPr>
              <w:pStyle w:val="TableContents"/>
              <w:spacing w:before="100" w:after="100"/>
              <w:ind w:right="146"/>
            </w:pPr>
          </w:p>
        </w:tc>
        <w:tc>
          <w:tcPr>
            <w:tcW w:w="4409" w:type="dxa"/>
          </w:tcPr>
          <w:p w14:paraId="03CA386A" w14:textId="77777777" w:rsidR="00D265A5" w:rsidRPr="000F02B6" w:rsidRDefault="00D265A5" w:rsidP="00B86085">
            <w:pPr>
              <w:pStyle w:val="TableContents"/>
              <w:spacing w:before="100" w:after="100"/>
              <w:ind w:right="0"/>
            </w:pPr>
            <w:r w:rsidRPr="000F02B6">
              <w:t xml:space="preserve">Staff should provide students, especially first year students, with exemplars of good academic practice that appropriately acknowledge the ideas or academic works of others. </w:t>
            </w:r>
          </w:p>
        </w:tc>
      </w:tr>
    </w:tbl>
    <w:p w14:paraId="62D1326A" w14:textId="77777777" w:rsidR="00360B44" w:rsidRDefault="00360B44">
      <w:r>
        <w:rPr>
          <w:b/>
        </w:rPr>
        <w:br w:type="page"/>
      </w:r>
    </w:p>
    <w:tbl>
      <w:tblPr>
        <w:tblStyle w:val="TableGrid"/>
        <w:tblW w:w="4996" w:type="pct"/>
        <w:tblBorders>
          <w:top w:val="none" w:sz="0" w:space="0" w:color="auto"/>
          <w:left w:val="none" w:sz="0" w:space="0" w:color="auto"/>
          <w:right w:val="none" w:sz="0" w:space="0" w:color="auto"/>
          <w:insideV w:val="none" w:sz="0" w:space="0" w:color="auto"/>
        </w:tblBorders>
        <w:tblLayout w:type="fixed"/>
        <w:tblCellMar>
          <w:top w:w="170" w:type="dxa"/>
          <w:left w:w="0" w:type="dxa"/>
          <w:bottom w:w="57" w:type="dxa"/>
          <w:right w:w="0" w:type="dxa"/>
        </w:tblCellMar>
        <w:tblLook w:val="04A0" w:firstRow="1" w:lastRow="0" w:firstColumn="1" w:lastColumn="0" w:noHBand="0" w:noVBand="1"/>
      </w:tblPr>
      <w:tblGrid>
        <w:gridCol w:w="1985"/>
        <w:gridCol w:w="4819"/>
        <w:gridCol w:w="4253"/>
        <w:gridCol w:w="4409"/>
      </w:tblGrid>
      <w:tr w:rsidR="00360B44" w:rsidRPr="00746E09" w14:paraId="4063F143" w14:textId="77777777" w:rsidTr="00EE76AB">
        <w:tc>
          <w:tcPr>
            <w:tcW w:w="1985" w:type="dxa"/>
          </w:tcPr>
          <w:p w14:paraId="0E8809DE" w14:textId="77777777" w:rsidR="00360B44" w:rsidRPr="00746E09" w:rsidRDefault="00360B44" w:rsidP="00B86085">
            <w:pPr>
              <w:pStyle w:val="Heading4"/>
            </w:pPr>
          </w:p>
        </w:tc>
        <w:tc>
          <w:tcPr>
            <w:tcW w:w="4819" w:type="dxa"/>
          </w:tcPr>
          <w:p w14:paraId="13EF38B5" w14:textId="77777777" w:rsidR="00360B44" w:rsidRPr="00746E09" w:rsidRDefault="00360B44" w:rsidP="00B86085">
            <w:pPr>
              <w:pStyle w:val="Heading4"/>
            </w:pPr>
            <w:r w:rsidRPr="00746E09">
              <w:t>What is it?</w:t>
            </w:r>
          </w:p>
        </w:tc>
        <w:tc>
          <w:tcPr>
            <w:tcW w:w="4253" w:type="dxa"/>
          </w:tcPr>
          <w:p w14:paraId="5B5F2DED" w14:textId="77777777" w:rsidR="00360B44" w:rsidRPr="00746E09" w:rsidRDefault="00360B44" w:rsidP="00B86085">
            <w:pPr>
              <w:pStyle w:val="Heading4"/>
            </w:pPr>
            <w:r w:rsidRPr="00746E09">
              <w:t>How can you detect it?</w:t>
            </w:r>
          </w:p>
        </w:tc>
        <w:tc>
          <w:tcPr>
            <w:tcW w:w="4409" w:type="dxa"/>
          </w:tcPr>
          <w:p w14:paraId="6D71C372" w14:textId="77777777" w:rsidR="00360B44" w:rsidRPr="00746E09" w:rsidRDefault="00360B44" w:rsidP="00B86085">
            <w:pPr>
              <w:pStyle w:val="Heading4"/>
            </w:pPr>
            <w:r w:rsidRPr="00746E09">
              <w:t>How can you prevent it?</w:t>
            </w:r>
          </w:p>
        </w:tc>
      </w:tr>
      <w:tr w:rsidR="00D265A5" w:rsidRPr="000F02B6" w14:paraId="367B59DC" w14:textId="77777777" w:rsidTr="00D0117A">
        <w:tc>
          <w:tcPr>
            <w:tcW w:w="1985" w:type="dxa"/>
          </w:tcPr>
          <w:p w14:paraId="05D70043" w14:textId="46165BEB" w:rsidR="00D265A5" w:rsidRPr="000F02B6" w:rsidRDefault="00D265A5" w:rsidP="00F95825">
            <w:pPr>
              <w:pStyle w:val="Tablesideheading"/>
              <w:spacing w:before="100" w:after="100"/>
            </w:pPr>
            <w:r w:rsidRPr="000F02B6">
              <w:t>Contract cheating</w:t>
            </w:r>
          </w:p>
        </w:tc>
        <w:tc>
          <w:tcPr>
            <w:tcW w:w="4819" w:type="dxa"/>
          </w:tcPr>
          <w:p w14:paraId="2431C828" w14:textId="77777777" w:rsidR="00D265A5" w:rsidRPr="000F02B6" w:rsidRDefault="00D265A5" w:rsidP="00F95825">
            <w:pPr>
              <w:pStyle w:val="TableContents"/>
              <w:spacing w:before="100" w:after="100"/>
              <w:ind w:right="191"/>
            </w:pPr>
            <w:r w:rsidRPr="000F02B6">
              <w:t>Contract cheating involves acquiring or commissioning a piece of work that is not a student’s own work and representing it as if it were by:</w:t>
            </w:r>
          </w:p>
          <w:p w14:paraId="24D87AC1" w14:textId="77777777" w:rsidR="00D265A5" w:rsidRPr="000F02B6" w:rsidRDefault="00D265A5" w:rsidP="00F95825">
            <w:pPr>
              <w:pStyle w:val="BulletPoints"/>
              <w:numPr>
                <w:ilvl w:val="0"/>
                <w:numId w:val="31"/>
              </w:numPr>
              <w:tabs>
                <w:tab w:val="left" w:pos="708"/>
              </w:tabs>
              <w:spacing w:before="100" w:after="100"/>
              <w:ind w:right="191"/>
            </w:pPr>
            <w:r w:rsidRPr="000F02B6">
              <w:t xml:space="preserve">purchasing the assessment task from a commercial service, including internet sites, whether pre-written or specially prepared for the student concerned </w:t>
            </w:r>
          </w:p>
          <w:p w14:paraId="1FE9F7E3" w14:textId="77777777" w:rsidR="00D265A5" w:rsidRPr="000F02B6" w:rsidRDefault="00D265A5" w:rsidP="00F95825">
            <w:pPr>
              <w:pStyle w:val="BulletPoints"/>
              <w:numPr>
                <w:ilvl w:val="0"/>
                <w:numId w:val="31"/>
              </w:numPr>
              <w:tabs>
                <w:tab w:val="left" w:pos="708"/>
              </w:tabs>
              <w:spacing w:before="100" w:after="100"/>
              <w:ind w:right="191"/>
            </w:pPr>
            <w:r w:rsidRPr="000F02B6">
              <w:t xml:space="preserve">employing a third party to construct HDR thesis </w:t>
            </w:r>
            <w:proofErr w:type="gramStart"/>
            <w:r w:rsidRPr="000F02B6">
              <w:t>content</w:t>
            </w:r>
            <w:proofErr w:type="gramEnd"/>
          </w:p>
          <w:p w14:paraId="6DD774A9" w14:textId="77777777" w:rsidR="00D265A5" w:rsidRPr="000F02B6" w:rsidRDefault="00D265A5" w:rsidP="00F95825">
            <w:pPr>
              <w:pStyle w:val="BulletPoints"/>
              <w:numPr>
                <w:ilvl w:val="0"/>
                <w:numId w:val="31"/>
              </w:numPr>
              <w:tabs>
                <w:tab w:val="left" w:pos="708"/>
              </w:tabs>
              <w:spacing w:before="100" w:after="100"/>
              <w:ind w:right="191"/>
            </w:pPr>
            <w:r w:rsidRPr="000F02B6">
              <w:t xml:space="preserve">submitting an assessment task produced by a third party, including a friend, family member, a fellow student, or a </w:t>
            </w:r>
            <w:proofErr w:type="gramStart"/>
            <w:r w:rsidRPr="000F02B6">
              <w:t>University</w:t>
            </w:r>
            <w:proofErr w:type="gramEnd"/>
            <w:r w:rsidRPr="000F02B6">
              <w:t xml:space="preserve"> employee.</w:t>
            </w:r>
          </w:p>
        </w:tc>
        <w:tc>
          <w:tcPr>
            <w:tcW w:w="4253" w:type="dxa"/>
          </w:tcPr>
          <w:p w14:paraId="7DA3763F" w14:textId="77777777" w:rsidR="00D265A5" w:rsidRPr="000F02B6" w:rsidRDefault="00D265A5" w:rsidP="00F95825">
            <w:pPr>
              <w:pStyle w:val="TableContents"/>
              <w:spacing w:before="100" w:after="100"/>
              <w:ind w:right="142"/>
            </w:pPr>
            <w:r w:rsidRPr="000F02B6">
              <w:t xml:space="preserve">Contract cheating may be detected by either a very low Turnitin score (which indicates the document has been edited to avoid matching) or a very high Turnitin score (which indicates the document has been copied or shared). </w:t>
            </w:r>
          </w:p>
          <w:p w14:paraId="02FC3CA9" w14:textId="77777777" w:rsidR="00D265A5" w:rsidRPr="000F02B6" w:rsidRDefault="00D265A5" w:rsidP="00F95825">
            <w:pPr>
              <w:pStyle w:val="TableContents"/>
              <w:spacing w:before="100" w:after="100"/>
              <w:ind w:right="142"/>
            </w:pPr>
            <w:r w:rsidRPr="000F02B6">
              <w:t xml:space="preserve">References may be from inappropriate sources, often another discipline, or falsified or entirely absent from the document. </w:t>
            </w:r>
          </w:p>
          <w:p w14:paraId="21AFD6EB" w14:textId="77777777" w:rsidR="00D265A5" w:rsidRPr="000F02B6" w:rsidRDefault="00D265A5" w:rsidP="00F95825">
            <w:pPr>
              <w:pStyle w:val="TableContents"/>
              <w:spacing w:before="100" w:after="100"/>
              <w:ind w:right="142"/>
            </w:pPr>
          </w:p>
        </w:tc>
        <w:tc>
          <w:tcPr>
            <w:tcW w:w="4409" w:type="dxa"/>
          </w:tcPr>
          <w:p w14:paraId="71D4BFB3" w14:textId="77777777" w:rsidR="00D265A5" w:rsidRPr="000F02B6" w:rsidRDefault="00D265A5" w:rsidP="00F95825">
            <w:pPr>
              <w:pStyle w:val="TableContents"/>
              <w:spacing w:before="100" w:after="100"/>
            </w:pPr>
            <w:r w:rsidRPr="000F02B6">
              <w:t>Staff can help prevent contract cheating through the creation of course-specific assessments that vary from year to year, requiring students to show proof of the assessment development process across the course and for HDR candidates, encouraging and engaging in timely drafting and feedback processes.</w:t>
            </w:r>
          </w:p>
          <w:p w14:paraId="09CB2E11" w14:textId="77777777" w:rsidR="00D265A5" w:rsidRPr="000F02B6" w:rsidRDefault="00D265A5" w:rsidP="00F95825">
            <w:pPr>
              <w:pStyle w:val="TableContents"/>
              <w:spacing w:before="100" w:after="100"/>
            </w:pPr>
            <w:r w:rsidRPr="000F02B6">
              <w:t xml:space="preserve">Where students have been caught in an untenable situation by a contract cheating vendor (i.e. via attempted or threatened blackmail), it is important that students are empowered to resist or push back against this criminal behaviour. </w:t>
            </w:r>
          </w:p>
          <w:p w14:paraId="52B2F55A" w14:textId="77777777" w:rsidR="00D265A5" w:rsidRPr="000F02B6" w:rsidRDefault="00D265A5" w:rsidP="00F95825">
            <w:pPr>
              <w:pStyle w:val="TableContents"/>
              <w:spacing w:before="100" w:after="100"/>
            </w:pPr>
            <w:r w:rsidRPr="000F02B6">
              <w:t>Students should be reassured that while they may still incur an academic penalty, the University will not automatically exclude them for admitting to contract cheating and will offer support in dealing with contract cheating vendors.</w:t>
            </w:r>
          </w:p>
        </w:tc>
      </w:tr>
      <w:tr w:rsidR="00D265A5" w:rsidRPr="000F02B6" w14:paraId="7B401FC1" w14:textId="77777777" w:rsidTr="00D0117A">
        <w:tc>
          <w:tcPr>
            <w:tcW w:w="1985" w:type="dxa"/>
          </w:tcPr>
          <w:p w14:paraId="0A66B4BD" w14:textId="77777777" w:rsidR="00D265A5" w:rsidRPr="000F02B6" w:rsidRDefault="00D265A5" w:rsidP="00F95825">
            <w:pPr>
              <w:pStyle w:val="Tablesideheading"/>
              <w:spacing w:before="100" w:after="100"/>
            </w:pPr>
            <w:r w:rsidRPr="000F02B6">
              <w:t>Fabrication</w:t>
            </w:r>
          </w:p>
        </w:tc>
        <w:tc>
          <w:tcPr>
            <w:tcW w:w="4819" w:type="dxa"/>
          </w:tcPr>
          <w:p w14:paraId="21305BE7" w14:textId="77777777" w:rsidR="00D265A5" w:rsidRPr="000F02B6" w:rsidRDefault="00D265A5" w:rsidP="00F95825">
            <w:pPr>
              <w:pStyle w:val="TableContents"/>
              <w:spacing w:before="100" w:after="100"/>
              <w:ind w:right="191"/>
              <w:rPr>
                <w:color w:val="FF0000"/>
                <w:sz w:val="24"/>
                <w:szCs w:val="24"/>
              </w:rPr>
            </w:pPr>
            <w:r w:rsidRPr="000F02B6">
              <w:t>Fabrication of results occurs when a student claims to have carried out tests, experiments, or observations that have not taken place, makes up results or presents results not supported by evidence.</w:t>
            </w:r>
          </w:p>
        </w:tc>
        <w:tc>
          <w:tcPr>
            <w:tcW w:w="4253" w:type="dxa"/>
          </w:tcPr>
          <w:p w14:paraId="57426AF5" w14:textId="77777777" w:rsidR="00D265A5" w:rsidRPr="000F02B6" w:rsidRDefault="00D265A5" w:rsidP="00F95825">
            <w:pPr>
              <w:pStyle w:val="TableContents"/>
              <w:spacing w:before="100" w:after="100"/>
              <w:ind w:right="142"/>
            </w:pPr>
            <w:r w:rsidRPr="000F02B6">
              <w:t xml:space="preserve">Staff should look for discrepancies in the data, data that is very ‘clean’ without any expected statistical ‘noise’, difficulty replicating the data, or the use of images that appear to have been modified. </w:t>
            </w:r>
          </w:p>
        </w:tc>
        <w:tc>
          <w:tcPr>
            <w:tcW w:w="4409" w:type="dxa"/>
          </w:tcPr>
          <w:p w14:paraId="2A0E2221" w14:textId="77777777" w:rsidR="00D265A5" w:rsidRPr="000F02B6" w:rsidRDefault="00D265A5" w:rsidP="00F95825">
            <w:pPr>
              <w:pStyle w:val="TableContents"/>
              <w:spacing w:before="100" w:after="100"/>
              <w:rPr>
                <w:color w:val="FF0000"/>
                <w:sz w:val="24"/>
                <w:szCs w:val="24"/>
              </w:rPr>
            </w:pPr>
            <w:r w:rsidRPr="000F02B6">
              <w:t xml:space="preserve">Clear expectations of tests, </w:t>
            </w:r>
            <w:proofErr w:type="gramStart"/>
            <w:r w:rsidRPr="000F02B6">
              <w:t>experiments</w:t>
            </w:r>
            <w:proofErr w:type="gramEnd"/>
            <w:r w:rsidRPr="000F02B6">
              <w:t xml:space="preserve"> and observation of conduct in assessment material, thesis preparation, online and in class can help prevent fabrication.</w:t>
            </w:r>
          </w:p>
        </w:tc>
      </w:tr>
      <w:tr w:rsidR="00EE76AB" w:rsidRPr="00746E09" w14:paraId="359484DD" w14:textId="77777777" w:rsidTr="001A460A">
        <w:trPr>
          <w:tblHeader/>
        </w:trPr>
        <w:tc>
          <w:tcPr>
            <w:tcW w:w="1985" w:type="dxa"/>
          </w:tcPr>
          <w:p w14:paraId="3B590E4B" w14:textId="77777777" w:rsidR="00EE76AB" w:rsidRPr="00746E09" w:rsidRDefault="00EE76AB" w:rsidP="001A460A">
            <w:pPr>
              <w:pStyle w:val="Heading4"/>
            </w:pPr>
          </w:p>
        </w:tc>
        <w:tc>
          <w:tcPr>
            <w:tcW w:w="4819" w:type="dxa"/>
          </w:tcPr>
          <w:p w14:paraId="62861854" w14:textId="77777777" w:rsidR="00EE76AB" w:rsidRPr="00746E09" w:rsidRDefault="00EE76AB" w:rsidP="001A460A">
            <w:pPr>
              <w:pStyle w:val="Heading4"/>
            </w:pPr>
            <w:r w:rsidRPr="00746E09">
              <w:t>What is it?</w:t>
            </w:r>
          </w:p>
        </w:tc>
        <w:tc>
          <w:tcPr>
            <w:tcW w:w="4253" w:type="dxa"/>
          </w:tcPr>
          <w:p w14:paraId="4D603A7D" w14:textId="77777777" w:rsidR="00EE76AB" w:rsidRPr="00746E09" w:rsidRDefault="00EE76AB" w:rsidP="001A460A">
            <w:pPr>
              <w:pStyle w:val="Heading4"/>
            </w:pPr>
            <w:r w:rsidRPr="00746E09">
              <w:t>How can you detect it?</w:t>
            </w:r>
          </w:p>
        </w:tc>
        <w:tc>
          <w:tcPr>
            <w:tcW w:w="4409" w:type="dxa"/>
          </w:tcPr>
          <w:p w14:paraId="7FB09D6E" w14:textId="77777777" w:rsidR="00EE76AB" w:rsidRPr="00746E09" w:rsidRDefault="00EE76AB" w:rsidP="001A460A">
            <w:pPr>
              <w:pStyle w:val="Heading4"/>
            </w:pPr>
            <w:r w:rsidRPr="00746E09">
              <w:t>How can you prevent it?</w:t>
            </w:r>
          </w:p>
        </w:tc>
      </w:tr>
      <w:tr w:rsidR="00D265A5" w:rsidRPr="000F02B6" w14:paraId="49172E5E" w14:textId="77777777" w:rsidTr="00D0117A">
        <w:tc>
          <w:tcPr>
            <w:tcW w:w="1985" w:type="dxa"/>
          </w:tcPr>
          <w:p w14:paraId="296FF66E" w14:textId="77777777" w:rsidR="00D265A5" w:rsidRPr="000F02B6" w:rsidRDefault="00D265A5" w:rsidP="00F95825">
            <w:pPr>
              <w:pStyle w:val="Tablesideheading"/>
              <w:spacing w:before="100" w:after="100"/>
            </w:pPr>
            <w:r w:rsidRPr="000F02B6">
              <w:t>Falsification</w:t>
            </w:r>
          </w:p>
        </w:tc>
        <w:tc>
          <w:tcPr>
            <w:tcW w:w="4819" w:type="dxa"/>
          </w:tcPr>
          <w:p w14:paraId="474D9767" w14:textId="77777777" w:rsidR="00D265A5" w:rsidRPr="000F02B6" w:rsidRDefault="00D265A5" w:rsidP="00F95825">
            <w:pPr>
              <w:pStyle w:val="TableContents"/>
              <w:spacing w:before="100" w:after="100"/>
              <w:ind w:right="191"/>
            </w:pPr>
            <w:r w:rsidRPr="000F02B6">
              <w:t xml:space="preserve">Falsification occurs when a student manipulates research material, equipment or processes or changes or omits/suppresses data or results without scientific or statistical justification, such that the research is not accurately represented in the research record. </w:t>
            </w:r>
          </w:p>
          <w:p w14:paraId="06B6222A" w14:textId="77777777" w:rsidR="00D265A5" w:rsidRPr="000F02B6" w:rsidRDefault="00D265A5" w:rsidP="00F95825">
            <w:pPr>
              <w:pStyle w:val="TableContents"/>
              <w:spacing w:before="100" w:after="100"/>
              <w:ind w:right="191"/>
            </w:pPr>
            <w:r w:rsidRPr="000F02B6">
              <w:t>This would include:</w:t>
            </w:r>
          </w:p>
          <w:p w14:paraId="14494D46" w14:textId="77777777" w:rsidR="00D265A5" w:rsidRPr="000F02B6" w:rsidRDefault="00D265A5" w:rsidP="00F95825">
            <w:pPr>
              <w:pStyle w:val="Tablebullet"/>
              <w:numPr>
                <w:ilvl w:val="0"/>
                <w:numId w:val="25"/>
              </w:numPr>
              <w:tabs>
                <w:tab w:val="left" w:pos="708"/>
              </w:tabs>
              <w:spacing w:before="100" w:after="100"/>
              <w:ind w:right="191"/>
            </w:pPr>
            <w:r w:rsidRPr="000F02B6">
              <w:t>‘</w:t>
            </w:r>
            <w:proofErr w:type="gramStart"/>
            <w:r w:rsidRPr="000F02B6">
              <w:t>misrepresentation</w:t>
            </w:r>
            <w:proofErr w:type="gramEnd"/>
            <w:r w:rsidRPr="000F02B6">
              <w:t xml:space="preserve"> of uncertainty’ during statistical analysis of the data </w:t>
            </w:r>
          </w:p>
          <w:p w14:paraId="5B2629C1" w14:textId="77777777" w:rsidR="00D265A5" w:rsidRPr="000F02B6" w:rsidRDefault="00D265A5" w:rsidP="00F95825">
            <w:pPr>
              <w:pStyle w:val="Tablebullet"/>
              <w:numPr>
                <w:ilvl w:val="0"/>
                <w:numId w:val="25"/>
              </w:numPr>
              <w:tabs>
                <w:tab w:val="left" w:pos="708"/>
              </w:tabs>
              <w:spacing w:before="100" w:after="100"/>
              <w:ind w:right="191"/>
            </w:pPr>
            <w:r w:rsidRPr="000F02B6">
              <w:t>plagiarism or deception in proposing, carrying out, or reporting the results of research.</w:t>
            </w:r>
          </w:p>
        </w:tc>
        <w:tc>
          <w:tcPr>
            <w:tcW w:w="4253" w:type="dxa"/>
          </w:tcPr>
          <w:p w14:paraId="621CBB36" w14:textId="77777777" w:rsidR="00D265A5" w:rsidRPr="000F02B6" w:rsidRDefault="00D265A5" w:rsidP="00F95825">
            <w:pPr>
              <w:pStyle w:val="TableContents"/>
              <w:spacing w:before="100" w:after="100"/>
              <w:ind w:right="142"/>
            </w:pPr>
            <w:r w:rsidRPr="000F02B6">
              <w:t>Falsification can be detected through a close analysis of the assessment or research work by the marker or HDR supervisor. As with fabrication, academic staff should look for discrepancies in the data, ‘clean’ data without any expected statistical ‘noise’, difficulty replicating the data, or modified images.</w:t>
            </w:r>
          </w:p>
          <w:p w14:paraId="0346E841" w14:textId="77777777" w:rsidR="00D265A5" w:rsidRPr="000F02B6" w:rsidRDefault="00D265A5" w:rsidP="00F95825">
            <w:pPr>
              <w:pStyle w:val="TableContents"/>
              <w:spacing w:before="100" w:after="100"/>
              <w:ind w:right="142"/>
            </w:pPr>
          </w:p>
        </w:tc>
        <w:tc>
          <w:tcPr>
            <w:tcW w:w="4409" w:type="dxa"/>
          </w:tcPr>
          <w:p w14:paraId="5248ACBA" w14:textId="77777777" w:rsidR="00D265A5" w:rsidRPr="000F02B6" w:rsidRDefault="00D265A5" w:rsidP="00F95825">
            <w:pPr>
              <w:pStyle w:val="TableContents"/>
              <w:spacing w:before="100" w:after="100"/>
              <w:rPr>
                <w:color w:val="FF0000"/>
                <w:sz w:val="24"/>
                <w:szCs w:val="24"/>
              </w:rPr>
            </w:pPr>
            <w:r w:rsidRPr="000F02B6">
              <w:t xml:space="preserve">Clear expectations of tests, </w:t>
            </w:r>
            <w:proofErr w:type="gramStart"/>
            <w:r w:rsidRPr="000F02B6">
              <w:t>experiments</w:t>
            </w:r>
            <w:proofErr w:type="gramEnd"/>
            <w:r w:rsidRPr="000F02B6">
              <w:t xml:space="preserve"> and observation of conduct in assessment material, thesis preparation, online and in class can help prevent falsification.</w:t>
            </w:r>
          </w:p>
        </w:tc>
      </w:tr>
      <w:tr w:rsidR="00D265A5" w:rsidRPr="000F02B6" w14:paraId="46A099BF" w14:textId="77777777" w:rsidTr="00D0117A">
        <w:trPr>
          <w:trHeight w:val="300"/>
        </w:trPr>
        <w:tc>
          <w:tcPr>
            <w:tcW w:w="1985" w:type="dxa"/>
          </w:tcPr>
          <w:p w14:paraId="5AD092EB" w14:textId="77777777" w:rsidR="00D265A5" w:rsidRPr="000F02B6" w:rsidRDefault="00D265A5" w:rsidP="00F95825">
            <w:pPr>
              <w:pStyle w:val="Tablesideheading"/>
              <w:spacing w:before="100" w:after="100"/>
            </w:pPr>
            <w:r w:rsidRPr="000F02B6">
              <w:t>Misrepresentation</w:t>
            </w:r>
          </w:p>
        </w:tc>
        <w:tc>
          <w:tcPr>
            <w:tcW w:w="4819" w:type="dxa"/>
          </w:tcPr>
          <w:p w14:paraId="0EA11C90" w14:textId="77777777" w:rsidR="00D265A5" w:rsidRPr="000F02B6" w:rsidRDefault="00D265A5" w:rsidP="00F95825">
            <w:pPr>
              <w:pStyle w:val="TableContents"/>
              <w:spacing w:before="100" w:after="100"/>
              <w:ind w:right="191"/>
            </w:pPr>
            <w:r w:rsidRPr="000F02B6">
              <w:t xml:space="preserve">Misrepresentation occurs when a student: </w:t>
            </w:r>
          </w:p>
          <w:p w14:paraId="55D175F6" w14:textId="77777777" w:rsidR="00D265A5" w:rsidRPr="000F02B6" w:rsidRDefault="00D265A5" w:rsidP="00F95825">
            <w:pPr>
              <w:pStyle w:val="Tablebullet"/>
              <w:numPr>
                <w:ilvl w:val="0"/>
                <w:numId w:val="26"/>
              </w:numPr>
              <w:tabs>
                <w:tab w:val="left" w:pos="708"/>
              </w:tabs>
              <w:spacing w:before="100" w:after="100"/>
              <w:ind w:right="191"/>
            </w:pPr>
            <w:r w:rsidRPr="000F02B6">
              <w:t xml:space="preserve">presents an untrue statement about attendance or participation in any learning </w:t>
            </w:r>
            <w:proofErr w:type="gramStart"/>
            <w:r w:rsidRPr="000F02B6">
              <w:t>activities</w:t>
            </w:r>
            <w:proofErr w:type="gramEnd"/>
          </w:p>
          <w:p w14:paraId="5FA73A4D" w14:textId="77777777" w:rsidR="00D265A5" w:rsidRPr="000F02B6" w:rsidRDefault="00D265A5" w:rsidP="00F95825">
            <w:pPr>
              <w:pStyle w:val="Tablebullet"/>
              <w:numPr>
                <w:ilvl w:val="0"/>
                <w:numId w:val="26"/>
              </w:numPr>
              <w:tabs>
                <w:tab w:val="left" w:pos="708"/>
              </w:tabs>
              <w:spacing w:before="100" w:after="100"/>
              <w:ind w:right="191"/>
            </w:pPr>
            <w:r w:rsidRPr="000F02B6">
              <w:t xml:space="preserve">includes citations to non-existent or incorrect </w:t>
            </w:r>
            <w:proofErr w:type="gramStart"/>
            <w:r w:rsidRPr="000F02B6">
              <w:t>sources</w:t>
            </w:r>
            <w:proofErr w:type="gramEnd"/>
          </w:p>
          <w:p w14:paraId="2D74974E" w14:textId="77777777" w:rsidR="00D265A5" w:rsidRPr="000F02B6" w:rsidRDefault="00D265A5" w:rsidP="00F95825">
            <w:pPr>
              <w:pStyle w:val="Tablebullet"/>
              <w:numPr>
                <w:ilvl w:val="0"/>
                <w:numId w:val="26"/>
              </w:numPr>
              <w:tabs>
                <w:tab w:val="left" w:pos="708"/>
              </w:tabs>
              <w:spacing w:before="100" w:after="100"/>
              <w:ind w:right="191"/>
            </w:pPr>
            <w:r w:rsidRPr="000F02B6">
              <w:t>does not disclose any information or matter where there is a duty to disclose such information.</w:t>
            </w:r>
          </w:p>
          <w:p w14:paraId="6CDD646C" w14:textId="77777777" w:rsidR="00D265A5" w:rsidRPr="000F02B6" w:rsidRDefault="00D265A5" w:rsidP="00F95825">
            <w:pPr>
              <w:pStyle w:val="TableContents"/>
              <w:spacing w:before="100" w:after="100"/>
              <w:ind w:right="191"/>
            </w:pPr>
            <w:r w:rsidRPr="000F02B6">
              <w:t>It includes submitting falsified documentation in support of an assessment application (assessment extension, deferred assessment, special consideration).</w:t>
            </w:r>
          </w:p>
        </w:tc>
        <w:tc>
          <w:tcPr>
            <w:tcW w:w="4253" w:type="dxa"/>
          </w:tcPr>
          <w:p w14:paraId="04628251" w14:textId="77777777" w:rsidR="00D265A5" w:rsidRPr="000F02B6" w:rsidRDefault="00D265A5" w:rsidP="00F95825">
            <w:pPr>
              <w:pStyle w:val="TableContents"/>
              <w:spacing w:before="100" w:after="100"/>
              <w:ind w:right="142"/>
            </w:pPr>
            <w:r w:rsidRPr="000F02B6">
              <w:t xml:space="preserve">Misrepresentation can be detected by verification of attendance, </w:t>
            </w:r>
            <w:proofErr w:type="gramStart"/>
            <w:r w:rsidRPr="000F02B6">
              <w:t>participation</w:t>
            </w:r>
            <w:proofErr w:type="gramEnd"/>
            <w:r w:rsidRPr="000F02B6">
              <w:t xml:space="preserve"> and assessment documentation by academic staff, as well as close checking of citations. </w:t>
            </w:r>
          </w:p>
          <w:p w14:paraId="522E134C" w14:textId="77777777" w:rsidR="00D265A5" w:rsidRPr="000F02B6" w:rsidRDefault="00D265A5" w:rsidP="00F95825">
            <w:pPr>
              <w:pStyle w:val="TableContents"/>
              <w:spacing w:before="100" w:after="100"/>
              <w:ind w:right="142"/>
            </w:pPr>
          </w:p>
        </w:tc>
        <w:tc>
          <w:tcPr>
            <w:tcW w:w="4409" w:type="dxa"/>
          </w:tcPr>
          <w:p w14:paraId="4CA73B73" w14:textId="77777777" w:rsidR="00D265A5" w:rsidRPr="000F02B6" w:rsidRDefault="00D265A5" w:rsidP="00F95825">
            <w:pPr>
              <w:pStyle w:val="TableContents"/>
              <w:spacing w:before="100" w:after="100"/>
              <w:rPr>
                <w:color w:val="FF0000"/>
                <w:sz w:val="24"/>
                <w:szCs w:val="24"/>
              </w:rPr>
            </w:pPr>
            <w:r w:rsidRPr="000F02B6">
              <w:t>It can be prevented through enforcing attendance and performance requirements in learning and research activities, as well as instruction in citation practices.</w:t>
            </w:r>
          </w:p>
        </w:tc>
      </w:tr>
      <w:tr w:rsidR="00EE76AB" w:rsidRPr="00746E09" w14:paraId="1B39EC21" w14:textId="77777777" w:rsidTr="001A460A">
        <w:trPr>
          <w:tblHeader/>
        </w:trPr>
        <w:tc>
          <w:tcPr>
            <w:tcW w:w="1985" w:type="dxa"/>
          </w:tcPr>
          <w:p w14:paraId="1DB9EE86" w14:textId="77777777" w:rsidR="00EE76AB" w:rsidRPr="00746E09" w:rsidRDefault="00EE76AB" w:rsidP="001A460A">
            <w:pPr>
              <w:pStyle w:val="Heading4"/>
            </w:pPr>
          </w:p>
        </w:tc>
        <w:tc>
          <w:tcPr>
            <w:tcW w:w="4819" w:type="dxa"/>
          </w:tcPr>
          <w:p w14:paraId="0100552A" w14:textId="77777777" w:rsidR="00EE76AB" w:rsidRPr="00746E09" w:rsidRDefault="00EE76AB" w:rsidP="001A460A">
            <w:pPr>
              <w:pStyle w:val="Heading4"/>
            </w:pPr>
            <w:r w:rsidRPr="00746E09">
              <w:t>What is it?</w:t>
            </w:r>
          </w:p>
        </w:tc>
        <w:tc>
          <w:tcPr>
            <w:tcW w:w="4253" w:type="dxa"/>
          </w:tcPr>
          <w:p w14:paraId="04CFCE81" w14:textId="77777777" w:rsidR="00EE76AB" w:rsidRPr="00746E09" w:rsidRDefault="00EE76AB" w:rsidP="001A460A">
            <w:pPr>
              <w:pStyle w:val="Heading4"/>
            </w:pPr>
            <w:r w:rsidRPr="00746E09">
              <w:t>How can you detect it?</w:t>
            </w:r>
          </w:p>
        </w:tc>
        <w:tc>
          <w:tcPr>
            <w:tcW w:w="4409" w:type="dxa"/>
          </w:tcPr>
          <w:p w14:paraId="3331DEB7" w14:textId="77777777" w:rsidR="00EE76AB" w:rsidRPr="00746E09" w:rsidRDefault="00EE76AB" w:rsidP="001A460A">
            <w:pPr>
              <w:pStyle w:val="Heading4"/>
            </w:pPr>
            <w:r w:rsidRPr="00746E09">
              <w:t>How can you prevent it?</w:t>
            </w:r>
          </w:p>
        </w:tc>
      </w:tr>
      <w:tr w:rsidR="00D265A5" w:rsidRPr="000F02B6" w14:paraId="6E8363E9" w14:textId="77777777" w:rsidTr="00D0117A">
        <w:trPr>
          <w:trHeight w:val="300"/>
        </w:trPr>
        <w:tc>
          <w:tcPr>
            <w:tcW w:w="1985" w:type="dxa"/>
          </w:tcPr>
          <w:p w14:paraId="370F3783" w14:textId="77777777" w:rsidR="00D265A5" w:rsidRPr="000F02B6" w:rsidRDefault="00D265A5" w:rsidP="00273427">
            <w:pPr>
              <w:pStyle w:val="Tablesideheading"/>
              <w:spacing w:before="100" w:after="100"/>
            </w:pPr>
            <w:r w:rsidRPr="000F02B6">
              <w:t>Plagiarism</w:t>
            </w:r>
          </w:p>
        </w:tc>
        <w:tc>
          <w:tcPr>
            <w:tcW w:w="4819" w:type="dxa"/>
          </w:tcPr>
          <w:p w14:paraId="5DD171A2" w14:textId="77777777" w:rsidR="00D265A5" w:rsidRPr="000F02B6" w:rsidRDefault="00D265A5" w:rsidP="00273427">
            <w:pPr>
              <w:pStyle w:val="TableContents"/>
              <w:spacing w:before="100" w:after="100"/>
              <w:ind w:right="191"/>
            </w:pPr>
            <w:r w:rsidRPr="000F02B6">
              <w:t xml:space="preserve">Plagiarism occurs when the work of another is represented, intentionally or unintentionally, as the owner’s own original work, without appropriate acknowledgement of the author, </w:t>
            </w:r>
            <w:proofErr w:type="gramStart"/>
            <w:r w:rsidRPr="000F02B6">
              <w:t>creator</w:t>
            </w:r>
            <w:proofErr w:type="gramEnd"/>
            <w:r w:rsidRPr="000F02B6">
              <w:t xml:space="preserve"> or the source. </w:t>
            </w:r>
          </w:p>
          <w:p w14:paraId="470133E9" w14:textId="77777777" w:rsidR="00D265A5" w:rsidRPr="000F02B6" w:rsidRDefault="00D265A5" w:rsidP="00273427">
            <w:pPr>
              <w:pStyle w:val="TableContents"/>
              <w:spacing w:before="100" w:after="100"/>
              <w:ind w:right="191"/>
            </w:pPr>
            <w:r w:rsidRPr="000F02B6">
              <w:t>This category of Academic Misconduct includes, but is not limited to:</w:t>
            </w:r>
          </w:p>
          <w:p w14:paraId="1431463E" w14:textId="77777777" w:rsidR="00D265A5" w:rsidRPr="000F02B6" w:rsidRDefault="00D265A5" w:rsidP="00273427">
            <w:pPr>
              <w:pStyle w:val="Tablebullet"/>
              <w:numPr>
                <w:ilvl w:val="0"/>
                <w:numId w:val="27"/>
              </w:numPr>
              <w:tabs>
                <w:tab w:val="left" w:pos="708"/>
              </w:tabs>
              <w:spacing w:before="100" w:after="100"/>
              <w:ind w:right="191"/>
            </w:pPr>
            <w:r w:rsidRPr="000F02B6">
              <w:t xml:space="preserve">self-plagiarism by duplicating the same or almost identical work for more than one assessment item without </w:t>
            </w:r>
            <w:proofErr w:type="gramStart"/>
            <w:r w:rsidRPr="000F02B6">
              <w:t>permission</w:t>
            </w:r>
            <w:proofErr w:type="gramEnd"/>
          </w:p>
          <w:p w14:paraId="41606EC6" w14:textId="77777777" w:rsidR="00D265A5" w:rsidRPr="000F02B6" w:rsidRDefault="00D265A5" w:rsidP="00273427">
            <w:pPr>
              <w:pStyle w:val="Tablebullet"/>
              <w:numPr>
                <w:ilvl w:val="0"/>
                <w:numId w:val="27"/>
              </w:numPr>
              <w:tabs>
                <w:tab w:val="left" w:pos="708"/>
              </w:tabs>
              <w:spacing w:before="100" w:after="100"/>
              <w:ind w:right="191"/>
            </w:pPr>
            <w:r w:rsidRPr="000F02B6">
              <w:t xml:space="preserve">copying ideas, concepts, research data, images, sounds or </w:t>
            </w:r>
            <w:proofErr w:type="gramStart"/>
            <w:r w:rsidRPr="000F02B6">
              <w:t>text</w:t>
            </w:r>
            <w:proofErr w:type="gramEnd"/>
          </w:p>
          <w:p w14:paraId="2B8668E3" w14:textId="77777777" w:rsidR="00D265A5" w:rsidRPr="000F02B6" w:rsidRDefault="00D265A5" w:rsidP="00273427">
            <w:pPr>
              <w:pStyle w:val="Tablebullet"/>
              <w:numPr>
                <w:ilvl w:val="0"/>
                <w:numId w:val="27"/>
              </w:numPr>
              <w:tabs>
                <w:tab w:val="left" w:pos="708"/>
              </w:tabs>
              <w:spacing w:before="100" w:after="100"/>
              <w:ind w:right="191"/>
            </w:pPr>
            <w:r w:rsidRPr="000F02B6">
              <w:t xml:space="preserve">paraphrasing a paper from a source text, whether in manuscript, printed or electronic form (e.g., article spinning, text rewriting, and content creation tools), without appropriate </w:t>
            </w:r>
            <w:proofErr w:type="gramStart"/>
            <w:r w:rsidRPr="000F02B6">
              <w:t>acknowledgement</w:t>
            </w:r>
            <w:proofErr w:type="gramEnd"/>
          </w:p>
          <w:p w14:paraId="5E72A6D4" w14:textId="77777777" w:rsidR="00D265A5" w:rsidRPr="000F02B6" w:rsidRDefault="00D265A5" w:rsidP="00273427">
            <w:pPr>
              <w:pStyle w:val="Tablebullet"/>
              <w:numPr>
                <w:ilvl w:val="0"/>
                <w:numId w:val="27"/>
              </w:numPr>
              <w:tabs>
                <w:tab w:val="left" w:pos="708"/>
              </w:tabs>
              <w:spacing w:before="100" w:after="100"/>
              <w:ind w:right="191"/>
            </w:pPr>
            <w:r w:rsidRPr="000F02B6">
              <w:t xml:space="preserve">word-for-word copying, cutting or pasting statements from a single source or multiple sources or piecing together work of another and representing them as original </w:t>
            </w:r>
            <w:proofErr w:type="gramStart"/>
            <w:r w:rsidRPr="000F02B6">
              <w:t>work</w:t>
            </w:r>
            <w:proofErr w:type="gramEnd"/>
          </w:p>
          <w:p w14:paraId="6F76EF1A" w14:textId="77777777" w:rsidR="00D265A5" w:rsidRPr="000F02B6" w:rsidRDefault="00D265A5" w:rsidP="00273427">
            <w:pPr>
              <w:pStyle w:val="Tablebullet"/>
              <w:numPr>
                <w:ilvl w:val="0"/>
                <w:numId w:val="27"/>
              </w:numPr>
              <w:tabs>
                <w:tab w:val="left" w:pos="708"/>
              </w:tabs>
              <w:spacing w:before="100" w:after="100"/>
              <w:ind w:right="191"/>
            </w:pPr>
            <w:r w:rsidRPr="000F02B6">
              <w:t xml:space="preserve">submitting as one’s own work all or part of another student’s </w:t>
            </w:r>
            <w:proofErr w:type="gramStart"/>
            <w:r w:rsidRPr="000F02B6">
              <w:t>work</w:t>
            </w:r>
            <w:proofErr w:type="gramEnd"/>
          </w:p>
          <w:p w14:paraId="40BF9B5A" w14:textId="77777777" w:rsidR="00D265A5" w:rsidRPr="000F02B6" w:rsidRDefault="00D265A5" w:rsidP="00273427">
            <w:pPr>
              <w:pStyle w:val="BulletPoints"/>
              <w:numPr>
                <w:ilvl w:val="0"/>
                <w:numId w:val="27"/>
              </w:numPr>
              <w:tabs>
                <w:tab w:val="left" w:pos="708"/>
              </w:tabs>
              <w:spacing w:before="100" w:after="100"/>
              <w:ind w:right="191"/>
            </w:pPr>
            <w:r w:rsidRPr="000F02B6">
              <w:t xml:space="preserve">inappropriate use of a professional editor in preparing a thesis or piece of assessment. </w:t>
            </w:r>
          </w:p>
        </w:tc>
        <w:tc>
          <w:tcPr>
            <w:tcW w:w="4253" w:type="dxa"/>
          </w:tcPr>
          <w:p w14:paraId="11B79C8C" w14:textId="77777777" w:rsidR="00D265A5" w:rsidRPr="000F02B6" w:rsidRDefault="00D265A5" w:rsidP="00273427">
            <w:pPr>
              <w:pStyle w:val="TableContents"/>
              <w:spacing w:before="100" w:after="100"/>
              <w:ind w:right="142"/>
            </w:pPr>
            <w:r w:rsidRPr="000F02B6">
              <w:t xml:space="preserve">Plagiarism can be detected </w:t>
            </w:r>
            <w:proofErr w:type="gramStart"/>
            <w:r w:rsidRPr="000F02B6">
              <w:t>through the use of</w:t>
            </w:r>
            <w:proofErr w:type="gramEnd"/>
            <w:r w:rsidRPr="000F02B6">
              <w:t xml:space="preserve"> Turnitin, which provides a report for word similarity. Staff should be trained in interpreting these reports to identify incomplete referencing or plagiarism. </w:t>
            </w:r>
          </w:p>
          <w:p w14:paraId="4BFD59F6" w14:textId="77777777" w:rsidR="00D265A5" w:rsidRPr="000F02B6" w:rsidRDefault="00D265A5" w:rsidP="00273427">
            <w:pPr>
              <w:pStyle w:val="TableContents"/>
              <w:spacing w:before="100" w:after="100"/>
              <w:ind w:right="142"/>
            </w:pPr>
          </w:p>
          <w:p w14:paraId="5171078F" w14:textId="77777777" w:rsidR="00D265A5" w:rsidRPr="000F02B6" w:rsidRDefault="00D265A5" w:rsidP="00273427">
            <w:pPr>
              <w:pStyle w:val="TableContents"/>
              <w:spacing w:before="100" w:after="100"/>
              <w:ind w:right="142"/>
            </w:pPr>
          </w:p>
        </w:tc>
        <w:tc>
          <w:tcPr>
            <w:tcW w:w="4409" w:type="dxa"/>
          </w:tcPr>
          <w:p w14:paraId="783BE6F1" w14:textId="77777777" w:rsidR="00D265A5" w:rsidRPr="000F02B6" w:rsidRDefault="00D265A5" w:rsidP="00273427">
            <w:pPr>
              <w:tabs>
                <w:tab w:val="left" w:pos="785"/>
              </w:tabs>
              <w:spacing w:before="100" w:after="100"/>
              <w:ind w:right="56"/>
              <w:rPr>
                <w:szCs w:val="20"/>
              </w:rPr>
            </w:pPr>
            <w:r w:rsidRPr="000F02B6">
              <w:rPr>
                <w:szCs w:val="20"/>
              </w:rPr>
              <w:t xml:space="preserve">Plagiarism can be prevented by providing guidance on how to correctly cite and reference work and how to find relevant library support resources. </w:t>
            </w:r>
          </w:p>
          <w:p w14:paraId="2D179E44" w14:textId="77777777" w:rsidR="00D265A5" w:rsidRPr="000F02B6" w:rsidRDefault="00D265A5" w:rsidP="00273427">
            <w:pPr>
              <w:pStyle w:val="TableContents"/>
              <w:spacing w:before="100" w:after="100"/>
            </w:pPr>
            <w:r w:rsidRPr="000F02B6">
              <w:t xml:space="preserve">Staff should provide students, especially first year students, with exemplars of good academic practice that appropriately acknowledge the ideas, or academic works of others. </w:t>
            </w:r>
          </w:p>
          <w:p w14:paraId="7E1F7423" w14:textId="77777777" w:rsidR="00D265A5" w:rsidRPr="000F02B6" w:rsidRDefault="00D265A5" w:rsidP="00273427">
            <w:pPr>
              <w:pStyle w:val="TableContents"/>
              <w:spacing w:before="100" w:after="100"/>
            </w:pPr>
            <w:r w:rsidRPr="000F02B6">
              <w:t xml:space="preserve">Care must be taken to ensure that any editorial intervention is restricted to copy editing and proofreading. </w:t>
            </w:r>
          </w:p>
          <w:p w14:paraId="17B74FF7" w14:textId="77777777" w:rsidR="00D265A5" w:rsidRPr="000F02B6" w:rsidRDefault="00D265A5" w:rsidP="00273427">
            <w:pPr>
              <w:pStyle w:val="TableContents"/>
              <w:spacing w:before="100" w:after="100"/>
              <w:rPr>
                <w:color w:val="FF0000"/>
                <w:sz w:val="24"/>
                <w:szCs w:val="24"/>
              </w:rPr>
            </w:pPr>
            <w:r w:rsidRPr="000F02B6">
              <w:t xml:space="preserve">In the preparation of a thesis, HDR candidates must abide by the </w:t>
            </w:r>
            <w:hyperlink r:id="rId19">
              <w:r w:rsidRPr="000F02B6">
                <w:t>Guidelines for Editing Research Theses</w:t>
              </w:r>
            </w:hyperlink>
            <w:r w:rsidRPr="000F02B6">
              <w:t>, published by the Institute of Professional Editors (IPED) and approved by the Australian Council of Graduate Research (ACGR).</w:t>
            </w:r>
          </w:p>
        </w:tc>
      </w:tr>
      <w:tr w:rsidR="00EE76AB" w:rsidRPr="00746E09" w14:paraId="727E514D" w14:textId="77777777" w:rsidTr="001A460A">
        <w:trPr>
          <w:tblHeader/>
        </w:trPr>
        <w:tc>
          <w:tcPr>
            <w:tcW w:w="1985" w:type="dxa"/>
          </w:tcPr>
          <w:p w14:paraId="182479C8" w14:textId="77777777" w:rsidR="00EE76AB" w:rsidRPr="00746E09" w:rsidRDefault="00EE76AB" w:rsidP="001A460A">
            <w:pPr>
              <w:pStyle w:val="Heading4"/>
            </w:pPr>
          </w:p>
        </w:tc>
        <w:tc>
          <w:tcPr>
            <w:tcW w:w="4819" w:type="dxa"/>
          </w:tcPr>
          <w:p w14:paraId="4A60A9F0" w14:textId="77777777" w:rsidR="00EE76AB" w:rsidRPr="00746E09" w:rsidRDefault="00EE76AB" w:rsidP="001A460A">
            <w:pPr>
              <w:pStyle w:val="Heading4"/>
            </w:pPr>
            <w:r w:rsidRPr="00746E09">
              <w:t>What is it?</w:t>
            </w:r>
          </w:p>
        </w:tc>
        <w:tc>
          <w:tcPr>
            <w:tcW w:w="4253" w:type="dxa"/>
          </w:tcPr>
          <w:p w14:paraId="796427D3" w14:textId="77777777" w:rsidR="00EE76AB" w:rsidRPr="00746E09" w:rsidRDefault="00EE76AB" w:rsidP="001A460A">
            <w:pPr>
              <w:pStyle w:val="Heading4"/>
            </w:pPr>
            <w:r w:rsidRPr="00746E09">
              <w:t>How can you detect it?</w:t>
            </w:r>
          </w:p>
        </w:tc>
        <w:tc>
          <w:tcPr>
            <w:tcW w:w="4409" w:type="dxa"/>
          </w:tcPr>
          <w:p w14:paraId="1258C4B0" w14:textId="77777777" w:rsidR="00EE76AB" w:rsidRPr="00746E09" w:rsidRDefault="00EE76AB" w:rsidP="001A460A">
            <w:pPr>
              <w:pStyle w:val="Heading4"/>
            </w:pPr>
            <w:r w:rsidRPr="00746E09">
              <w:t>How can you prevent it?</w:t>
            </w:r>
          </w:p>
        </w:tc>
      </w:tr>
      <w:tr w:rsidR="00D265A5" w:rsidRPr="000F02B6" w14:paraId="4F15BAA7" w14:textId="77777777" w:rsidTr="00D0117A">
        <w:trPr>
          <w:trHeight w:val="300"/>
        </w:trPr>
        <w:tc>
          <w:tcPr>
            <w:tcW w:w="1985" w:type="dxa"/>
          </w:tcPr>
          <w:p w14:paraId="164FE635" w14:textId="77777777" w:rsidR="00D265A5" w:rsidRPr="000F02B6" w:rsidRDefault="00D265A5" w:rsidP="00273427">
            <w:pPr>
              <w:pStyle w:val="Tablesideheading"/>
              <w:spacing w:before="100" w:after="100"/>
            </w:pPr>
            <w:r w:rsidRPr="000F02B6">
              <w:t>Over-editing</w:t>
            </w:r>
          </w:p>
        </w:tc>
        <w:tc>
          <w:tcPr>
            <w:tcW w:w="4819" w:type="dxa"/>
          </w:tcPr>
          <w:p w14:paraId="123F4DDB" w14:textId="77777777" w:rsidR="00D265A5" w:rsidRPr="000F02B6" w:rsidRDefault="00D265A5" w:rsidP="00273427">
            <w:pPr>
              <w:pStyle w:val="TableContents"/>
              <w:spacing w:before="100" w:after="100"/>
              <w:ind w:right="191"/>
            </w:pPr>
            <w:r w:rsidRPr="000F02B6">
              <w:t>Over-editing occurs when an individual other than the student takes responsibility for the work by editing language, structure and/or content such that there are significant changes to the material content, meaning and/or presentation.</w:t>
            </w:r>
          </w:p>
        </w:tc>
        <w:tc>
          <w:tcPr>
            <w:tcW w:w="4253" w:type="dxa"/>
          </w:tcPr>
          <w:p w14:paraId="219A92CB" w14:textId="77777777" w:rsidR="00D265A5" w:rsidRPr="000F02B6" w:rsidRDefault="00D265A5" w:rsidP="00273427">
            <w:pPr>
              <w:pStyle w:val="TableContents"/>
              <w:spacing w:before="100" w:after="100"/>
              <w:ind w:right="142"/>
            </w:pPr>
            <w:r w:rsidRPr="000F02B6">
              <w:t>This typically is an issue with large assessment items such as extended essays or dissertations. It may be evident through significant language changes between drafts or sections or through reports from whistleblowers.</w:t>
            </w:r>
          </w:p>
        </w:tc>
        <w:tc>
          <w:tcPr>
            <w:tcW w:w="4409" w:type="dxa"/>
          </w:tcPr>
          <w:p w14:paraId="41FE2D1E" w14:textId="77777777" w:rsidR="00D265A5" w:rsidRPr="000F02B6" w:rsidRDefault="00D265A5" w:rsidP="00273427">
            <w:pPr>
              <w:pStyle w:val="TableContents"/>
              <w:spacing w:before="100" w:after="100"/>
            </w:pPr>
            <w:r w:rsidRPr="000F02B6">
              <w:t>Making students aware of the differences between assistance with proofreading compared to someone editing a document so they significantly change the phrasing and or content.</w:t>
            </w:r>
          </w:p>
        </w:tc>
      </w:tr>
      <w:tr w:rsidR="00D265A5" w:rsidRPr="000F02B6" w14:paraId="21874F56" w14:textId="77777777" w:rsidTr="00D0117A">
        <w:trPr>
          <w:trHeight w:val="300"/>
        </w:trPr>
        <w:tc>
          <w:tcPr>
            <w:tcW w:w="1985" w:type="dxa"/>
          </w:tcPr>
          <w:p w14:paraId="74899272" w14:textId="77777777" w:rsidR="00D265A5" w:rsidRPr="000F02B6" w:rsidRDefault="00D265A5" w:rsidP="00273427">
            <w:pPr>
              <w:pStyle w:val="Tablesideheading"/>
              <w:spacing w:before="100" w:after="100"/>
            </w:pPr>
            <w:r w:rsidRPr="000F02B6">
              <w:t>Solicitation</w:t>
            </w:r>
          </w:p>
        </w:tc>
        <w:tc>
          <w:tcPr>
            <w:tcW w:w="4819" w:type="dxa"/>
          </w:tcPr>
          <w:p w14:paraId="5CC41E57" w14:textId="77777777" w:rsidR="00D265A5" w:rsidRPr="000F02B6" w:rsidRDefault="00D265A5" w:rsidP="00273427">
            <w:pPr>
              <w:pStyle w:val="TableContents"/>
              <w:spacing w:before="100" w:after="100"/>
              <w:ind w:right="191"/>
              <w:rPr>
                <w:shd w:val="clear" w:color="auto" w:fill="FFFFFF"/>
              </w:rPr>
            </w:pPr>
            <w:r w:rsidRPr="000F02B6">
              <w:t xml:space="preserve">Solicitation occurs when a student requests, offers, encourages, </w:t>
            </w:r>
            <w:proofErr w:type="gramStart"/>
            <w:r w:rsidRPr="000F02B6">
              <w:t>induces</w:t>
            </w:r>
            <w:proofErr w:type="gramEnd"/>
            <w:r w:rsidRPr="000F02B6">
              <w:t xml:space="preserve"> or advertises for another person to write or develop assessment tasks, items or other work on their behalf. </w:t>
            </w:r>
          </w:p>
          <w:p w14:paraId="6ACCE46B" w14:textId="77777777" w:rsidR="00D265A5" w:rsidRPr="000F02B6" w:rsidRDefault="00D265A5" w:rsidP="00273427">
            <w:pPr>
              <w:pStyle w:val="TableContents"/>
              <w:spacing w:before="100" w:after="100"/>
              <w:ind w:right="191"/>
            </w:pPr>
            <w:r w:rsidRPr="000F02B6">
              <w:t>This includes:</w:t>
            </w:r>
          </w:p>
          <w:p w14:paraId="5163BD87"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examination papers</w:t>
            </w:r>
          </w:p>
          <w:p w14:paraId="7A6ACA2B"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 xml:space="preserve">model examination </w:t>
            </w:r>
            <w:proofErr w:type="gramStart"/>
            <w:r w:rsidRPr="000F02B6">
              <w:t>answers</w:t>
            </w:r>
            <w:proofErr w:type="gramEnd"/>
          </w:p>
          <w:p w14:paraId="6DDAC390"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examination questions</w:t>
            </w:r>
          </w:p>
          <w:p w14:paraId="7C8D5389"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examination scripts</w:t>
            </w:r>
          </w:p>
          <w:p w14:paraId="54CAA215"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online quizzes</w:t>
            </w:r>
          </w:p>
          <w:p w14:paraId="7CB8EE72"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draft thesis chapters</w:t>
            </w:r>
          </w:p>
          <w:p w14:paraId="5DA07E0E"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 xml:space="preserve">published reports or </w:t>
            </w:r>
            <w:proofErr w:type="gramStart"/>
            <w:r w:rsidRPr="000F02B6">
              <w:t>papers</w:t>
            </w:r>
            <w:proofErr w:type="gramEnd"/>
          </w:p>
          <w:p w14:paraId="7110B5A0" w14:textId="77777777" w:rsidR="00D265A5" w:rsidRPr="000F02B6" w:rsidRDefault="00D265A5" w:rsidP="00273427">
            <w:pPr>
              <w:pStyle w:val="Tablebullet"/>
              <w:numPr>
                <w:ilvl w:val="0"/>
                <w:numId w:val="28"/>
              </w:numPr>
              <w:tabs>
                <w:tab w:val="left" w:pos="708"/>
              </w:tabs>
              <w:spacing w:before="100" w:after="100"/>
              <w:ind w:right="191"/>
              <w:rPr>
                <w:color w:val="FF0000"/>
                <w:sz w:val="24"/>
                <w:szCs w:val="24"/>
              </w:rPr>
            </w:pPr>
            <w:r w:rsidRPr="000F02B6">
              <w:t>HDR milestone documents.</w:t>
            </w:r>
          </w:p>
        </w:tc>
        <w:tc>
          <w:tcPr>
            <w:tcW w:w="4253" w:type="dxa"/>
          </w:tcPr>
          <w:p w14:paraId="2914B376" w14:textId="77777777" w:rsidR="00D265A5" w:rsidRPr="000F02B6" w:rsidRDefault="00D265A5" w:rsidP="00273427">
            <w:pPr>
              <w:pStyle w:val="TableContents"/>
              <w:spacing w:before="100" w:after="100"/>
              <w:ind w:right="142"/>
            </w:pPr>
            <w:r w:rsidRPr="000F02B6">
              <w:t>Solicitation is typically detected through reports from whistleblowers, which should, if possible, include documentation and descriptions (including screenshots) of what is being alleged to have occurred.</w:t>
            </w:r>
          </w:p>
          <w:p w14:paraId="1A3584EB" w14:textId="77777777" w:rsidR="00D265A5" w:rsidRPr="000F02B6" w:rsidRDefault="00D265A5" w:rsidP="00273427">
            <w:pPr>
              <w:pStyle w:val="TableContents"/>
              <w:spacing w:before="100" w:after="100"/>
              <w:ind w:right="142"/>
            </w:pPr>
            <w:r w:rsidRPr="000F02B6">
              <w:t>Whistleblowers may be from external sources such as journal editors for externally published outputs.</w:t>
            </w:r>
          </w:p>
          <w:p w14:paraId="1238F70D" w14:textId="77777777" w:rsidR="00D265A5" w:rsidRPr="000F02B6" w:rsidRDefault="00D265A5" w:rsidP="00273427">
            <w:pPr>
              <w:pStyle w:val="TableContents"/>
              <w:spacing w:before="100" w:after="100"/>
              <w:ind w:right="142"/>
            </w:pPr>
          </w:p>
        </w:tc>
        <w:tc>
          <w:tcPr>
            <w:tcW w:w="4409" w:type="dxa"/>
          </w:tcPr>
          <w:p w14:paraId="2E6A72BC" w14:textId="77777777" w:rsidR="00D265A5" w:rsidRPr="000F02B6" w:rsidRDefault="00D265A5" w:rsidP="00273427">
            <w:pPr>
              <w:pStyle w:val="TableContents"/>
              <w:spacing w:before="100" w:after="100"/>
            </w:pPr>
            <w:r w:rsidRPr="000F02B6">
              <w:t>Making students aware of the severity of this behaviour is essential, and it should be done early in a student’s academic journey with the University.</w:t>
            </w:r>
          </w:p>
          <w:p w14:paraId="44C054F0" w14:textId="77777777" w:rsidR="00D265A5" w:rsidRPr="000F02B6" w:rsidRDefault="00D265A5" w:rsidP="00273427">
            <w:pPr>
              <w:pStyle w:val="TableContents"/>
              <w:spacing w:before="100" w:after="100"/>
              <w:rPr>
                <w:color w:val="FF0000"/>
                <w:sz w:val="24"/>
                <w:szCs w:val="24"/>
              </w:rPr>
            </w:pPr>
            <w:r w:rsidRPr="000F02B6">
              <w:t xml:space="preserve">In the preparation of a thesis, HDR candidates must abide by the </w:t>
            </w:r>
            <w:hyperlink r:id="rId20">
              <w:r w:rsidRPr="000F02B6">
                <w:t>Guidelines for Editing Research Theses</w:t>
              </w:r>
            </w:hyperlink>
            <w:r w:rsidRPr="000F02B6">
              <w:t>, published by the Institute of Professional Editors (IPED) and approved by the Australian Council of Graduate Research (ACGR).</w:t>
            </w:r>
          </w:p>
        </w:tc>
      </w:tr>
    </w:tbl>
    <w:p w14:paraId="29941388" w14:textId="77777777" w:rsidR="00EE76AB" w:rsidRDefault="00EE76AB">
      <w:r>
        <w:rPr>
          <w:b/>
        </w:rPr>
        <w:br w:type="page"/>
      </w:r>
    </w:p>
    <w:tbl>
      <w:tblPr>
        <w:tblStyle w:val="TableGrid"/>
        <w:tblW w:w="4996" w:type="pct"/>
        <w:tblBorders>
          <w:top w:val="none" w:sz="0" w:space="0" w:color="auto"/>
          <w:left w:val="none" w:sz="0" w:space="0" w:color="auto"/>
          <w:right w:val="none" w:sz="0" w:space="0" w:color="auto"/>
          <w:insideV w:val="none" w:sz="0" w:space="0" w:color="auto"/>
        </w:tblBorders>
        <w:tblLayout w:type="fixed"/>
        <w:tblCellMar>
          <w:top w:w="170" w:type="dxa"/>
          <w:left w:w="0" w:type="dxa"/>
          <w:bottom w:w="57" w:type="dxa"/>
          <w:right w:w="0" w:type="dxa"/>
        </w:tblCellMar>
        <w:tblLook w:val="04A0" w:firstRow="1" w:lastRow="0" w:firstColumn="1" w:lastColumn="0" w:noHBand="0" w:noVBand="1"/>
      </w:tblPr>
      <w:tblGrid>
        <w:gridCol w:w="1985"/>
        <w:gridCol w:w="4819"/>
        <w:gridCol w:w="4253"/>
        <w:gridCol w:w="4409"/>
      </w:tblGrid>
      <w:tr w:rsidR="00EE76AB" w:rsidRPr="00746E09" w14:paraId="565B7415" w14:textId="77777777" w:rsidTr="001A460A">
        <w:trPr>
          <w:tblHeader/>
        </w:trPr>
        <w:tc>
          <w:tcPr>
            <w:tcW w:w="1985" w:type="dxa"/>
          </w:tcPr>
          <w:p w14:paraId="7301EE1B" w14:textId="77777777" w:rsidR="00EE76AB" w:rsidRPr="00746E09" w:rsidRDefault="00EE76AB" w:rsidP="001A460A">
            <w:pPr>
              <w:pStyle w:val="Heading4"/>
            </w:pPr>
          </w:p>
        </w:tc>
        <w:tc>
          <w:tcPr>
            <w:tcW w:w="4819" w:type="dxa"/>
          </w:tcPr>
          <w:p w14:paraId="2C187AD2" w14:textId="77777777" w:rsidR="00EE76AB" w:rsidRPr="00746E09" w:rsidRDefault="00EE76AB" w:rsidP="001A460A">
            <w:pPr>
              <w:pStyle w:val="Heading4"/>
            </w:pPr>
            <w:r w:rsidRPr="00746E09">
              <w:t>What is it?</w:t>
            </w:r>
          </w:p>
        </w:tc>
        <w:tc>
          <w:tcPr>
            <w:tcW w:w="4253" w:type="dxa"/>
          </w:tcPr>
          <w:p w14:paraId="422C8B41" w14:textId="77777777" w:rsidR="00EE76AB" w:rsidRPr="00746E09" w:rsidRDefault="00EE76AB" w:rsidP="001A460A">
            <w:pPr>
              <w:pStyle w:val="Heading4"/>
            </w:pPr>
            <w:r w:rsidRPr="00746E09">
              <w:t>How can you detect it?</w:t>
            </w:r>
          </w:p>
        </w:tc>
        <w:tc>
          <w:tcPr>
            <w:tcW w:w="4409" w:type="dxa"/>
          </w:tcPr>
          <w:p w14:paraId="41E70299" w14:textId="77777777" w:rsidR="00EE76AB" w:rsidRPr="00746E09" w:rsidRDefault="00EE76AB" w:rsidP="001A460A">
            <w:pPr>
              <w:pStyle w:val="Heading4"/>
            </w:pPr>
            <w:r w:rsidRPr="00746E09">
              <w:t>How can you prevent it?</w:t>
            </w:r>
          </w:p>
        </w:tc>
      </w:tr>
      <w:tr w:rsidR="00D265A5" w:rsidRPr="000F02B6" w14:paraId="11A42FDC" w14:textId="77777777" w:rsidTr="00D0117A">
        <w:tc>
          <w:tcPr>
            <w:tcW w:w="1985" w:type="dxa"/>
          </w:tcPr>
          <w:p w14:paraId="0C555D25" w14:textId="582BF648" w:rsidR="00D265A5" w:rsidRPr="000F02B6" w:rsidRDefault="00D265A5" w:rsidP="00E753B1">
            <w:pPr>
              <w:pStyle w:val="Tablesideheading"/>
            </w:pPr>
            <w:r w:rsidRPr="000F02B6">
              <w:t xml:space="preserve">Uncited content created by Generative Artificial Intelligence (AI) software </w:t>
            </w:r>
          </w:p>
        </w:tc>
        <w:tc>
          <w:tcPr>
            <w:tcW w:w="4819" w:type="dxa"/>
          </w:tcPr>
          <w:p w14:paraId="41E3066B" w14:textId="77777777" w:rsidR="00D265A5" w:rsidRPr="000F02B6" w:rsidRDefault="00D265A5" w:rsidP="009D48AE">
            <w:pPr>
              <w:pStyle w:val="TableContents"/>
              <w:ind w:right="191"/>
            </w:pPr>
            <w:r w:rsidRPr="000F02B6">
              <w:t xml:space="preserve">AI tools such as Chat GPT and Bing Chat can be used to generate content for assessment items, HDR milestone reports, theses and external publications and reports. </w:t>
            </w:r>
          </w:p>
          <w:p w14:paraId="3D7A16A1" w14:textId="77777777" w:rsidR="00D265A5" w:rsidRPr="000F02B6" w:rsidRDefault="00D265A5" w:rsidP="009D48AE">
            <w:pPr>
              <w:pStyle w:val="TableContents"/>
              <w:ind w:right="191"/>
            </w:pPr>
            <w:r w:rsidRPr="000F02B6">
              <w:t>These synthesise large amounts of material found online into a coherent response or output producing content that cannot be detected by current plagiarism detection tools like Turnitin.</w:t>
            </w:r>
          </w:p>
          <w:p w14:paraId="0FC2FD93" w14:textId="77777777" w:rsidR="00D265A5" w:rsidRPr="000F02B6" w:rsidRDefault="00D265A5" w:rsidP="009D48AE">
            <w:pPr>
              <w:pStyle w:val="TableContents"/>
              <w:ind w:right="191"/>
            </w:pPr>
            <w:r w:rsidRPr="000F02B6">
              <w:t>Representing AI-generated content as a student’s own work is Academic Misconduct.</w:t>
            </w:r>
            <w:r w:rsidRPr="000F02B6">
              <w:rPr>
                <w:color w:val="FF0000"/>
              </w:rPr>
              <w:tab/>
            </w:r>
            <w:r w:rsidRPr="000F02B6">
              <w:rPr>
                <w:color w:val="FF0000"/>
              </w:rPr>
              <w:tab/>
            </w:r>
          </w:p>
        </w:tc>
        <w:tc>
          <w:tcPr>
            <w:tcW w:w="4253" w:type="dxa"/>
          </w:tcPr>
          <w:p w14:paraId="4686B722" w14:textId="77777777" w:rsidR="00D265A5" w:rsidRPr="000F02B6" w:rsidRDefault="00D265A5" w:rsidP="009D48AE">
            <w:pPr>
              <w:tabs>
                <w:tab w:val="left" w:pos="708"/>
                <w:tab w:val="left" w:pos="785"/>
              </w:tabs>
              <w:ind w:right="142"/>
              <w:rPr>
                <w:szCs w:val="20"/>
              </w:rPr>
            </w:pPr>
            <w:r w:rsidRPr="000F02B6">
              <w:rPr>
                <w:szCs w:val="20"/>
              </w:rPr>
              <w:t>Future technical solutions, such as watermarking technology implemented into generative AI software, may assist with detecting inappropriate use of generative AI tools.</w:t>
            </w:r>
          </w:p>
          <w:p w14:paraId="392C7F2D" w14:textId="77777777" w:rsidR="00D265A5" w:rsidRPr="000F02B6" w:rsidRDefault="00D265A5" w:rsidP="009D48AE">
            <w:pPr>
              <w:pStyle w:val="TableContents"/>
              <w:ind w:right="142"/>
            </w:pPr>
            <w:r w:rsidRPr="000F02B6">
              <w:t xml:space="preserve">In the meantime, it is recommended that academic staff familiarise themselves with the technology, which will assist in identifying academic integrity breaches. </w:t>
            </w:r>
          </w:p>
          <w:p w14:paraId="7B17A36E" w14:textId="77777777" w:rsidR="00D265A5" w:rsidRPr="000F02B6" w:rsidRDefault="00D265A5" w:rsidP="009D48AE">
            <w:pPr>
              <w:pStyle w:val="TableContents"/>
              <w:ind w:right="142"/>
            </w:pPr>
            <w:r w:rsidRPr="000F02B6">
              <w:t>AI-generated text content can often be detected by its inaccurate or falsified use of referenced academic works</w:t>
            </w:r>
            <w:r w:rsidRPr="000F02B6">
              <w:rPr>
                <w:szCs w:val="20"/>
              </w:rPr>
              <w:t>, although the accuracy of the technology is rapidly advancing.</w:t>
            </w:r>
          </w:p>
        </w:tc>
        <w:tc>
          <w:tcPr>
            <w:tcW w:w="4409" w:type="dxa"/>
          </w:tcPr>
          <w:p w14:paraId="54E5BB1B" w14:textId="77777777" w:rsidR="00D265A5" w:rsidRPr="00856F99" w:rsidRDefault="00D265A5" w:rsidP="00E753B1">
            <w:pPr>
              <w:pStyle w:val="TableContents"/>
            </w:pPr>
            <w:r w:rsidRPr="00856F99">
              <w:t xml:space="preserve">The use of AI-generated content can be at least curtailed in </w:t>
            </w:r>
            <w:proofErr w:type="gramStart"/>
            <w:r w:rsidRPr="00856F99">
              <w:t>a number of</w:t>
            </w:r>
            <w:proofErr w:type="gramEnd"/>
            <w:r w:rsidRPr="00856F99">
              <w:t xml:space="preserve"> ways:</w:t>
            </w:r>
          </w:p>
          <w:p w14:paraId="0C47D64D" w14:textId="77777777" w:rsidR="00D265A5" w:rsidRPr="00856F99" w:rsidRDefault="00D265A5" w:rsidP="00856F99">
            <w:pPr>
              <w:pStyle w:val="Tablebullet"/>
              <w:numPr>
                <w:ilvl w:val="0"/>
                <w:numId w:val="29"/>
              </w:numPr>
              <w:tabs>
                <w:tab w:val="left" w:pos="785"/>
              </w:tabs>
              <w:ind w:right="56"/>
            </w:pPr>
            <w:r w:rsidRPr="00856F99">
              <w:t>open conversations between academics and students about the appropriate and allowable uses of AI (brainstorming etc) and its limitations</w:t>
            </w:r>
          </w:p>
          <w:p w14:paraId="3AF4F322" w14:textId="77777777" w:rsidR="00D265A5" w:rsidRPr="00856F99" w:rsidRDefault="00D265A5" w:rsidP="00856F99">
            <w:pPr>
              <w:pStyle w:val="Tablebullet"/>
              <w:numPr>
                <w:ilvl w:val="0"/>
                <w:numId w:val="29"/>
              </w:numPr>
              <w:tabs>
                <w:tab w:val="left" w:pos="785"/>
              </w:tabs>
              <w:ind w:right="56"/>
            </w:pPr>
            <w:r w:rsidRPr="00856F99">
              <w:t xml:space="preserve">clear instructions to students regarding the need to explicitly acknowledge any use of AI and how to do </w:t>
            </w:r>
            <w:proofErr w:type="gramStart"/>
            <w:r w:rsidRPr="00856F99">
              <w:t>this</w:t>
            </w:r>
            <w:proofErr w:type="gramEnd"/>
          </w:p>
          <w:p w14:paraId="62202ACD" w14:textId="77777777" w:rsidR="00D265A5" w:rsidRPr="00856F99" w:rsidRDefault="00D265A5" w:rsidP="00856F99">
            <w:pPr>
              <w:pStyle w:val="Tablebullet"/>
              <w:numPr>
                <w:ilvl w:val="0"/>
                <w:numId w:val="29"/>
              </w:numPr>
              <w:tabs>
                <w:tab w:val="left" w:pos="785"/>
              </w:tabs>
              <w:ind w:right="56"/>
            </w:pPr>
            <w:r w:rsidRPr="00856F99">
              <w:rPr>
                <w:shd w:val="clear" w:color="auto" w:fill="FFFFFF"/>
              </w:rPr>
              <w:t xml:space="preserve">assessment can be redesigned to </w:t>
            </w:r>
            <w:r w:rsidRPr="00856F99">
              <w:rPr>
                <w:szCs w:val="20"/>
                <w:shd w:val="clear" w:color="auto" w:fill="FFFFFF"/>
              </w:rPr>
              <w:t>reduce the risk of AI misuse, including:</w:t>
            </w:r>
          </w:p>
          <w:p w14:paraId="0716F74F" w14:textId="77777777" w:rsidR="00D265A5" w:rsidRPr="00856F99" w:rsidRDefault="00D265A5" w:rsidP="00204EBD">
            <w:pPr>
              <w:pStyle w:val="Tablebullet2"/>
              <w:numPr>
                <w:ilvl w:val="1"/>
                <w:numId w:val="30"/>
              </w:numPr>
              <w:tabs>
                <w:tab w:val="left" w:pos="785"/>
              </w:tabs>
              <w:ind w:left="711" w:right="56"/>
            </w:pPr>
            <w:r w:rsidRPr="00856F99">
              <w:t xml:space="preserve">assessment items can incorporate course-specific material in the form of original experiments, interviews, surveys, results and </w:t>
            </w:r>
            <w:proofErr w:type="gramStart"/>
            <w:r w:rsidRPr="00856F99">
              <w:t>observations</w:t>
            </w:r>
            <w:proofErr w:type="gramEnd"/>
            <w:r w:rsidRPr="00856F99">
              <w:t xml:space="preserve"> </w:t>
            </w:r>
          </w:p>
          <w:p w14:paraId="171A3658" w14:textId="77777777" w:rsidR="00D265A5" w:rsidRPr="00856F99" w:rsidRDefault="00D265A5" w:rsidP="00204EBD">
            <w:pPr>
              <w:pStyle w:val="Tablebullet2"/>
              <w:numPr>
                <w:ilvl w:val="1"/>
                <w:numId w:val="30"/>
              </w:numPr>
              <w:tabs>
                <w:tab w:val="left" w:pos="785"/>
              </w:tabs>
              <w:ind w:left="711" w:right="56"/>
            </w:pPr>
            <w:r w:rsidRPr="00856F99">
              <w:t xml:space="preserve">staff may make use of in-class handwritten exams and assessment items or supervise students in class using their </w:t>
            </w:r>
            <w:proofErr w:type="gramStart"/>
            <w:r w:rsidRPr="00856F99">
              <w:t>computers</w:t>
            </w:r>
            <w:proofErr w:type="gramEnd"/>
          </w:p>
          <w:p w14:paraId="63A37AA0" w14:textId="77777777" w:rsidR="00D265A5" w:rsidRPr="00856F99" w:rsidRDefault="00D265A5" w:rsidP="00204EBD">
            <w:pPr>
              <w:pStyle w:val="Tablebullet2"/>
              <w:numPr>
                <w:ilvl w:val="1"/>
                <w:numId w:val="30"/>
              </w:numPr>
              <w:tabs>
                <w:tab w:val="left" w:pos="785"/>
              </w:tabs>
              <w:ind w:left="711" w:right="56"/>
            </w:pPr>
            <w:r w:rsidRPr="00856F99">
              <w:t>assessment items may also be designed to show the students’ process in constructing their work, submitting drafts and edits annotated with track changes or with a screen recording tool.</w:t>
            </w:r>
          </w:p>
        </w:tc>
      </w:tr>
      <w:tr w:rsidR="00D265A5" w:rsidRPr="000F02B6" w14:paraId="6AF8C261" w14:textId="77777777" w:rsidTr="00D0117A">
        <w:tc>
          <w:tcPr>
            <w:tcW w:w="1985" w:type="dxa"/>
          </w:tcPr>
          <w:p w14:paraId="14838950" w14:textId="77777777" w:rsidR="00D265A5" w:rsidRPr="000F02B6" w:rsidRDefault="00D265A5" w:rsidP="00E753B1">
            <w:pPr>
              <w:pStyle w:val="Tablesideheading"/>
            </w:pPr>
            <w:r w:rsidRPr="000F02B6">
              <w:lastRenderedPageBreak/>
              <w:t>Washing</w:t>
            </w:r>
          </w:p>
        </w:tc>
        <w:tc>
          <w:tcPr>
            <w:tcW w:w="4819" w:type="dxa"/>
          </w:tcPr>
          <w:p w14:paraId="153784D4" w14:textId="77777777" w:rsidR="00D265A5" w:rsidRPr="000F02B6" w:rsidRDefault="00D265A5" w:rsidP="009D48AE">
            <w:pPr>
              <w:pStyle w:val="TableContents"/>
              <w:ind w:right="191"/>
            </w:pPr>
            <w:r w:rsidRPr="000F02B6">
              <w:t>Washing occurs when a piece of material written in another language has been put through translating software such as Google Translate.</w:t>
            </w:r>
          </w:p>
          <w:p w14:paraId="0DEF666D" w14:textId="77777777" w:rsidR="00D265A5" w:rsidRPr="000F02B6" w:rsidRDefault="00D265A5" w:rsidP="009D48AE">
            <w:pPr>
              <w:pStyle w:val="TableContents"/>
              <w:ind w:right="191"/>
            </w:pPr>
          </w:p>
        </w:tc>
        <w:tc>
          <w:tcPr>
            <w:tcW w:w="4253" w:type="dxa"/>
          </w:tcPr>
          <w:p w14:paraId="343919EC" w14:textId="77777777" w:rsidR="00D265A5" w:rsidRPr="000F02B6" w:rsidRDefault="00D265A5" w:rsidP="009D48AE">
            <w:pPr>
              <w:pStyle w:val="TableContents"/>
              <w:ind w:right="142"/>
            </w:pPr>
            <w:r w:rsidRPr="000F02B6">
              <w:t>Washing may be detected by unusual or obscure word choice, punctuation and grammatical anomalies, and phrases or sentences that appear unrelated to the topic at hand or do not flow.</w:t>
            </w:r>
          </w:p>
          <w:p w14:paraId="0DA440AA" w14:textId="77777777" w:rsidR="00D265A5" w:rsidRPr="000F02B6" w:rsidRDefault="00D265A5" w:rsidP="009D48AE">
            <w:pPr>
              <w:pStyle w:val="TableContents"/>
              <w:ind w:right="142"/>
              <w:rPr>
                <w:color w:val="FF0000"/>
                <w:sz w:val="24"/>
                <w:szCs w:val="24"/>
              </w:rPr>
            </w:pPr>
            <w:r w:rsidRPr="000F02B6">
              <w:t>Washed texts are typically not picked up by software checks.</w:t>
            </w:r>
          </w:p>
        </w:tc>
        <w:tc>
          <w:tcPr>
            <w:tcW w:w="4409" w:type="dxa"/>
          </w:tcPr>
          <w:p w14:paraId="715169A2" w14:textId="77777777" w:rsidR="00D265A5" w:rsidRPr="000F02B6" w:rsidRDefault="00D265A5" w:rsidP="00E753B1">
            <w:pPr>
              <w:pStyle w:val="TableContents"/>
            </w:pPr>
            <w:r w:rsidRPr="000F02B6">
              <w:t>Staff should familiarise themselves with the technology by creating a test-washed piece themselves. This will help them identify suspected cases of washing.</w:t>
            </w:r>
          </w:p>
          <w:p w14:paraId="5B4E6EAD" w14:textId="77777777" w:rsidR="00D265A5" w:rsidRPr="000F02B6" w:rsidRDefault="00D265A5" w:rsidP="00E753B1">
            <w:pPr>
              <w:pStyle w:val="TableContents"/>
            </w:pPr>
          </w:p>
        </w:tc>
      </w:tr>
    </w:tbl>
    <w:p w14:paraId="4636D5B6" w14:textId="77777777" w:rsidR="002D612E" w:rsidRPr="000F02B6" w:rsidRDefault="002D612E" w:rsidP="00E875A7">
      <w:pPr>
        <w:ind w:right="56"/>
      </w:pPr>
      <w:bookmarkStart w:id="14" w:name="_Hlk126326303"/>
    </w:p>
    <w:bookmarkEnd w:id="14"/>
    <w:p w14:paraId="47A80021" w14:textId="77777777" w:rsidR="00317C5E" w:rsidRPr="000F02B6" w:rsidRDefault="00317C5E" w:rsidP="00E875A7">
      <w:pPr>
        <w:pStyle w:val="H2NumberedList"/>
        <w:numPr>
          <w:ilvl w:val="0"/>
          <w:numId w:val="0"/>
        </w:numPr>
        <w:ind w:right="56"/>
      </w:pPr>
    </w:p>
    <w:p w14:paraId="13FB475A" w14:textId="77777777" w:rsidR="00317C5E" w:rsidRPr="000F02B6" w:rsidRDefault="00317C5E" w:rsidP="00E875A7">
      <w:pPr>
        <w:pStyle w:val="H2NumberedList"/>
        <w:numPr>
          <w:ilvl w:val="0"/>
          <w:numId w:val="0"/>
        </w:numPr>
        <w:ind w:right="56"/>
        <w:sectPr w:rsidR="00317C5E" w:rsidRPr="000F02B6" w:rsidSect="00812FB8">
          <w:headerReference w:type="first" r:id="rId21"/>
          <w:footerReference w:type="first" r:id="rId22"/>
          <w:pgSz w:w="16838" w:h="11906" w:orient="landscape" w:code="9"/>
          <w:pgMar w:top="1928" w:right="680" w:bottom="567" w:left="680" w:header="397" w:footer="284" w:gutter="0"/>
          <w:cols w:space="708"/>
          <w:titlePg/>
          <w:docGrid w:linePitch="360"/>
        </w:sectPr>
      </w:pPr>
    </w:p>
    <w:p w14:paraId="5EB8F927" w14:textId="49CF7214" w:rsidR="00A144B2" w:rsidRPr="000F02B6" w:rsidRDefault="00A144B2" w:rsidP="00E875A7">
      <w:pPr>
        <w:pStyle w:val="Heading1"/>
        <w:spacing w:line="240" w:lineRule="auto"/>
        <w:ind w:right="56"/>
        <w:rPr>
          <w:rFonts w:ascii="Arial" w:hAnsi="Arial" w:cs="Arial"/>
        </w:rPr>
      </w:pPr>
      <w:bookmarkStart w:id="15" w:name="_4.0_Roles,_responsibilities"/>
      <w:bookmarkStart w:id="16" w:name="_5.0_Definitions"/>
      <w:bookmarkStart w:id="17" w:name="_4.0_Definitions"/>
      <w:bookmarkStart w:id="18" w:name="_Toc148329196"/>
      <w:bookmarkStart w:id="19" w:name="_Toc148329308"/>
      <w:bookmarkEnd w:id="15"/>
      <w:bookmarkEnd w:id="16"/>
      <w:bookmarkEnd w:id="17"/>
      <w:r w:rsidRPr="000F02B6">
        <w:rPr>
          <w:rFonts w:ascii="Arial" w:hAnsi="Arial" w:cs="Arial"/>
        </w:rPr>
        <w:lastRenderedPageBreak/>
        <w:t>Definitions</w:t>
      </w:r>
      <w:bookmarkEnd w:id="18"/>
      <w:bookmarkEnd w:id="19"/>
    </w:p>
    <w:p w14:paraId="7A7991C2" w14:textId="77777777" w:rsidR="003B1743" w:rsidRPr="000F02B6" w:rsidRDefault="003B1743" w:rsidP="00E875A7">
      <w:pPr>
        <w:ind w:right="56"/>
        <w:rPr>
          <w:rFonts w:eastAsia="Arial"/>
          <w:color w:val="000000" w:themeColor="text1"/>
        </w:rPr>
      </w:pPr>
      <w:r w:rsidRPr="000F02B6">
        <w:rPr>
          <w:b/>
          <w:szCs w:val="20"/>
        </w:rPr>
        <w:t xml:space="preserve">Academic Misconduct, </w:t>
      </w:r>
      <w:r w:rsidRPr="000F02B6">
        <w:rPr>
          <w:rFonts w:eastAsia="Arial"/>
          <w:color w:val="000000" w:themeColor="text1"/>
        </w:rPr>
        <w:t>whether intentional or negligent, encompasses behaviour:</w:t>
      </w:r>
    </w:p>
    <w:p w14:paraId="24D9BAE3" w14:textId="77777777" w:rsidR="003B1743" w:rsidRPr="000F02B6" w:rsidRDefault="003B1743" w:rsidP="00E875A7">
      <w:pPr>
        <w:pStyle w:val="H1BulletPoints"/>
        <w:ind w:right="56"/>
      </w:pPr>
      <w:r w:rsidRPr="000F02B6">
        <w:t>involving the misrepresentation of academic achievement or</w:t>
      </w:r>
    </w:p>
    <w:p w14:paraId="4FE3503C" w14:textId="77777777" w:rsidR="003B1743" w:rsidRPr="000F02B6" w:rsidRDefault="003B1743" w:rsidP="00E875A7">
      <w:pPr>
        <w:pStyle w:val="H1BulletPoints"/>
        <w:ind w:right="56"/>
      </w:pPr>
      <w:r w:rsidRPr="000F02B6">
        <w:t xml:space="preserve">undermining the core values (honesty, trust, fairness, respect, </w:t>
      </w:r>
      <w:proofErr w:type="gramStart"/>
      <w:r w:rsidRPr="000F02B6">
        <w:t>responsibility</w:t>
      </w:r>
      <w:proofErr w:type="gramEnd"/>
      <w:r w:rsidRPr="000F02B6">
        <w:t xml:space="preserve"> and courage) of academic integrity or</w:t>
      </w:r>
    </w:p>
    <w:p w14:paraId="5E89E95C" w14:textId="77777777" w:rsidR="003B1743" w:rsidRPr="000F02B6" w:rsidRDefault="003B1743" w:rsidP="00E875A7">
      <w:pPr>
        <w:pStyle w:val="H1BulletPoints"/>
        <w:ind w:right="56"/>
      </w:pPr>
      <w:r w:rsidRPr="000F02B6">
        <w:t xml:space="preserve">breaching </w:t>
      </w:r>
      <w:hyperlink r:id="rId23" w:history="1">
        <w:r w:rsidRPr="000F02B6">
          <w:rPr>
            <w:rStyle w:val="Hyperlink"/>
            <w:color w:val="000000" w:themeColor="text1"/>
          </w:rPr>
          <w:t>academic integrity</w:t>
        </w:r>
      </w:hyperlink>
      <w:r w:rsidRPr="000F02B6">
        <w:t>.</w:t>
      </w:r>
    </w:p>
    <w:p w14:paraId="7D2B0B5E" w14:textId="77777777" w:rsidR="003B1743" w:rsidRPr="000F02B6" w:rsidRDefault="003B1743" w:rsidP="00E875A7">
      <w:pPr>
        <w:ind w:right="56"/>
      </w:pPr>
      <w:r w:rsidRPr="000F02B6">
        <w:rPr>
          <w:b/>
          <w:bCs/>
        </w:rPr>
        <w:t xml:space="preserve">Active Enrolment Status </w:t>
      </w:r>
      <w:r w:rsidRPr="000F02B6">
        <w:t>refers to a student who has: </w:t>
      </w:r>
    </w:p>
    <w:p w14:paraId="77600743" w14:textId="77777777" w:rsidR="003B1743" w:rsidRPr="000F02B6" w:rsidRDefault="003B1743" w:rsidP="00E875A7">
      <w:pPr>
        <w:pStyle w:val="H1BulletPoints"/>
        <w:ind w:right="56"/>
      </w:pPr>
      <w:r w:rsidRPr="000F02B6">
        <w:t xml:space="preserve">accepted an offer of admission to a program and shall have completed the enrolment procedures prescribed by the </w:t>
      </w:r>
      <w:proofErr w:type="gramStart"/>
      <w:r w:rsidRPr="000F02B6">
        <w:t>University</w:t>
      </w:r>
      <w:proofErr w:type="gramEnd"/>
      <w:r w:rsidRPr="000F02B6">
        <w:t> </w:t>
      </w:r>
    </w:p>
    <w:p w14:paraId="3A0387C2" w14:textId="77777777" w:rsidR="003B1743" w:rsidRPr="000F02B6" w:rsidRDefault="003B1743" w:rsidP="00E875A7">
      <w:pPr>
        <w:pStyle w:val="H1BulletPoints"/>
        <w:ind w:right="56"/>
      </w:pPr>
      <w:r w:rsidRPr="000F02B6">
        <w:t xml:space="preserve">paid such fees and charges as the University may require to be paid as a condition of </w:t>
      </w:r>
      <w:proofErr w:type="gramStart"/>
      <w:r w:rsidRPr="000F02B6">
        <w:t>enrolment</w:t>
      </w:r>
      <w:proofErr w:type="gramEnd"/>
      <w:r w:rsidRPr="000F02B6">
        <w:t> </w:t>
      </w:r>
    </w:p>
    <w:p w14:paraId="347BDF0A" w14:textId="77777777" w:rsidR="003B1743" w:rsidRPr="000F02B6" w:rsidRDefault="003B1743" w:rsidP="00E875A7">
      <w:pPr>
        <w:pStyle w:val="H1BulletPoints"/>
        <w:ind w:right="56"/>
      </w:pPr>
      <w:r w:rsidRPr="000F02B6">
        <w:t>fulfilled the conditions prescribed for Commonwealth supported students, in the case of a student admitted to a program as a Commonwealth supported student and </w:t>
      </w:r>
    </w:p>
    <w:p w14:paraId="0F285A01" w14:textId="77777777" w:rsidR="003B1743" w:rsidRPr="000F02B6" w:rsidRDefault="003B1743" w:rsidP="00E875A7">
      <w:pPr>
        <w:pStyle w:val="H1BulletPoints"/>
        <w:ind w:right="56"/>
      </w:pPr>
      <w:r w:rsidRPr="000F02B6">
        <w:t>completed any other procedures which may be required as a condition of enrolment. </w:t>
      </w:r>
    </w:p>
    <w:p w14:paraId="12A3BF87" w14:textId="61BAF150" w:rsidR="00811F90" w:rsidRPr="000F02B6" w:rsidRDefault="00786706" w:rsidP="00D265A5">
      <w:pPr>
        <w:pStyle w:val="Heading1"/>
        <w:spacing w:before="110" w:after="110" w:line="240" w:lineRule="auto"/>
        <w:ind w:right="56"/>
        <w:rPr>
          <w:rFonts w:ascii="Arial" w:hAnsi="Arial" w:cs="Arial"/>
        </w:rPr>
      </w:pPr>
      <w:bookmarkStart w:id="20" w:name="_6.0_Information"/>
      <w:bookmarkStart w:id="21" w:name="_5.0_Information"/>
      <w:bookmarkStart w:id="22" w:name="_Toc148329197"/>
      <w:bookmarkStart w:id="23" w:name="_Toc148329309"/>
      <w:bookmarkEnd w:id="20"/>
      <w:bookmarkEnd w:id="21"/>
      <w:r w:rsidRPr="000F02B6">
        <w:rPr>
          <w:rFonts w:ascii="Arial" w:hAnsi="Arial" w:cs="Arial"/>
        </w:rPr>
        <w:t>Information</w:t>
      </w:r>
      <w:bookmarkEnd w:id="22"/>
      <w:bookmarkEnd w:id="23"/>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0F02B6" w14:paraId="56F88C37" w14:textId="77777777" w:rsidTr="747E6CB0">
        <w:tc>
          <w:tcPr>
            <w:tcW w:w="2943" w:type="dxa"/>
          </w:tcPr>
          <w:p w14:paraId="043C5737" w14:textId="2C6464CE" w:rsidR="00786706" w:rsidRPr="000F02B6" w:rsidRDefault="00786706" w:rsidP="00D265A5">
            <w:pPr>
              <w:spacing w:before="110" w:after="110"/>
              <w:ind w:right="56"/>
              <w:rPr>
                <w:szCs w:val="28"/>
              </w:rPr>
            </w:pPr>
            <w:r w:rsidRPr="000F02B6">
              <w:rPr>
                <w:szCs w:val="28"/>
              </w:rPr>
              <w:t>Title</w:t>
            </w:r>
          </w:p>
        </w:tc>
        <w:tc>
          <w:tcPr>
            <w:tcW w:w="7147" w:type="dxa"/>
          </w:tcPr>
          <w:p w14:paraId="19EA923A" w14:textId="74F8E9A7" w:rsidR="00786706" w:rsidRPr="000F02B6" w:rsidRDefault="003B1743" w:rsidP="00D265A5">
            <w:pPr>
              <w:spacing w:before="110" w:after="110"/>
              <w:ind w:right="56"/>
              <w:rPr>
                <w:szCs w:val="28"/>
                <w:lang w:val="en-GB"/>
              </w:rPr>
            </w:pPr>
            <w:r w:rsidRPr="000F02B6">
              <w:rPr>
                <w:szCs w:val="28"/>
              </w:rPr>
              <w:t>Staff Direction: Identifying and Responding to Breaches of Academic Integrity</w:t>
            </w:r>
          </w:p>
        </w:tc>
      </w:tr>
      <w:tr w:rsidR="00786706" w:rsidRPr="000F02B6" w14:paraId="66D4D4A1" w14:textId="77777777" w:rsidTr="747E6CB0">
        <w:tc>
          <w:tcPr>
            <w:tcW w:w="2943" w:type="dxa"/>
          </w:tcPr>
          <w:p w14:paraId="18280F52" w14:textId="5ED479A2" w:rsidR="00786706" w:rsidRPr="000F02B6" w:rsidRDefault="00786706" w:rsidP="00D265A5">
            <w:pPr>
              <w:spacing w:before="110" w:after="110"/>
              <w:ind w:right="56"/>
              <w:rPr>
                <w:szCs w:val="28"/>
              </w:rPr>
            </w:pPr>
            <w:r w:rsidRPr="000F02B6">
              <w:rPr>
                <w:szCs w:val="28"/>
              </w:rPr>
              <w:t>Document number</w:t>
            </w:r>
          </w:p>
        </w:tc>
        <w:tc>
          <w:tcPr>
            <w:tcW w:w="7147" w:type="dxa"/>
          </w:tcPr>
          <w:p w14:paraId="53E0817F" w14:textId="300FCA59" w:rsidR="00786706" w:rsidRPr="000F02B6" w:rsidRDefault="007C70B4" w:rsidP="00D265A5">
            <w:pPr>
              <w:spacing w:before="110" w:after="110"/>
              <w:ind w:right="56"/>
              <w:rPr>
                <w:szCs w:val="28"/>
                <w:lang w:val="en-GB"/>
              </w:rPr>
            </w:pPr>
            <w:r w:rsidRPr="000F02B6">
              <w:rPr>
                <w:szCs w:val="28"/>
              </w:rPr>
              <w:t>2023/0000501</w:t>
            </w:r>
          </w:p>
        </w:tc>
      </w:tr>
      <w:tr w:rsidR="00786706" w:rsidRPr="000F02B6" w14:paraId="66BCD115" w14:textId="77777777" w:rsidTr="747E6CB0">
        <w:tc>
          <w:tcPr>
            <w:tcW w:w="2943" w:type="dxa"/>
          </w:tcPr>
          <w:p w14:paraId="0DEE091F" w14:textId="5E2B7B69" w:rsidR="00786706" w:rsidRPr="000F02B6" w:rsidRDefault="00786706" w:rsidP="00D265A5">
            <w:pPr>
              <w:spacing w:before="110" w:after="110"/>
              <w:ind w:right="56"/>
              <w:rPr>
                <w:szCs w:val="28"/>
              </w:rPr>
            </w:pPr>
            <w:r w:rsidRPr="000F02B6">
              <w:rPr>
                <w:szCs w:val="28"/>
              </w:rPr>
              <w:t>Purpose</w:t>
            </w:r>
          </w:p>
        </w:tc>
        <w:tc>
          <w:tcPr>
            <w:tcW w:w="7147" w:type="dxa"/>
          </w:tcPr>
          <w:p w14:paraId="07AE31C8" w14:textId="77777777" w:rsidR="00A22105" w:rsidRPr="000F02B6" w:rsidRDefault="00A22105" w:rsidP="00D265A5">
            <w:pPr>
              <w:spacing w:before="110" w:after="110"/>
              <w:ind w:right="56"/>
              <w:rPr>
                <w:shd w:val="clear" w:color="auto" w:fill="FFFFFF"/>
              </w:rPr>
            </w:pPr>
            <w:r w:rsidRPr="000F02B6">
              <w:rPr>
                <w:shd w:val="clear" w:color="auto" w:fill="FFFFFF"/>
              </w:rPr>
              <w:t xml:space="preserve">These guidelines support the </w:t>
            </w:r>
            <w:r w:rsidRPr="003A3B86">
              <w:rPr>
                <w:i/>
                <w:iCs/>
                <w:lang w:eastAsia="en-GB"/>
              </w:rPr>
              <w:t xml:space="preserve">Student Academic Integrity Policy </w:t>
            </w:r>
            <w:r w:rsidRPr="000F02B6">
              <w:rPr>
                <w:lang w:eastAsia="en-GB"/>
              </w:rPr>
              <w:t>and Student Breaches of Academic Integrity Procedure</w:t>
            </w:r>
            <w:r w:rsidRPr="000F02B6">
              <w:rPr>
                <w:shd w:val="clear" w:color="auto" w:fill="FFFFFF"/>
              </w:rPr>
              <w:t xml:space="preserve"> by outlining the ways in which breaches of academic integrity may take place in a range of teaching, student research and assessment environments, including online. </w:t>
            </w:r>
          </w:p>
          <w:p w14:paraId="7FE09B90" w14:textId="01567028" w:rsidR="00786706" w:rsidRPr="000F02B6" w:rsidRDefault="00A22105" w:rsidP="00D265A5">
            <w:pPr>
              <w:spacing w:before="110" w:after="110"/>
              <w:ind w:right="56"/>
            </w:pPr>
            <w:r w:rsidRPr="000F02B6">
              <w:t xml:space="preserve">Additionally, students who fall within the scope of these guidelines must conduct their research in accordance with the standards of research conduct set out in the </w:t>
            </w:r>
            <w:hyperlink r:id="rId24">
              <w:r w:rsidRPr="000F02B6">
                <w:t>Australian Code for the Responsible Conduct of Research 2018</w:t>
              </w:r>
            </w:hyperlink>
            <w:r w:rsidRPr="000F02B6">
              <w:t xml:space="preserve"> (Australian Code 2018) and supported by the University’s </w:t>
            </w:r>
            <w:hyperlink r:id="rId25">
              <w:r w:rsidRPr="003A3B86">
                <w:rPr>
                  <w:i/>
                  <w:iCs/>
                </w:rPr>
                <w:t>Responsible Conduct of Research Policy</w:t>
              </w:r>
            </w:hyperlink>
            <w:r w:rsidRPr="000F02B6">
              <w:t>. Students with a professional practice component to their program must adhere to the professional practice standards for their field.</w:t>
            </w:r>
          </w:p>
        </w:tc>
      </w:tr>
      <w:tr w:rsidR="00786706" w:rsidRPr="000F02B6" w14:paraId="625A2530" w14:textId="77777777" w:rsidTr="747E6CB0">
        <w:tc>
          <w:tcPr>
            <w:tcW w:w="2943" w:type="dxa"/>
          </w:tcPr>
          <w:p w14:paraId="74ADF083" w14:textId="20B8679F" w:rsidR="00786706" w:rsidRPr="000F02B6" w:rsidRDefault="00786706" w:rsidP="00D265A5">
            <w:pPr>
              <w:spacing w:before="110" w:after="110"/>
              <w:ind w:right="56"/>
              <w:rPr>
                <w:szCs w:val="28"/>
              </w:rPr>
            </w:pPr>
            <w:r w:rsidRPr="000F02B6">
              <w:rPr>
                <w:szCs w:val="28"/>
              </w:rPr>
              <w:t>Audience</w:t>
            </w:r>
          </w:p>
        </w:tc>
        <w:tc>
          <w:tcPr>
            <w:tcW w:w="7147"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2B83096" w:rsidR="00786706" w:rsidRPr="000F02B6" w:rsidRDefault="00A22105" w:rsidP="00D265A5">
                <w:pPr>
                  <w:spacing w:before="110" w:after="110"/>
                  <w:ind w:right="56"/>
                  <w:rPr>
                    <w:szCs w:val="28"/>
                  </w:rPr>
                </w:pPr>
                <w:r w:rsidRPr="000F02B6">
                  <w:rPr>
                    <w:szCs w:val="28"/>
                  </w:rPr>
                  <w:t>Staff</w:t>
                </w:r>
              </w:p>
            </w:sdtContent>
          </w:sdt>
        </w:tc>
      </w:tr>
      <w:tr w:rsidR="00786706" w:rsidRPr="000F02B6" w14:paraId="132A1D0D" w14:textId="77777777" w:rsidTr="747E6CB0">
        <w:tc>
          <w:tcPr>
            <w:tcW w:w="2943" w:type="dxa"/>
          </w:tcPr>
          <w:p w14:paraId="375184E5" w14:textId="4F1FD2B3" w:rsidR="00786706" w:rsidRPr="000F02B6" w:rsidRDefault="00786706" w:rsidP="00D265A5">
            <w:pPr>
              <w:spacing w:before="110" w:after="110"/>
              <w:ind w:right="56"/>
              <w:rPr>
                <w:szCs w:val="28"/>
              </w:rPr>
            </w:pPr>
            <w:r w:rsidRPr="000F02B6">
              <w:rPr>
                <w:szCs w:val="28"/>
              </w:rPr>
              <w:t>Category</w:t>
            </w:r>
          </w:p>
        </w:tc>
        <w:tc>
          <w:tcPr>
            <w:tcW w:w="7147"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FE2ABAD" w:rsidR="00786706" w:rsidRPr="000F02B6" w:rsidRDefault="00A22105" w:rsidP="00D265A5">
                <w:pPr>
                  <w:spacing w:before="110" w:after="110"/>
                  <w:ind w:right="56"/>
                  <w:rPr>
                    <w:szCs w:val="28"/>
                  </w:rPr>
                </w:pPr>
                <w:r w:rsidRPr="000F02B6">
                  <w:rPr>
                    <w:szCs w:val="28"/>
                  </w:rPr>
                  <w:t>Academic</w:t>
                </w:r>
              </w:p>
            </w:sdtContent>
          </w:sdt>
        </w:tc>
      </w:tr>
      <w:tr w:rsidR="00786706" w:rsidRPr="000F02B6" w14:paraId="704234F9" w14:textId="77777777" w:rsidTr="747E6CB0">
        <w:tc>
          <w:tcPr>
            <w:tcW w:w="2943" w:type="dxa"/>
          </w:tcPr>
          <w:p w14:paraId="51A9284E" w14:textId="46B8CBB9" w:rsidR="00786706" w:rsidRPr="000F02B6" w:rsidRDefault="00786706" w:rsidP="00D265A5">
            <w:pPr>
              <w:spacing w:before="110" w:after="110"/>
              <w:ind w:right="56"/>
              <w:rPr>
                <w:szCs w:val="28"/>
              </w:rPr>
            </w:pPr>
            <w:r w:rsidRPr="000F02B6">
              <w:rPr>
                <w:szCs w:val="28"/>
              </w:rPr>
              <w:t>Subcategory</w:t>
            </w:r>
          </w:p>
        </w:tc>
        <w:tc>
          <w:tcPr>
            <w:tcW w:w="7147" w:type="dxa"/>
          </w:tcPr>
          <w:sdt>
            <w:sdtPr>
              <w:rPr>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5254D92A" w:rsidR="007512F5" w:rsidRPr="000F02B6" w:rsidRDefault="00A22105" w:rsidP="00D265A5">
                <w:pPr>
                  <w:spacing w:before="110" w:after="110"/>
                  <w:ind w:right="56"/>
                  <w:rPr>
                    <w:szCs w:val="28"/>
                    <w:lang w:val="en-GB"/>
                  </w:rPr>
                </w:pPr>
                <w:r w:rsidRPr="000F02B6">
                  <w:rPr>
                    <w:szCs w:val="28"/>
                    <w:lang w:val="en-GB"/>
                  </w:rPr>
                  <w:t>Learning &amp; Teaching</w:t>
                </w:r>
              </w:p>
            </w:sdtContent>
          </w:sdt>
        </w:tc>
      </w:tr>
      <w:tr w:rsidR="00A57044" w:rsidRPr="000F02B6" w14:paraId="1DD394A7" w14:textId="77777777" w:rsidTr="747E6CB0">
        <w:tc>
          <w:tcPr>
            <w:tcW w:w="2943" w:type="dxa"/>
          </w:tcPr>
          <w:p w14:paraId="4CDE964B" w14:textId="68F552EF" w:rsidR="00A57044" w:rsidRPr="000F02B6" w:rsidRDefault="0046665F" w:rsidP="00D265A5">
            <w:pPr>
              <w:spacing w:before="110" w:after="110"/>
              <w:ind w:right="56"/>
              <w:rPr>
                <w:szCs w:val="28"/>
              </w:rPr>
            </w:pPr>
            <w:r w:rsidRPr="000F02B6">
              <w:rPr>
                <w:szCs w:val="28"/>
              </w:rPr>
              <w:lastRenderedPageBreak/>
              <w:t>UN Sustainable Development Goals (SDGs)</w:t>
            </w:r>
          </w:p>
        </w:tc>
        <w:tc>
          <w:tcPr>
            <w:tcW w:w="7147" w:type="dxa"/>
          </w:tcPr>
          <w:p w14:paraId="68B0A012" w14:textId="77777777" w:rsidR="00A57044" w:rsidRPr="000F02B6" w:rsidRDefault="008239FE" w:rsidP="00D265A5">
            <w:pPr>
              <w:spacing w:before="110" w:after="110"/>
              <w:ind w:right="56"/>
              <w:rPr>
                <w:szCs w:val="28"/>
              </w:rPr>
            </w:pPr>
            <w:r w:rsidRPr="000F02B6">
              <w:rPr>
                <w:szCs w:val="28"/>
              </w:rPr>
              <w:t xml:space="preserve">This document aligns with </w:t>
            </w:r>
            <w:r w:rsidR="00B25332" w:rsidRPr="000F02B6">
              <w:rPr>
                <w:szCs w:val="28"/>
              </w:rPr>
              <w:t>Sustainable Development Goal/s:</w:t>
            </w:r>
          </w:p>
          <w:sdt>
            <w:sdtPr>
              <w:rPr>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3565E737" w:rsidR="00067836" w:rsidRPr="000F02B6" w:rsidRDefault="00A22105" w:rsidP="00D265A5">
                <w:pPr>
                  <w:spacing w:before="110" w:after="110"/>
                  <w:ind w:right="56"/>
                  <w:rPr>
                    <w:szCs w:val="28"/>
                  </w:rPr>
                </w:pPr>
                <w:r w:rsidRPr="000F02B6">
                  <w:rPr>
                    <w:szCs w:val="28"/>
                  </w:rPr>
                  <w:t>4: Quality Education</w:t>
                </w:r>
              </w:p>
            </w:sdtContent>
          </w:sdt>
        </w:tc>
      </w:tr>
      <w:tr w:rsidR="00786706" w:rsidRPr="000F02B6" w14:paraId="72503509" w14:textId="77777777" w:rsidTr="747E6CB0">
        <w:tc>
          <w:tcPr>
            <w:tcW w:w="2943" w:type="dxa"/>
          </w:tcPr>
          <w:p w14:paraId="7967AC55" w14:textId="476A8E6E" w:rsidR="00786706" w:rsidRPr="000F02B6" w:rsidRDefault="00786706" w:rsidP="00D265A5">
            <w:pPr>
              <w:spacing w:before="110" w:after="110"/>
              <w:ind w:right="56"/>
              <w:rPr>
                <w:szCs w:val="28"/>
              </w:rPr>
            </w:pPr>
            <w:r w:rsidRPr="000F02B6">
              <w:rPr>
                <w:szCs w:val="28"/>
              </w:rPr>
              <w:t>Approval date</w:t>
            </w:r>
          </w:p>
        </w:tc>
        <w:tc>
          <w:tcPr>
            <w:tcW w:w="7147" w:type="dxa"/>
          </w:tcPr>
          <w:p w14:paraId="194B217B" w14:textId="277DBF9A" w:rsidR="00786706" w:rsidRPr="000F02B6" w:rsidRDefault="007C70B4" w:rsidP="00D265A5">
            <w:pPr>
              <w:spacing w:before="110" w:after="110"/>
              <w:ind w:right="56"/>
              <w:rPr>
                <w:szCs w:val="28"/>
              </w:rPr>
            </w:pPr>
            <w:r w:rsidRPr="000F02B6">
              <w:rPr>
                <w:szCs w:val="28"/>
              </w:rPr>
              <w:t>22 December 2023</w:t>
            </w:r>
          </w:p>
        </w:tc>
      </w:tr>
      <w:tr w:rsidR="00786706" w:rsidRPr="000F02B6" w14:paraId="2AB5E63B" w14:textId="77777777" w:rsidTr="747E6CB0">
        <w:tc>
          <w:tcPr>
            <w:tcW w:w="2943" w:type="dxa"/>
          </w:tcPr>
          <w:p w14:paraId="64F617D1" w14:textId="7CF14029" w:rsidR="00786706" w:rsidRPr="000F02B6" w:rsidRDefault="00786706" w:rsidP="00D265A5">
            <w:pPr>
              <w:spacing w:before="110" w:after="110"/>
              <w:ind w:right="56"/>
              <w:rPr>
                <w:szCs w:val="28"/>
              </w:rPr>
            </w:pPr>
            <w:r w:rsidRPr="000F02B6">
              <w:rPr>
                <w:szCs w:val="28"/>
              </w:rPr>
              <w:t>Effective date</w:t>
            </w:r>
          </w:p>
        </w:tc>
        <w:tc>
          <w:tcPr>
            <w:tcW w:w="7147" w:type="dxa"/>
          </w:tcPr>
          <w:p w14:paraId="4FFCA795" w14:textId="733B5117" w:rsidR="00786706" w:rsidRPr="000F02B6" w:rsidRDefault="000132D4" w:rsidP="00D265A5">
            <w:pPr>
              <w:spacing w:before="110" w:after="110"/>
              <w:ind w:right="56"/>
              <w:rPr>
                <w:szCs w:val="28"/>
              </w:rPr>
            </w:pPr>
            <w:r w:rsidRPr="000F02B6">
              <w:rPr>
                <w:szCs w:val="28"/>
              </w:rPr>
              <w:t>Trimester 1 2024</w:t>
            </w:r>
          </w:p>
        </w:tc>
      </w:tr>
      <w:tr w:rsidR="00786706" w:rsidRPr="000F02B6" w14:paraId="6F3FFE23" w14:textId="77777777" w:rsidTr="747E6CB0">
        <w:tc>
          <w:tcPr>
            <w:tcW w:w="2943" w:type="dxa"/>
          </w:tcPr>
          <w:p w14:paraId="6FF0BF57" w14:textId="3ECF3A96" w:rsidR="00786706" w:rsidRPr="000F02B6" w:rsidRDefault="00786706" w:rsidP="00D265A5">
            <w:pPr>
              <w:spacing w:before="110" w:after="110"/>
              <w:ind w:right="56"/>
              <w:rPr>
                <w:szCs w:val="28"/>
              </w:rPr>
            </w:pPr>
            <w:r w:rsidRPr="000F02B6">
              <w:rPr>
                <w:szCs w:val="28"/>
              </w:rPr>
              <w:t>Review date</w:t>
            </w:r>
          </w:p>
        </w:tc>
        <w:tc>
          <w:tcPr>
            <w:tcW w:w="7147" w:type="dxa"/>
          </w:tcPr>
          <w:p w14:paraId="01E953C9" w14:textId="06458CE9" w:rsidR="00786706" w:rsidRPr="000F02B6" w:rsidRDefault="00A22105" w:rsidP="00D265A5">
            <w:pPr>
              <w:spacing w:before="110" w:after="110"/>
              <w:ind w:right="56"/>
              <w:rPr>
                <w:szCs w:val="28"/>
              </w:rPr>
            </w:pPr>
            <w:r w:rsidRPr="000F02B6">
              <w:rPr>
                <w:szCs w:val="28"/>
              </w:rPr>
              <w:t>2029</w:t>
            </w:r>
          </w:p>
        </w:tc>
      </w:tr>
      <w:tr w:rsidR="00786706" w:rsidRPr="000F02B6" w14:paraId="3BDD3607" w14:textId="77777777" w:rsidTr="747E6CB0">
        <w:tc>
          <w:tcPr>
            <w:tcW w:w="2943" w:type="dxa"/>
          </w:tcPr>
          <w:p w14:paraId="12FCF114" w14:textId="4AD0B255" w:rsidR="00786706" w:rsidRPr="000F02B6" w:rsidRDefault="00786706" w:rsidP="00D265A5">
            <w:pPr>
              <w:spacing w:before="110" w:after="110"/>
              <w:ind w:right="56"/>
              <w:rPr>
                <w:szCs w:val="28"/>
              </w:rPr>
            </w:pPr>
            <w:r w:rsidRPr="000F02B6">
              <w:rPr>
                <w:szCs w:val="28"/>
              </w:rPr>
              <w:t>Policy advisor</w:t>
            </w:r>
          </w:p>
        </w:tc>
        <w:tc>
          <w:tcPr>
            <w:tcW w:w="7147" w:type="dxa"/>
          </w:tcPr>
          <w:p w14:paraId="0CB94D75" w14:textId="153B2297" w:rsidR="00786706" w:rsidRPr="000F02B6" w:rsidRDefault="00A22105" w:rsidP="00D265A5">
            <w:pPr>
              <w:spacing w:before="110" w:after="110"/>
              <w:ind w:right="56"/>
              <w:rPr>
                <w:szCs w:val="28"/>
              </w:rPr>
            </w:pPr>
            <w:r w:rsidRPr="000F02B6">
              <w:rPr>
                <w:szCs w:val="28"/>
              </w:rPr>
              <w:t xml:space="preserve">Registrar </w:t>
            </w:r>
          </w:p>
        </w:tc>
      </w:tr>
      <w:tr w:rsidR="00786706" w:rsidRPr="000F02B6" w14:paraId="49179DFF" w14:textId="77777777" w:rsidTr="747E6CB0">
        <w:tc>
          <w:tcPr>
            <w:tcW w:w="2943" w:type="dxa"/>
          </w:tcPr>
          <w:p w14:paraId="1B0442C2" w14:textId="61E06347" w:rsidR="00786706" w:rsidRPr="000F02B6" w:rsidRDefault="00786706" w:rsidP="00D265A5">
            <w:pPr>
              <w:spacing w:before="110" w:after="110"/>
              <w:ind w:right="56"/>
              <w:rPr>
                <w:szCs w:val="28"/>
              </w:rPr>
            </w:pPr>
            <w:r w:rsidRPr="000F02B6">
              <w:rPr>
                <w:szCs w:val="28"/>
              </w:rPr>
              <w:t>Approving authority</w:t>
            </w:r>
          </w:p>
        </w:tc>
        <w:tc>
          <w:tcPr>
            <w:tcW w:w="7147" w:type="dxa"/>
          </w:tcPr>
          <w:p w14:paraId="0D81D6BC" w14:textId="72634B22" w:rsidR="00786706" w:rsidRPr="000F02B6" w:rsidRDefault="6F53C37D" w:rsidP="00D265A5">
            <w:pPr>
              <w:spacing w:before="110" w:after="110"/>
              <w:ind w:right="56"/>
            </w:pPr>
            <w:r w:rsidRPr="000F02B6">
              <w:t xml:space="preserve">Provost </w:t>
            </w:r>
          </w:p>
        </w:tc>
      </w:tr>
    </w:tbl>
    <w:p w14:paraId="605F990D" w14:textId="6EE0FF09" w:rsidR="00C22059" w:rsidRPr="000F02B6" w:rsidRDefault="008605D5" w:rsidP="00D265A5">
      <w:pPr>
        <w:pStyle w:val="Heading1"/>
        <w:spacing w:before="110" w:after="110" w:line="240" w:lineRule="auto"/>
        <w:ind w:right="56"/>
        <w:rPr>
          <w:rFonts w:ascii="Arial" w:hAnsi="Arial" w:cs="Arial"/>
        </w:rPr>
      </w:pPr>
      <w:bookmarkStart w:id="24" w:name="_7.0_Related_Policy"/>
      <w:bookmarkStart w:id="25" w:name="_6.0_Related_Policy"/>
      <w:bookmarkStart w:id="26" w:name="_Toc148329198"/>
      <w:bookmarkStart w:id="27" w:name="_Toc148329310"/>
      <w:bookmarkEnd w:id="24"/>
      <w:bookmarkEnd w:id="25"/>
      <w:r w:rsidRPr="000F02B6">
        <w:rPr>
          <w:rFonts w:ascii="Arial" w:hAnsi="Arial" w:cs="Arial"/>
        </w:rPr>
        <w:t>Related Policy Documents and Supporting Documents</w:t>
      </w:r>
      <w:bookmarkEnd w:id="26"/>
      <w:bookmarkEnd w:id="27"/>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A22105" w:rsidRPr="000F02B6" w14:paraId="1BED611B" w14:textId="77777777" w:rsidTr="00A33A27">
        <w:tc>
          <w:tcPr>
            <w:tcW w:w="2943" w:type="dxa"/>
          </w:tcPr>
          <w:p w14:paraId="30FE0F19" w14:textId="2232CC87" w:rsidR="00A22105" w:rsidRPr="000F02B6" w:rsidRDefault="00A22105" w:rsidP="00D265A5">
            <w:pPr>
              <w:spacing w:before="110" w:after="110"/>
              <w:ind w:right="56"/>
            </w:pPr>
            <w:r w:rsidRPr="000F02B6">
              <w:t>Legislation</w:t>
            </w:r>
          </w:p>
        </w:tc>
        <w:tc>
          <w:tcPr>
            <w:tcW w:w="7147" w:type="dxa"/>
          </w:tcPr>
          <w:p w14:paraId="37C1E66A" w14:textId="77777777" w:rsidR="00A22105" w:rsidRPr="000F02B6" w:rsidRDefault="00A23C82" w:rsidP="00714C7C">
            <w:pPr>
              <w:spacing w:before="110" w:after="110"/>
              <w:ind w:left="66" w:right="56"/>
              <w:rPr>
                <w:shd w:val="clear" w:color="auto" w:fill="FFFFFF"/>
              </w:rPr>
            </w:pPr>
            <w:hyperlink r:id="rId26" w:history="1">
              <w:r w:rsidR="00A22105" w:rsidRPr="000F02B6">
                <w:rPr>
                  <w:rStyle w:val="Hyperlink"/>
                </w:rPr>
                <w:t>Australian Code for the Responsible Conduct of Research 2018</w:t>
              </w:r>
            </w:hyperlink>
            <w:r w:rsidR="00A22105" w:rsidRPr="000F02B6">
              <w:rPr>
                <w:shd w:val="clear" w:color="auto" w:fill="FFFFFF"/>
              </w:rPr>
              <w:t xml:space="preserve"> </w:t>
            </w:r>
          </w:p>
          <w:p w14:paraId="1D95EE8D" w14:textId="24B13A50" w:rsidR="00A22105" w:rsidRPr="000F02B6" w:rsidRDefault="00A23C82" w:rsidP="00714C7C">
            <w:pPr>
              <w:spacing w:before="110" w:after="110"/>
              <w:ind w:left="66" w:right="56"/>
              <w:rPr>
                <w:lang w:val="en-GB"/>
              </w:rPr>
            </w:pPr>
            <w:hyperlink r:id="rId27" w:history="1">
              <w:r w:rsidR="00A22105" w:rsidRPr="000F02B6">
                <w:rPr>
                  <w:rStyle w:val="Hyperlink"/>
                  <w:shd w:val="clear" w:color="auto" w:fill="FFFFFF"/>
                </w:rPr>
                <w:t>Higher Education Standards Framework (Threshold Standards) 2021</w:t>
              </w:r>
            </w:hyperlink>
          </w:p>
        </w:tc>
      </w:tr>
      <w:tr w:rsidR="00A22105" w:rsidRPr="000F02B6" w14:paraId="13D635BA" w14:textId="77777777" w:rsidTr="003A7E2B">
        <w:tc>
          <w:tcPr>
            <w:tcW w:w="2943" w:type="dxa"/>
            <w:tcBorders>
              <w:bottom w:val="single" w:sz="4" w:space="0" w:color="auto"/>
            </w:tcBorders>
          </w:tcPr>
          <w:p w14:paraId="7CB30007" w14:textId="274434BC" w:rsidR="00A22105" w:rsidRPr="000F02B6" w:rsidRDefault="00A22105" w:rsidP="00D265A5">
            <w:pPr>
              <w:spacing w:before="110" w:after="110"/>
              <w:ind w:right="56"/>
            </w:pPr>
            <w:r w:rsidRPr="000F02B6">
              <w:t>Policy</w:t>
            </w:r>
          </w:p>
        </w:tc>
        <w:tc>
          <w:tcPr>
            <w:tcW w:w="7147" w:type="dxa"/>
            <w:tcBorders>
              <w:bottom w:val="single" w:sz="4" w:space="0" w:color="auto"/>
            </w:tcBorders>
          </w:tcPr>
          <w:p w14:paraId="24A94D03" w14:textId="3575FA63" w:rsidR="00D372BD" w:rsidRDefault="00A23C82" w:rsidP="00714C7C">
            <w:pPr>
              <w:spacing w:before="110" w:after="110"/>
              <w:ind w:left="66" w:right="56"/>
            </w:pPr>
            <w:hyperlink r:id="rId28" w:history="1">
              <w:r w:rsidR="00D372BD" w:rsidRPr="00FC5517">
                <w:rPr>
                  <w:rStyle w:val="Hyperlink"/>
                </w:rPr>
                <w:t>Admission Policy</w:t>
              </w:r>
            </w:hyperlink>
          </w:p>
          <w:p w14:paraId="78A6BAE2" w14:textId="69F2DA30" w:rsidR="00181557" w:rsidRPr="000F02B6" w:rsidRDefault="00A23C82" w:rsidP="00714C7C">
            <w:pPr>
              <w:spacing w:before="110" w:after="110"/>
              <w:ind w:left="66" w:right="56"/>
              <w:rPr>
                <w:rStyle w:val="Hyperlink"/>
              </w:rPr>
            </w:pPr>
            <w:hyperlink r:id="rId29" w:history="1">
              <w:r w:rsidR="00181557" w:rsidRPr="000F02B6">
                <w:rPr>
                  <w:rStyle w:val="Hyperlink"/>
                </w:rPr>
                <w:t>Assessment Policy</w:t>
              </w:r>
            </w:hyperlink>
          </w:p>
          <w:p w14:paraId="2F5C5BDA" w14:textId="77777777" w:rsidR="00181557" w:rsidRPr="000F02B6" w:rsidRDefault="00A23C82" w:rsidP="00714C7C">
            <w:pPr>
              <w:spacing w:before="110" w:after="110"/>
              <w:ind w:left="66" w:right="56"/>
            </w:pPr>
            <w:hyperlink r:id="rId30" w:history="1">
              <w:r w:rsidR="00181557" w:rsidRPr="000F02B6">
                <w:rPr>
                  <w:rStyle w:val="Hyperlink"/>
                </w:rPr>
                <w:t>Higher Degree by Research Policy</w:t>
              </w:r>
            </w:hyperlink>
            <w:r w:rsidR="00181557" w:rsidRPr="000F02B6">
              <w:t xml:space="preserve"> </w:t>
            </w:r>
          </w:p>
          <w:p w14:paraId="053C7578" w14:textId="5FD65C2A" w:rsidR="00181557" w:rsidRPr="00C955DB" w:rsidRDefault="00C955DB" w:rsidP="00714C7C">
            <w:pPr>
              <w:spacing w:before="110" w:after="110"/>
              <w:ind w:left="66" w:right="56"/>
              <w:rPr>
                <w:rStyle w:val="Hyperlink"/>
              </w:rPr>
            </w:pPr>
            <w:r>
              <w:fldChar w:fldCharType="begin"/>
            </w:r>
            <w:r>
              <w:instrText>HYPERLINK "https://sharepointpubstor.blob.core.windows.net/policylibrary-prod/Responsible%20Conduct%20of%20Research%20Policy.pdf"</w:instrText>
            </w:r>
            <w:r>
              <w:fldChar w:fldCharType="separate"/>
            </w:r>
            <w:r w:rsidR="00181557" w:rsidRPr="00C955DB">
              <w:rPr>
                <w:rStyle w:val="Hyperlink"/>
              </w:rPr>
              <w:t>Responsible Conduct of Research Policy</w:t>
            </w:r>
          </w:p>
          <w:p w14:paraId="0B2DA98E" w14:textId="082ED809" w:rsidR="00181557" w:rsidRPr="000F02B6" w:rsidRDefault="00C955DB" w:rsidP="00714C7C">
            <w:pPr>
              <w:spacing w:before="110" w:after="110"/>
              <w:ind w:left="66" w:right="56"/>
            </w:pPr>
            <w:r>
              <w:fldChar w:fldCharType="end"/>
            </w:r>
            <w:hyperlink r:id="rId31" w:history="1">
              <w:r w:rsidR="00181557" w:rsidRPr="000F02B6">
                <w:rPr>
                  <w:rStyle w:val="Hyperlink"/>
                </w:rPr>
                <w:t>Student Charte</w:t>
              </w:r>
              <w:r w:rsidR="00DB221D">
                <w:rPr>
                  <w:rStyle w:val="Hyperlink"/>
                </w:rPr>
                <w:t>r Framework</w:t>
              </w:r>
            </w:hyperlink>
            <w:r w:rsidR="00181557" w:rsidRPr="000F02B6">
              <w:t xml:space="preserve"> </w:t>
            </w:r>
          </w:p>
          <w:p w14:paraId="4E1EB002" w14:textId="701B8997" w:rsidR="007C70B4" w:rsidRPr="000F02B6" w:rsidRDefault="00A23C82" w:rsidP="00714C7C">
            <w:pPr>
              <w:spacing w:before="110" w:after="110"/>
              <w:ind w:left="66" w:right="56"/>
              <w:rPr>
                <w:rStyle w:val="Hyperlink"/>
              </w:rPr>
            </w:pPr>
            <w:hyperlink r:id="rId32" w:history="1">
              <w:r w:rsidR="00181557" w:rsidRPr="000F02B6">
                <w:rPr>
                  <w:rStyle w:val="Hyperlink"/>
                </w:rPr>
                <w:t>Student Conduct, Wellbeing and Safety Policy</w:t>
              </w:r>
            </w:hyperlink>
          </w:p>
          <w:p w14:paraId="51A17F82" w14:textId="06F89936" w:rsidR="007C70B4" w:rsidRPr="000F02B6" w:rsidRDefault="00A23C82" w:rsidP="00714C7C">
            <w:pPr>
              <w:spacing w:before="110" w:after="110"/>
              <w:ind w:left="66" w:right="56"/>
              <w:rPr>
                <w:rStyle w:val="Hyperlink"/>
                <w:color w:val="auto"/>
              </w:rPr>
            </w:pPr>
            <w:hyperlink r:id="rId33" w:history="1">
              <w:r w:rsidR="007C70B4" w:rsidRPr="000F02B6">
                <w:rPr>
                  <w:rStyle w:val="Hyperlink"/>
                </w:rPr>
                <w:t>Student Critical Incident Management</w:t>
              </w:r>
            </w:hyperlink>
          </w:p>
          <w:p w14:paraId="7A1507B9" w14:textId="07CFE8B2" w:rsidR="00A22105" w:rsidRPr="000F02B6" w:rsidRDefault="00A23C82" w:rsidP="00714C7C">
            <w:pPr>
              <w:spacing w:before="110" w:after="110"/>
              <w:ind w:left="66" w:right="56"/>
              <w:rPr>
                <w:lang w:val="en-GB"/>
              </w:rPr>
            </w:pPr>
            <w:hyperlink r:id="rId34" w:history="1">
              <w:r w:rsidR="00181557" w:rsidRPr="000F02B6">
                <w:rPr>
                  <w:rStyle w:val="Hyperlink"/>
                </w:rPr>
                <w:t>Student Review and Appeals Policy</w:t>
              </w:r>
            </w:hyperlink>
          </w:p>
        </w:tc>
      </w:tr>
      <w:tr w:rsidR="00A22105" w:rsidRPr="000F02B6" w14:paraId="55329BCC" w14:textId="77777777" w:rsidTr="003A7E2B">
        <w:tc>
          <w:tcPr>
            <w:tcW w:w="2943" w:type="dxa"/>
            <w:tcBorders>
              <w:top w:val="single" w:sz="4" w:space="0" w:color="auto"/>
              <w:bottom w:val="single" w:sz="4" w:space="0" w:color="auto"/>
            </w:tcBorders>
          </w:tcPr>
          <w:p w14:paraId="1BD7DB3E" w14:textId="6F19250D" w:rsidR="00A22105" w:rsidRPr="000F02B6" w:rsidRDefault="00A22105" w:rsidP="00D265A5">
            <w:pPr>
              <w:spacing w:before="110" w:after="110"/>
              <w:ind w:right="56"/>
            </w:pPr>
            <w:r w:rsidRPr="000F02B6">
              <w:t>Procedure</w:t>
            </w:r>
          </w:p>
        </w:tc>
        <w:tc>
          <w:tcPr>
            <w:tcW w:w="7147" w:type="dxa"/>
            <w:tcBorders>
              <w:top w:val="single" w:sz="4" w:space="0" w:color="auto"/>
              <w:bottom w:val="single" w:sz="4" w:space="0" w:color="auto"/>
            </w:tcBorders>
          </w:tcPr>
          <w:p w14:paraId="3A04B39F" w14:textId="77777777" w:rsidR="00507B63" w:rsidRPr="000F02B6" w:rsidRDefault="00A23C82" w:rsidP="00714C7C">
            <w:pPr>
              <w:spacing w:before="110" w:after="110"/>
              <w:ind w:left="66" w:right="56"/>
            </w:pPr>
            <w:hyperlink r:id="rId35" w:history="1">
              <w:r w:rsidR="00507B63" w:rsidRPr="000F02B6">
                <w:rPr>
                  <w:rStyle w:val="Hyperlink"/>
                </w:rPr>
                <w:t>Academic Progress Procedures</w:t>
              </w:r>
            </w:hyperlink>
          </w:p>
          <w:p w14:paraId="616BAC48" w14:textId="77777777" w:rsidR="00507B63" w:rsidRPr="000F02B6" w:rsidRDefault="00507B63" w:rsidP="00714C7C">
            <w:pPr>
              <w:spacing w:before="110" w:after="110"/>
              <w:ind w:left="66" w:right="56"/>
              <w:rPr>
                <w:rStyle w:val="Hyperlink"/>
              </w:rPr>
            </w:pPr>
            <w:r w:rsidRPr="000F02B6">
              <w:fldChar w:fldCharType="begin"/>
            </w:r>
            <w:r w:rsidRPr="000F02B6">
              <w:instrText>HYPERLINK "https://sharepointpubstor.blob.core.windows.net/policylibrary-prod/Higher%20Degree%20by%20Research%20Academic%20Decisions%20Schedule.pdf"</w:instrText>
            </w:r>
            <w:r w:rsidRPr="000F02B6">
              <w:fldChar w:fldCharType="separate"/>
            </w:r>
            <w:r w:rsidRPr="000F02B6">
              <w:rPr>
                <w:rStyle w:val="Hyperlink"/>
              </w:rPr>
              <w:t>Higher Degree by Research Academic Decisions Schedule</w:t>
            </w:r>
          </w:p>
          <w:p w14:paraId="7ABD37F8" w14:textId="77777777" w:rsidR="00507B63" w:rsidRPr="000F02B6" w:rsidRDefault="00507B63" w:rsidP="00714C7C">
            <w:pPr>
              <w:spacing w:before="110" w:after="110"/>
              <w:ind w:left="66" w:right="56"/>
            </w:pPr>
            <w:r w:rsidRPr="000F02B6">
              <w:fldChar w:fldCharType="end"/>
            </w:r>
            <w:hyperlink r:id="rId36" w:history="1">
              <w:r w:rsidRPr="000F02B6">
                <w:rPr>
                  <w:rStyle w:val="Hyperlink"/>
                </w:rPr>
                <w:t>Higher Degree by Research Academic Progress Procedure</w:t>
              </w:r>
            </w:hyperlink>
            <w:r w:rsidRPr="000F02B6">
              <w:t xml:space="preserve"> </w:t>
            </w:r>
          </w:p>
          <w:p w14:paraId="481921ED" w14:textId="77777777" w:rsidR="00507B63" w:rsidRPr="000F02B6" w:rsidRDefault="00A23C82" w:rsidP="00714C7C">
            <w:pPr>
              <w:spacing w:before="110" w:after="110"/>
              <w:ind w:left="66" w:right="56"/>
            </w:pPr>
            <w:hyperlink r:id="rId37" w:history="1">
              <w:r w:rsidR="00507B63" w:rsidRPr="000F02B6">
                <w:rPr>
                  <w:rStyle w:val="Hyperlink"/>
                </w:rPr>
                <w:t>Research Integrity Breach Investigation Procedure</w:t>
              </w:r>
            </w:hyperlink>
          </w:p>
          <w:p w14:paraId="5CD894D8" w14:textId="49500A55" w:rsidR="00271E27" w:rsidRPr="000F02B6" w:rsidRDefault="00A23C82" w:rsidP="00714C7C">
            <w:pPr>
              <w:spacing w:before="110" w:after="110"/>
              <w:ind w:left="66" w:right="56"/>
            </w:pPr>
            <w:hyperlink r:id="rId38" w:history="1">
              <w:r w:rsidR="00271E27" w:rsidRPr="006A2EDE">
                <w:rPr>
                  <w:rStyle w:val="Hyperlink"/>
                </w:rPr>
                <w:t>Student Breaches of Academic Integrity Procedure</w:t>
              </w:r>
            </w:hyperlink>
          </w:p>
          <w:p w14:paraId="6F751434" w14:textId="36145410" w:rsidR="00507B63" w:rsidRPr="000F02B6" w:rsidRDefault="00A23C82" w:rsidP="00714C7C">
            <w:pPr>
              <w:spacing w:before="110" w:after="110"/>
              <w:ind w:left="66" w:right="56"/>
            </w:pPr>
            <w:hyperlink r:id="rId39" w:history="1">
              <w:r w:rsidR="00507B63" w:rsidRPr="00E41208">
                <w:rPr>
                  <w:rStyle w:val="Hyperlink"/>
                </w:rPr>
                <w:t>Student General Conduct Procedure</w:t>
              </w:r>
            </w:hyperlink>
          </w:p>
          <w:p w14:paraId="4302959E" w14:textId="75014011" w:rsidR="00A22105" w:rsidRPr="000F02B6" w:rsidRDefault="00A23C82" w:rsidP="00714C7C">
            <w:pPr>
              <w:spacing w:before="110" w:after="110"/>
              <w:ind w:left="66" w:right="56"/>
              <w:rPr>
                <w:lang w:val="en-GB"/>
              </w:rPr>
            </w:pPr>
            <w:hyperlink r:id="rId40" w:history="1">
              <w:r w:rsidR="00507B63" w:rsidRPr="000F02B6">
                <w:rPr>
                  <w:rStyle w:val="Hyperlink"/>
                </w:rPr>
                <w:t>Student Review and Appeals Procedure</w:t>
              </w:r>
            </w:hyperlink>
          </w:p>
        </w:tc>
      </w:tr>
      <w:tr w:rsidR="00A33A27" w:rsidRPr="000F02B6" w14:paraId="067CC1D5" w14:textId="77777777" w:rsidTr="003A7E2B">
        <w:tblPrEx>
          <w:tblBorders>
            <w:top w:val="single" w:sz="4" w:space="0" w:color="auto"/>
            <w:left w:val="single" w:sz="4" w:space="0" w:color="auto"/>
            <w:right w:val="single" w:sz="4" w:space="0" w:color="auto"/>
            <w:insideV w:val="single" w:sz="4" w:space="0" w:color="auto"/>
          </w:tblBorders>
          <w:tblCellMar>
            <w:top w:w="0" w:type="dxa"/>
            <w:left w:w="108" w:type="dxa"/>
            <w:bottom w:w="0" w:type="dxa"/>
            <w:right w:w="108" w:type="dxa"/>
          </w:tblCellMar>
        </w:tblPrEx>
        <w:tc>
          <w:tcPr>
            <w:tcW w:w="2943" w:type="dxa"/>
            <w:tcBorders>
              <w:top w:val="single" w:sz="4" w:space="0" w:color="auto"/>
              <w:left w:val="nil"/>
              <w:bottom w:val="single" w:sz="4" w:space="0" w:color="auto"/>
              <w:right w:val="nil"/>
            </w:tcBorders>
          </w:tcPr>
          <w:p w14:paraId="7DC52CC9" w14:textId="77777777" w:rsidR="00A33A27" w:rsidRPr="000F02B6" w:rsidRDefault="00A33A27" w:rsidP="00D265A5">
            <w:pPr>
              <w:spacing w:before="110" w:after="110"/>
              <w:ind w:right="56"/>
            </w:pPr>
            <w:r w:rsidRPr="000F02B6">
              <w:t>Local Protocol</w:t>
            </w:r>
          </w:p>
        </w:tc>
        <w:tc>
          <w:tcPr>
            <w:tcW w:w="7147" w:type="dxa"/>
            <w:tcBorders>
              <w:top w:val="single" w:sz="4" w:space="0" w:color="auto"/>
              <w:left w:val="nil"/>
              <w:bottom w:val="single" w:sz="4" w:space="0" w:color="auto"/>
              <w:right w:val="nil"/>
            </w:tcBorders>
          </w:tcPr>
          <w:p w14:paraId="105420D8" w14:textId="77777777" w:rsidR="00A33A27" w:rsidRPr="000F02B6" w:rsidRDefault="00A23C82" w:rsidP="003A3B86">
            <w:pPr>
              <w:spacing w:before="110" w:after="110"/>
              <w:ind w:right="56"/>
            </w:pPr>
            <w:hyperlink r:id="rId41" w:tgtFrame="_blank" w:history="1">
              <w:r w:rsidR="00A33A27" w:rsidRPr="000F02B6">
                <w:rPr>
                  <w:rStyle w:val="Hyperlink"/>
                  <w:lang w:eastAsia="en-GB"/>
                </w:rPr>
                <w:t>Student Academic Integrity Management System</w:t>
              </w:r>
            </w:hyperlink>
          </w:p>
        </w:tc>
      </w:tr>
    </w:tbl>
    <w:p w14:paraId="298A2696" w14:textId="5BC87CC7" w:rsidR="00AF5791" w:rsidRPr="000F02B6" w:rsidRDefault="00AF5791" w:rsidP="00F14286">
      <w:pPr>
        <w:spacing w:before="100" w:after="100"/>
        <w:ind w:right="56"/>
        <w:rPr>
          <w:sz w:val="20"/>
          <w:szCs w:val="24"/>
        </w:rPr>
      </w:pPr>
    </w:p>
    <w:sectPr w:rsidR="00AF5791" w:rsidRPr="000F02B6" w:rsidSect="00812FB8">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4C39" w14:textId="77777777" w:rsidR="00812FB8" w:rsidRDefault="00812FB8" w:rsidP="00575CC3">
      <w:pPr>
        <w:spacing w:after="0"/>
      </w:pPr>
      <w:r>
        <w:separator/>
      </w:r>
    </w:p>
  </w:endnote>
  <w:endnote w:type="continuationSeparator" w:id="0">
    <w:p w14:paraId="7ACCB8D0" w14:textId="77777777" w:rsidR="00812FB8" w:rsidRDefault="00812FB8" w:rsidP="00575CC3">
      <w:pPr>
        <w:spacing w:after="0"/>
      </w:pPr>
      <w:r>
        <w:continuationSeparator/>
      </w:r>
    </w:p>
  </w:endnote>
  <w:endnote w:type="continuationNotice" w:id="1">
    <w:p w14:paraId="6048DB38" w14:textId="77777777" w:rsidR="00812FB8" w:rsidRDefault="00812F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Display">
    <w:panose1 w:val="00000000000000000000"/>
    <w:charset w:val="00"/>
    <w:family w:val="modern"/>
    <w:notTrueType/>
    <w:pitch w:val="variable"/>
    <w:sig w:usb0="A00000AF" w:usb1="0000305B" w:usb2="00000000" w:usb3="00000000" w:csb0="00000093"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335DD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335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674787"/>
      <w:docPartObj>
        <w:docPartGallery w:val="Page Numbers (Bottom of Page)"/>
        <w:docPartUnique/>
      </w:docPartObj>
    </w:sdtPr>
    <w:sdtEndPr>
      <w:rPr>
        <w:noProof/>
      </w:rPr>
    </w:sdtEndPr>
    <w:sdtContent>
      <w:p w14:paraId="63A4AF4E" w14:textId="250F32B4" w:rsidR="00351163" w:rsidRPr="00335DDB" w:rsidRDefault="00351163" w:rsidP="00335DDB">
        <w:pPr>
          <w:pStyle w:val="Footer"/>
        </w:pPr>
        <w:r w:rsidRPr="00335DDB">
          <w:fldChar w:fldCharType="begin"/>
        </w:r>
        <w:r w:rsidRPr="00335DDB">
          <w:instrText xml:space="preserve"> PAGE   \* MERGEFORMAT </w:instrText>
        </w:r>
        <w:r w:rsidRPr="00335DDB">
          <w:fldChar w:fldCharType="separate"/>
        </w:r>
        <w:r w:rsidRPr="00335DDB">
          <w:rPr>
            <w:noProof/>
          </w:rPr>
          <w:t>2</w:t>
        </w:r>
        <w:r w:rsidRPr="00335DDB">
          <w:rPr>
            <w:noProof/>
          </w:rPr>
          <w:fldChar w:fldCharType="end"/>
        </w:r>
      </w:p>
    </w:sdtContent>
  </w:sdt>
  <w:p w14:paraId="3D2D2A48" w14:textId="77777777" w:rsidR="007C70B4" w:rsidRPr="009C1A72" w:rsidRDefault="007C70B4" w:rsidP="00335DDB">
    <w:pPr>
      <w:pStyle w:val="Footer"/>
    </w:pPr>
    <w:r w:rsidRPr="009C1A72">
      <w:t>Staff Direction: Identifying and Preventing Breaches of Academic Integrity</w:t>
    </w:r>
    <w:r>
      <w:t xml:space="preserve"> Guidelines</w:t>
    </w:r>
    <w:r w:rsidRPr="009C1A72">
      <w:t xml:space="preserve"> | </w:t>
    </w:r>
    <w:r>
      <w:t>December 2023</w:t>
    </w:r>
  </w:p>
  <w:p w14:paraId="08BBD717" w14:textId="5590DA70" w:rsidR="007C70B4" w:rsidRPr="009C1A72" w:rsidRDefault="007C70B4" w:rsidP="00335DDB">
    <w:pPr>
      <w:pStyle w:val="Footer"/>
    </w:pPr>
    <w:r w:rsidRPr="009C1A72">
      <w:t xml:space="preserve">Document number: </w:t>
    </w:r>
    <w:r>
      <w:t>2023/0000501</w:t>
    </w:r>
  </w:p>
  <w:p w14:paraId="008E73BC" w14:textId="7C00FBE6" w:rsidR="00575CC3" w:rsidRPr="00351163" w:rsidRDefault="00351163" w:rsidP="00335DDB">
    <w:pPr>
      <w:pStyle w:val="Footer"/>
    </w:pPr>
    <w:r w:rsidRPr="009C1A72">
      <w:rPr>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39BAF18F" w:rsidR="00E77B43" w:rsidRPr="00335DDB" w:rsidRDefault="00317C5E" w:rsidP="00E77B43">
    <w:pPr>
      <w:spacing w:after="0"/>
      <w:jc w:val="right"/>
      <w:rPr>
        <w:color w:val="70787B"/>
        <w:sz w:val="18"/>
        <w:szCs w:val="18"/>
      </w:rPr>
    </w:pPr>
    <w:r w:rsidRPr="00335DDB">
      <w:rPr>
        <w:color w:val="70787B"/>
        <w:sz w:val="18"/>
        <w:szCs w:val="18"/>
      </w:rPr>
      <w:fldChar w:fldCharType="begin"/>
    </w:r>
    <w:r w:rsidRPr="00335DDB">
      <w:rPr>
        <w:color w:val="70787B"/>
        <w:sz w:val="18"/>
        <w:szCs w:val="18"/>
      </w:rPr>
      <w:instrText xml:space="preserve"> PAGE   \* MERGEFORMAT </w:instrText>
    </w:r>
    <w:r w:rsidRPr="00335DDB">
      <w:rPr>
        <w:color w:val="70787B"/>
        <w:sz w:val="18"/>
        <w:szCs w:val="18"/>
      </w:rPr>
      <w:fldChar w:fldCharType="separate"/>
    </w:r>
    <w:r w:rsidRPr="00335DDB">
      <w:rPr>
        <w:noProof/>
        <w:color w:val="70787B"/>
        <w:sz w:val="18"/>
        <w:szCs w:val="18"/>
      </w:rPr>
      <w:t>1</w:t>
    </w:r>
    <w:r w:rsidRPr="00335DDB">
      <w:rPr>
        <w:noProof/>
        <w:color w:val="70787B"/>
        <w:sz w:val="18"/>
        <w:szCs w:val="18"/>
      </w:rPr>
      <w:fldChar w:fldCharType="end"/>
    </w:r>
  </w:p>
  <w:p w14:paraId="276507F4" w14:textId="0A984CD4" w:rsidR="00E77B43" w:rsidRPr="009C1A72" w:rsidRDefault="00103DE9" w:rsidP="00335DDB">
    <w:pPr>
      <w:pStyle w:val="Footer"/>
    </w:pPr>
    <w:r w:rsidRPr="009C1A72">
      <w:t>Staff Direction: Identifying and Preventing Breaches of Academic Integrity</w:t>
    </w:r>
    <w:r w:rsidR="007C70B4">
      <w:t xml:space="preserve"> Guidelines</w:t>
    </w:r>
    <w:r w:rsidR="00E77B43" w:rsidRPr="009C1A72">
      <w:t xml:space="preserve"> | </w:t>
    </w:r>
    <w:r w:rsidR="007C70B4">
      <w:t>December 2023</w:t>
    </w:r>
  </w:p>
  <w:p w14:paraId="69EED422" w14:textId="7639EABF" w:rsidR="00E77B43" w:rsidRPr="009C1A72" w:rsidRDefault="00726EBB" w:rsidP="00335DDB">
    <w:pPr>
      <w:pStyle w:val="Footer"/>
    </w:pPr>
    <w:r w:rsidRPr="009C1A72">
      <w:rPr>
        <w:rFonts w:asciiTheme="minorHAnsi" w:hAnsiTheme="minorHAnsi" w:cstheme="minorHAnsi"/>
        <w:noProof/>
        <w:color w:val="70787B"/>
      </w:rPr>
      <mc:AlternateContent>
        <mc:Choice Requires="wpg">
          <w:drawing>
            <wp:anchor distT="0" distB="0" distL="114300" distR="114300" simplePos="0" relativeHeight="251658240" behindDoc="1" locked="0" layoutInCell="1" allowOverlap="1" wp14:anchorId="3EA897D7" wp14:editId="5C95037F">
              <wp:simplePos x="0" y="0"/>
              <wp:positionH relativeFrom="page">
                <wp:align>left</wp:align>
              </wp:positionH>
              <wp:positionV relativeFrom="page">
                <wp:align>bottom</wp:align>
              </wp:positionV>
              <wp:extent cx="3564000" cy="3564000"/>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4000" cy="3564000"/>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BEEF85" id="Group 3" o:spid="_x0000_s1026" alt="&quot;&quot;" style="position:absolute;margin-left:0;margin-top:0;width:280.65pt;height:280.65pt;z-index:-251658240;mso-position-horizontal:left;mso-position-horizontal-relative:page;mso-position-vertical:bottom;mso-position-vertic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anchory="page"/>
            </v:group>
          </w:pict>
        </mc:Fallback>
      </mc:AlternateContent>
    </w:r>
    <w:r w:rsidR="00E77B43" w:rsidRPr="009C1A72">
      <w:t xml:space="preserve">Document number: </w:t>
    </w:r>
    <w:r w:rsidR="007C70B4">
      <w:t>2023/0000501</w:t>
    </w:r>
  </w:p>
  <w:p w14:paraId="3471DC75" w14:textId="3E763531" w:rsidR="00E77B43" w:rsidRDefault="00E77B43" w:rsidP="00335DDB">
    <w:pPr>
      <w:pStyle w:val="Footer"/>
    </w:pPr>
    <w:r w:rsidRPr="009C1A72">
      <w:rPr>
        <w:shd w:val="clear" w:color="auto" w:fill="FFFFFF"/>
        <w:lang w:eastAsia="en-GB"/>
      </w:rPr>
      <w:t>Griffith University - CRICOS Provider Number 00233E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52CB" w14:textId="77777777" w:rsidR="0062375A" w:rsidRPr="00335DDB" w:rsidRDefault="0062375A" w:rsidP="00E77B43">
    <w:pPr>
      <w:spacing w:after="0"/>
      <w:jc w:val="right"/>
      <w:rPr>
        <w:color w:val="70787B"/>
        <w:sz w:val="18"/>
        <w:szCs w:val="18"/>
      </w:rPr>
    </w:pPr>
    <w:r w:rsidRPr="00335DDB">
      <w:rPr>
        <w:color w:val="70787B"/>
        <w:sz w:val="18"/>
        <w:szCs w:val="18"/>
      </w:rPr>
      <w:fldChar w:fldCharType="begin"/>
    </w:r>
    <w:r w:rsidRPr="00335DDB">
      <w:rPr>
        <w:color w:val="70787B"/>
        <w:sz w:val="18"/>
        <w:szCs w:val="18"/>
      </w:rPr>
      <w:instrText xml:space="preserve"> PAGE   \* MERGEFORMAT </w:instrText>
    </w:r>
    <w:r w:rsidRPr="00335DDB">
      <w:rPr>
        <w:color w:val="70787B"/>
        <w:sz w:val="18"/>
        <w:szCs w:val="18"/>
      </w:rPr>
      <w:fldChar w:fldCharType="separate"/>
    </w:r>
    <w:r w:rsidRPr="00335DDB">
      <w:rPr>
        <w:noProof/>
        <w:color w:val="70787B"/>
        <w:sz w:val="18"/>
        <w:szCs w:val="18"/>
      </w:rPr>
      <w:t>1</w:t>
    </w:r>
    <w:r w:rsidRPr="00335DDB">
      <w:rPr>
        <w:noProof/>
        <w:color w:val="70787B"/>
        <w:sz w:val="18"/>
        <w:szCs w:val="18"/>
      </w:rPr>
      <w:fldChar w:fldCharType="end"/>
    </w:r>
  </w:p>
  <w:p w14:paraId="240BF13E" w14:textId="6335E966" w:rsidR="0062375A" w:rsidRPr="00B6474F" w:rsidRDefault="0062375A" w:rsidP="00335DDB">
    <w:pPr>
      <w:pStyle w:val="Footer"/>
    </w:pPr>
    <w:r w:rsidRPr="00B6474F">
      <w:t xml:space="preserve">Staff Direction: Identifying and Preventing Breaches of Academic Integrity | </w:t>
    </w:r>
    <w:r w:rsidR="007C70B4">
      <w:t>December 2023</w:t>
    </w:r>
  </w:p>
  <w:p w14:paraId="7932938A" w14:textId="3F2EBEBF" w:rsidR="0062375A" w:rsidRPr="00B6474F" w:rsidRDefault="0062375A" w:rsidP="00335DDB">
    <w:pPr>
      <w:pStyle w:val="Footer"/>
    </w:pPr>
    <w:r w:rsidRPr="00B6474F">
      <w:t xml:space="preserve">Document number: </w:t>
    </w:r>
    <w:r w:rsidR="007C70B4">
      <w:t>2023/0000501</w:t>
    </w:r>
  </w:p>
  <w:p w14:paraId="245301EE" w14:textId="77777777" w:rsidR="0062375A" w:rsidRDefault="0062375A" w:rsidP="00335DDB">
    <w:pPr>
      <w:pStyle w:val="Footer"/>
    </w:pPr>
    <w:r w:rsidRPr="00B6474F">
      <w:rPr>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F5E1" w14:textId="77777777" w:rsidR="00812FB8" w:rsidRDefault="00812FB8" w:rsidP="00575CC3">
      <w:pPr>
        <w:spacing w:after="0"/>
      </w:pPr>
      <w:r>
        <w:separator/>
      </w:r>
    </w:p>
  </w:footnote>
  <w:footnote w:type="continuationSeparator" w:id="0">
    <w:p w14:paraId="42C181EB" w14:textId="77777777" w:rsidR="00812FB8" w:rsidRDefault="00812FB8" w:rsidP="00575CC3">
      <w:pPr>
        <w:spacing w:after="0"/>
      </w:pPr>
      <w:r>
        <w:continuationSeparator/>
      </w:r>
    </w:p>
  </w:footnote>
  <w:footnote w:type="continuationNotice" w:id="1">
    <w:p w14:paraId="2589A4C7" w14:textId="77777777" w:rsidR="00812FB8" w:rsidRDefault="00812F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79ABE" w14:textId="77777777" w:rsidR="00714C7C" w:rsidRDefault="00714C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963253">
    <w:pPr>
      <w:pStyle w:val="Heading1"/>
      <w:numPr>
        <w:ilvl w:val="0"/>
        <w:numId w:val="0"/>
      </w:numPr>
      <w:ind w:left="360" w:hanging="360"/>
    </w:pPr>
    <w:r>
      <w:rPr>
        <w:noProof/>
      </w:rPr>
      <w:drawing>
        <wp:anchor distT="0" distB="0" distL="114300" distR="114300" simplePos="0" relativeHeight="251658241" behindDoc="1" locked="0" layoutInCell="1" allowOverlap="1" wp14:anchorId="6F97AE15" wp14:editId="7A6503C8">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399068952" name="Picture 13990689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18E881F4" w:rsidR="00E77B43" w:rsidRPr="000F02B6" w:rsidRDefault="00271E27" w:rsidP="00F252F4">
    <w:pPr>
      <w:pStyle w:val="Header"/>
      <w:rPr>
        <w:rFonts w:ascii="Arial" w:hAnsi="Arial"/>
        <w:b w:val="0"/>
        <w:bCs w:val="0"/>
      </w:rPr>
    </w:pPr>
    <w:r w:rsidRPr="000F02B6">
      <w:rPr>
        <w:rFonts w:ascii="Arial" w:hAnsi="Arial"/>
        <w:b w:val="0"/>
        <w:bCs w:val="0"/>
        <w:color w:val="E51F30"/>
      </w:rPr>
      <mc:AlternateContent>
        <mc:Choice Requires="wps">
          <w:drawing>
            <wp:anchor distT="0" distB="0" distL="114300" distR="114300" simplePos="0" relativeHeight="251658244" behindDoc="1" locked="0" layoutInCell="1" allowOverlap="1" wp14:anchorId="2ACE3280" wp14:editId="1315D3DE">
              <wp:simplePos x="0" y="0"/>
              <wp:positionH relativeFrom="column">
                <wp:posOffset>3028950</wp:posOffset>
              </wp:positionH>
              <wp:positionV relativeFrom="page">
                <wp:posOffset>-559435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3C5A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8.5pt;margin-top:-44.05pt;width:450.35pt;height:220.55pt;rotation:180;z-index:-2516582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" fillcolor="#f2f2f2 [3052]" stroked="f" strokeweight="2pt">
              <w10:wrap anchory="page"/>
            </v:shape>
          </w:pict>
        </mc:Fallback>
      </mc:AlternateContent>
    </w:r>
    <w:r w:rsidR="00564C6D" w:rsidRPr="000F02B6">
      <w:rPr>
        <w:rFonts w:ascii="Arial" w:hAnsi="Arial"/>
        <w:color w:val="E51F30"/>
      </w:rPr>
      <w:t>Guidelines</w:t>
    </w:r>
    <w:r w:rsidRPr="000F02B6">
      <w:rPr>
        <w:rFonts w:ascii="Arial" w:hAnsi="Arial"/>
        <w:color w:val="E51F30"/>
        <w:sz w:val="22"/>
        <w:szCs w:val="22"/>
      </w:rPr>
      <w:br/>
    </w:r>
    <w:r w:rsidRPr="000F02B6">
      <w:rPr>
        <w:rFonts w:ascii="Arial" w:hAnsi="Arial"/>
        <w:color w:val="E51F30"/>
        <w:sz w:val="22"/>
        <w:szCs w:val="22"/>
      </w:rPr>
      <w:br/>
    </w:r>
    <w:r w:rsidRPr="000F02B6">
      <w:rPr>
        <w:rFonts w:ascii="Arial" w:hAnsi="Arial"/>
        <w:color w:val="E51F30"/>
        <w:sz w:val="22"/>
        <w:szCs w:val="22"/>
        <w:u w:val="single"/>
      </w:rPr>
      <w:t>NOTE</w:t>
    </w:r>
    <w:r w:rsidRPr="000F02B6">
      <w:rPr>
        <w:rFonts w:ascii="Arial" w:hAnsi="Arial"/>
        <w:color w:val="E51F30"/>
        <w:sz w:val="22"/>
        <w:szCs w:val="22"/>
      </w:rPr>
      <w:t>:  Effective from Trimester 1 2024</w:t>
    </w:r>
    <w:r w:rsidR="00751170" w:rsidRPr="000F02B6">
      <w:rPr>
        <w:rFonts w:ascii="Arial" w:hAnsi="Arial"/>
        <w:b w:val="0"/>
        <w:bCs w:val="0"/>
        <w:color w:val="E51F30"/>
      </w:rPr>
      <w:drawing>
        <wp:anchor distT="0" distB="0" distL="114300" distR="114300" simplePos="0" relativeHeight="251658242" behindDoc="1" locked="0" layoutInCell="1" allowOverlap="1" wp14:anchorId="0093D322" wp14:editId="3A02B02C">
          <wp:simplePos x="0" y="0"/>
          <wp:positionH relativeFrom="margin">
            <wp:align>left</wp:align>
          </wp:positionH>
          <wp:positionV relativeFrom="page">
            <wp:posOffset>408940</wp:posOffset>
          </wp:positionV>
          <wp:extent cx="2047875" cy="504825"/>
          <wp:effectExtent l="0" t="0" r="9525" b="0"/>
          <wp:wrapTight wrapText="bothSides">
            <wp:wrapPolygon edited="0">
              <wp:start x="0" y="0"/>
              <wp:lineTo x="0" y="20377"/>
              <wp:lineTo x="21500" y="20377"/>
              <wp:lineTo x="21500" y="0"/>
              <wp:lineTo x="0" y="0"/>
            </wp:wrapPolygon>
          </wp:wrapTight>
          <wp:docPr id="690845797" name="Picture 6908457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058"/>
                  <a:stretch/>
                </pic:blipFill>
                <pic:spPr bwMode="auto">
                  <a:xfrm>
                    <a:off x="0" y="0"/>
                    <a:ext cx="204787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B227" w14:textId="77777777" w:rsidR="00646817" w:rsidRPr="00DC51EA" w:rsidRDefault="00646817" w:rsidP="00F252F4">
    <w:pPr>
      <w:pStyle w:val="Header"/>
      <w:rPr>
        <w:b w:val="0"/>
        <w:bCs w:val="0"/>
      </w:rPr>
    </w:pPr>
    <w:r w:rsidRPr="00DC51EA">
      <w:rPr>
        <w:b w:val="0"/>
        <w:bCs w:val="0"/>
        <w:color w:val="E51F30"/>
      </w:rPr>
      <w:drawing>
        <wp:anchor distT="0" distB="0" distL="114300" distR="114300" simplePos="0" relativeHeight="251658243" behindDoc="1" locked="0" layoutInCell="1" allowOverlap="1" wp14:anchorId="46B7D46B" wp14:editId="155CE36B">
          <wp:simplePos x="0" y="0"/>
          <wp:positionH relativeFrom="margin">
            <wp:align>left</wp:align>
          </wp:positionH>
          <wp:positionV relativeFrom="page">
            <wp:posOffset>408940</wp:posOffset>
          </wp:positionV>
          <wp:extent cx="2047875" cy="504825"/>
          <wp:effectExtent l="0" t="0" r="9525" b="0"/>
          <wp:wrapTight wrapText="bothSides">
            <wp:wrapPolygon edited="0">
              <wp:start x="0" y="0"/>
              <wp:lineTo x="0" y="20377"/>
              <wp:lineTo x="21500" y="20377"/>
              <wp:lineTo x="21500" y="0"/>
              <wp:lineTo x="0" y="0"/>
            </wp:wrapPolygon>
          </wp:wrapTight>
          <wp:docPr id="928171060" name="Picture 9281710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058"/>
                  <a:stretch/>
                </pic:blipFill>
                <pic:spPr bwMode="auto">
                  <a:xfrm>
                    <a:off x="0" y="0"/>
                    <a:ext cx="2047875" cy="504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3F8"/>
    <w:multiLevelType w:val="hybridMultilevel"/>
    <w:tmpl w:val="C4F20EA0"/>
    <w:lvl w:ilvl="0" w:tplc="0C090001">
      <w:start w:val="1"/>
      <w:numFmt w:val="bullet"/>
      <w:lvlText w:val=""/>
      <w:lvlJc w:val="left"/>
      <w:pPr>
        <w:ind w:left="363" w:hanging="360"/>
      </w:pPr>
      <w:rPr>
        <w:rFonts w:ascii="Symbol" w:hAnsi="Symbol" w:hint="default"/>
        <w:color w:val="E30918"/>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EB10C4"/>
    <w:multiLevelType w:val="hybridMultilevel"/>
    <w:tmpl w:val="E974CD78"/>
    <w:lvl w:ilvl="0" w:tplc="4320B850">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B6144AC"/>
    <w:multiLevelType w:val="hybridMultilevel"/>
    <w:tmpl w:val="2D5EE732"/>
    <w:lvl w:ilvl="0" w:tplc="1AB4EC92">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4" w15:restartNumberingAfterBreak="0">
    <w:nsid w:val="0B7B272A"/>
    <w:multiLevelType w:val="multilevel"/>
    <w:tmpl w:val="264A5BDC"/>
    <w:lvl w:ilvl="0">
      <w:start w:val="3"/>
      <w:numFmt w:val="decimal"/>
      <w:lvlText w:val="%1"/>
      <w:lvlJc w:val="left"/>
      <w:pPr>
        <w:ind w:left="360" w:hanging="360"/>
      </w:pPr>
      <w:rPr>
        <w:rFonts w:hint="default"/>
      </w:rPr>
    </w:lvl>
    <w:lvl w:ilvl="1">
      <w:start w:val="1"/>
      <w:numFmt w:val="decimal"/>
      <w:pStyle w:val="Heading2"/>
      <w:suff w:val="space"/>
      <w:lvlText w:val="%1.%2"/>
      <w:lvlJc w:val="left"/>
      <w:pPr>
        <w:ind w:left="7525" w:hanging="720"/>
      </w:pPr>
      <w:rPr>
        <w:rFonts w:hint="default"/>
      </w:rPr>
    </w:lvl>
    <w:lvl w:ilvl="2">
      <w:start w:val="1"/>
      <w:numFmt w:val="decimal"/>
      <w:lvlText w:val="%1.%2.%3"/>
      <w:lvlJc w:val="left"/>
      <w:pPr>
        <w:ind w:left="14690" w:hanging="1080"/>
      </w:pPr>
      <w:rPr>
        <w:rFonts w:hint="default"/>
      </w:rPr>
    </w:lvl>
    <w:lvl w:ilvl="3">
      <w:start w:val="1"/>
      <w:numFmt w:val="decimal"/>
      <w:lvlText w:val="%1.%2.%3.%4"/>
      <w:lvlJc w:val="left"/>
      <w:pPr>
        <w:ind w:left="21495" w:hanging="1080"/>
      </w:pPr>
      <w:rPr>
        <w:rFonts w:hint="default"/>
      </w:rPr>
    </w:lvl>
    <w:lvl w:ilvl="4">
      <w:start w:val="1"/>
      <w:numFmt w:val="decimal"/>
      <w:lvlText w:val="%1.%2.%3.%4.%5"/>
      <w:lvlJc w:val="left"/>
      <w:pPr>
        <w:ind w:left="28660" w:hanging="1440"/>
      </w:pPr>
      <w:rPr>
        <w:rFonts w:hint="default"/>
      </w:rPr>
    </w:lvl>
    <w:lvl w:ilvl="5">
      <w:start w:val="1"/>
      <w:numFmt w:val="decimal"/>
      <w:lvlText w:val="%1.%2.%3.%4.%5.%6"/>
      <w:lvlJc w:val="left"/>
      <w:pPr>
        <w:ind w:left="-29711" w:hanging="1800"/>
      </w:pPr>
      <w:rPr>
        <w:rFonts w:hint="default"/>
      </w:rPr>
    </w:lvl>
    <w:lvl w:ilvl="6">
      <w:start w:val="1"/>
      <w:numFmt w:val="decimal"/>
      <w:lvlText w:val="%1.%2.%3.%4.%5.%6.%7"/>
      <w:lvlJc w:val="left"/>
      <w:pPr>
        <w:ind w:left="-22546" w:hanging="2160"/>
      </w:pPr>
      <w:rPr>
        <w:rFonts w:hint="default"/>
      </w:rPr>
    </w:lvl>
    <w:lvl w:ilvl="7">
      <w:start w:val="1"/>
      <w:numFmt w:val="decimal"/>
      <w:lvlText w:val="%1.%2.%3.%4.%5.%6.%7.%8"/>
      <w:lvlJc w:val="left"/>
      <w:pPr>
        <w:ind w:left="-15741" w:hanging="2160"/>
      </w:pPr>
      <w:rPr>
        <w:rFonts w:hint="default"/>
      </w:rPr>
    </w:lvl>
    <w:lvl w:ilvl="8">
      <w:start w:val="1"/>
      <w:numFmt w:val="decimal"/>
      <w:lvlText w:val="%1.%2.%3.%4.%5.%6.%7.%8.%9"/>
      <w:lvlJc w:val="left"/>
      <w:pPr>
        <w:ind w:left="-8576" w:hanging="2520"/>
      </w:pPr>
      <w:rPr>
        <w:rFonts w:hint="default"/>
      </w:rPr>
    </w:lvl>
  </w:abstractNum>
  <w:abstractNum w:abstractNumId="5" w15:restartNumberingAfterBreak="0">
    <w:nsid w:val="0E754243"/>
    <w:multiLevelType w:val="hybridMultilevel"/>
    <w:tmpl w:val="EBF22FF6"/>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FEA47FF"/>
    <w:multiLevelType w:val="hybridMultilevel"/>
    <w:tmpl w:val="7F100B66"/>
    <w:lvl w:ilvl="0" w:tplc="86FAC7DE">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8F34730"/>
    <w:multiLevelType w:val="hybridMultilevel"/>
    <w:tmpl w:val="E7100320"/>
    <w:lvl w:ilvl="0" w:tplc="20F6C30A">
      <w:start w:val="1"/>
      <w:numFmt w:val="bullet"/>
      <w:pStyle w:val="H1BulletPoints"/>
      <w:lvlText w:val=""/>
      <w:lvlJc w:val="left"/>
      <w:pPr>
        <w:ind w:left="644" w:hanging="360"/>
      </w:pPr>
      <w:rPr>
        <w:rFonts w:ascii="Symbol" w:hAnsi="Symbol" w:hint="default"/>
        <w:color w:val="E30918"/>
        <w:sz w:val="22"/>
        <w:szCs w:val="22"/>
      </w:rPr>
    </w:lvl>
    <w:lvl w:ilvl="1" w:tplc="051C81BA">
      <w:start w:val="1"/>
      <w:numFmt w:val="bullet"/>
      <w:pStyle w:val="Tablebullet2"/>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57099E"/>
    <w:multiLevelType w:val="hybridMultilevel"/>
    <w:tmpl w:val="4342B6D4"/>
    <w:lvl w:ilvl="0" w:tplc="0C090001">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2345D"/>
    <w:multiLevelType w:val="hybridMultilevel"/>
    <w:tmpl w:val="2384EE0C"/>
    <w:lvl w:ilvl="0" w:tplc="FFAAD428">
      <w:start w:val="1"/>
      <w:numFmt w:val="lowerLetter"/>
      <w:pStyle w:val="H2LetteredList"/>
      <w:lvlText w:val="%1."/>
      <w:lvlJc w:val="left"/>
      <w:pPr>
        <w:ind w:left="1353" w:hanging="360"/>
      </w:pPr>
      <w:rPr>
        <w:rFonts w:ascii="Arial" w:hAnsi="Arial" w:hint="default"/>
        <w:color w:val="ED2223" w:themeColor="accent2"/>
        <w:sz w:val="22"/>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1" w15:restartNumberingAfterBreak="0">
    <w:nsid w:val="236E7CEC"/>
    <w:multiLevelType w:val="hybridMultilevel"/>
    <w:tmpl w:val="B1F80FC8"/>
    <w:lvl w:ilvl="0" w:tplc="C1241400">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BD44F8"/>
    <w:multiLevelType w:val="hybridMultilevel"/>
    <w:tmpl w:val="D7C06788"/>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7C0A52"/>
    <w:multiLevelType w:val="hybridMultilevel"/>
    <w:tmpl w:val="2B68C468"/>
    <w:lvl w:ilvl="0" w:tplc="4CAA81F6">
      <w:start w:val="1"/>
      <w:numFmt w:val="bullet"/>
      <w:pStyle w:val="BulletPoints"/>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E5B6095"/>
    <w:multiLevelType w:val="hybridMultilevel"/>
    <w:tmpl w:val="9612987E"/>
    <w:lvl w:ilvl="0" w:tplc="A4E211A4">
      <w:start w:val="1"/>
      <w:numFmt w:val="decimal"/>
      <w:pStyle w:val="Heading1"/>
      <w:suff w:val="space"/>
      <w:lvlText w:val="%1.0"/>
      <w:lvlJc w:val="left"/>
      <w:pPr>
        <w:ind w:left="360" w:hanging="360"/>
      </w:pPr>
      <w:rPr>
        <w:rFonts w:ascii="Griffith Sans Display" w:hAnsi="Griffith Sans Display" w:hint="default"/>
        <w:b/>
        <w:i w:val="0"/>
        <w:color w:val="E51F30"/>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0343FA9"/>
    <w:multiLevelType w:val="hybridMultilevel"/>
    <w:tmpl w:val="4356B77A"/>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0863F4"/>
    <w:multiLevelType w:val="hybridMultilevel"/>
    <w:tmpl w:val="5E66F4DA"/>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4D95A89"/>
    <w:multiLevelType w:val="multilevel"/>
    <w:tmpl w:val="6BEC9A3A"/>
    <w:lvl w:ilvl="0">
      <w:start w:val="1"/>
      <w:numFmt w:val="decimal"/>
      <w:suff w:val="space"/>
      <w:lvlText w:val="%1.0"/>
      <w:lvlJc w:val="left"/>
      <w:pPr>
        <w:ind w:left="0" w:firstLine="0"/>
      </w:pPr>
      <w:rPr>
        <w:rFonts w:ascii="Griffith Sans Text" w:hAnsi="Griffith Sans Text" w:hint="default"/>
        <w:b/>
        <w:i w:val="0"/>
        <w:color w:val="E51F30"/>
        <w:sz w:val="32"/>
      </w:rPr>
    </w:lvl>
    <w:lvl w:ilvl="1">
      <w:start w:val="1"/>
      <w:numFmt w:val="decimal"/>
      <w:isLgl/>
      <w:suff w:val="space"/>
      <w:lvlText w:val="%1.%2"/>
      <w:lvlJc w:val="left"/>
      <w:pPr>
        <w:ind w:left="6576" w:firstLine="229"/>
      </w:pPr>
      <w:rPr>
        <w:rFonts w:hint="default"/>
      </w:rPr>
    </w:lvl>
    <w:lvl w:ilvl="2">
      <w:start w:val="1"/>
      <w:numFmt w:val="decimal"/>
      <w:pStyle w:val="Heading3"/>
      <w:isLgl/>
      <w:suff w:val="space"/>
      <w:lvlText w:val="%1.%2.%3"/>
      <w:lvlJc w:val="left"/>
      <w:pPr>
        <w:ind w:left="1800" w:hanging="720"/>
      </w:pPr>
      <w:rPr>
        <w:rFonts w:ascii="Griffith Sans Text" w:hAnsi="Griffith Sans Text"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67220A"/>
    <w:multiLevelType w:val="hybridMultilevel"/>
    <w:tmpl w:val="A5786218"/>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A0069CF"/>
    <w:multiLevelType w:val="hybridMultilevel"/>
    <w:tmpl w:val="C20240BC"/>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D125677"/>
    <w:multiLevelType w:val="hybridMultilevel"/>
    <w:tmpl w:val="55FE76B2"/>
    <w:lvl w:ilvl="0" w:tplc="D89C813A">
      <w:start w:val="1"/>
      <w:numFmt w:val="decimal"/>
      <w:pStyle w:val="NumberedListLevel4"/>
      <w:lvlText w:val="%1."/>
      <w:lvlJc w:val="left"/>
      <w:pPr>
        <w:ind w:left="1080" w:hanging="360"/>
      </w:pPr>
      <w:rPr>
        <w:rFonts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AC60D9C"/>
    <w:multiLevelType w:val="hybridMultilevel"/>
    <w:tmpl w:val="C932F5D8"/>
    <w:lvl w:ilvl="0" w:tplc="93E431CC">
      <w:start w:val="1"/>
      <w:numFmt w:val="lowerLetter"/>
      <w:pStyle w:val="H3LetteredList"/>
      <w:lvlText w:val="%1."/>
      <w:lvlJc w:val="left"/>
      <w:pPr>
        <w:ind w:left="1863" w:hanging="360"/>
      </w:pPr>
      <w:rPr>
        <w:rFonts w:ascii="Arial" w:hAnsi="Arial" w:hint="default"/>
        <w:color w:val="ED2223" w:themeColor="accent2"/>
        <w:sz w:val="22"/>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27" w15:restartNumberingAfterBreak="0">
    <w:nsid w:val="6B43462B"/>
    <w:multiLevelType w:val="hybridMultilevel"/>
    <w:tmpl w:val="841E0CA0"/>
    <w:lvl w:ilvl="0" w:tplc="0C090001">
      <w:start w:val="1"/>
      <w:numFmt w:val="bullet"/>
      <w:lvlText w:val=""/>
      <w:lvlJc w:val="left"/>
      <w:pPr>
        <w:ind w:left="360" w:hanging="360"/>
      </w:pPr>
      <w:rPr>
        <w:rFonts w:ascii="Symbol" w:hAnsi="Symbol" w:hint="default"/>
        <w:color w:val="E30918"/>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C9022E6"/>
    <w:multiLevelType w:val="hybridMultilevel"/>
    <w:tmpl w:val="710C7842"/>
    <w:lvl w:ilvl="0" w:tplc="CE08B5E4">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7AA13A7F"/>
    <w:multiLevelType w:val="hybridMultilevel"/>
    <w:tmpl w:val="12582840"/>
    <w:lvl w:ilvl="0" w:tplc="7A30F520">
      <w:start w:val="1"/>
      <w:numFmt w:val="lowerLetter"/>
      <w:pStyle w:val="H1LetteredList"/>
      <w:lvlText w:val="%1."/>
      <w:lvlJc w:val="left"/>
      <w:pPr>
        <w:ind w:left="1134" w:hanging="360"/>
      </w:pPr>
      <w:rPr>
        <w:rFonts w:ascii="Arial" w:hAnsi="Arial" w:hint="default"/>
        <w:color w:val="ED2223" w:themeColor="accent2"/>
        <w:sz w:val="22"/>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30" w15:restartNumberingAfterBreak="0">
    <w:nsid w:val="7D451729"/>
    <w:multiLevelType w:val="hybridMultilevel"/>
    <w:tmpl w:val="C0DE83E6"/>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7F885D6D"/>
    <w:multiLevelType w:val="hybridMultilevel"/>
    <w:tmpl w:val="D2D00B50"/>
    <w:lvl w:ilvl="0" w:tplc="FFFFFFFF">
      <w:start w:val="1"/>
      <w:numFmt w:val="bullet"/>
      <w:lvlText w:val=""/>
      <w:lvlJc w:val="left"/>
      <w:pPr>
        <w:ind w:left="644" w:hanging="360"/>
      </w:pPr>
      <w:rPr>
        <w:rFonts w:ascii="Symbol" w:hAnsi="Symbol" w:hint="default"/>
        <w:color w:val="E30918"/>
        <w:sz w:val="22"/>
        <w:szCs w:val="22"/>
      </w:rPr>
    </w:lvl>
    <w:lvl w:ilvl="1" w:tplc="0C090003">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927572751">
    <w:abstractNumId w:val="14"/>
  </w:num>
  <w:num w:numId="2" w16cid:durableId="1511336397">
    <w:abstractNumId w:val="22"/>
  </w:num>
  <w:num w:numId="3" w16cid:durableId="1666785443">
    <w:abstractNumId w:val="1"/>
  </w:num>
  <w:num w:numId="4" w16cid:durableId="1708486012">
    <w:abstractNumId w:val="15"/>
  </w:num>
  <w:num w:numId="5" w16cid:durableId="1621642287">
    <w:abstractNumId w:val="13"/>
  </w:num>
  <w:num w:numId="6" w16cid:durableId="1833176348">
    <w:abstractNumId w:val="19"/>
  </w:num>
  <w:num w:numId="7" w16cid:durableId="1098252483">
    <w:abstractNumId w:val="8"/>
  </w:num>
  <w:num w:numId="8" w16cid:durableId="1194999148">
    <w:abstractNumId w:val="21"/>
  </w:num>
  <w:num w:numId="9" w16cid:durableId="189298767">
    <w:abstractNumId w:val="30"/>
  </w:num>
  <w:num w:numId="10" w16cid:durableId="1622492001">
    <w:abstractNumId w:val="3"/>
  </w:num>
  <w:num w:numId="11" w16cid:durableId="417292128">
    <w:abstractNumId w:val="7"/>
  </w:num>
  <w:num w:numId="12" w16cid:durableId="836968740">
    <w:abstractNumId w:val="11"/>
  </w:num>
  <w:num w:numId="13" w16cid:durableId="270354773">
    <w:abstractNumId w:val="2"/>
  </w:num>
  <w:num w:numId="14" w16cid:durableId="1972246043">
    <w:abstractNumId w:val="6"/>
  </w:num>
  <w:num w:numId="15" w16cid:durableId="1289361928">
    <w:abstractNumId w:val="10"/>
  </w:num>
  <w:num w:numId="16" w16cid:durableId="1306617235">
    <w:abstractNumId w:val="29"/>
  </w:num>
  <w:num w:numId="17" w16cid:durableId="382292356">
    <w:abstractNumId w:val="28"/>
  </w:num>
  <w:num w:numId="18" w16cid:durableId="1977182675">
    <w:abstractNumId w:val="26"/>
  </w:num>
  <w:num w:numId="19" w16cid:durableId="472135985">
    <w:abstractNumId w:val="25"/>
  </w:num>
  <w:num w:numId="20" w16cid:durableId="823739202">
    <w:abstractNumId w:val="10"/>
    <w:lvlOverride w:ilvl="0">
      <w:startOverride w:val="1"/>
    </w:lvlOverride>
  </w:num>
  <w:num w:numId="21" w16cid:durableId="2027369264">
    <w:abstractNumId w:val="29"/>
    <w:lvlOverride w:ilvl="0">
      <w:startOverride w:val="1"/>
    </w:lvlOverride>
  </w:num>
  <w:num w:numId="22" w16cid:durableId="712996875">
    <w:abstractNumId w:val="16"/>
  </w:num>
  <w:num w:numId="23" w16cid:durableId="1251544476">
    <w:abstractNumId w:val="17"/>
  </w:num>
  <w:num w:numId="24" w16cid:durableId="737243901">
    <w:abstractNumId w:val="4"/>
  </w:num>
  <w:num w:numId="25" w16cid:durableId="1635213512">
    <w:abstractNumId w:val="20"/>
  </w:num>
  <w:num w:numId="26" w16cid:durableId="1815246505">
    <w:abstractNumId w:val="0"/>
  </w:num>
  <w:num w:numId="27" w16cid:durableId="1040976332">
    <w:abstractNumId w:val="5"/>
  </w:num>
  <w:num w:numId="28" w16cid:durableId="1819415937">
    <w:abstractNumId w:val="18"/>
  </w:num>
  <w:num w:numId="29" w16cid:durableId="317416836">
    <w:abstractNumId w:val="27"/>
  </w:num>
  <w:num w:numId="30" w16cid:durableId="2012373431">
    <w:abstractNumId w:val="31"/>
  </w:num>
  <w:num w:numId="31" w16cid:durableId="483863383">
    <w:abstractNumId w:val="23"/>
  </w:num>
  <w:num w:numId="32" w16cid:durableId="465124451">
    <w:abstractNumId w:val="12"/>
  </w:num>
  <w:num w:numId="33" w16cid:durableId="1871917348">
    <w:abstractNumId w:val="24"/>
  </w:num>
  <w:num w:numId="34" w16cid:durableId="12039775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32D4"/>
    <w:rsid w:val="00016AA7"/>
    <w:rsid w:val="00022478"/>
    <w:rsid w:val="00026A7E"/>
    <w:rsid w:val="0003076D"/>
    <w:rsid w:val="00034496"/>
    <w:rsid w:val="00040160"/>
    <w:rsid w:val="00047EA7"/>
    <w:rsid w:val="00052590"/>
    <w:rsid w:val="000602AE"/>
    <w:rsid w:val="00060803"/>
    <w:rsid w:val="0006473D"/>
    <w:rsid w:val="000652A0"/>
    <w:rsid w:val="000667E2"/>
    <w:rsid w:val="00067836"/>
    <w:rsid w:val="000728E0"/>
    <w:rsid w:val="000760A1"/>
    <w:rsid w:val="00083FFC"/>
    <w:rsid w:val="000840A2"/>
    <w:rsid w:val="00091E5E"/>
    <w:rsid w:val="00091F0D"/>
    <w:rsid w:val="000944FA"/>
    <w:rsid w:val="0009718E"/>
    <w:rsid w:val="000A4135"/>
    <w:rsid w:val="000B17D8"/>
    <w:rsid w:val="000B192C"/>
    <w:rsid w:val="000B4F8B"/>
    <w:rsid w:val="000B71D9"/>
    <w:rsid w:val="000C0E96"/>
    <w:rsid w:val="000C57B7"/>
    <w:rsid w:val="000D3B39"/>
    <w:rsid w:val="000E01AE"/>
    <w:rsid w:val="000E0DAE"/>
    <w:rsid w:val="000F02B6"/>
    <w:rsid w:val="000F1CE9"/>
    <w:rsid w:val="000F51F5"/>
    <w:rsid w:val="000F5781"/>
    <w:rsid w:val="000F5EB6"/>
    <w:rsid w:val="00101541"/>
    <w:rsid w:val="00103826"/>
    <w:rsid w:val="00103DE9"/>
    <w:rsid w:val="00104FF2"/>
    <w:rsid w:val="00106103"/>
    <w:rsid w:val="00106BF5"/>
    <w:rsid w:val="00112E2F"/>
    <w:rsid w:val="001176F4"/>
    <w:rsid w:val="001246D4"/>
    <w:rsid w:val="00132AA4"/>
    <w:rsid w:val="00154994"/>
    <w:rsid w:val="001558FA"/>
    <w:rsid w:val="0015666C"/>
    <w:rsid w:val="0016404C"/>
    <w:rsid w:val="00164E41"/>
    <w:rsid w:val="00170073"/>
    <w:rsid w:val="00174418"/>
    <w:rsid w:val="00177943"/>
    <w:rsid w:val="001800F9"/>
    <w:rsid w:val="00180C6A"/>
    <w:rsid w:val="00181557"/>
    <w:rsid w:val="0018541F"/>
    <w:rsid w:val="00185876"/>
    <w:rsid w:val="00193CE9"/>
    <w:rsid w:val="001968C3"/>
    <w:rsid w:val="001974F3"/>
    <w:rsid w:val="001A05DB"/>
    <w:rsid w:val="001A124A"/>
    <w:rsid w:val="001A64A0"/>
    <w:rsid w:val="001B4F09"/>
    <w:rsid w:val="001B6F2E"/>
    <w:rsid w:val="001C1A93"/>
    <w:rsid w:val="001D079F"/>
    <w:rsid w:val="001D7C6E"/>
    <w:rsid w:val="001E04F4"/>
    <w:rsid w:val="001E1ED9"/>
    <w:rsid w:val="001F271E"/>
    <w:rsid w:val="001F2B57"/>
    <w:rsid w:val="001F636F"/>
    <w:rsid w:val="0020094E"/>
    <w:rsid w:val="00201B8F"/>
    <w:rsid w:val="00204EBD"/>
    <w:rsid w:val="00207FC2"/>
    <w:rsid w:val="00213ED5"/>
    <w:rsid w:val="00216462"/>
    <w:rsid w:val="00221E52"/>
    <w:rsid w:val="00221FEC"/>
    <w:rsid w:val="002257C2"/>
    <w:rsid w:val="00225E04"/>
    <w:rsid w:val="00241815"/>
    <w:rsid w:val="002439DB"/>
    <w:rsid w:val="002456AD"/>
    <w:rsid w:val="00245F0A"/>
    <w:rsid w:val="002515B4"/>
    <w:rsid w:val="00251669"/>
    <w:rsid w:val="0025405F"/>
    <w:rsid w:val="00255E99"/>
    <w:rsid w:val="00257D7C"/>
    <w:rsid w:val="00261C56"/>
    <w:rsid w:val="00263721"/>
    <w:rsid w:val="002665AF"/>
    <w:rsid w:val="00267CCA"/>
    <w:rsid w:val="00271E27"/>
    <w:rsid w:val="00273427"/>
    <w:rsid w:val="00274580"/>
    <w:rsid w:val="00284705"/>
    <w:rsid w:val="00290B70"/>
    <w:rsid w:val="00291234"/>
    <w:rsid w:val="002A0A33"/>
    <w:rsid w:val="002A3E0E"/>
    <w:rsid w:val="002B29ED"/>
    <w:rsid w:val="002B2C78"/>
    <w:rsid w:val="002B2DAF"/>
    <w:rsid w:val="002B35C9"/>
    <w:rsid w:val="002B6908"/>
    <w:rsid w:val="002B6A70"/>
    <w:rsid w:val="002C1FB6"/>
    <w:rsid w:val="002C2FAC"/>
    <w:rsid w:val="002C606B"/>
    <w:rsid w:val="002C7ACC"/>
    <w:rsid w:val="002D15B4"/>
    <w:rsid w:val="002D233F"/>
    <w:rsid w:val="002D568A"/>
    <w:rsid w:val="002D612E"/>
    <w:rsid w:val="002E6FC9"/>
    <w:rsid w:val="002F0131"/>
    <w:rsid w:val="002F0F75"/>
    <w:rsid w:val="002F186F"/>
    <w:rsid w:val="002F3C8B"/>
    <w:rsid w:val="002F4FF8"/>
    <w:rsid w:val="00305315"/>
    <w:rsid w:val="0031180B"/>
    <w:rsid w:val="0031333E"/>
    <w:rsid w:val="00313BB2"/>
    <w:rsid w:val="003163A3"/>
    <w:rsid w:val="00317C5E"/>
    <w:rsid w:val="00330E67"/>
    <w:rsid w:val="00334090"/>
    <w:rsid w:val="00334B56"/>
    <w:rsid w:val="00334F99"/>
    <w:rsid w:val="00335DDB"/>
    <w:rsid w:val="003374AF"/>
    <w:rsid w:val="00343D34"/>
    <w:rsid w:val="00351163"/>
    <w:rsid w:val="003558C0"/>
    <w:rsid w:val="0035677A"/>
    <w:rsid w:val="00360B44"/>
    <w:rsid w:val="00360D4B"/>
    <w:rsid w:val="00363F8A"/>
    <w:rsid w:val="003654D8"/>
    <w:rsid w:val="0036771E"/>
    <w:rsid w:val="00381C4C"/>
    <w:rsid w:val="00394472"/>
    <w:rsid w:val="00394F14"/>
    <w:rsid w:val="00395AD8"/>
    <w:rsid w:val="00397C16"/>
    <w:rsid w:val="003A3B86"/>
    <w:rsid w:val="003A7E2B"/>
    <w:rsid w:val="003B1743"/>
    <w:rsid w:val="003D4D61"/>
    <w:rsid w:val="003D6EEA"/>
    <w:rsid w:val="003E015B"/>
    <w:rsid w:val="003F3FBA"/>
    <w:rsid w:val="003F7778"/>
    <w:rsid w:val="0040296F"/>
    <w:rsid w:val="00410ED5"/>
    <w:rsid w:val="004166D9"/>
    <w:rsid w:val="0042464F"/>
    <w:rsid w:val="00441285"/>
    <w:rsid w:val="004415C7"/>
    <w:rsid w:val="00441F36"/>
    <w:rsid w:val="00454374"/>
    <w:rsid w:val="00456A0E"/>
    <w:rsid w:val="004612A8"/>
    <w:rsid w:val="0046665F"/>
    <w:rsid w:val="00466DD2"/>
    <w:rsid w:val="00473168"/>
    <w:rsid w:val="00481C9C"/>
    <w:rsid w:val="00482467"/>
    <w:rsid w:val="0048248F"/>
    <w:rsid w:val="00484910"/>
    <w:rsid w:val="00484C1B"/>
    <w:rsid w:val="004859CC"/>
    <w:rsid w:val="00493EC2"/>
    <w:rsid w:val="0049450E"/>
    <w:rsid w:val="00496A60"/>
    <w:rsid w:val="00497ECF"/>
    <w:rsid w:val="004A1751"/>
    <w:rsid w:val="004A4FA4"/>
    <w:rsid w:val="004A7696"/>
    <w:rsid w:val="004B2C98"/>
    <w:rsid w:val="004B784E"/>
    <w:rsid w:val="004C69B3"/>
    <w:rsid w:val="004C75C6"/>
    <w:rsid w:val="004D24FC"/>
    <w:rsid w:val="004D5E3C"/>
    <w:rsid w:val="004E594B"/>
    <w:rsid w:val="004E5F4D"/>
    <w:rsid w:val="004E7593"/>
    <w:rsid w:val="004E7EF9"/>
    <w:rsid w:val="004F0295"/>
    <w:rsid w:val="0050449E"/>
    <w:rsid w:val="00504D05"/>
    <w:rsid w:val="005051B1"/>
    <w:rsid w:val="00507B63"/>
    <w:rsid w:val="005224CD"/>
    <w:rsid w:val="00522BA9"/>
    <w:rsid w:val="0053069F"/>
    <w:rsid w:val="00531AAF"/>
    <w:rsid w:val="00535FDF"/>
    <w:rsid w:val="00541A95"/>
    <w:rsid w:val="0054216F"/>
    <w:rsid w:val="00547AFA"/>
    <w:rsid w:val="00552F80"/>
    <w:rsid w:val="005554CF"/>
    <w:rsid w:val="005572C3"/>
    <w:rsid w:val="005632E8"/>
    <w:rsid w:val="00564540"/>
    <w:rsid w:val="00564C6D"/>
    <w:rsid w:val="00564FB3"/>
    <w:rsid w:val="0056680F"/>
    <w:rsid w:val="005746E7"/>
    <w:rsid w:val="00574F9D"/>
    <w:rsid w:val="00575CC3"/>
    <w:rsid w:val="00582860"/>
    <w:rsid w:val="00584AE9"/>
    <w:rsid w:val="0058656B"/>
    <w:rsid w:val="00587E5A"/>
    <w:rsid w:val="005914E8"/>
    <w:rsid w:val="005926AC"/>
    <w:rsid w:val="0059325A"/>
    <w:rsid w:val="0059350D"/>
    <w:rsid w:val="00593F30"/>
    <w:rsid w:val="005952C9"/>
    <w:rsid w:val="005A70B0"/>
    <w:rsid w:val="005B1862"/>
    <w:rsid w:val="005B1942"/>
    <w:rsid w:val="005B381D"/>
    <w:rsid w:val="005B6220"/>
    <w:rsid w:val="005B744F"/>
    <w:rsid w:val="005C325E"/>
    <w:rsid w:val="005C3E98"/>
    <w:rsid w:val="005D08AF"/>
    <w:rsid w:val="005D1898"/>
    <w:rsid w:val="005D7C7E"/>
    <w:rsid w:val="005D7EA1"/>
    <w:rsid w:val="005F00FB"/>
    <w:rsid w:val="005F014A"/>
    <w:rsid w:val="005F0710"/>
    <w:rsid w:val="005F5228"/>
    <w:rsid w:val="005F7132"/>
    <w:rsid w:val="005F71EB"/>
    <w:rsid w:val="006066C5"/>
    <w:rsid w:val="00613014"/>
    <w:rsid w:val="006205CD"/>
    <w:rsid w:val="0062301B"/>
    <w:rsid w:val="0062375A"/>
    <w:rsid w:val="0062609D"/>
    <w:rsid w:val="00632F93"/>
    <w:rsid w:val="006365E9"/>
    <w:rsid w:val="006456F1"/>
    <w:rsid w:val="00645D91"/>
    <w:rsid w:val="006467E3"/>
    <w:rsid w:val="00646817"/>
    <w:rsid w:val="006519D0"/>
    <w:rsid w:val="00652A14"/>
    <w:rsid w:val="0065502D"/>
    <w:rsid w:val="0068391A"/>
    <w:rsid w:val="00685CFE"/>
    <w:rsid w:val="006A0D50"/>
    <w:rsid w:val="006A16D3"/>
    <w:rsid w:val="006A2EDE"/>
    <w:rsid w:val="006A5781"/>
    <w:rsid w:val="006A5DA4"/>
    <w:rsid w:val="006A68A9"/>
    <w:rsid w:val="006A75EC"/>
    <w:rsid w:val="006B3B39"/>
    <w:rsid w:val="006B61C2"/>
    <w:rsid w:val="006C00D8"/>
    <w:rsid w:val="006C42D8"/>
    <w:rsid w:val="006C594F"/>
    <w:rsid w:val="006E7342"/>
    <w:rsid w:val="006F4576"/>
    <w:rsid w:val="006F4919"/>
    <w:rsid w:val="006F6803"/>
    <w:rsid w:val="0070025C"/>
    <w:rsid w:val="00700B1B"/>
    <w:rsid w:val="0070341D"/>
    <w:rsid w:val="007066FB"/>
    <w:rsid w:val="00714C7C"/>
    <w:rsid w:val="00716737"/>
    <w:rsid w:val="007225FE"/>
    <w:rsid w:val="00723C5C"/>
    <w:rsid w:val="00724189"/>
    <w:rsid w:val="00726EBB"/>
    <w:rsid w:val="007306E5"/>
    <w:rsid w:val="00732202"/>
    <w:rsid w:val="00734916"/>
    <w:rsid w:val="00736216"/>
    <w:rsid w:val="007418A5"/>
    <w:rsid w:val="007466AC"/>
    <w:rsid w:val="00746A0E"/>
    <w:rsid w:val="00746E09"/>
    <w:rsid w:val="00751170"/>
    <w:rsid w:val="007512F5"/>
    <w:rsid w:val="0076036F"/>
    <w:rsid w:val="00763E65"/>
    <w:rsid w:val="00764D3B"/>
    <w:rsid w:val="00772928"/>
    <w:rsid w:val="00781567"/>
    <w:rsid w:val="00783015"/>
    <w:rsid w:val="00785535"/>
    <w:rsid w:val="00786706"/>
    <w:rsid w:val="00790080"/>
    <w:rsid w:val="00791C73"/>
    <w:rsid w:val="007A183B"/>
    <w:rsid w:val="007A1AED"/>
    <w:rsid w:val="007A20F9"/>
    <w:rsid w:val="007A517B"/>
    <w:rsid w:val="007A7929"/>
    <w:rsid w:val="007B5079"/>
    <w:rsid w:val="007B700A"/>
    <w:rsid w:val="007C0260"/>
    <w:rsid w:val="007C1721"/>
    <w:rsid w:val="007C37DE"/>
    <w:rsid w:val="007C70B4"/>
    <w:rsid w:val="007D09BC"/>
    <w:rsid w:val="007D310D"/>
    <w:rsid w:val="007D32E8"/>
    <w:rsid w:val="007D4084"/>
    <w:rsid w:val="007D48EA"/>
    <w:rsid w:val="007D4B90"/>
    <w:rsid w:val="007E4E51"/>
    <w:rsid w:val="008011BC"/>
    <w:rsid w:val="008104D3"/>
    <w:rsid w:val="00811AE1"/>
    <w:rsid w:val="00811F90"/>
    <w:rsid w:val="008122F0"/>
    <w:rsid w:val="00812FB8"/>
    <w:rsid w:val="008148BF"/>
    <w:rsid w:val="00820F73"/>
    <w:rsid w:val="008218C8"/>
    <w:rsid w:val="008239FE"/>
    <w:rsid w:val="0082428C"/>
    <w:rsid w:val="00825029"/>
    <w:rsid w:val="008252DA"/>
    <w:rsid w:val="0082775F"/>
    <w:rsid w:val="00830B58"/>
    <w:rsid w:val="00840C83"/>
    <w:rsid w:val="00841C85"/>
    <w:rsid w:val="00855860"/>
    <w:rsid w:val="00856F99"/>
    <w:rsid w:val="008605D5"/>
    <w:rsid w:val="00865E12"/>
    <w:rsid w:val="00871911"/>
    <w:rsid w:val="00871C38"/>
    <w:rsid w:val="00871D81"/>
    <w:rsid w:val="008735AB"/>
    <w:rsid w:val="0087374C"/>
    <w:rsid w:val="00877570"/>
    <w:rsid w:val="008776AD"/>
    <w:rsid w:val="00880B3B"/>
    <w:rsid w:val="00890718"/>
    <w:rsid w:val="008926AA"/>
    <w:rsid w:val="00895C2C"/>
    <w:rsid w:val="008A3383"/>
    <w:rsid w:val="008C05CD"/>
    <w:rsid w:val="008C300D"/>
    <w:rsid w:val="008C4244"/>
    <w:rsid w:val="008C5983"/>
    <w:rsid w:val="008C66B6"/>
    <w:rsid w:val="008D0A1C"/>
    <w:rsid w:val="008D2294"/>
    <w:rsid w:val="008D2631"/>
    <w:rsid w:val="008D57B3"/>
    <w:rsid w:val="008E3968"/>
    <w:rsid w:val="008E4D10"/>
    <w:rsid w:val="008E64F6"/>
    <w:rsid w:val="008E7F02"/>
    <w:rsid w:val="008F2DE0"/>
    <w:rsid w:val="008F75E7"/>
    <w:rsid w:val="00904689"/>
    <w:rsid w:val="00907065"/>
    <w:rsid w:val="00912C04"/>
    <w:rsid w:val="0091581D"/>
    <w:rsid w:val="0092371D"/>
    <w:rsid w:val="009266B8"/>
    <w:rsid w:val="009270FD"/>
    <w:rsid w:val="00940E51"/>
    <w:rsid w:val="00941205"/>
    <w:rsid w:val="00947015"/>
    <w:rsid w:val="0095172A"/>
    <w:rsid w:val="009518A2"/>
    <w:rsid w:val="00960082"/>
    <w:rsid w:val="009630B9"/>
    <w:rsid w:val="00963253"/>
    <w:rsid w:val="00965049"/>
    <w:rsid w:val="009657E9"/>
    <w:rsid w:val="00966619"/>
    <w:rsid w:val="009933D9"/>
    <w:rsid w:val="00993A5D"/>
    <w:rsid w:val="00996B72"/>
    <w:rsid w:val="009A05B0"/>
    <w:rsid w:val="009A4600"/>
    <w:rsid w:val="009A6675"/>
    <w:rsid w:val="009B0EDB"/>
    <w:rsid w:val="009B37D4"/>
    <w:rsid w:val="009C10A2"/>
    <w:rsid w:val="009C1A72"/>
    <w:rsid w:val="009C1E14"/>
    <w:rsid w:val="009C2FEF"/>
    <w:rsid w:val="009C7B84"/>
    <w:rsid w:val="009D1FCE"/>
    <w:rsid w:val="009D2761"/>
    <w:rsid w:val="009D48AE"/>
    <w:rsid w:val="009D4CC4"/>
    <w:rsid w:val="009D6C10"/>
    <w:rsid w:val="009D7FF6"/>
    <w:rsid w:val="009E11AD"/>
    <w:rsid w:val="009E2594"/>
    <w:rsid w:val="009F074C"/>
    <w:rsid w:val="009F4490"/>
    <w:rsid w:val="009F6D27"/>
    <w:rsid w:val="00A026FA"/>
    <w:rsid w:val="00A03B53"/>
    <w:rsid w:val="00A10384"/>
    <w:rsid w:val="00A144B2"/>
    <w:rsid w:val="00A159BC"/>
    <w:rsid w:val="00A15D12"/>
    <w:rsid w:val="00A160DF"/>
    <w:rsid w:val="00A20853"/>
    <w:rsid w:val="00A21CDE"/>
    <w:rsid w:val="00A22105"/>
    <w:rsid w:val="00A22278"/>
    <w:rsid w:val="00A27DAA"/>
    <w:rsid w:val="00A3242E"/>
    <w:rsid w:val="00A33A27"/>
    <w:rsid w:val="00A3418A"/>
    <w:rsid w:val="00A443CF"/>
    <w:rsid w:val="00A45BDF"/>
    <w:rsid w:val="00A4791E"/>
    <w:rsid w:val="00A50780"/>
    <w:rsid w:val="00A52956"/>
    <w:rsid w:val="00A56091"/>
    <w:rsid w:val="00A5683C"/>
    <w:rsid w:val="00A57044"/>
    <w:rsid w:val="00A60BC9"/>
    <w:rsid w:val="00A71456"/>
    <w:rsid w:val="00A82B18"/>
    <w:rsid w:val="00A910A9"/>
    <w:rsid w:val="00A9265D"/>
    <w:rsid w:val="00A92ADA"/>
    <w:rsid w:val="00A952D6"/>
    <w:rsid w:val="00AA12A3"/>
    <w:rsid w:val="00AA188E"/>
    <w:rsid w:val="00AA391D"/>
    <w:rsid w:val="00AA6458"/>
    <w:rsid w:val="00AB00BF"/>
    <w:rsid w:val="00AB040D"/>
    <w:rsid w:val="00AB433E"/>
    <w:rsid w:val="00AC0470"/>
    <w:rsid w:val="00AC1EA9"/>
    <w:rsid w:val="00AC34D4"/>
    <w:rsid w:val="00AD0BC6"/>
    <w:rsid w:val="00AE0351"/>
    <w:rsid w:val="00AE36C9"/>
    <w:rsid w:val="00AE4387"/>
    <w:rsid w:val="00AF5791"/>
    <w:rsid w:val="00AF5A9E"/>
    <w:rsid w:val="00AF719E"/>
    <w:rsid w:val="00B16652"/>
    <w:rsid w:val="00B21CA2"/>
    <w:rsid w:val="00B24AD5"/>
    <w:rsid w:val="00B25332"/>
    <w:rsid w:val="00B26F8D"/>
    <w:rsid w:val="00B3187C"/>
    <w:rsid w:val="00B42BD2"/>
    <w:rsid w:val="00B508D5"/>
    <w:rsid w:val="00B50B40"/>
    <w:rsid w:val="00B50D2F"/>
    <w:rsid w:val="00B51D10"/>
    <w:rsid w:val="00B52233"/>
    <w:rsid w:val="00B53E9C"/>
    <w:rsid w:val="00B5651C"/>
    <w:rsid w:val="00B6474F"/>
    <w:rsid w:val="00B657C9"/>
    <w:rsid w:val="00B82F08"/>
    <w:rsid w:val="00B82F66"/>
    <w:rsid w:val="00B83EA8"/>
    <w:rsid w:val="00B86085"/>
    <w:rsid w:val="00B9062A"/>
    <w:rsid w:val="00BA2AC3"/>
    <w:rsid w:val="00BA3141"/>
    <w:rsid w:val="00BA614B"/>
    <w:rsid w:val="00BB3D39"/>
    <w:rsid w:val="00BB58D7"/>
    <w:rsid w:val="00BB620E"/>
    <w:rsid w:val="00BB69FD"/>
    <w:rsid w:val="00BD1DCB"/>
    <w:rsid w:val="00BD26DB"/>
    <w:rsid w:val="00BD6AD7"/>
    <w:rsid w:val="00BE0EA9"/>
    <w:rsid w:val="00BE1C6A"/>
    <w:rsid w:val="00BF16DA"/>
    <w:rsid w:val="00BF387D"/>
    <w:rsid w:val="00BF5977"/>
    <w:rsid w:val="00C00B53"/>
    <w:rsid w:val="00C011E3"/>
    <w:rsid w:val="00C15A09"/>
    <w:rsid w:val="00C22059"/>
    <w:rsid w:val="00C2475A"/>
    <w:rsid w:val="00C2578B"/>
    <w:rsid w:val="00C25FE3"/>
    <w:rsid w:val="00C31251"/>
    <w:rsid w:val="00C32760"/>
    <w:rsid w:val="00C337DA"/>
    <w:rsid w:val="00C4110B"/>
    <w:rsid w:val="00C5290D"/>
    <w:rsid w:val="00C62871"/>
    <w:rsid w:val="00C74342"/>
    <w:rsid w:val="00C76573"/>
    <w:rsid w:val="00C77710"/>
    <w:rsid w:val="00C80060"/>
    <w:rsid w:val="00C8381B"/>
    <w:rsid w:val="00C95193"/>
    <w:rsid w:val="00C955DB"/>
    <w:rsid w:val="00C959A2"/>
    <w:rsid w:val="00CA6305"/>
    <w:rsid w:val="00CA6AC5"/>
    <w:rsid w:val="00CA7988"/>
    <w:rsid w:val="00CB440D"/>
    <w:rsid w:val="00CC460A"/>
    <w:rsid w:val="00CD119B"/>
    <w:rsid w:val="00CF2ABF"/>
    <w:rsid w:val="00CF611B"/>
    <w:rsid w:val="00CF6FF3"/>
    <w:rsid w:val="00CF7425"/>
    <w:rsid w:val="00D0117A"/>
    <w:rsid w:val="00D042D8"/>
    <w:rsid w:val="00D1008C"/>
    <w:rsid w:val="00D17506"/>
    <w:rsid w:val="00D25E65"/>
    <w:rsid w:val="00D265A5"/>
    <w:rsid w:val="00D372BD"/>
    <w:rsid w:val="00D430F4"/>
    <w:rsid w:val="00D434E9"/>
    <w:rsid w:val="00D449D8"/>
    <w:rsid w:val="00D532D6"/>
    <w:rsid w:val="00D54F54"/>
    <w:rsid w:val="00D6363F"/>
    <w:rsid w:val="00D6661B"/>
    <w:rsid w:val="00D705DA"/>
    <w:rsid w:val="00D71F88"/>
    <w:rsid w:val="00DA2384"/>
    <w:rsid w:val="00DA5E5F"/>
    <w:rsid w:val="00DB0FC8"/>
    <w:rsid w:val="00DB221D"/>
    <w:rsid w:val="00DB76F9"/>
    <w:rsid w:val="00DB7E17"/>
    <w:rsid w:val="00DC51EA"/>
    <w:rsid w:val="00DD22B4"/>
    <w:rsid w:val="00DD6067"/>
    <w:rsid w:val="00DD7C5D"/>
    <w:rsid w:val="00DE22F1"/>
    <w:rsid w:val="00DE3FB3"/>
    <w:rsid w:val="00DE45C5"/>
    <w:rsid w:val="00DE4C0F"/>
    <w:rsid w:val="00DF26BB"/>
    <w:rsid w:val="00DF3DF3"/>
    <w:rsid w:val="00E14D21"/>
    <w:rsid w:val="00E166E0"/>
    <w:rsid w:val="00E20D0C"/>
    <w:rsid w:val="00E21C52"/>
    <w:rsid w:val="00E23BC4"/>
    <w:rsid w:val="00E275DC"/>
    <w:rsid w:val="00E31528"/>
    <w:rsid w:val="00E41208"/>
    <w:rsid w:val="00E43C94"/>
    <w:rsid w:val="00E535D0"/>
    <w:rsid w:val="00E5449C"/>
    <w:rsid w:val="00E56983"/>
    <w:rsid w:val="00E5774F"/>
    <w:rsid w:val="00E6328F"/>
    <w:rsid w:val="00E633D7"/>
    <w:rsid w:val="00E64275"/>
    <w:rsid w:val="00E67BB3"/>
    <w:rsid w:val="00E702F7"/>
    <w:rsid w:val="00E7138A"/>
    <w:rsid w:val="00E71C51"/>
    <w:rsid w:val="00E753B1"/>
    <w:rsid w:val="00E77B43"/>
    <w:rsid w:val="00E8190A"/>
    <w:rsid w:val="00E826C9"/>
    <w:rsid w:val="00E875A7"/>
    <w:rsid w:val="00E93FE8"/>
    <w:rsid w:val="00E9677E"/>
    <w:rsid w:val="00EA50A4"/>
    <w:rsid w:val="00EA768F"/>
    <w:rsid w:val="00EB26D4"/>
    <w:rsid w:val="00EB406C"/>
    <w:rsid w:val="00EB67A0"/>
    <w:rsid w:val="00EB6E6D"/>
    <w:rsid w:val="00EB7614"/>
    <w:rsid w:val="00EB7EA9"/>
    <w:rsid w:val="00EC20EE"/>
    <w:rsid w:val="00EC395A"/>
    <w:rsid w:val="00EC5612"/>
    <w:rsid w:val="00ED4804"/>
    <w:rsid w:val="00ED6047"/>
    <w:rsid w:val="00EE19EE"/>
    <w:rsid w:val="00EE310F"/>
    <w:rsid w:val="00EE3570"/>
    <w:rsid w:val="00EE7384"/>
    <w:rsid w:val="00EE76AB"/>
    <w:rsid w:val="00EF0887"/>
    <w:rsid w:val="00EF1DF4"/>
    <w:rsid w:val="00EF5597"/>
    <w:rsid w:val="00EF6B46"/>
    <w:rsid w:val="00F11116"/>
    <w:rsid w:val="00F12183"/>
    <w:rsid w:val="00F14286"/>
    <w:rsid w:val="00F252F4"/>
    <w:rsid w:val="00F311DC"/>
    <w:rsid w:val="00F313A5"/>
    <w:rsid w:val="00F5387A"/>
    <w:rsid w:val="00F54199"/>
    <w:rsid w:val="00F55C18"/>
    <w:rsid w:val="00F55E94"/>
    <w:rsid w:val="00F56CC8"/>
    <w:rsid w:val="00F579B2"/>
    <w:rsid w:val="00F6217A"/>
    <w:rsid w:val="00F70251"/>
    <w:rsid w:val="00F71CDF"/>
    <w:rsid w:val="00F74238"/>
    <w:rsid w:val="00F7432A"/>
    <w:rsid w:val="00F80692"/>
    <w:rsid w:val="00F85AA8"/>
    <w:rsid w:val="00F94583"/>
    <w:rsid w:val="00F953DA"/>
    <w:rsid w:val="00F95825"/>
    <w:rsid w:val="00FA2481"/>
    <w:rsid w:val="00FA2D28"/>
    <w:rsid w:val="00FA6AC6"/>
    <w:rsid w:val="00FB180D"/>
    <w:rsid w:val="00FB1D71"/>
    <w:rsid w:val="00FB21EE"/>
    <w:rsid w:val="00FB329E"/>
    <w:rsid w:val="00FC349F"/>
    <w:rsid w:val="00FC44A7"/>
    <w:rsid w:val="00FC5517"/>
    <w:rsid w:val="00FD1F48"/>
    <w:rsid w:val="00FD349F"/>
    <w:rsid w:val="00FE5B02"/>
    <w:rsid w:val="00FE60E5"/>
    <w:rsid w:val="00FF3958"/>
    <w:rsid w:val="00FF398B"/>
    <w:rsid w:val="00FF586B"/>
    <w:rsid w:val="00FF5B0C"/>
    <w:rsid w:val="06442C13"/>
    <w:rsid w:val="07F788E7"/>
    <w:rsid w:val="0C34C96F"/>
    <w:rsid w:val="2F101A61"/>
    <w:rsid w:val="3247BB23"/>
    <w:rsid w:val="33E38B84"/>
    <w:rsid w:val="3441546B"/>
    <w:rsid w:val="3C326568"/>
    <w:rsid w:val="42E47024"/>
    <w:rsid w:val="4462428F"/>
    <w:rsid w:val="505AC48A"/>
    <w:rsid w:val="51B2CCEC"/>
    <w:rsid w:val="52BD60D7"/>
    <w:rsid w:val="583F9783"/>
    <w:rsid w:val="626A7006"/>
    <w:rsid w:val="62CAFA23"/>
    <w:rsid w:val="6F53C37D"/>
    <w:rsid w:val="716C56C1"/>
    <w:rsid w:val="747E6CB0"/>
    <w:rsid w:val="783EFF57"/>
    <w:rsid w:val="7D3D542F"/>
    <w:rsid w:val="7E044F43"/>
    <w:rsid w:val="7F86F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DE690921-0794-4867-9AAC-2A8B3714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C16"/>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9657E9"/>
    <w:pPr>
      <w:numPr>
        <w:numId w:val="23"/>
      </w:numPr>
      <w:tabs>
        <w:tab w:val="left" w:pos="820"/>
      </w:tabs>
      <w:spacing w:before="120" w:after="120"/>
      <w:outlineLvl w:val="0"/>
    </w:pPr>
    <w:rPr>
      <w:rFonts w:ascii="Griffith Sans Text" w:eastAsiaTheme="majorEastAsia" w:hAnsi="Griffith Sans Text"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EB6E6D"/>
    <w:pPr>
      <w:numPr>
        <w:ilvl w:val="1"/>
        <w:numId w:val="24"/>
      </w:numPr>
      <w:tabs>
        <w:tab w:val="left" w:pos="1276"/>
      </w:tabs>
      <w:spacing w:before="120" w:after="120"/>
      <w:ind w:left="1276"/>
      <w:outlineLvl w:val="1"/>
    </w:pPr>
    <w:rPr>
      <w:rFonts w:ascii="Griffith Sans Text" w:eastAsiaTheme="majorEastAsia" w:hAnsi="Griffith Sans Text" w:cs="Times New Roman (Headings CS)"/>
      <w:b/>
      <w:bCs/>
      <w:color w:val="E51F30"/>
      <w:kern w:val="2"/>
      <w:sz w:val="28"/>
      <w:lang w:eastAsia="en-GB"/>
      <w14:ligatures w14:val="all"/>
    </w:rPr>
  </w:style>
  <w:style w:type="paragraph" w:styleId="Heading3">
    <w:name w:val="heading 3"/>
    <w:next w:val="Normal"/>
    <w:link w:val="Heading3Char"/>
    <w:autoRedefine/>
    <w:uiPriority w:val="9"/>
    <w:unhideWhenUsed/>
    <w:qFormat/>
    <w:rsid w:val="00ED4804"/>
    <w:pPr>
      <w:numPr>
        <w:ilvl w:val="2"/>
        <w:numId w:val="8"/>
      </w:numPr>
      <w:spacing w:before="120" w:after="120"/>
      <w:outlineLvl w:val="2"/>
    </w:pPr>
    <w:rPr>
      <w:rFonts w:ascii="Griffith Sans Text" w:eastAsiaTheme="majorEastAsia" w:hAnsi="Griffith Sans Text" w:cs="Times New Roman (Headings CS)"/>
      <w:b/>
      <w:kern w:val="2"/>
    </w:rPr>
  </w:style>
  <w:style w:type="paragraph" w:styleId="Heading4">
    <w:name w:val="heading 4"/>
    <w:aliases w:val="Table Heading"/>
    <w:basedOn w:val="Normal"/>
    <w:next w:val="Normal"/>
    <w:link w:val="Heading4Char"/>
    <w:autoRedefine/>
    <w:uiPriority w:val="9"/>
    <w:unhideWhenUsed/>
    <w:qFormat/>
    <w:rsid w:val="00B86085"/>
    <w:pPr>
      <w:keepNext/>
      <w:keepLines/>
      <w:spacing w:before="100" w:after="100"/>
      <w:ind w:right="146"/>
      <w:outlineLvl w:val="3"/>
    </w:pPr>
    <w:rPr>
      <w:rFonts w:eastAsiaTheme="majorEastAsia" w:cs="Times New Roman (Headings CS)"/>
      <w:b/>
      <w:bCs/>
      <w:iCs/>
      <w:caps/>
      <w:sz w:val="24"/>
    </w:rPr>
  </w:style>
  <w:style w:type="paragraph" w:styleId="Heading5">
    <w:name w:val="heading 5"/>
    <w:basedOn w:val="Normal"/>
    <w:next w:val="Normal"/>
    <w:link w:val="Heading5Char"/>
    <w:uiPriority w:val="9"/>
    <w:unhideWhenUsed/>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397C1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397C1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97C1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57E9"/>
    <w:rPr>
      <w:rFonts w:ascii="Griffith Sans Text" w:eastAsiaTheme="majorEastAsia" w:hAnsi="Griffith Sans Text" w:cs="Times New Roman (Headings CS)"/>
      <w:b/>
      <w:bCs/>
      <w:iCs/>
      <w:color w:val="E51F30"/>
      <w:kern w:val="2"/>
      <w:sz w:val="32"/>
      <w:szCs w:val="26"/>
      <w14:ligatures w14:val="all"/>
    </w:rPr>
  </w:style>
  <w:style w:type="character" w:customStyle="1" w:styleId="Heading2Char">
    <w:name w:val="Heading 2 Char"/>
    <w:link w:val="Heading2"/>
    <w:uiPriority w:val="9"/>
    <w:rsid w:val="00EB6E6D"/>
    <w:rPr>
      <w:rFonts w:ascii="Griffith Sans Text" w:eastAsiaTheme="majorEastAsia" w:hAnsi="Griffith Sans Text" w:cs="Times New Roman (Headings CS)"/>
      <w:b/>
      <w:bCs/>
      <w:color w:val="E51F30"/>
      <w:kern w:val="2"/>
      <w:sz w:val="28"/>
      <w:lang w:eastAsia="en-GB"/>
      <w14:ligatures w14:val="all"/>
    </w:rPr>
  </w:style>
  <w:style w:type="character" w:customStyle="1" w:styleId="Heading3Char">
    <w:name w:val="Heading 3 Char"/>
    <w:link w:val="Heading3"/>
    <w:uiPriority w:val="9"/>
    <w:rsid w:val="00ED4804"/>
    <w:rPr>
      <w:rFonts w:ascii="Griffith Sans Text" w:eastAsiaTheme="majorEastAsia" w:hAnsi="Griffith Sans Text" w:cs="Times New Roman (Headings CS)"/>
      <w:b/>
      <w:kern w:val="2"/>
    </w:rPr>
  </w:style>
  <w:style w:type="character" w:customStyle="1" w:styleId="Heading4Char">
    <w:name w:val="Heading 4 Char"/>
    <w:aliases w:val="Table Heading Char"/>
    <w:link w:val="Heading4"/>
    <w:uiPriority w:val="9"/>
    <w:rsid w:val="00B86085"/>
    <w:rPr>
      <w:rFonts w:ascii="Arial" w:eastAsiaTheme="majorEastAsia" w:hAnsi="Arial" w:cs="Times New Roman (Headings CS)"/>
      <w:b/>
      <w:bCs/>
      <w:iCs/>
      <w:cap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next w:val="TOC1"/>
    <w:link w:val="TitleChar"/>
    <w:uiPriority w:val="10"/>
    <w:qFormat/>
    <w:rsid w:val="00397C16"/>
    <w:pPr>
      <w:spacing w:after="240"/>
    </w:pPr>
    <w:rPr>
      <w:rFonts w:ascii="Griffith Sans Text" w:eastAsiaTheme="majorEastAsia" w:hAnsi="Griffith Sans Text" w:cs="Times New Roman (Headings CS)"/>
      <w:b/>
      <w:bCs/>
      <w:iCs/>
      <w:color w:val="E51F30"/>
      <w:kern w:val="2"/>
      <w:sz w:val="52"/>
      <w:szCs w:val="32"/>
      <w14:ligatures w14:val="all"/>
    </w:rPr>
  </w:style>
  <w:style w:type="character" w:customStyle="1" w:styleId="TitleChar">
    <w:name w:val="Title Char"/>
    <w:link w:val="Title"/>
    <w:uiPriority w:val="10"/>
    <w:rsid w:val="00397C16"/>
    <w:rPr>
      <w:rFonts w:ascii="Griffith Sans Text" w:eastAsiaTheme="majorEastAsia" w:hAnsi="Griffith Sans Text"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397C16"/>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397C16"/>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397C16"/>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397C1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397C16"/>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i/>
      <w:iCs/>
      <w:color w:val="BB0F10"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397C16"/>
    <w:pPr>
      <w:spacing w:before="240" w:after="60"/>
      <w:outlineLvl w:val="9"/>
    </w:pPr>
    <w:rPr>
      <w:rFonts w:asciiTheme="majorHAnsi" w:hAnsiTheme="majorHAnsi"/>
      <w:caps/>
      <w:color w:val="auto"/>
      <w:kern w:val="32"/>
      <w:szCs w:val="32"/>
    </w:rPr>
  </w:style>
  <w:style w:type="paragraph" w:styleId="Header">
    <w:name w:val="header"/>
    <w:basedOn w:val="Normal"/>
    <w:link w:val="HeaderChar"/>
    <w:unhideWhenUsed/>
    <w:qFormat/>
    <w:rsid w:val="00397C16"/>
    <w:pPr>
      <w:jc w:val="right"/>
    </w:pPr>
    <w:rPr>
      <w:rFonts w:ascii="Griffith Sans Text" w:hAnsi="Griffith Sans Text"/>
      <w:b/>
      <w:bCs/>
      <w:noProof/>
      <w:color w:val="FFFFFF" w:themeColor="background1"/>
      <w:sz w:val="52"/>
      <w:szCs w:val="52"/>
    </w:rPr>
  </w:style>
  <w:style w:type="character" w:customStyle="1" w:styleId="HeaderChar">
    <w:name w:val="Header Char"/>
    <w:basedOn w:val="DefaultParagraphFont"/>
    <w:link w:val="Header"/>
    <w:rsid w:val="00397C16"/>
    <w:rPr>
      <w:rFonts w:ascii="Griffith Sans Text" w:hAnsi="Griffith Sans Text" w:cs="Arial"/>
      <w:b/>
      <w:bCs/>
      <w:noProof/>
      <w:color w:val="FFFFFF" w:themeColor="background1"/>
      <w:kern w:val="2"/>
      <w:sz w:val="52"/>
      <w:szCs w:val="52"/>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335DDB"/>
    <w:pPr>
      <w:tabs>
        <w:tab w:val="center" w:pos="4513"/>
        <w:tab w:val="right" w:pos="9026"/>
      </w:tabs>
      <w:spacing w:before="0" w:after="0"/>
      <w:jc w:val="right"/>
    </w:pPr>
    <w:rPr>
      <w:color w:val="7F7F7F" w:themeColor="text1" w:themeTint="80"/>
      <w:sz w:val="18"/>
      <w:szCs w:val="18"/>
    </w:rPr>
  </w:style>
  <w:style w:type="numbering" w:customStyle="1" w:styleId="CurrentList5">
    <w:name w:val="Current List5"/>
    <w:uiPriority w:val="99"/>
    <w:rsid w:val="0050449E"/>
    <w:pPr>
      <w:numPr>
        <w:numId w:val="5"/>
      </w:numPr>
    </w:pPr>
  </w:style>
  <w:style w:type="paragraph" w:customStyle="1" w:styleId="TableHeading1">
    <w:name w:val="Table Heading 1"/>
    <w:next w:val="Normal"/>
    <w:autoRedefine/>
    <w:qFormat/>
    <w:rsid w:val="008F75E7"/>
    <w:pPr>
      <w:spacing w:before="200" w:after="0"/>
    </w:pPr>
    <w:rPr>
      <w:rFonts w:ascii="Griffith Sans Text" w:eastAsiaTheme="majorEastAsia" w:hAnsi="Griffith Sans Text" w:cs="Times New Roman (Headings CS)"/>
      <w:b/>
      <w:bCs/>
      <w:iCs/>
      <w:color w:val="E51F30"/>
      <w:kern w:val="2"/>
      <w:sz w:val="28"/>
      <w:szCs w:val="28"/>
      <w14:ligatures w14:val="all"/>
    </w:rPr>
  </w:style>
  <w:style w:type="numbering" w:customStyle="1" w:styleId="CurrentList6">
    <w:name w:val="Current List6"/>
    <w:uiPriority w:val="99"/>
    <w:rsid w:val="0050449E"/>
    <w:pPr>
      <w:numPr>
        <w:numId w:val="6"/>
      </w:numPr>
    </w:pPr>
  </w:style>
  <w:style w:type="paragraph" w:customStyle="1" w:styleId="Tablebullet">
    <w:name w:val="Table bullet"/>
    <w:basedOn w:val="BulletPoints"/>
    <w:autoRedefine/>
    <w:qFormat/>
    <w:rsid w:val="00255E99"/>
    <w:pPr>
      <w:ind w:left="357" w:right="227" w:hanging="357"/>
    </w:pPr>
  </w:style>
  <w:style w:type="paragraph" w:customStyle="1" w:styleId="Tablesideheading">
    <w:name w:val="Table side heading"/>
    <w:basedOn w:val="TableContents"/>
    <w:autoRedefine/>
    <w:qFormat/>
    <w:rsid w:val="00290B70"/>
    <w:rPr>
      <w:b/>
    </w:r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397C16"/>
    <w:rPr>
      <w:rFonts w:ascii="Arial" w:hAnsi="Arial"/>
      <w:color w:val="E30918"/>
      <w:sz w:val="22"/>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unhideWhenUsed/>
    <w:qFormat/>
    <w:rsid w:val="007C70B4"/>
    <w:pPr>
      <w:tabs>
        <w:tab w:val="right" w:leader="dot" w:pos="10536"/>
      </w:tabs>
      <w:spacing w:after="0" w:line="240" w:lineRule="auto"/>
    </w:pPr>
    <w:rPr>
      <w:rFonts w:ascii="Arial" w:hAnsi="Arial" w:cs="Arial"/>
      <w:noProof/>
      <w:color w:val="E51F30"/>
      <w:kern w:val="2"/>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335DDB"/>
    <w:rPr>
      <w:rFonts w:ascii="Arial" w:hAnsi="Arial" w:cs="Arial"/>
      <w:color w:val="7F7F7F" w:themeColor="text1" w:themeTint="80"/>
      <w:kern w:val="2"/>
      <w:sz w:val="18"/>
      <w:szCs w:val="18"/>
    </w:rPr>
  </w:style>
  <w:style w:type="character" w:styleId="PageNumber">
    <w:name w:val="page number"/>
    <w:basedOn w:val="DefaultParagraphFont"/>
    <w:uiPriority w:val="99"/>
    <w:semiHidden/>
    <w:unhideWhenUsed/>
    <w:rsid w:val="00A144B2"/>
  </w:style>
  <w:style w:type="paragraph" w:customStyle="1" w:styleId="Tablebullet2">
    <w:name w:val="Table bullet 2"/>
    <w:basedOn w:val="Tablebullet"/>
    <w:qFormat/>
    <w:rsid w:val="00D17506"/>
    <w:pPr>
      <w:numPr>
        <w:ilvl w:val="1"/>
        <w:numId w:val="11"/>
      </w:numPr>
    </w:pPr>
  </w:style>
  <w:style w:type="paragraph" w:styleId="TOC2">
    <w:name w:val="toc 2"/>
    <w:basedOn w:val="Normal"/>
    <w:next w:val="Normal"/>
    <w:autoRedefine/>
    <w:uiPriority w:val="39"/>
    <w:unhideWhenUsed/>
    <w:rsid w:val="008F75E7"/>
    <w:pPr>
      <w:spacing w:after="100"/>
      <w:ind w:left="220"/>
    </w:pPr>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paragraph" w:styleId="Revision">
    <w:name w:val="Revision"/>
    <w:hidden/>
    <w:uiPriority w:val="99"/>
    <w:semiHidden/>
    <w:rsid w:val="00EF5597"/>
    <w:pPr>
      <w:spacing w:after="0" w:line="240" w:lineRule="auto"/>
    </w:pPr>
    <w:rPr>
      <w:rFonts w:ascii="Arial" w:hAnsi="Arial" w:cs="Arial"/>
      <w:kern w:val="2"/>
    </w:rPr>
  </w:style>
  <w:style w:type="character" w:styleId="UnresolvedMention">
    <w:name w:val="Unresolved Mention"/>
    <w:basedOn w:val="DefaultParagraphFont"/>
    <w:uiPriority w:val="99"/>
    <w:rsid w:val="007225FE"/>
    <w:rPr>
      <w:color w:val="605E5C"/>
      <w:shd w:val="clear" w:color="auto" w:fill="E1DFDD"/>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103DE9"/>
    <w:rPr>
      <w:sz w:val="16"/>
      <w:szCs w:val="16"/>
    </w:rPr>
  </w:style>
  <w:style w:type="paragraph" w:customStyle="1" w:styleId="H3Normal">
    <w:name w:val="H3 Normal"/>
    <w:basedOn w:val="Normal"/>
    <w:next w:val="Normal"/>
    <w:autoRedefine/>
    <w:qFormat/>
    <w:rsid w:val="00397C16"/>
    <w:pPr>
      <w:ind w:left="1134"/>
    </w:pPr>
  </w:style>
  <w:style w:type="paragraph" w:customStyle="1" w:styleId="H2SecondBulletPoint">
    <w:name w:val="H2 Second Bullet Point"/>
    <w:basedOn w:val="Normal"/>
    <w:qFormat/>
    <w:rsid w:val="00397C16"/>
    <w:pPr>
      <w:numPr>
        <w:numId w:val="9"/>
      </w:numPr>
    </w:pPr>
    <w:rPr>
      <w:color w:val="000000" w:themeColor="text1"/>
    </w:rPr>
  </w:style>
  <w:style w:type="paragraph" w:customStyle="1" w:styleId="H3BulletPoint">
    <w:name w:val="H3 Bullet Point"/>
    <w:basedOn w:val="Normal"/>
    <w:autoRedefine/>
    <w:qFormat/>
    <w:rsid w:val="00397C16"/>
    <w:pPr>
      <w:numPr>
        <w:numId w:val="10"/>
      </w:numPr>
    </w:pPr>
  </w:style>
  <w:style w:type="paragraph" w:customStyle="1" w:styleId="H3SecondBulletPoint">
    <w:name w:val="H3 Second Bullet Point"/>
    <w:basedOn w:val="Normal"/>
    <w:qFormat/>
    <w:rsid w:val="00397C16"/>
    <w:pPr>
      <w:numPr>
        <w:ilvl w:val="1"/>
        <w:numId w:val="10"/>
      </w:numPr>
    </w:pPr>
  </w:style>
  <w:style w:type="paragraph" w:customStyle="1" w:styleId="H1BulletPoints">
    <w:name w:val="H1 Bullet Points"/>
    <w:basedOn w:val="Normal"/>
    <w:autoRedefine/>
    <w:qFormat/>
    <w:rsid w:val="0076036F"/>
    <w:pPr>
      <w:numPr>
        <w:numId w:val="11"/>
      </w:numPr>
    </w:pPr>
  </w:style>
  <w:style w:type="paragraph" w:customStyle="1" w:styleId="H2Normal">
    <w:name w:val="H2 Normal"/>
    <w:basedOn w:val="Normal"/>
    <w:autoRedefine/>
    <w:qFormat/>
    <w:rsid w:val="00397C16"/>
    <w:pPr>
      <w:ind w:left="284" w:firstLine="425"/>
    </w:pPr>
  </w:style>
  <w:style w:type="paragraph" w:customStyle="1" w:styleId="H1Numberedlist">
    <w:name w:val="H1 Numbered list"/>
    <w:basedOn w:val="Normal"/>
    <w:autoRedefine/>
    <w:qFormat/>
    <w:rsid w:val="008E7F02"/>
    <w:pPr>
      <w:numPr>
        <w:numId w:val="12"/>
      </w:numPr>
      <w:ind w:left="709"/>
    </w:pPr>
    <w:rPr>
      <w:color w:val="000000" w:themeColor="text1"/>
    </w:rPr>
  </w:style>
  <w:style w:type="paragraph" w:customStyle="1" w:styleId="H2BulletPoints">
    <w:name w:val="H2 Bullet Points"/>
    <w:basedOn w:val="Normal"/>
    <w:next w:val="H2Normal"/>
    <w:autoRedefine/>
    <w:qFormat/>
    <w:rsid w:val="00397C16"/>
    <w:pPr>
      <w:numPr>
        <w:numId w:val="13"/>
      </w:numPr>
    </w:pPr>
  </w:style>
  <w:style w:type="paragraph" w:customStyle="1" w:styleId="TableContents">
    <w:name w:val="Table Contents"/>
    <w:basedOn w:val="Normal"/>
    <w:autoRedefine/>
    <w:qFormat/>
    <w:rsid w:val="00E753B1"/>
    <w:pPr>
      <w:tabs>
        <w:tab w:val="left" w:pos="785"/>
      </w:tabs>
      <w:ind w:right="4"/>
    </w:pPr>
  </w:style>
  <w:style w:type="paragraph" w:customStyle="1" w:styleId="H2NumberedList">
    <w:name w:val="H2 Numbered List"/>
    <w:link w:val="H2NumberedListChar"/>
    <w:autoRedefine/>
    <w:qFormat/>
    <w:rsid w:val="0087374C"/>
    <w:pPr>
      <w:numPr>
        <w:numId w:val="14"/>
      </w:numPr>
      <w:spacing w:before="120" w:after="120" w:line="240" w:lineRule="auto"/>
      <w:ind w:left="993"/>
    </w:pPr>
    <w:rPr>
      <w:rFonts w:ascii="Arial" w:hAnsi="Arial" w:cs="Arial"/>
      <w:kern w:val="2"/>
      <w:lang w:eastAsia="en-GB"/>
    </w:rPr>
  </w:style>
  <w:style w:type="character" w:customStyle="1" w:styleId="H2NumberedListChar">
    <w:name w:val="H2 Numbered List Char"/>
    <w:basedOn w:val="DefaultParagraphFont"/>
    <w:link w:val="H2NumberedList"/>
    <w:rsid w:val="0087374C"/>
    <w:rPr>
      <w:rFonts w:ascii="Arial" w:hAnsi="Arial" w:cs="Arial"/>
      <w:kern w:val="2"/>
      <w:lang w:eastAsia="en-GB"/>
    </w:rPr>
  </w:style>
  <w:style w:type="paragraph" w:customStyle="1" w:styleId="H2LetteredList">
    <w:name w:val="H2 Lettered List"/>
    <w:link w:val="H2LetteredListChar"/>
    <w:autoRedefine/>
    <w:qFormat/>
    <w:rsid w:val="0087374C"/>
    <w:pPr>
      <w:numPr>
        <w:numId w:val="15"/>
      </w:numPr>
      <w:spacing w:before="120" w:after="120" w:line="240" w:lineRule="auto"/>
    </w:pPr>
    <w:rPr>
      <w:rFonts w:ascii="Arial" w:hAnsi="Arial" w:cs="Arial"/>
      <w:kern w:val="2"/>
      <w:lang w:eastAsia="en-GB"/>
    </w:rPr>
  </w:style>
  <w:style w:type="character" w:customStyle="1" w:styleId="H2LetteredListChar">
    <w:name w:val="H2 Lettered List Char"/>
    <w:basedOn w:val="DefaultParagraphFont"/>
    <w:link w:val="H2LetteredList"/>
    <w:rsid w:val="0087374C"/>
    <w:rPr>
      <w:rFonts w:ascii="Arial" w:hAnsi="Arial" w:cs="Arial"/>
      <w:kern w:val="2"/>
      <w:lang w:eastAsia="en-GB"/>
    </w:rPr>
  </w:style>
  <w:style w:type="paragraph" w:customStyle="1" w:styleId="H1LetteredList">
    <w:name w:val="H1 Lettered List"/>
    <w:link w:val="H1LetteredListChar"/>
    <w:autoRedefine/>
    <w:qFormat/>
    <w:rsid w:val="0036771E"/>
    <w:pPr>
      <w:numPr>
        <w:numId w:val="16"/>
      </w:numPr>
      <w:spacing w:before="120" w:after="120" w:line="240" w:lineRule="auto"/>
    </w:pPr>
    <w:rPr>
      <w:rFonts w:ascii="Arial" w:hAnsi="Arial" w:cs="Arial"/>
      <w:kern w:val="2"/>
      <w:shd w:val="clear" w:color="auto" w:fill="FFFFFF"/>
    </w:rPr>
  </w:style>
  <w:style w:type="character" w:customStyle="1" w:styleId="H1LetteredListChar">
    <w:name w:val="H1 Lettered List Char"/>
    <w:basedOn w:val="DefaultParagraphFont"/>
    <w:link w:val="H1LetteredList"/>
    <w:rsid w:val="0036771E"/>
    <w:rPr>
      <w:rFonts w:ascii="Arial" w:hAnsi="Arial" w:cs="Arial"/>
      <w:kern w:val="2"/>
    </w:rPr>
  </w:style>
  <w:style w:type="paragraph" w:customStyle="1" w:styleId="H3NumberedList">
    <w:name w:val="H3 Numbered List"/>
    <w:link w:val="H3NumberedListChar"/>
    <w:autoRedefine/>
    <w:qFormat/>
    <w:rsid w:val="00397C16"/>
    <w:pPr>
      <w:numPr>
        <w:numId w:val="17"/>
      </w:numPr>
      <w:spacing w:before="120" w:after="120" w:line="240" w:lineRule="auto"/>
    </w:pPr>
    <w:rPr>
      <w:rFonts w:ascii="Arial" w:eastAsiaTheme="majorEastAsia" w:hAnsi="Arial" w:cs="Arial"/>
      <w:color w:val="000000"/>
      <w:kern w:val="2"/>
      <w:shd w:val="clear" w:color="auto" w:fill="FFFFFF"/>
    </w:rPr>
  </w:style>
  <w:style w:type="character" w:customStyle="1" w:styleId="H3NumberedListChar">
    <w:name w:val="H3 Numbered List Char"/>
    <w:basedOn w:val="DefaultParagraphFont"/>
    <w:link w:val="H3NumberedList"/>
    <w:rsid w:val="00397C16"/>
    <w:rPr>
      <w:rFonts w:ascii="Arial" w:eastAsiaTheme="majorEastAsia" w:hAnsi="Arial" w:cs="Arial"/>
      <w:color w:val="000000"/>
      <w:kern w:val="2"/>
    </w:rPr>
  </w:style>
  <w:style w:type="paragraph" w:customStyle="1" w:styleId="H3LetteredList">
    <w:name w:val="H3 Lettered List"/>
    <w:link w:val="H3LetteredListChar"/>
    <w:autoRedefine/>
    <w:qFormat/>
    <w:rsid w:val="00397C16"/>
    <w:pPr>
      <w:numPr>
        <w:numId w:val="18"/>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397C16"/>
    <w:rPr>
      <w:rFonts w:ascii="Arial" w:hAnsi="Arial" w:cs="Arial"/>
      <w:kern w:val="2"/>
    </w:rPr>
  </w:style>
  <w:style w:type="paragraph" w:styleId="CommentText">
    <w:name w:val="annotation text"/>
    <w:basedOn w:val="Normal"/>
    <w:link w:val="CommentTextChar"/>
    <w:uiPriority w:val="99"/>
    <w:unhideWhenUsed/>
    <w:rsid w:val="00103DE9"/>
    <w:rPr>
      <w:szCs w:val="20"/>
      <w:lang w:eastAsia="en-US"/>
    </w:rPr>
  </w:style>
  <w:style w:type="character" w:customStyle="1" w:styleId="CommentTextChar">
    <w:name w:val="Comment Text Char"/>
    <w:basedOn w:val="DefaultParagraphFont"/>
    <w:link w:val="CommentText"/>
    <w:uiPriority w:val="99"/>
    <w:rsid w:val="00103DE9"/>
    <w:rPr>
      <w:rFonts w:ascii="Arial" w:hAnsi="Arial" w:cs="Arial"/>
      <w:kern w:val="2"/>
      <w:szCs w:val="20"/>
      <w:lang w:eastAsia="en-US"/>
    </w:rPr>
  </w:style>
  <w:style w:type="paragraph" w:customStyle="1" w:styleId="NumberedListLevel4">
    <w:name w:val="Numbered List Level 4"/>
    <w:basedOn w:val="Normal"/>
    <w:link w:val="NumberedListLevel4Char"/>
    <w:rsid w:val="00103DE9"/>
    <w:pPr>
      <w:numPr>
        <w:numId w:val="19"/>
      </w:numPr>
      <w:contextualSpacing/>
    </w:pPr>
  </w:style>
  <w:style w:type="character" w:customStyle="1" w:styleId="NumberedListLevel4Char">
    <w:name w:val="Numbered List Level 4 Char"/>
    <w:basedOn w:val="DefaultParagraphFont"/>
    <w:link w:val="NumberedListLevel4"/>
    <w:rsid w:val="00103DE9"/>
    <w:rPr>
      <w:rFonts w:ascii="Arial" w:hAnsi="Arial" w:cs="Arial"/>
      <w:kern w:val="2"/>
    </w:rPr>
  </w:style>
  <w:style w:type="paragraph" w:styleId="CommentSubject">
    <w:name w:val="annotation subject"/>
    <w:basedOn w:val="CommentText"/>
    <w:next w:val="CommentText"/>
    <w:link w:val="CommentSubjectChar"/>
    <w:uiPriority w:val="99"/>
    <w:semiHidden/>
    <w:unhideWhenUsed/>
    <w:rsid w:val="00C011E3"/>
    <w:rPr>
      <w:b/>
      <w:bCs/>
      <w:sz w:val="20"/>
      <w:lang w:eastAsia="en-AU"/>
    </w:rPr>
  </w:style>
  <w:style w:type="character" w:customStyle="1" w:styleId="CommentSubjectChar">
    <w:name w:val="Comment Subject Char"/>
    <w:basedOn w:val="CommentTextChar"/>
    <w:link w:val="CommentSubject"/>
    <w:uiPriority w:val="99"/>
    <w:semiHidden/>
    <w:rsid w:val="00C011E3"/>
    <w:rPr>
      <w:rFonts w:ascii="Arial" w:hAnsi="Arial" w:cs="Arial"/>
      <w:b/>
      <w:bCs/>
      <w:kern w:val="2"/>
      <w:sz w:val="20"/>
      <w:szCs w:val="20"/>
      <w:lang w:eastAsia="en-US"/>
    </w:rPr>
  </w:style>
  <w:style w:type="paragraph" w:customStyle="1" w:styleId="BulletPoints">
    <w:name w:val="Bullet Points"/>
    <w:basedOn w:val="Normal"/>
    <w:rsid w:val="00313BB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hmrc.gov.au/about-us/publications/australian-code-responsible-conduct-research-2018" TargetMode="External"/><Relationship Id="rId39" Type="http://schemas.openxmlformats.org/officeDocument/2006/relationships/hyperlink" Target="https://sharepointpubstor.blob.core.windows.net/policylibrary-prod/Student%20General%20Conduct%20Procedure.pdf"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sharepointpubstor.blob.core.windows.net/policylibrary-prod/Student%20Review%20and%20Appeals%20Policy_T1-2024.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ies.griffith.edu.au/pdf/The%20Responsible%20Conduct%20of%20Research.pdf" TargetMode="External"/><Relationship Id="rId17" Type="http://schemas.openxmlformats.org/officeDocument/2006/relationships/header" Target="header3.xml"/><Relationship Id="rId25" Type="http://schemas.openxmlformats.org/officeDocument/2006/relationships/hyperlink" Target="https://policies.griffith.edu.au/pdf/The%20Responsible%20Conduct%20of%20Research.pdf" TargetMode="External"/><Relationship Id="rId33" Type="http://schemas.openxmlformats.org/officeDocument/2006/relationships/hyperlink" Target="https://sharepointpubstor.blob.core.windows.net/policylibrary-prod/Student%20Critical%20Incident%20Management%20Policy.pdf" TargetMode="External"/><Relationship Id="rId38" Type="http://schemas.openxmlformats.org/officeDocument/2006/relationships/hyperlink" Target="https://sharepointpubstor.blob.core.windows.net/policylibrary-prod/Student%20Breaches%20of%20Academic%20Integrity%20Procedur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ped-editors.org/wp-content/uploads/2021/05/Guidelines-for-Editing-Research-Theses.pdf" TargetMode="External"/><Relationship Id="rId29" Type="http://schemas.openxmlformats.org/officeDocument/2006/relationships/hyperlink" Target="https://sharepointpubstor.blob.core.windows.net/policylibrary-prod/Assessment%20Policy.pdf" TargetMode="External"/><Relationship Id="rId41" Type="http://schemas.openxmlformats.org/officeDocument/2006/relationships/hyperlink" Target="https://griffitheduau.sharepoint.com/sites/academic-integrity/SitePages/SAIMS-Job-Aid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publications/australian-code-responsible-conduct-research-2018" TargetMode="External"/><Relationship Id="rId24" Type="http://schemas.openxmlformats.org/officeDocument/2006/relationships/hyperlink" Target="https://www.nhmrc.gov.au/about-us/publications/australian-code-responsible-conduct-research-2018" TargetMode="External"/><Relationship Id="rId32" Type="http://schemas.openxmlformats.org/officeDocument/2006/relationships/hyperlink" Target="https://sharepointpubstor.blob.core.windows.net/policylibrary-prod/Student%20Conduct%20Safety%20and%20Wellbeing%20Policy.pdf" TargetMode="External"/><Relationship Id="rId37" Type="http://schemas.openxmlformats.org/officeDocument/2006/relationships/hyperlink" Target="https://www.griffith.edu.au/__data/assets/pdf_file/0030/905655/Research-Integrity-Breaches-Procedure-Final-Draft-v3.3-4Nov19.pdf" TargetMode="External"/><Relationship Id="rId40" Type="http://schemas.openxmlformats.org/officeDocument/2006/relationships/hyperlink" Target="https://sharepointpubstor.blob.core.windows.net/policylibrary-prod/Student%20Review%20and%20Appeals%20Procedures.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riffith.edu.au/academic-integrity" TargetMode="External"/><Relationship Id="rId28" Type="http://schemas.openxmlformats.org/officeDocument/2006/relationships/hyperlink" Target="https://sharepointpubstor.blob.core.windows.net/policylibrary-prod/Admission%20Policy.pdf" TargetMode="External"/><Relationship Id="rId36" Type="http://schemas.openxmlformats.org/officeDocument/2006/relationships/hyperlink" Target="https://sharepointpubstor.blob.core.windows.net/policylibrary-prod/Higher%20Degree%20by%20Research%20Academic%20Progress%20Procedure.pdf" TargetMode="External"/><Relationship Id="rId10" Type="http://schemas.openxmlformats.org/officeDocument/2006/relationships/endnotes" Target="endnotes.xml"/><Relationship Id="rId19" Type="http://schemas.openxmlformats.org/officeDocument/2006/relationships/hyperlink" Target="https://www.iped-editors.org/wp-content/uploads/2021/05/Guidelines-for-Editing-Research-Theses.pdf" TargetMode="External"/><Relationship Id="rId31" Type="http://schemas.openxmlformats.org/officeDocument/2006/relationships/hyperlink" Target="https://sharepointpubstor.blob.core.windows.net/policylibrary-prod/Student%20Charter%20Framework.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www.legislation.gov.au/Details/F2022C00105" TargetMode="External"/><Relationship Id="rId30" Type="http://schemas.openxmlformats.org/officeDocument/2006/relationships/hyperlink" Target="https://sharepointpubstor.blob.core.windows.net/policylibrary-prod/Higher%20Degree%20by%20Research%20Policy.pdf" TargetMode="External"/><Relationship Id="rId35" Type="http://schemas.openxmlformats.org/officeDocument/2006/relationships/hyperlink" Target="https://sharepointpubstor.blob.core.windows.net/policylibrary-prod/Academic%20Progress%20Procedure.pdf" TargetMode="Externa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E530D6"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E530D6"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E530D6"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E530D6"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Display">
    <w:panose1 w:val="00000000000000000000"/>
    <w:charset w:val="00"/>
    <w:family w:val="modern"/>
    <w:notTrueType/>
    <w:pitch w:val="variable"/>
    <w:sig w:usb0="A00000AF" w:usb1="0000305B" w:usb2="00000000" w:usb3="00000000" w:csb0="00000093"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FoundrySterling-Light">
    <w:altName w:val="Cambria"/>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738DB"/>
    <w:rsid w:val="001815A7"/>
    <w:rsid w:val="00192F85"/>
    <w:rsid w:val="00313965"/>
    <w:rsid w:val="003B09A5"/>
    <w:rsid w:val="00473329"/>
    <w:rsid w:val="00611D29"/>
    <w:rsid w:val="00671EF9"/>
    <w:rsid w:val="006E73B0"/>
    <w:rsid w:val="00797073"/>
    <w:rsid w:val="007F5D07"/>
    <w:rsid w:val="008011BC"/>
    <w:rsid w:val="00811ECC"/>
    <w:rsid w:val="00885BC3"/>
    <w:rsid w:val="00B20EC1"/>
    <w:rsid w:val="00D24D85"/>
    <w:rsid w:val="00D97934"/>
    <w:rsid w:val="00E53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551</Value>
      <Value>518</Value>
      <Value>77</Value>
      <Value>574</Value>
    </TaxCatchAll>
    <SharedWithUsers xmlns="b40c662e-0380-4817-843d-2c7e10d40c39">
      <UserInfo>
        <DisplayName/>
        <AccountId xsi:nil="true"/>
        <AccountType/>
      </UserInfo>
    </SharedWithUsers>
    <PublishOn xmlns="2f261a70-825f-4a37-b7b5-f6ecc2f4c5fa">2024-01-08T03:40:21+00:00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These guidelines support the Student Academic Integrity Policy and Student Breaches of Academic Integrity Procedure by outlining the ways in which breaches of academic integrity may take place in a range of teaching, student research and assessment environments, including online.</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2024-04-02T14:00:00+00:00</LastPublished>
    <doccomments xmlns="2f261a70-825f-4a37-b7b5-f6ecc2f4c5fa">Approved by Provost as Approving Authority (via email 22/12/2023) for implementation effective Trimester 1 2024.
26/03/2024 - Standing COO editorial updates - under Related Policy Documents - Student Administration Policy has been rescinded replaced with Admission Policy, effective T1 2024.
03/04/2024 - Standing COO Admin editorial approval - Rescinded Student Charter links/references updated to new Student Charter Framework.</doccomments>
    <datedeclared xmlns="2f261a70-825f-4a37-b7b5-f6ecc2f4c5fa">2023-12-21T14:00:00+00:00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4E2D9-94BD-4D5B-B146-B3A7EB147A78}">
  <ds:schemaRefs>
    <ds:schemaRef ds:uri="http://schemas.openxmlformats.org/officeDocument/2006/bibliography"/>
  </ds:schemaRefs>
</ds:datastoreItem>
</file>

<file path=customXml/itemProps2.xml><?xml version="1.0" encoding="utf-8"?>
<ds:datastoreItem xmlns:ds="http://schemas.openxmlformats.org/officeDocument/2006/customXml" ds:itemID="{641A1722-CD28-40A6-9502-E1C6131E7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057-6B15-4853-B8C3-1649F412EDCA}">
  <ds:schemaRefs>
    <ds:schemaRef ds:uri="http://purl.org/dc/terms/"/>
    <ds:schemaRef ds:uri="2f261a70-825f-4a37-b7b5-f6ecc2f4c5f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0c662e-0380-4817-843d-2c7e10d40c39"/>
    <ds:schemaRef ds:uri="http://www.w3.org/XML/1998/namespace"/>
    <ds:schemaRef ds:uri="http://purl.org/dc/dcmitype/"/>
  </ds:schemaRefs>
</ds:datastoreItem>
</file>

<file path=customXml/itemProps4.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15</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Direction: Identifying and Preventing Breaches of Academic Integrity Guidelines</dc:title>
  <dc:subject/>
  <dc:creator>Jen Lofgren</dc:creator>
  <cp:keywords/>
  <cp:lastModifiedBy>Donna Kalaentzis</cp:lastModifiedBy>
  <cp:revision>2</cp:revision>
  <dcterms:created xsi:type="dcterms:W3CDTF">2024-04-10T05:55:00Z</dcterms:created>
  <dcterms:modified xsi:type="dcterms:W3CDTF">2024-04-10T05:55:00Z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44600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458c0ebd16e41671c57c764693b5ac58c1a68afb964c4432d18227bd19f8fedd</vt:lpwstr>
  </property>
  <property fmtid="{D5CDD505-2E9C-101B-9397-08002B2CF9AE}" pid="16" name="policysection">
    <vt:lpwstr/>
  </property>
  <property fmtid="{D5CDD505-2E9C-101B-9397-08002B2CF9AE}" pid="17" name="appauthority">
    <vt:lpwstr>559;#Provost|bee6e04a-89d5-44a2-a3ef-d33cdfe1b4af</vt:lpwstr>
  </property>
  <property fmtid="{D5CDD505-2E9C-101B-9397-08002B2CF9AE}" pid="18" name="policycategory">
    <vt:lpwstr/>
  </property>
  <property fmtid="{D5CDD505-2E9C-101B-9397-08002B2CF9AE}" pid="19" name="officearea">
    <vt:lpwstr>551;#Student Life|10f28419-8eea-4122-9bbc-3c3d69c6fcc4</vt:lpwstr>
  </property>
  <property fmtid="{D5CDD505-2E9C-101B-9397-08002B2CF9AE}" pid="20" name="policy-category">
    <vt:lpwstr>518;#Learning and Teaching|446e0cdd-d096-4b26-b8f8-0a6485e32142</vt:lpwstr>
  </property>
  <property fmtid="{D5CDD505-2E9C-101B-9397-08002B2CF9AE}" pid="21" name="glossaryterms">
    <vt:lpwstr/>
  </property>
  <property fmtid="{D5CDD505-2E9C-101B-9397-08002B2CF9AE}" pid="22" name="policyaudience">
    <vt:lpwstr>77;#Staff|45ee306d-49ae-43fa-a3ef-02f70754fd2d</vt:lpwstr>
  </property>
  <property fmtid="{D5CDD505-2E9C-101B-9397-08002B2CF9AE}" pid="23" name="policyreview">
    <vt:lpwstr>574;#2029|3cd3c4e6-7c0a-49e2-a93f-12d21594ce65</vt:lpwstr>
  </property>
  <property fmtid="{D5CDD505-2E9C-101B-9397-08002B2CF9AE}" pid="24" name="Managed_Testing_Field">
    <vt:lpwstr/>
  </property>
</Properties>
</file>