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18544381" w:rsidR="00F471E2" w:rsidRPr="00F7147F" w:rsidRDefault="00F50553" w:rsidP="008D030A">
      <w:pPr>
        <w:pStyle w:val="ContentsHeading1"/>
        <w:pBdr>
          <w:bottom w:val="none" w:sz="0" w:space="0" w:color="auto"/>
        </w:pBdr>
        <w:rPr>
          <w:rFonts w:ascii="Arial" w:hAnsi="Arial" w:cs="Arial"/>
          <w:sz w:val="48"/>
          <w:szCs w:val="48"/>
        </w:rPr>
      </w:pPr>
      <w:bookmarkStart w:id="0" w:name="_Ref20321537"/>
      <w:r>
        <w:rPr>
          <w:rFonts w:ascii="Arial" w:hAnsi="Arial" w:cs="Arial"/>
          <w:sz w:val="48"/>
          <w:szCs w:val="48"/>
        </w:rPr>
        <w:t>Space Management</w:t>
      </w:r>
    </w:p>
    <w:bookmarkStart w:id="1" w:name="_Ref20411738"/>
    <w:bookmarkStart w:id="2" w:name="_Ref20411785"/>
    <w:p w14:paraId="757C4A4A" w14:textId="6E5891A1" w:rsidR="00997DEA" w:rsidRPr="004F01DA" w:rsidRDefault="00997DEA"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_Ref20480964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shd w:val="clear" w:color="auto" w:fill="FFFFFF"/>
        </w:rPr>
        <w:t>1.0 Purpose</w:t>
      </w:r>
      <w:r w:rsidRPr="004F01DA">
        <w:rPr>
          <w:rFonts w:ascii="Copernicus Medium" w:hAnsi="Copernicus Medium" w:cs="Arial"/>
          <w:b/>
          <w:bCs/>
          <w:color w:val="E30918"/>
          <w:sz w:val="24"/>
          <w:szCs w:val="24"/>
          <w:shd w:val="clear" w:color="auto" w:fill="FFFFFF"/>
        </w:rPr>
        <w:fldChar w:fldCharType="end"/>
      </w:r>
    </w:p>
    <w:p w14:paraId="1370E53A" w14:textId="2520FEDA" w:rsidR="00997DEA" w:rsidRPr="004F01DA" w:rsidRDefault="00997DEA"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_Ref20480989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2.0 Scope</w:t>
      </w:r>
      <w:r w:rsidRPr="004F01DA">
        <w:rPr>
          <w:rFonts w:ascii="Copernicus Medium" w:hAnsi="Copernicus Medium" w:cs="Arial"/>
          <w:b/>
          <w:bCs/>
          <w:color w:val="E30918"/>
          <w:sz w:val="24"/>
          <w:szCs w:val="24"/>
          <w:shd w:val="clear" w:color="auto" w:fill="FFFFFF"/>
        </w:rPr>
        <w:fldChar w:fldCharType="end"/>
      </w:r>
    </w:p>
    <w:p w14:paraId="50B92993" w14:textId="254499BC" w:rsidR="00997DEA" w:rsidRDefault="00997DEA"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_Ref20481014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3.0 Procedure</w:t>
      </w:r>
      <w:r w:rsidRPr="004F01DA">
        <w:rPr>
          <w:rFonts w:ascii="Copernicus Medium" w:hAnsi="Copernicus Medium" w:cs="Arial"/>
          <w:b/>
          <w:bCs/>
          <w:color w:val="E30918"/>
          <w:sz w:val="24"/>
          <w:szCs w:val="24"/>
          <w:shd w:val="clear" w:color="auto" w:fill="FFFFFF"/>
        </w:rPr>
        <w:fldChar w:fldCharType="end"/>
      </w:r>
    </w:p>
    <w:p w14:paraId="53CA93CB" w14:textId="381ACC60" w:rsidR="00B57117" w:rsidRPr="004F01DA" w:rsidRDefault="00FE4C15" w:rsidP="00EF61B2">
      <w:pPr>
        <w:spacing w:after="0"/>
        <w:ind w:left="720"/>
        <w:rPr>
          <w:rFonts w:ascii="Copernicus Medium" w:hAnsi="Copernicus Medium" w:cs="Arial"/>
          <w:b/>
          <w:bCs/>
          <w:color w:val="E30918"/>
          <w:sz w:val="24"/>
          <w:szCs w:val="24"/>
          <w:shd w:val="clear" w:color="auto" w:fill="FFFFFF"/>
        </w:rPr>
      </w:pPr>
      <w:r w:rsidRPr="00FE4C15">
        <w:rPr>
          <w:rStyle w:val="Hyperlink"/>
          <w:rFonts w:cs="Arial"/>
          <w:b/>
          <w:bCs/>
          <w:sz w:val="24"/>
          <w:szCs w:val="24"/>
          <w:shd w:val="clear" w:color="auto" w:fill="FFFFFF"/>
        </w:rPr>
        <w:t xml:space="preserve">I </w:t>
      </w:r>
      <w:hyperlink w:anchor="_3.1_Space_Needs" w:history="1">
        <w:r w:rsidR="00B57117" w:rsidRPr="006A472B">
          <w:rPr>
            <w:rStyle w:val="Hyperlink"/>
            <w:rFonts w:ascii="Copernicus Medium" w:hAnsi="Copernicus Medium" w:cs="Arial"/>
            <w:b/>
            <w:bCs/>
            <w:sz w:val="24"/>
            <w:szCs w:val="24"/>
            <w:shd w:val="clear" w:color="auto" w:fill="FFFFFF"/>
          </w:rPr>
          <w:t xml:space="preserve">3.1 </w:t>
        </w:r>
        <w:r w:rsidR="0094086B" w:rsidRPr="006A472B">
          <w:rPr>
            <w:rStyle w:val="Hyperlink"/>
            <w:rFonts w:ascii="Copernicus Medium" w:hAnsi="Copernicus Medium" w:cs="Arial"/>
            <w:b/>
            <w:bCs/>
            <w:sz w:val="24"/>
            <w:szCs w:val="24"/>
            <w:shd w:val="clear" w:color="auto" w:fill="FFFFFF"/>
          </w:rPr>
          <w:t>Space Needs Investment</w:t>
        </w:r>
      </w:hyperlink>
      <w:r w:rsidR="00C97759" w:rsidRPr="006A472B">
        <w:rPr>
          <w:rFonts w:ascii="Copernicus Medium" w:hAnsi="Copernicus Medium" w:cs="Arial"/>
          <w:b/>
          <w:bCs/>
          <w:color w:val="E30918"/>
          <w:sz w:val="24"/>
          <w:szCs w:val="24"/>
          <w:shd w:val="clear" w:color="auto" w:fill="FFFFFF"/>
        </w:rPr>
        <w:t xml:space="preserve"> I</w:t>
      </w:r>
      <w:r w:rsidR="00B57117" w:rsidRPr="006A472B">
        <w:rPr>
          <w:rFonts w:ascii="Copernicus Medium" w:hAnsi="Copernicus Medium" w:cs="Arial"/>
          <w:b/>
          <w:bCs/>
          <w:color w:val="E30918"/>
          <w:sz w:val="24"/>
          <w:szCs w:val="24"/>
          <w:shd w:val="clear" w:color="auto" w:fill="FFFFFF"/>
        </w:rPr>
        <w:t xml:space="preserve"> </w:t>
      </w:r>
      <w:hyperlink w:anchor="_3.3_&lt;Insert_sub-heading&gt;" w:history="1">
        <w:r w:rsidR="00B57117" w:rsidRPr="006A472B">
          <w:rPr>
            <w:rStyle w:val="Hyperlink"/>
            <w:rFonts w:ascii="Copernicus Medium" w:hAnsi="Copernicus Medium" w:cs="Arial"/>
            <w:b/>
            <w:bCs/>
            <w:sz w:val="24"/>
            <w:szCs w:val="24"/>
            <w:shd w:val="clear" w:color="auto" w:fill="FFFFFF"/>
          </w:rPr>
          <w:t xml:space="preserve">3.2 </w:t>
        </w:r>
        <w:r w:rsidR="006A472B" w:rsidRPr="006A472B">
          <w:rPr>
            <w:rStyle w:val="Hyperlink"/>
            <w:rFonts w:ascii="Copernicus Medium" w:hAnsi="Copernicus Medium" w:cs="Arial"/>
            <w:b/>
            <w:bCs/>
            <w:sz w:val="24"/>
            <w:szCs w:val="24"/>
            <w:shd w:val="clear" w:color="auto" w:fill="FFFFFF"/>
          </w:rPr>
          <w:t>Space Allocation</w:t>
        </w:r>
      </w:hyperlink>
      <w:r w:rsidR="006A472B" w:rsidRPr="006A472B">
        <w:rPr>
          <w:rFonts w:ascii="Copernicus Medium" w:hAnsi="Copernicus Medium" w:cs="Arial"/>
          <w:b/>
          <w:bCs/>
          <w:color w:val="E30918"/>
          <w:sz w:val="24"/>
          <w:szCs w:val="24"/>
          <w:shd w:val="clear" w:color="auto" w:fill="FFFFFF"/>
        </w:rPr>
        <w:t xml:space="preserve"> </w:t>
      </w:r>
      <w:hyperlink w:anchor="_3.3_Space_Management" w:history="1">
        <w:r w:rsidR="00C97759" w:rsidRPr="006A472B">
          <w:rPr>
            <w:rStyle w:val="Hyperlink"/>
            <w:rFonts w:ascii="Copernicus Medium" w:hAnsi="Copernicus Medium" w:cs="Arial"/>
            <w:b/>
            <w:bCs/>
            <w:sz w:val="24"/>
            <w:szCs w:val="24"/>
            <w:shd w:val="clear" w:color="auto" w:fill="FFFFFF"/>
          </w:rPr>
          <w:t>I 3.3</w:t>
        </w:r>
        <w:r w:rsidR="00744C5E">
          <w:rPr>
            <w:rStyle w:val="Hyperlink"/>
            <w:rFonts w:ascii="Copernicus Medium" w:hAnsi="Copernicus Medium" w:cs="Arial"/>
            <w:b/>
            <w:bCs/>
            <w:sz w:val="24"/>
            <w:szCs w:val="24"/>
            <w:shd w:val="clear" w:color="auto" w:fill="FFFFFF"/>
          </w:rPr>
          <w:t xml:space="preserve"> Space Management</w:t>
        </w:r>
        <w:r w:rsidR="00C97759" w:rsidRPr="006A472B">
          <w:rPr>
            <w:rStyle w:val="Hyperlink"/>
            <w:rFonts w:ascii="Copernicus Medium" w:hAnsi="Copernicus Medium" w:cs="Arial"/>
            <w:b/>
            <w:bCs/>
            <w:sz w:val="24"/>
            <w:szCs w:val="24"/>
            <w:shd w:val="clear" w:color="auto" w:fill="FFFFFF"/>
          </w:rPr>
          <w:t xml:space="preserve"> I</w:t>
        </w:r>
      </w:hyperlink>
      <w:r w:rsidR="00EF61B2">
        <w:rPr>
          <w:rStyle w:val="Hyperlink"/>
          <w:rFonts w:ascii="Copernicus Medium" w:hAnsi="Copernicus Medium" w:cs="Arial"/>
          <w:b/>
          <w:bCs/>
          <w:sz w:val="24"/>
          <w:szCs w:val="24"/>
          <w:shd w:val="clear" w:color="auto" w:fill="FFFFFF"/>
        </w:rPr>
        <w:t xml:space="preserve"> </w:t>
      </w:r>
      <w:hyperlink w:anchor="_3.4_Space_Reassignment" w:history="1">
        <w:r w:rsidR="00EF61B2" w:rsidRPr="00EF61B2">
          <w:rPr>
            <w:rStyle w:val="Hyperlink"/>
            <w:rFonts w:ascii="Copernicus Medium" w:hAnsi="Copernicus Medium" w:cs="Arial"/>
            <w:b/>
            <w:bCs/>
            <w:sz w:val="24"/>
            <w:szCs w:val="24"/>
            <w:shd w:val="clear" w:color="auto" w:fill="FFFFFF"/>
          </w:rPr>
          <w:t>3.4 Space Reassignment</w:t>
        </w:r>
      </w:hyperlink>
      <w:r w:rsidR="00EF61B2">
        <w:rPr>
          <w:rStyle w:val="Hyperlink"/>
          <w:rFonts w:ascii="Copernicus Medium" w:hAnsi="Copernicus Medium" w:cs="Arial"/>
          <w:b/>
          <w:bCs/>
          <w:sz w:val="24"/>
          <w:szCs w:val="24"/>
          <w:shd w:val="clear" w:color="auto" w:fill="FFFFFF"/>
        </w:rPr>
        <w:t xml:space="preserve"> I </w:t>
      </w:r>
      <w:hyperlink w:anchor="_3.5_Vacated_Space" w:history="1">
        <w:r w:rsidR="00EF61B2" w:rsidRPr="00E14CB6">
          <w:rPr>
            <w:rStyle w:val="Hyperlink"/>
            <w:rFonts w:ascii="Copernicus Medium" w:hAnsi="Copernicus Medium" w:cs="Arial"/>
            <w:b/>
            <w:bCs/>
            <w:sz w:val="24"/>
            <w:szCs w:val="24"/>
            <w:shd w:val="clear" w:color="auto" w:fill="FFFFFF"/>
          </w:rPr>
          <w:t>3.5 Vacated Space</w:t>
        </w:r>
      </w:hyperlink>
      <w:r w:rsidR="00EF61B2">
        <w:rPr>
          <w:rStyle w:val="Hyperlink"/>
          <w:rFonts w:ascii="Copernicus Medium" w:hAnsi="Copernicus Medium" w:cs="Arial"/>
          <w:b/>
          <w:bCs/>
          <w:sz w:val="24"/>
          <w:szCs w:val="24"/>
          <w:shd w:val="clear" w:color="auto" w:fill="FFFFFF"/>
        </w:rPr>
        <w:t xml:space="preserve"> I</w:t>
      </w:r>
      <w:hyperlink w:anchor="_3.6_Sharing_Space" w:history="1">
        <w:r w:rsidR="002C2BEA" w:rsidRPr="00E14CB6">
          <w:rPr>
            <w:rStyle w:val="Hyperlink"/>
            <w:rFonts w:ascii="Copernicus Medium" w:hAnsi="Copernicus Medium" w:cs="Arial"/>
            <w:b/>
            <w:bCs/>
            <w:sz w:val="24"/>
            <w:szCs w:val="24"/>
            <w:shd w:val="clear" w:color="auto" w:fill="FFFFFF"/>
          </w:rPr>
          <w:t xml:space="preserve"> 3.6 Sharing Space</w:t>
        </w:r>
      </w:hyperlink>
      <w:r w:rsidR="002C2BEA">
        <w:rPr>
          <w:rStyle w:val="Hyperlink"/>
          <w:rFonts w:ascii="Copernicus Medium" w:hAnsi="Copernicus Medium" w:cs="Arial"/>
          <w:b/>
          <w:bCs/>
          <w:sz w:val="24"/>
          <w:szCs w:val="24"/>
          <w:shd w:val="clear" w:color="auto" w:fill="FFFFFF"/>
        </w:rPr>
        <w:t xml:space="preserve"> I </w:t>
      </w:r>
      <w:hyperlink w:anchor="_3.7_Leased_/" w:history="1">
        <w:r w:rsidR="002C2BEA" w:rsidRPr="00E14CB6">
          <w:rPr>
            <w:rStyle w:val="Hyperlink"/>
            <w:rFonts w:ascii="Copernicus Medium" w:hAnsi="Copernicus Medium" w:cs="Arial"/>
            <w:b/>
            <w:bCs/>
            <w:sz w:val="24"/>
            <w:szCs w:val="24"/>
            <w:shd w:val="clear" w:color="auto" w:fill="FFFFFF"/>
          </w:rPr>
          <w:t>3.7 Leased / Licensed Space</w:t>
        </w:r>
      </w:hyperlink>
      <w:r w:rsidR="002C2BEA">
        <w:rPr>
          <w:rStyle w:val="Hyperlink"/>
          <w:rFonts w:ascii="Copernicus Medium" w:hAnsi="Copernicus Medium" w:cs="Arial"/>
          <w:b/>
          <w:bCs/>
          <w:sz w:val="24"/>
          <w:szCs w:val="24"/>
          <w:shd w:val="clear" w:color="auto" w:fill="FFFFFF"/>
        </w:rPr>
        <w:t xml:space="preserve"> I </w:t>
      </w:r>
      <w:hyperlink w:anchor="_3.8_Furniture_and" w:history="1">
        <w:r w:rsidRPr="00E14CB6">
          <w:rPr>
            <w:rStyle w:val="Hyperlink"/>
            <w:rFonts w:ascii="Copernicus Medium" w:hAnsi="Copernicus Medium" w:cs="Arial"/>
            <w:b/>
            <w:bCs/>
            <w:sz w:val="24"/>
            <w:szCs w:val="24"/>
            <w:shd w:val="clear" w:color="auto" w:fill="FFFFFF"/>
          </w:rPr>
          <w:t>3.8 Furniture and Equipment</w:t>
        </w:r>
      </w:hyperlink>
      <w:r>
        <w:rPr>
          <w:rStyle w:val="Hyperlink"/>
          <w:rFonts w:ascii="Copernicus Medium" w:hAnsi="Copernicus Medium" w:cs="Arial"/>
          <w:b/>
          <w:bCs/>
          <w:sz w:val="24"/>
          <w:szCs w:val="24"/>
          <w:shd w:val="clear" w:color="auto" w:fill="FFFFFF"/>
        </w:rPr>
        <w:t xml:space="preserve"> I </w:t>
      </w:r>
      <w:hyperlink w:anchor="_3.9_Space_Reporting" w:history="1">
        <w:r w:rsidRPr="00E14CB6">
          <w:rPr>
            <w:rStyle w:val="Hyperlink"/>
            <w:rFonts w:ascii="Copernicus Medium" w:hAnsi="Copernicus Medium" w:cs="Arial"/>
            <w:b/>
            <w:bCs/>
            <w:sz w:val="24"/>
            <w:szCs w:val="24"/>
            <w:shd w:val="clear" w:color="auto" w:fill="FFFFFF"/>
          </w:rPr>
          <w:t>3.9 Space Reporting</w:t>
        </w:r>
      </w:hyperlink>
      <w:r>
        <w:rPr>
          <w:rStyle w:val="Hyperlink"/>
          <w:rFonts w:ascii="Copernicus Medium" w:hAnsi="Copernicus Medium" w:cs="Arial"/>
          <w:b/>
          <w:bCs/>
          <w:sz w:val="24"/>
          <w:szCs w:val="24"/>
          <w:shd w:val="clear" w:color="auto" w:fill="FFFFFF"/>
        </w:rPr>
        <w:t xml:space="preserve"> I</w:t>
      </w:r>
      <w:hyperlink w:anchor="_3.10_Material_Change" w:history="1">
        <w:r w:rsidRPr="00834CEE">
          <w:rPr>
            <w:rStyle w:val="Hyperlink"/>
            <w:rFonts w:ascii="Copernicus Medium" w:hAnsi="Copernicus Medium" w:cs="Arial"/>
            <w:b/>
            <w:bCs/>
            <w:sz w:val="24"/>
            <w:szCs w:val="24"/>
            <w:shd w:val="clear" w:color="auto" w:fill="FFFFFF"/>
          </w:rPr>
          <w:t xml:space="preserve"> 3.10 Material Change</w:t>
        </w:r>
      </w:hyperlink>
      <w:r>
        <w:rPr>
          <w:rStyle w:val="Hyperlink"/>
          <w:rFonts w:ascii="Copernicus Medium" w:hAnsi="Copernicus Medium" w:cs="Arial"/>
          <w:b/>
          <w:bCs/>
          <w:sz w:val="24"/>
          <w:szCs w:val="24"/>
          <w:shd w:val="clear" w:color="auto" w:fill="FFFFFF"/>
        </w:rPr>
        <w:t xml:space="preserve"> I</w:t>
      </w:r>
    </w:p>
    <w:p w14:paraId="4A6E6A60" w14:textId="17B75C33" w:rsidR="00997DEA" w:rsidRPr="004F01DA" w:rsidRDefault="00997DEA" w:rsidP="00E3370E">
      <w:pPr>
        <w:spacing w:after="24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_Ref20320732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 xml:space="preserve">4.0 </w:t>
      </w:r>
      <w:r w:rsidR="00CD4C02" w:rsidRPr="006A472B">
        <w:rPr>
          <w:rFonts w:ascii="Copernicus Medium" w:hAnsi="Copernicus Medium" w:cs="Arial"/>
          <w:b/>
          <w:bCs/>
          <w:color w:val="E30918"/>
          <w:sz w:val="24"/>
          <w:szCs w:val="24"/>
        </w:rPr>
        <w:t>Definitions</w:t>
      </w:r>
      <w:r w:rsidRPr="004F01DA">
        <w:rPr>
          <w:rFonts w:ascii="Copernicus Medium" w:hAnsi="Copernicus Medium" w:cs="Arial"/>
          <w:b/>
          <w:bCs/>
          <w:color w:val="E30918"/>
          <w:sz w:val="24"/>
          <w:szCs w:val="24"/>
          <w:shd w:val="clear" w:color="auto" w:fill="FFFFFF"/>
        </w:rPr>
        <w:fldChar w:fldCharType="end"/>
      </w:r>
    </w:p>
    <w:p w14:paraId="2E800012" w14:textId="1BD2C619" w:rsidR="00BC55CF" w:rsidRDefault="00BC55CF" w:rsidP="00E235C1">
      <w:pPr>
        <w:pStyle w:val="Heading2"/>
        <w:ind w:left="426" w:hanging="426"/>
        <w:rPr>
          <w:shd w:val="clear" w:color="auto" w:fill="FFFFFF"/>
        </w:rPr>
      </w:pPr>
      <w:bookmarkStart w:id="3" w:name="_Ref20480964"/>
      <w:r>
        <w:rPr>
          <w:shd w:val="clear" w:color="auto" w:fill="FFFFFF"/>
        </w:rPr>
        <w:t xml:space="preserve">1.0 </w:t>
      </w:r>
      <w:r w:rsidRPr="00997DEA">
        <w:rPr>
          <w:shd w:val="clear" w:color="auto" w:fill="FFFFFF"/>
        </w:rPr>
        <w:t>Purpose</w:t>
      </w:r>
      <w:bookmarkEnd w:id="0"/>
      <w:bookmarkEnd w:id="1"/>
      <w:bookmarkEnd w:id="2"/>
      <w:bookmarkEnd w:id="3"/>
    </w:p>
    <w:p w14:paraId="31CB835C" w14:textId="77777777" w:rsidR="00F50553" w:rsidRPr="00EE5CD8" w:rsidRDefault="00F50553" w:rsidP="00F50553">
      <w:pPr>
        <w:jc w:val="both"/>
        <w:rPr>
          <w:rFonts w:ascii="Arial" w:hAnsi="Arial" w:cs="Arial"/>
          <w:shd w:val="clear" w:color="auto" w:fill="FFFFFF"/>
        </w:rPr>
      </w:pPr>
      <w:bookmarkStart w:id="4" w:name="_Hlk69921611"/>
      <w:bookmarkStart w:id="5" w:name="_Ref20318879"/>
      <w:bookmarkStart w:id="6" w:name="_Ref20411801"/>
      <w:bookmarkStart w:id="7" w:name="_Ref20480989"/>
      <w:r>
        <w:rPr>
          <w:rFonts w:ascii="Arial" w:hAnsi="Arial" w:cs="Arial"/>
          <w:shd w:val="clear" w:color="auto" w:fill="FFFFFF"/>
        </w:rPr>
        <w:t>The purpose of this procedure is to establish the processes for the management and allocation of University Campus space to ensure that space is provided to support the University’s strategy and all its activities.</w:t>
      </w:r>
    </w:p>
    <w:bookmarkEnd w:id="4"/>
    <w:p w14:paraId="65297E40" w14:textId="46355ACA" w:rsidR="00F97A5A" w:rsidRPr="00ED12B6" w:rsidRDefault="007706AB" w:rsidP="00E235C1">
      <w:pPr>
        <w:pStyle w:val="Heading2"/>
        <w:ind w:left="426" w:hanging="426"/>
      </w:pPr>
      <w:r>
        <w:t xml:space="preserve">2.0 </w:t>
      </w:r>
      <w:r w:rsidR="00F97A5A">
        <w:t>Scope</w:t>
      </w:r>
      <w:bookmarkEnd w:id="5"/>
      <w:bookmarkEnd w:id="6"/>
      <w:bookmarkEnd w:id="7"/>
    </w:p>
    <w:p w14:paraId="50EB5763" w14:textId="77777777" w:rsidR="00F50553" w:rsidRPr="00EE5CD8" w:rsidRDefault="00F50553" w:rsidP="00F50553">
      <w:pPr>
        <w:spacing w:after="120"/>
        <w:rPr>
          <w:rFonts w:ascii="Arial" w:hAnsi="Arial" w:cs="Arial"/>
          <w:color w:val="000000"/>
          <w:spacing w:val="2"/>
          <w:szCs w:val="20"/>
          <w:shd w:val="clear" w:color="auto" w:fill="FFFFFF"/>
        </w:rPr>
      </w:pPr>
      <w:bookmarkStart w:id="8" w:name="_Ref20318910"/>
      <w:bookmarkStart w:id="9" w:name="_Ref20411814"/>
      <w:bookmarkStart w:id="10" w:name="_Ref20481014"/>
      <w:r>
        <w:rPr>
          <w:rFonts w:ascii="Arial" w:hAnsi="Arial" w:cs="Arial"/>
          <w:color w:val="000000"/>
          <w:spacing w:val="2"/>
          <w:szCs w:val="20"/>
          <w:shd w:val="clear" w:color="auto" w:fill="FFFFFF"/>
        </w:rPr>
        <w:t>This procedure applies to all spaces on all University campuses.</w:t>
      </w:r>
    </w:p>
    <w:p w14:paraId="16734CDB" w14:textId="0DDE130A" w:rsidR="00C91165" w:rsidRDefault="007706AB" w:rsidP="00E235C1">
      <w:pPr>
        <w:pStyle w:val="Heading2"/>
        <w:ind w:left="426" w:hanging="426"/>
      </w:pPr>
      <w:r>
        <w:t xml:space="preserve">3.0 </w:t>
      </w:r>
      <w:r w:rsidR="00C91165">
        <w:t>P</w:t>
      </w:r>
      <w:bookmarkEnd w:id="8"/>
      <w:r w:rsidR="00A71AD8">
        <w:t>rocedure</w:t>
      </w:r>
      <w:bookmarkEnd w:id="9"/>
      <w:bookmarkEnd w:id="10"/>
    </w:p>
    <w:p w14:paraId="38639BCC" w14:textId="77777777" w:rsidR="00F50553" w:rsidRPr="002F4AAA" w:rsidRDefault="00F50553" w:rsidP="008C2171">
      <w:pPr>
        <w:pStyle w:val="NormalWhite"/>
        <w:spacing w:before="80" w:after="80"/>
        <w:jc w:val="both"/>
        <w:rPr>
          <w:rFonts w:ascii="Arial" w:hAnsi="Arial" w:cs="Arial"/>
          <w:color w:val="000000" w:themeColor="text1"/>
          <w:lang w:eastAsia="en-GB"/>
        </w:rPr>
      </w:pPr>
      <w:bookmarkStart w:id="11" w:name="_3.1_&lt;Insert_sub-heading&gt;"/>
      <w:bookmarkEnd w:id="11"/>
      <w:r w:rsidRPr="3E99097E">
        <w:rPr>
          <w:rFonts w:ascii="Arial" w:hAnsi="Arial" w:cs="Arial"/>
          <w:color w:val="000000" w:themeColor="text1"/>
          <w:lang w:eastAsia="en-GB"/>
        </w:rPr>
        <w:t xml:space="preserve">University campus space is a resource which is managed to ensure that: </w:t>
      </w:r>
    </w:p>
    <w:p w14:paraId="605CAD76" w14:textId="77777777" w:rsidR="00F50553" w:rsidRPr="002F4AAA" w:rsidRDefault="00F50553" w:rsidP="008C2171">
      <w:pPr>
        <w:pStyle w:val="NormalWhite"/>
        <w:numPr>
          <w:ilvl w:val="0"/>
          <w:numId w:val="37"/>
        </w:numPr>
        <w:spacing w:before="80" w:after="80"/>
        <w:jc w:val="both"/>
        <w:rPr>
          <w:rFonts w:asciiTheme="minorHAnsi" w:eastAsiaTheme="minorEastAsia" w:hAnsiTheme="minorHAnsi"/>
          <w:color w:val="000000" w:themeColor="text1"/>
          <w:szCs w:val="20"/>
          <w:lang w:eastAsia="en-GB"/>
        </w:rPr>
      </w:pPr>
      <w:r w:rsidRPr="3E99097E">
        <w:rPr>
          <w:rFonts w:ascii="Arial" w:hAnsi="Arial" w:cs="Arial"/>
          <w:color w:val="000000" w:themeColor="text1"/>
          <w:lang w:eastAsia="en-GB"/>
        </w:rPr>
        <w:t xml:space="preserve">a cost-effective space solution for an activity is provided, and </w:t>
      </w:r>
    </w:p>
    <w:p w14:paraId="5E77653A" w14:textId="77777777" w:rsidR="00F50553" w:rsidRPr="002F4AAA" w:rsidRDefault="00F50553" w:rsidP="008C2171">
      <w:pPr>
        <w:pStyle w:val="NormalWhite"/>
        <w:numPr>
          <w:ilvl w:val="0"/>
          <w:numId w:val="37"/>
        </w:numPr>
        <w:spacing w:before="80"/>
        <w:ind w:left="714" w:hanging="357"/>
        <w:jc w:val="both"/>
        <w:rPr>
          <w:color w:val="000000" w:themeColor="text1"/>
          <w:szCs w:val="20"/>
          <w:lang w:eastAsia="en-GB"/>
        </w:rPr>
      </w:pPr>
      <w:r w:rsidRPr="3E99097E">
        <w:rPr>
          <w:rFonts w:ascii="Arial" w:hAnsi="Arial" w:cs="Arial"/>
          <w:color w:val="000000" w:themeColor="text1"/>
          <w:lang w:eastAsia="en-GB"/>
        </w:rPr>
        <w:t>space is used efficiently, is well maintained, and it is fit for purpose.</w:t>
      </w:r>
    </w:p>
    <w:p w14:paraId="25734859" w14:textId="77777777" w:rsidR="00F50553" w:rsidRPr="002F4AAA" w:rsidRDefault="00F50553" w:rsidP="00F50553">
      <w:pPr>
        <w:pStyle w:val="NormalWhite"/>
        <w:jc w:val="both"/>
        <w:rPr>
          <w:rFonts w:ascii="Arial" w:hAnsi="Arial" w:cs="Arial"/>
          <w:color w:val="000000" w:themeColor="text1"/>
          <w:szCs w:val="20"/>
          <w:lang w:eastAsia="en-GB"/>
        </w:rPr>
      </w:pPr>
      <w:r w:rsidRPr="002F4AAA">
        <w:rPr>
          <w:rFonts w:ascii="Arial" w:hAnsi="Arial" w:cs="Arial"/>
          <w:color w:val="000000" w:themeColor="text1"/>
          <w:szCs w:val="20"/>
          <w:lang w:eastAsia="en-GB"/>
        </w:rPr>
        <w:t xml:space="preserve">In accordance with the Facilities </w:t>
      </w:r>
      <w:r>
        <w:rPr>
          <w:rFonts w:ascii="Arial" w:hAnsi="Arial" w:cs="Arial"/>
          <w:color w:val="000000" w:themeColor="text1"/>
          <w:szCs w:val="20"/>
          <w:lang w:eastAsia="en-GB"/>
        </w:rPr>
        <w:t xml:space="preserve">Management and Campus Access and Use </w:t>
      </w:r>
      <w:r w:rsidRPr="002F4AAA">
        <w:rPr>
          <w:rFonts w:ascii="Arial" w:hAnsi="Arial" w:cs="Arial"/>
          <w:color w:val="000000" w:themeColor="text1"/>
          <w:szCs w:val="20"/>
          <w:lang w:eastAsia="en-GB"/>
        </w:rPr>
        <w:t xml:space="preserve">Policy, the Vice Chancellor is </w:t>
      </w:r>
      <w:r>
        <w:rPr>
          <w:rFonts w:ascii="Arial" w:hAnsi="Arial" w:cs="Arial"/>
          <w:color w:val="000000" w:themeColor="text1"/>
          <w:szCs w:val="20"/>
          <w:lang w:eastAsia="en-GB"/>
        </w:rPr>
        <w:t xml:space="preserve">accountable </w:t>
      </w:r>
      <w:r w:rsidRPr="002F4AAA">
        <w:rPr>
          <w:rFonts w:ascii="Arial" w:hAnsi="Arial" w:cs="Arial"/>
          <w:color w:val="000000" w:themeColor="text1"/>
          <w:szCs w:val="20"/>
          <w:lang w:eastAsia="en-GB"/>
        </w:rPr>
        <w:t>for the overall allocation of space within the University. Heads of Campus have a broad role in liaising with Group Pro Vice Chancellors</w:t>
      </w:r>
      <w:r>
        <w:rPr>
          <w:rFonts w:ascii="Arial" w:hAnsi="Arial" w:cs="Arial"/>
          <w:color w:val="000000" w:themeColor="text1"/>
          <w:szCs w:val="20"/>
          <w:lang w:eastAsia="en-GB"/>
        </w:rPr>
        <w:t xml:space="preserve"> and Heads of Element</w:t>
      </w:r>
      <w:r w:rsidRPr="002F4AAA">
        <w:rPr>
          <w:rFonts w:ascii="Arial" w:hAnsi="Arial" w:cs="Arial"/>
          <w:color w:val="000000" w:themeColor="text1"/>
          <w:szCs w:val="20"/>
          <w:lang w:eastAsia="en-GB"/>
        </w:rPr>
        <w:t xml:space="preserve"> to achieve optimal use of academic </w:t>
      </w:r>
      <w:r>
        <w:rPr>
          <w:rFonts w:ascii="Arial" w:hAnsi="Arial" w:cs="Arial"/>
          <w:color w:val="000000" w:themeColor="text1"/>
          <w:szCs w:val="20"/>
          <w:lang w:eastAsia="en-GB"/>
        </w:rPr>
        <w:t xml:space="preserve">and professional </w:t>
      </w:r>
      <w:r w:rsidRPr="002F4AAA">
        <w:rPr>
          <w:rFonts w:ascii="Arial" w:hAnsi="Arial" w:cs="Arial"/>
          <w:color w:val="000000" w:themeColor="text1"/>
          <w:szCs w:val="20"/>
          <w:lang w:eastAsia="en-GB"/>
        </w:rPr>
        <w:t>space across the University’s campuses</w:t>
      </w:r>
      <w:r>
        <w:rPr>
          <w:rFonts w:ascii="Arial" w:hAnsi="Arial" w:cs="Arial"/>
          <w:color w:val="000000" w:themeColor="text1"/>
          <w:szCs w:val="20"/>
          <w:lang w:eastAsia="en-GB"/>
        </w:rPr>
        <w:t>, and ensuring campus space aligns with the campus vision.</w:t>
      </w:r>
    </w:p>
    <w:p w14:paraId="52AB55D9" w14:textId="77777777" w:rsidR="00F50553" w:rsidRPr="002F4AAA" w:rsidRDefault="00F50553" w:rsidP="00F50553">
      <w:pPr>
        <w:pStyle w:val="NormalWhite"/>
        <w:spacing w:after="120"/>
        <w:jc w:val="both"/>
        <w:rPr>
          <w:rFonts w:ascii="Arial" w:hAnsi="Arial" w:cs="Arial"/>
          <w:color w:val="000000" w:themeColor="text1"/>
          <w:lang w:eastAsia="en-GB"/>
        </w:rPr>
      </w:pPr>
      <w:r w:rsidRPr="3E99097E">
        <w:rPr>
          <w:rFonts w:ascii="Arial" w:hAnsi="Arial" w:cs="Arial"/>
          <w:color w:val="000000" w:themeColor="text1"/>
          <w:lang w:eastAsia="en-GB"/>
        </w:rPr>
        <w:t>The following guiding principles apply to the allocation and management of University campus space:</w:t>
      </w:r>
    </w:p>
    <w:p w14:paraId="120945AB" w14:textId="77777777" w:rsidR="00F50553" w:rsidRPr="002F4AAA" w:rsidRDefault="00F50553" w:rsidP="00F50553">
      <w:pPr>
        <w:pStyle w:val="NormalWhite"/>
        <w:numPr>
          <w:ilvl w:val="0"/>
          <w:numId w:val="14"/>
        </w:numPr>
        <w:spacing w:after="120"/>
        <w:ind w:left="284" w:hanging="284"/>
        <w:jc w:val="both"/>
        <w:rPr>
          <w:rFonts w:ascii="Arial" w:hAnsi="Arial" w:cs="Arial"/>
          <w:color w:val="000000" w:themeColor="text1"/>
        </w:rPr>
      </w:pPr>
      <w:r w:rsidRPr="002F4AAA">
        <w:rPr>
          <w:rFonts w:ascii="Arial" w:hAnsi="Arial" w:cs="Arial"/>
          <w:b/>
          <w:bCs/>
          <w:color w:val="000000" w:themeColor="text1"/>
        </w:rPr>
        <w:t>Space is considered as much a University resource as staff or a budget (Op</w:t>
      </w:r>
      <w:r>
        <w:rPr>
          <w:rFonts w:ascii="Arial" w:hAnsi="Arial" w:cs="Arial"/>
          <w:b/>
          <w:bCs/>
          <w:color w:val="000000" w:themeColor="text1"/>
        </w:rPr>
        <w:t>erating</w:t>
      </w:r>
      <w:r w:rsidRPr="002F4AAA">
        <w:rPr>
          <w:rFonts w:ascii="Arial" w:hAnsi="Arial" w:cs="Arial"/>
          <w:b/>
          <w:bCs/>
          <w:color w:val="000000" w:themeColor="text1"/>
        </w:rPr>
        <w:t xml:space="preserve"> Ex</w:t>
      </w:r>
      <w:r>
        <w:rPr>
          <w:rFonts w:ascii="Arial" w:hAnsi="Arial" w:cs="Arial"/>
          <w:b/>
          <w:bCs/>
          <w:color w:val="000000" w:themeColor="text1"/>
        </w:rPr>
        <w:t>penditure</w:t>
      </w:r>
      <w:r w:rsidRPr="002F4AAA">
        <w:rPr>
          <w:rFonts w:ascii="Arial" w:hAnsi="Arial" w:cs="Arial"/>
          <w:b/>
          <w:bCs/>
          <w:color w:val="000000" w:themeColor="text1"/>
        </w:rPr>
        <w:t xml:space="preserve"> and Cap</w:t>
      </w:r>
      <w:r>
        <w:rPr>
          <w:rFonts w:ascii="Arial" w:hAnsi="Arial" w:cs="Arial"/>
          <w:b/>
          <w:bCs/>
          <w:color w:val="000000" w:themeColor="text1"/>
        </w:rPr>
        <w:t>ital</w:t>
      </w:r>
      <w:r w:rsidRPr="002F4AAA">
        <w:rPr>
          <w:rFonts w:ascii="Arial" w:hAnsi="Arial" w:cs="Arial"/>
          <w:b/>
          <w:bCs/>
          <w:color w:val="000000" w:themeColor="text1"/>
        </w:rPr>
        <w:t xml:space="preserve"> Ex</w:t>
      </w:r>
      <w:r>
        <w:rPr>
          <w:rFonts w:ascii="Arial" w:hAnsi="Arial" w:cs="Arial"/>
          <w:b/>
          <w:bCs/>
          <w:color w:val="000000" w:themeColor="text1"/>
        </w:rPr>
        <w:t>penditure</w:t>
      </w:r>
      <w:r w:rsidRPr="002F4AAA">
        <w:rPr>
          <w:rFonts w:ascii="Arial" w:hAnsi="Arial" w:cs="Arial"/>
          <w:b/>
          <w:bCs/>
          <w:color w:val="000000" w:themeColor="text1"/>
        </w:rPr>
        <w:t>).</w:t>
      </w:r>
      <w:r w:rsidRPr="002F4AAA">
        <w:rPr>
          <w:rFonts w:ascii="Arial" w:hAnsi="Arial" w:cs="Arial"/>
          <w:color w:val="000000" w:themeColor="text1"/>
        </w:rPr>
        <w:t xml:space="preserve"> The physical facilities of the University are a crucial</w:t>
      </w:r>
      <w:r>
        <w:rPr>
          <w:rFonts w:ascii="Arial" w:hAnsi="Arial" w:cs="Arial"/>
          <w:color w:val="000000" w:themeColor="text1"/>
        </w:rPr>
        <w:t xml:space="preserve"> asset for</w:t>
      </w:r>
      <w:r w:rsidRPr="002F4AAA">
        <w:rPr>
          <w:rFonts w:ascii="Arial" w:hAnsi="Arial" w:cs="Arial"/>
          <w:color w:val="000000" w:themeColor="text1"/>
        </w:rPr>
        <w:t xml:space="preserve"> the operations of the University. The number, type, and condition of University space helps shape all aspects of campus programs, research</w:t>
      </w:r>
      <w:r>
        <w:rPr>
          <w:rFonts w:ascii="Arial" w:hAnsi="Arial" w:cs="Arial"/>
          <w:color w:val="000000" w:themeColor="text1"/>
        </w:rPr>
        <w:t>,</w:t>
      </w:r>
      <w:r w:rsidRPr="002F4AAA">
        <w:rPr>
          <w:rFonts w:ascii="Arial" w:hAnsi="Arial" w:cs="Arial"/>
          <w:color w:val="000000" w:themeColor="text1"/>
        </w:rPr>
        <w:t xml:space="preserve"> </w:t>
      </w:r>
      <w:r>
        <w:rPr>
          <w:rFonts w:ascii="Arial" w:hAnsi="Arial" w:cs="Arial"/>
          <w:color w:val="000000" w:themeColor="text1"/>
        </w:rPr>
        <w:t>learning and teaching and engagement</w:t>
      </w:r>
      <w:r w:rsidRPr="002F4AAA">
        <w:rPr>
          <w:rFonts w:ascii="Arial" w:hAnsi="Arial" w:cs="Arial"/>
          <w:color w:val="000000" w:themeColor="text1"/>
        </w:rPr>
        <w:t xml:space="preserve"> activities. Space must be used efficiently </w:t>
      </w:r>
      <w:r w:rsidRPr="002F4AAA">
        <w:rPr>
          <w:rFonts w:ascii="Arial" w:hAnsi="Arial" w:cs="Arial"/>
          <w:color w:val="000000" w:themeColor="text1"/>
          <w:lang w:val="en-US"/>
        </w:rPr>
        <w:t>to optimise the University’s capital investment, operating costs, and</w:t>
      </w:r>
      <w:r>
        <w:rPr>
          <w:rFonts w:ascii="Arial" w:hAnsi="Arial" w:cs="Arial"/>
          <w:color w:val="000000" w:themeColor="text1"/>
          <w:lang w:val="en-US"/>
        </w:rPr>
        <w:t xml:space="preserve"> its </w:t>
      </w:r>
      <w:r w:rsidRPr="002F4AAA">
        <w:rPr>
          <w:rFonts w:ascii="Arial" w:hAnsi="Arial" w:cs="Arial"/>
          <w:color w:val="000000" w:themeColor="text1"/>
          <w:lang w:val="en-US"/>
        </w:rPr>
        <w:t>sustainability targets</w:t>
      </w:r>
      <w:r>
        <w:rPr>
          <w:rFonts w:ascii="Arial" w:hAnsi="Arial" w:cs="Arial"/>
          <w:color w:val="000000" w:themeColor="text1"/>
          <w:lang w:val="en-US"/>
        </w:rPr>
        <w:t>.</w:t>
      </w:r>
    </w:p>
    <w:p w14:paraId="08C270D0" w14:textId="77777777" w:rsidR="00F50553" w:rsidRPr="002F4AAA" w:rsidRDefault="00F50553" w:rsidP="00F50553">
      <w:pPr>
        <w:pStyle w:val="NormalWhite"/>
        <w:numPr>
          <w:ilvl w:val="0"/>
          <w:numId w:val="14"/>
        </w:numPr>
        <w:spacing w:after="120"/>
        <w:ind w:left="284" w:hanging="284"/>
        <w:jc w:val="both"/>
        <w:rPr>
          <w:rFonts w:ascii="Arial" w:hAnsi="Arial" w:cs="Arial"/>
          <w:color w:val="000000" w:themeColor="text1"/>
        </w:rPr>
      </w:pPr>
      <w:r w:rsidRPr="002F4AAA">
        <w:rPr>
          <w:rFonts w:ascii="Arial" w:hAnsi="Arial" w:cs="Arial"/>
          <w:b/>
          <w:bCs/>
          <w:color w:val="000000" w:themeColor="text1"/>
        </w:rPr>
        <w:t>Space is a University resource to be allocated in a manner which best advances University priorities</w:t>
      </w:r>
      <w:r w:rsidRPr="002F4AAA">
        <w:rPr>
          <w:rFonts w:ascii="Arial" w:hAnsi="Arial" w:cs="Arial"/>
          <w:color w:val="000000" w:themeColor="text1"/>
        </w:rPr>
        <w:t>. No one Group/</w:t>
      </w:r>
      <w:r w:rsidRPr="002F4AAA" w:rsidDel="008B5DB9">
        <w:rPr>
          <w:rFonts w:ascii="Arial" w:hAnsi="Arial" w:cs="Arial"/>
          <w:color w:val="000000" w:themeColor="text1"/>
        </w:rPr>
        <w:t xml:space="preserve"> </w:t>
      </w:r>
      <w:r w:rsidRPr="002F4AAA">
        <w:rPr>
          <w:rFonts w:ascii="Arial" w:hAnsi="Arial" w:cs="Arial"/>
          <w:color w:val="000000" w:themeColor="text1"/>
        </w:rPr>
        <w:t xml:space="preserve">/Element “owns” space. University space resources should be deployed in the most efficient and effective manner to best serve </w:t>
      </w:r>
      <w:r>
        <w:rPr>
          <w:rFonts w:ascii="Arial" w:hAnsi="Arial" w:cs="Arial"/>
          <w:color w:val="000000" w:themeColor="text1"/>
        </w:rPr>
        <w:t>the University’s S</w:t>
      </w:r>
      <w:r w:rsidRPr="002F4AAA">
        <w:rPr>
          <w:rFonts w:ascii="Arial" w:hAnsi="Arial" w:cs="Arial"/>
          <w:color w:val="000000" w:themeColor="text1"/>
        </w:rPr>
        <w:t>trategic</w:t>
      </w:r>
      <w:r>
        <w:rPr>
          <w:rFonts w:ascii="Arial" w:hAnsi="Arial" w:cs="Arial"/>
          <w:color w:val="000000" w:themeColor="text1"/>
        </w:rPr>
        <w:t xml:space="preserve"> Plan and </w:t>
      </w:r>
      <w:r w:rsidRPr="002F4AAA">
        <w:rPr>
          <w:rFonts w:ascii="Arial" w:hAnsi="Arial" w:cs="Arial"/>
          <w:color w:val="000000" w:themeColor="text1"/>
        </w:rPr>
        <w:t>goals</w:t>
      </w:r>
      <w:r>
        <w:rPr>
          <w:rFonts w:ascii="Arial" w:hAnsi="Arial" w:cs="Arial"/>
          <w:color w:val="000000" w:themeColor="text1"/>
        </w:rPr>
        <w:t>.</w:t>
      </w:r>
    </w:p>
    <w:p w14:paraId="266E9E2D" w14:textId="77777777" w:rsidR="00F50553" w:rsidRPr="002F4AAA" w:rsidRDefault="00F50553" w:rsidP="00F50553">
      <w:pPr>
        <w:pStyle w:val="NormalWhite"/>
        <w:numPr>
          <w:ilvl w:val="0"/>
          <w:numId w:val="14"/>
        </w:numPr>
        <w:spacing w:after="120"/>
        <w:ind w:left="284" w:hanging="284"/>
        <w:jc w:val="both"/>
        <w:rPr>
          <w:rFonts w:ascii="Arial" w:hAnsi="Arial" w:cs="Arial"/>
          <w:color w:val="000000" w:themeColor="text1"/>
        </w:rPr>
      </w:pPr>
      <w:r w:rsidRPr="3E99097E">
        <w:rPr>
          <w:rFonts w:ascii="Arial" w:hAnsi="Arial" w:cs="Arial"/>
          <w:b/>
          <w:bCs/>
          <w:color w:val="000000" w:themeColor="text1"/>
        </w:rPr>
        <w:t>Decisions relating to improvements or reinvestment are made in alignment with the University’s Strategic Plan, set priorities and available resources.</w:t>
      </w:r>
    </w:p>
    <w:p w14:paraId="7CB6EA2D" w14:textId="77777777" w:rsidR="00F50553" w:rsidRPr="002F4AAA" w:rsidRDefault="00F50553" w:rsidP="00F50553">
      <w:pPr>
        <w:pStyle w:val="NormalWhite"/>
        <w:numPr>
          <w:ilvl w:val="0"/>
          <w:numId w:val="14"/>
        </w:numPr>
        <w:spacing w:after="120"/>
        <w:ind w:left="284" w:hanging="284"/>
        <w:jc w:val="both"/>
        <w:rPr>
          <w:rFonts w:ascii="Arial" w:hAnsi="Arial" w:cs="Arial"/>
          <w:color w:val="000000" w:themeColor="text1"/>
        </w:rPr>
      </w:pPr>
      <w:r w:rsidRPr="002F4AAA">
        <w:rPr>
          <w:rFonts w:ascii="Arial" w:hAnsi="Arial" w:cs="Arial"/>
          <w:b/>
          <w:bCs/>
          <w:color w:val="000000" w:themeColor="text1"/>
        </w:rPr>
        <w:t>University space may be reassigned in response to emerging needs.</w:t>
      </w:r>
      <w:r w:rsidRPr="002F4AAA">
        <w:rPr>
          <w:rFonts w:ascii="Arial" w:hAnsi="Arial" w:cs="Arial"/>
          <w:color w:val="000000" w:themeColor="text1"/>
        </w:rPr>
        <w:t xml:space="preserve"> The University values flexibility and recognises the </w:t>
      </w:r>
      <w:r>
        <w:rPr>
          <w:rFonts w:ascii="Arial" w:hAnsi="Arial" w:cs="Arial"/>
          <w:color w:val="000000" w:themeColor="text1"/>
        </w:rPr>
        <w:t xml:space="preserve">need for </w:t>
      </w:r>
      <w:r w:rsidRPr="002F4AAA">
        <w:rPr>
          <w:rFonts w:ascii="Arial" w:hAnsi="Arial" w:cs="Arial"/>
          <w:color w:val="000000" w:themeColor="text1"/>
        </w:rPr>
        <w:t>chang</w:t>
      </w:r>
      <w:r>
        <w:rPr>
          <w:rFonts w:ascii="Arial" w:hAnsi="Arial" w:cs="Arial"/>
          <w:color w:val="000000" w:themeColor="text1"/>
        </w:rPr>
        <w:t>es in</w:t>
      </w:r>
      <w:r w:rsidRPr="002F4AAA">
        <w:rPr>
          <w:rFonts w:ascii="Arial" w:hAnsi="Arial" w:cs="Arial"/>
          <w:color w:val="000000" w:themeColor="text1"/>
        </w:rPr>
        <w:t xml:space="preserve"> curricula</w:t>
      </w:r>
      <w:r>
        <w:rPr>
          <w:rFonts w:ascii="Arial" w:hAnsi="Arial" w:cs="Arial"/>
          <w:color w:val="000000" w:themeColor="text1"/>
        </w:rPr>
        <w:t>, pedagogy</w:t>
      </w:r>
      <w:r w:rsidRPr="002F4AAA">
        <w:rPr>
          <w:rFonts w:ascii="Arial" w:hAnsi="Arial" w:cs="Arial"/>
          <w:color w:val="000000" w:themeColor="text1"/>
        </w:rPr>
        <w:t>, program</w:t>
      </w:r>
      <w:r>
        <w:rPr>
          <w:rFonts w:ascii="Arial" w:hAnsi="Arial" w:cs="Arial"/>
          <w:color w:val="000000" w:themeColor="text1"/>
        </w:rPr>
        <w:t>s</w:t>
      </w:r>
      <w:r w:rsidRPr="002F4AAA">
        <w:rPr>
          <w:rFonts w:ascii="Arial" w:hAnsi="Arial" w:cs="Arial"/>
          <w:color w:val="000000" w:themeColor="text1"/>
        </w:rPr>
        <w:t xml:space="preserve">, and technologies. Accordingly, space assignments will change </w:t>
      </w:r>
      <w:r>
        <w:rPr>
          <w:rFonts w:ascii="Arial" w:hAnsi="Arial" w:cs="Arial"/>
          <w:color w:val="000000" w:themeColor="text1"/>
        </w:rPr>
        <w:t xml:space="preserve">from time to time </w:t>
      </w:r>
      <w:r w:rsidRPr="002F4AAA">
        <w:rPr>
          <w:rFonts w:ascii="Arial" w:hAnsi="Arial" w:cs="Arial"/>
          <w:color w:val="000000" w:themeColor="text1"/>
        </w:rPr>
        <w:t>to achieve optimal utilisation and respond to current and emerging needs.</w:t>
      </w:r>
      <w:r>
        <w:rPr>
          <w:rFonts w:ascii="Arial" w:hAnsi="Arial" w:cs="Arial"/>
          <w:color w:val="000000" w:themeColor="text1"/>
        </w:rPr>
        <w:t xml:space="preserve"> Reassignment must recognise and give due consideration to the investment Groups have made in particular spaces locally that are core to their function.</w:t>
      </w:r>
    </w:p>
    <w:p w14:paraId="1042CBA5" w14:textId="77777777" w:rsidR="00F50553" w:rsidRPr="002F4AAA" w:rsidRDefault="00F50553" w:rsidP="00F50553">
      <w:pPr>
        <w:pStyle w:val="NormalWhite"/>
        <w:numPr>
          <w:ilvl w:val="0"/>
          <w:numId w:val="14"/>
        </w:numPr>
        <w:spacing w:after="120"/>
        <w:ind w:left="284" w:hanging="284"/>
        <w:jc w:val="both"/>
        <w:rPr>
          <w:rFonts w:ascii="Arial" w:hAnsi="Arial" w:cs="Arial"/>
          <w:color w:val="000000" w:themeColor="text1"/>
        </w:rPr>
      </w:pPr>
      <w:r w:rsidRPr="002F4AAA">
        <w:rPr>
          <w:rFonts w:ascii="Arial" w:hAnsi="Arial" w:cs="Arial"/>
          <w:b/>
          <w:bCs/>
          <w:color w:val="000000" w:themeColor="text1"/>
        </w:rPr>
        <w:lastRenderedPageBreak/>
        <w:t>University space needs will be evaluated in the context of both quantitative and functional considerations.</w:t>
      </w:r>
      <w:r w:rsidRPr="002F4AAA">
        <w:rPr>
          <w:rFonts w:ascii="Arial" w:hAnsi="Arial" w:cs="Arial"/>
          <w:color w:val="000000" w:themeColor="text1"/>
        </w:rPr>
        <w:t xml:space="preserve"> The Executive Group will be provided statistical and qualitative information to allow </w:t>
      </w:r>
      <w:r>
        <w:rPr>
          <w:rFonts w:ascii="Arial" w:hAnsi="Arial" w:cs="Arial"/>
          <w:color w:val="000000" w:themeColor="text1"/>
        </w:rPr>
        <w:t xml:space="preserve">it to review and </w:t>
      </w:r>
      <w:r w:rsidRPr="002F4AAA">
        <w:rPr>
          <w:rFonts w:ascii="Arial" w:hAnsi="Arial" w:cs="Arial"/>
          <w:color w:val="000000" w:themeColor="text1"/>
        </w:rPr>
        <w:t>evaluate the efficiency of space</w:t>
      </w:r>
      <w:r w:rsidRPr="4781372A">
        <w:rPr>
          <w:rFonts w:ascii="Arial" w:hAnsi="Arial" w:cs="Arial"/>
          <w:color w:val="000000" w:themeColor="text1"/>
        </w:rPr>
        <w:t>,</w:t>
      </w:r>
      <w:r w:rsidRPr="002F4AAA">
        <w:rPr>
          <w:rFonts w:ascii="Arial" w:hAnsi="Arial" w:cs="Arial"/>
          <w:color w:val="000000" w:themeColor="text1"/>
        </w:rPr>
        <w:t xml:space="preserve"> </w:t>
      </w:r>
      <w:r>
        <w:rPr>
          <w:rFonts w:ascii="Arial" w:hAnsi="Arial" w:cs="Arial"/>
          <w:color w:val="000000" w:themeColor="text1"/>
        </w:rPr>
        <w:t>its utilisation, and performance</w:t>
      </w:r>
      <w:r w:rsidRPr="4781372A">
        <w:rPr>
          <w:rFonts w:ascii="Arial" w:hAnsi="Arial" w:cs="Arial"/>
          <w:color w:val="000000" w:themeColor="text1"/>
        </w:rPr>
        <w:t xml:space="preserve"> </w:t>
      </w:r>
      <w:r>
        <w:rPr>
          <w:rFonts w:ascii="Arial" w:hAnsi="Arial" w:cs="Arial"/>
          <w:color w:val="000000" w:themeColor="text1"/>
        </w:rPr>
        <w:t xml:space="preserve">and </w:t>
      </w:r>
      <w:r w:rsidRPr="4781372A">
        <w:rPr>
          <w:rFonts w:ascii="Arial" w:hAnsi="Arial" w:cs="Arial"/>
          <w:color w:val="000000" w:themeColor="text1"/>
        </w:rPr>
        <w:t xml:space="preserve">make a </w:t>
      </w:r>
      <w:r>
        <w:rPr>
          <w:rFonts w:ascii="Arial" w:hAnsi="Arial" w:cs="Arial"/>
          <w:color w:val="000000" w:themeColor="text1"/>
        </w:rPr>
        <w:t>case for major change</w:t>
      </w:r>
      <w:r w:rsidRPr="002F4AAA">
        <w:rPr>
          <w:rFonts w:ascii="Arial" w:hAnsi="Arial" w:cs="Arial"/>
          <w:color w:val="000000" w:themeColor="text1"/>
        </w:rPr>
        <w:t>. Data from Group/</w:t>
      </w:r>
      <w:r>
        <w:rPr>
          <w:rFonts w:ascii="Arial" w:hAnsi="Arial" w:cs="Arial"/>
          <w:color w:val="000000" w:themeColor="text1"/>
        </w:rPr>
        <w:t>Element</w:t>
      </w:r>
      <w:r w:rsidRPr="002F4AAA">
        <w:rPr>
          <w:rFonts w:ascii="Arial" w:hAnsi="Arial" w:cs="Arial"/>
          <w:color w:val="000000" w:themeColor="text1"/>
        </w:rPr>
        <w:t>/</w:t>
      </w:r>
      <w:r>
        <w:rPr>
          <w:rFonts w:ascii="Arial" w:hAnsi="Arial" w:cs="Arial"/>
          <w:color w:val="000000" w:themeColor="text1"/>
        </w:rPr>
        <w:t>General</w:t>
      </w:r>
      <w:r w:rsidRPr="002F4AAA">
        <w:rPr>
          <w:rFonts w:ascii="Arial" w:hAnsi="Arial" w:cs="Arial"/>
          <w:color w:val="000000" w:themeColor="text1"/>
        </w:rPr>
        <w:t xml:space="preserve"> space inventory</w:t>
      </w:r>
      <w:r>
        <w:rPr>
          <w:rFonts w:ascii="Arial" w:hAnsi="Arial" w:cs="Arial"/>
          <w:color w:val="000000" w:themeColor="text1"/>
        </w:rPr>
        <w:t xml:space="preserve">, related to </w:t>
      </w:r>
      <w:r w:rsidRPr="002F4AAA">
        <w:rPr>
          <w:rFonts w:ascii="Arial" w:hAnsi="Arial" w:cs="Arial"/>
          <w:color w:val="000000" w:themeColor="text1"/>
        </w:rPr>
        <w:t xml:space="preserve">utilisation </w:t>
      </w:r>
      <w:r>
        <w:rPr>
          <w:rFonts w:ascii="Arial" w:hAnsi="Arial" w:cs="Arial"/>
          <w:color w:val="000000" w:themeColor="text1"/>
        </w:rPr>
        <w:t xml:space="preserve">and performance </w:t>
      </w:r>
      <w:r w:rsidRPr="002F4AAA">
        <w:rPr>
          <w:rFonts w:ascii="Arial" w:hAnsi="Arial" w:cs="Arial"/>
          <w:color w:val="000000" w:themeColor="text1"/>
        </w:rPr>
        <w:t>will inform assignment, reassignment, and reinvestment decisions.</w:t>
      </w:r>
    </w:p>
    <w:p w14:paraId="6D8B1FD4" w14:textId="4B804140" w:rsidR="00F50553" w:rsidRDefault="00F50553" w:rsidP="00AF3757">
      <w:pPr>
        <w:pStyle w:val="NormalWhite"/>
        <w:numPr>
          <w:ilvl w:val="0"/>
          <w:numId w:val="14"/>
        </w:numPr>
        <w:spacing w:after="120"/>
        <w:ind w:left="284" w:right="77" w:hanging="284"/>
        <w:jc w:val="both"/>
        <w:rPr>
          <w:rFonts w:ascii="Arial" w:hAnsi="Arial" w:cs="Arial"/>
          <w:color w:val="000000" w:themeColor="text1"/>
        </w:rPr>
      </w:pPr>
      <w:r w:rsidRPr="3E99097E">
        <w:rPr>
          <w:rFonts w:ascii="Arial" w:hAnsi="Arial" w:cs="Arial"/>
          <w:b/>
          <w:bCs/>
          <w:color w:val="000000" w:themeColor="text1"/>
        </w:rPr>
        <w:t xml:space="preserve">Decisions relating to assignment and reassignment of space will be made by the Senior Executives appointed to oversee a project in the case of new space, the Chief Operating Officer in consultation with the </w:t>
      </w:r>
      <w:r w:rsidR="00552D1C">
        <w:rPr>
          <w:rFonts w:ascii="Arial" w:hAnsi="Arial" w:cs="Arial"/>
          <w:b/>
          <w:bCs/>
          <w:color w:val="000000" w:themeColor="text1"/>
        </w:rPr>
        <w:t>Provost</w:t>
      </w:r>
      <w:r w:rsidRPr="3E99097E">
        <w:rPr>
          <w:rFonts w:ascii="Arial" w:hAnsi="Arial" w:cs="Arial"/>
          <w:b/>
          <w:bCs/>
          <w:color w:val="000000" w:themeColor="text1"/>
        </w:rPr>
        <w:t xml:space="preserve"> in the case of the reassignment of General Teaching Space and all vacated space, Group Pro Vice Chancellors / Vice Presidents / Heads of Element, in consultation with the Head of Campus in the case of reassignment of all other space. </w:t>
      </w:r>
      <w:r w:rsidRPr="3E99097E">
        <w:rPr>
          <w:rFonts w:ascii="Arial" w:hAnsi="Arial" w:cs="Arial"/>
          <w:color w:val="000000" w:themeColor="text1"/>
        </w:rPr>
        <w:t>Campus Life must be informed of all assignments and reassignments of space and changes in use.</w:t>
      </w:r>
    </w:p>
    <w:p w14:paraId="0D50EC46" w14:textId="77777777" w:rsidR="00F50553" w:rsidRPr="00A847EA" w:rsidRDefault="00F50553" w:rsidP="00F50553">
      <w:pPr>
        <w:pStyle w:val="NormalWhite"/>
        <w:numPr>
          <w:ilvl w:val="0"/>
          <w:numId w:val="14"/>
        </w:numPr>
        <w:spacing w:after="120"/>
        <w:ind w:left="284" w:hanging="284"/>
        <w:jc w:val="both"/>
        <w:rPr>
          <w:rFonts w:ascii="Arial" w:hAnsi="Arial" w:cs="Arial"/>
          <w:color w:val="000000" w:themeColor="text1"/>
        </w:rPr>
      </w:pPr>
      <w:r w:rsidRPr="00595AE7">
        <w:rPr>
          <w:rFonts w:ascii="Arial" w:hAnsi="Arial" w:cs="Arial"/>
          <w:b/>
          <w:bCs/>
          <w:color w:val="000000" w:themeColor="text1"/>
        </w:rPr>
        <w:t>The use of University spaces will be prioritised for core University activities including teaching, learning and research, engagement, enrolments, graduations, Open Days, exams, and orientation.</w:t>
      </w:r>
      <w:r w:rsidRPr="00BC7C6E">
        <w:rPr>
          <w:rFonts w:ascii="Arial" w:hAnsi="Arial" w:cs="Arial"/>
          <w:color w:val="000000" w:themeColor="text1"/>
        </w:rPr>
        <w:t xml:space="preserve"> </w:t>
      </w:r>
      <w:r>
        <w:rPr>
          <w:rFonts w:ascii="Arial" w:hAnsi="Arial" w:cs="Arial"/>
          <w:color w:val="000000" w:themeColor="text1"/>
        </w:rPr>
        <w:t>External and internal h</w:t>
      </w:r>
      <w:r w:rsidRPr="00BC7C6E">
        <w:rPr>
          <w:rFonts w:ascii="Arial" w:hAnsi="Arial" w:cs="Arial"/>
          <w:color w:val="000000" w:themeColor="text1"/>
        </w:rPr>
        <w:t>ire bookings will only be confirmed after the University Timetable has been finalised.</w:t>
      </w:r>
    </w:p>
    <w:p w14:paraId="43526E9F" w14:textId="77B725FF" w:rsidR="00305C35" w:rsidRDefault="00305C35" w:rsidP="00305C35">
      <w:pPr>
        <w:pStyle w:val="Heading3"/>
        <w:ind w:left="720" w:firstLine="0"/>
      </w:pPr>
      <w:bookmarkStart w:id="12" w:name="_3.1_Space_Needs"/>
      <w:bookmarkEnd w:id="12"/>
      <w:r>
        <w:t xml:space="preserve">3.1 </w:t>
      </w:r>
      <w:r w:rsidR="00B31193">
        <w:t xml:space="preserve">Space Needs Investment </w:t>
      </w:r>
    </w:p>
    <w:p w14:paraId="0EFB7B49" w14:textId="3759B537" w:rsidR="00B31193" w:rsidRPr="00517663" w:rsidRDefault="00B31193" w:rsidP="00B31193">
      <w:pPr>
        <w:pStyle w:val="Heading4"/>
        <w:keepNext/>
        <w:keepLines/>
        <w:spacing w:before="200" w:line="276" w:lineRule="auto"/>
        <w:ind w:left="720" w:firstLine="0"/>
        <w:rPr>
          <w:rFonts w:ascii="Arial" w:eastAsiaTheme="majorEastAsia" w:hAnsi="Arial"/>
        </w:rPr>
      </w:pPr>
      <w:bookmarkStart w:id="13" w:name="_3.2_&lt;Insert_sub-heading&gt;"/>
      <w:bookmarkEnd w:id="13"/>
      <w:r w:rsidRPr="3E99097E">
        <w:rPr>
          <w:rFonts w:ascii="Arial" w:eastAsiaTheme="majorEastAsia" w:hAnsi="Arial"/>
          <w:b w:val="0"/>
        </w:rPr>
        <w:t>A regular review of space needs and refurbishment requirements is undertaken by Groups/Elements and Campus Life in developing the Asset Management Plan. Space needs should consider the performance of existing space along with other factors such as projected growth, pedagogy, and accreditation needs.</w:t>
      </w:r>
    </w:p>
    <w:p w14:paraId="60B5571E" w14:textId="77777777" w:rsidR="00B31193" w:rsidRPr="001045FA" w:rsidRDefault="00B31193" w:rsidP="00B31193">
      <w:pPr>
        <w:pStyle w:val="Heading4"/>
        <w:keepNext/>
        <w:keepLines/>
        <w:spacing w:before="200" w:line="276" w:lineRule="auto"/>
        <w:ind w:left="720" w:firstLine="0"/>
        <w:rPr>
          <w:rFonts w:ascii="Arial" w:eastAsiaTheme="majorEastAsia" w:hAnsi="Arial"/>
          <w:b w:val="0"/>
        </w:rPr>
      </w:pPr>
      <w:r>
        <w:rPr>
          <w:rFonts w:ascii="Arial" w:eastAsiaTheme="majorEastAsia" w:hAnsi="Arial"/>
          <w:b w:val="0"/>
        </w:rPr>
        <w:t xml:space="preserve">Deputy Vice Chancellors, </w:t>
      </w:r>
      <w:r w:rsidRPr="00517663">
        <w:rPr>
          <w:rFonts w:ascii="Arial" w:eastAsiaTheme="majorEastAsia" w:hAnsi="Arial"/>
          <w:b w:val="0"/>
        </w:rPr>
        <w:t>Pro Vice Chancellors</w:t>
      </w:r>
      <w:r>
        <w:rPr>
          <w:rFonts w:ascii="Arial" w:eastAsiaTheme="majorEastAsia" w:hAnsi="Arial"/>
          <w:b w:val="0"/>
        </w:rPr>
        <w:t>, Vice Presidents,</w:t>
      </w:r>
      <w:r w:rsidRPr="00517663">
        <w:rPr>
          <w:rFonts w:ascii="Arial" w:eastAsiaTheme="majorEastAsia" w:hAnsi="Arial"/>
          <w:b w:val="0"/>
        </w:rPr>
        <w:t xml:space="preserve"> Heads</w:t>
      </w:r>
      <w:r>
        <w:rPr>
          <w:rFonts w:ascii="Arial" w:eastAsiaTheme="majorEastAsia" w:hAnsi="Arial"/>
          <w:b w:val="0"/>
        </w:rPr>
        <w:t xml:space="preserve"> of Element and Heads of Campus</w:t>
      </w:r>
      <w:r w:rsidRPr="00517663">
        <w:rPr>
          <w:rFonts w:ascii="Arial" w:eastAsiaTheme="majorEastAsia" w:hAnsi="Arial"/>
          <w:b w:val="0"/>
        </w:rPr>
        <w:t xml:space="preserve"> are to identify </w:t>
      </w:r>
      <w:r>
        <w:rPr>
          <w:rFonts w:ascii="Arial" w:eastAsiaTheme="majorEastAsia" w:hAnsi="Arial"/>
          <w:b w:val="0"/>
        </w:rPr>
        <w:t xml:space="preserve">and approve </w:t>
      </w:r>
      <w:r w:rsidRPr="00517663">
        <w:rPr>
          <w:rFonts w:ascii="Arial" w:eastAsiaTheme="majorEastAsia" w:hAnsi="Arial"/>
          <w:b w:val="0"/>
        </w:rPr>
        <w:t>space needs and refurbishment requirements as part of the Capital Planning process.</w:t>
      </w:r>
    </w:p>
    <w:p w14:paraId="27DC0233" w14:textId="77777777" w:rsidR="00B31193" w:rsidRPr="00517663" w:rsidRDefault="00B31193" w:rsidP="00B31193">
      <w:pPr>
        <w:pStyle w:val="Heading4"/>
        <w:keepNext/>
        <w:keepLines/>
        <w:spacing w:before="200" w:line="276" w:lineRule="auto"/>
        <w:ind w:left="720" w:firstLine="0"/>
        <w:rPr>
          <w:rFonts w:ascii="Arial" w:eastAsiaTheme="majorEastAsia" w:hAnsi="Arial"/>
        </w:rPr>
      </w:pPr>
      <w:bookmarkStart w:id="14" w:name="_Hlk72245820"/>
      <w:r w:rsidRPr="3E99097E">
        <w:rPr>
          <w:rFonts w:ascii="Arial" w:eastAsiaTheme="majorEastAsia" w:hAnsi="Arial"/>
          <w:b w:val="0"/>
        </w:rPr>
        <w:t>Any decision to build a new building or carry out major refurbishments in accordance with the Capital Planning process, and following development of a Capital Management Plan, will be determined by the Vice Chancellor on advice from the Executive Group and will be considered and recommended for endorsement by Council through the Finance, Resources and Risk Committee.</w:t>
      </w:r>
    </w:p>
    <w:p w14:paraId="732942AC" w14:textId="616AA886" w:rsidR="00DB53FB" w:rsidRDefault="00AE782D" w:rsidP="00AE782D">
      <w:pPr>
        <w:pStyle w:val="Heading3"/>
        <w:ind w:left="720" w:firstLine="0"/>
      </w:pPr>
      <w:bookmarkStart w:id="15" w:name="_3.3_&lt;Insert_sub-heading&gt;"/>
      <w:bookmarkStart w:id="16" w:name="_3.2_Space_Allocation"/>
      <w:bookmarkEnd w:id="14"/>
      <w:bookmarkEnd w:id="15"/>
      <w:bookmarkEnd w:id="16"/>
      <w:r>
        <w:t xml:space="preserve">3.2 Space Allocation </w:t>
      </w:r>
    </w:p>
    <w:p w14:paraId="2EB0B86D" w14:textId="77777777" w:rsidR="00AE782D" w:rsidRPr="00517663" w:rsidRDefault="00AE782D" w:rsidP="00AE782D">
      <w:pPr>
        <w:pStyle w:val="Heading4"/>
        <w:keepNext/>
        <w:keepLines/>
        <w:spacing w:before="200" w:line="276" w:lineRule="auto"/>
        <w:ind w:left="720" w:firstLine="0"/>
        <w:rPr>
          <w:rFonts w:ascii="Arial" w:eastAsiaTheme="majorEastAsia" w:hAnsi="Arial"/>
        </w:rPr>
      </w:pPr>
      <w:bookmarkStart w:id="17" w:name="_Ref20320710"/>
      <w:r w:rsidRPr="00517663">
        <w:rPr>
          <w:rFonts w:ascii="Arial" w:eastAsiaTheme="majorEastAsia" w:hAnsi="Arial"/>
          <w:b w:val="0"/>
        </w:rPr>
        <w:t>Space allocation supports University operations and seeks to optimise the University’s capital investments and operating costs.</w:t>
      </w:r>
    </w:p>
    <w:p w14:paraId="03D3A78B" w14:textId="1BEBE47C" w:rsidR="00AE782D" w:rsidRPr="00517663" w:rsidRDefault="00AE782D" w:rsidP="00102FD9">
      <w:pPr>
        <w:pStyle w:val="Heading4"/>
        <w:keepNext/>
        <w:keepLines/>
        <w:spacing w:before="200" w:line="276" w:lineRule="auto"/>
        <w:ind w:left="720" w:firstLine="0"/>
        <w:rPr>
          <w:rFonts w:ascii="Arial" w:eastAsiaTheme="majorEastAsia" w:hAnsi="Arial"/>
        </w:rPr>
      </w:pPr>
      <w:r w:rsidRPr="00517663">
        <w:rPr>
          <w:rFonts w:ascii="Arial" w:eastAsiaTheme="majorEastAsia" w:hAnsi="Arial"/>
          <w:b w:val="0"/>
        </w:rPr>
        <w:t>The Tertiary Education Facilities Management Association (TEFMA) has set targets for the utilisation of various spaces. These benchmarks are set out below and are used by the University to determine efficient usage and provide targets for the efficient management of space.</w:t>
      </w:r>
    </w:p>
    <w:tbl>
      <w:tblPr>
        <w:tblStyle w:val="TableGrid"/>
        <w:tblW w:w="5000" w:type="pct"/>
        <w:jc w:val="center"/>
        <w:tblLook w:val="04A0" w:firstRow="1" w:lastRow="0" w:firstColumn="1" w:lastColumn="0" w:noHBand="0" w:noVBand="1"/>
      </w:tblPr>
      <w:tblGrid>
        <w:gridCol w:w="4583"/>
        <w:gridCol w:w="1786"/>
        <w:gridCol w:w="1788"/>
        <w:gridCol w:w="1701"/>
      </w:tblGrid>
      <w:tr w:rsidR="00AE782D" w:rsidRPr="00F062E1" w14:paraId="4B791C6C" w14:textId="77777777" w:rsidTr="00102FD9">
        <w:trPr>
          <w:tblHeader/>
          <w:jc w:val="center"/>
        </w:trPr>
        <w:tc>
          <w:tcPr>
            <w:tcW w:w="5000" w:type="pct"/>
            <w:gridSpan w:val="4"/>
            <w:tcBorders>
              <w:top w:val="nil"/>
              <w:left w:val="nil"/>
              <w:right w:val="nil"/>
            </w:tcBorders>
            <w:shd w:val="clear" w:color="auto" w:fill="808080" w:themeFill="background1" w:themeFillShade="80"/>
          </w:tcPr>
          <w:p w14:paraId="69CF2987" w14:textId="3E439F1C" w:rsidR="00AE782D" w:rsidRPr="00102FD9" w:rsidRDefault="00102FD9" w:rsidP="00102FD9">
            <w:pPr>
              <w:spacing w:before="120" w:after="120" w:line="240" w:lineRule="auto"/>
              <w:rPr>
                <w:rFonts w:ascii="Arial" w:hAnsi="Arial" w:cs="Arial"/>
                <w:b/>
                <w:bCs/>
                <w:sz w:val="24"/>
                <w:szCs w:val="24"/>
                <w:lang w:eastAsia="en-GB"/>
              </w:rPr>
            </w:pPr>
            <w:r w:rsidRPr="00102FD9">
              <w:rPr>
                <w:rFonts w:ascii="Arial" w:hAnsi="Arial" w:cs="Arial"/>
                <w:b/>
                <w:bCs/>
                <w:color w:val="FFFFFF" w:themeColor="background1"/>
                <w:sz w:val="24"/>
                <w:szCs w:val="24"/>
                <w:lang w:eastAsia="en-GB"/>
              </w:rPr>
              <w:t>INDICATIVE SPACE UTILISATION RATES</w:t>
            </w:r>
            <w:r w:rsidR="00AE782D" w:rsidRPr="00102FD9">
              <w:rPr>
                <w:rStyle w:val="FootnoteReference"/>
                <w:rFonts w:ascii="Arial" w:hAnsi="Arial" w:cs="Arial"/>
                <w:b/>
                <w:bCs/>
                <w:color w:val="FFFFFF" w:themeColor="background1"/>
                <w:sz w:val="24"/>
                <w:szCs w:val="24"/>
                <w:lang w:eastAsia="en-GB"/>
              </w:rPr>
              <w:footnoteReference w:id="2"/>
            </w:r>
          </w:p>
        </w:tc>
      </w:tr>
      <w:tr w:rsidR="00AE782D" w:rsidRPr="00F062E1" w14:paraId="2FC7A645" w14:textId="77777777" w:rsidTr="00102FD9">
        <w:trPr>
          <w:tblHeader/>
          <w:jc w:val="center"/>
        </w:trPr>
        <w:tc>
          <w:tcPr>
            <w:tcW w:w="2324" w:type="pct"/>
            <w:tcBorders>
              <w:left w:val="nil"/>
            </w:tcBorders>
            <w:shd w:val="clear" w:color="auto" w:fill="D9D9D9" w:themeFill="background1" w:themeFillShade="D9"/>
          </w:tcPr>
          <w:p w14:paraId="00444929" w14:textId="77777777" w:rsidR="00AE782D" w:rsidRPr="00102FD9" w:rsidRDefault="00AE782D" w:rsidP="00102FD9">
            <w:pPr>
              <w:spacing w:before="40" w:after="40" w:line="240" w:lineRule="auto"/>
              <w:rPr>
                <w:rFonts w:ascii="Arial" w:hAnsi="Arial" w:cs="Arial"/>
                <w:b/>
                <w:bCs/>
                <w:szCs w:val="20"/>
                <w:lang w:eastAsia="en-GB"/>
              </w:rPr>
            </w:pPr>
            <w:r w:rsidRPr="00102FD9">
              <w:rPr>
                <w:rFonts w:ascii="Arial" w:hAnsi="Arial" w:cs="Arial"/>
                <w:b/>
                <w:bCs/>
                <w:szCs w:val="20"/>
                <w:lang w:eastAsia="en-GB"/>
              </w:rPr>
              <w:t>Space Type</w:t>
            </w:r>
            <w:r w:rsidRPr="00102FD9">
              <w:rPr>
                <w:rStyle w:val="FootnoteReference"/>
                <w:rFonts w:ascii="Arial" w:hAnsi="Arial" w:cs="Arial"/>
                <w:b/>
                <w:bCs/>
                <w:szCs w:val="20"/>
                <w:lang w:eastAsia="en-GB"/>
              </w:rPr>
              <w:footnoteReference w:id="3"/>
            </w:r>
          </w:p>
        </w:tc>
        <w:tc>
          <w:tcPr>
            <w:tcW w:w="906" w:type="pct"/>
            <w:shd w:val="clear" w:color="auto" w:fill="D9D9D9" w:themeFill="background1" w:themeFillShade="D9"/>
          </w:tcPr>
          <w:p w14:paraId="56B748EA" w14:textId="77777777" w:rsidR="00AE782D" w:rsidRPr="00102FD9" w:rsidRDefault="00AE782D" w:rsidP="00102FD9">
            <w:pPr>
              <w:spacing w:before="40" w:after="40" w:line="240" w:lineRule="auto"/>
              <w:jc w:val="center"/>
              <w:rPr>
                <w:rFonts w:ascii="Arial" w:hAnsi="Arial" w:cs="Arial"/>
                <w:b/>
                <w:bCs/>
                <w:szCs w:val="20"/>
                <w:lang w:eastAsia="en-GB"/>
              </w:rPr>
            </w:pPr>
            <w:r w:rsidRPr="00102FD9">
              <w:rPr>
                <w:rFonts w:ascii="Arial" w:hAnsi="Arial" w:cs="Arial"/>
                <w:b/>
                <w:bCs/>
                <w:szCs w:val="20"/>
                <w:lang w:eastAsia="en-GB"/>
              </w:rPr>
              <w:t>Target Room Frequency</w:t>
            </w:r>
          </w:p>
        </w:tc>
        <w:tc>
          <w:tcPr>
            <w:tcW w:w="907" w:type="pct"/>
            <w:shd w:val="clear" w:color="auto" w:fill="D9D9D9" w:themeFill="background1" w:themeFillShade="D9"/>
          </w:tcPr>
          <w:p w14:paraId="50751A7E" w14:textId="77777777" w:rsidR="00AE782D" w:rsidRPr="00102FD9" w:rsidRDefault="00AE782D" w:rsidP="00102FD9">
            <w:pPr>
              <w:spacing w:before="40" w:after="40" w:line="240" w:lineRule="auto"/>
              <w:jc w:val="center"/>
              <w:rPr>
                <w:rFonts w:ascii="Arial" w:hAnsi="Arial" w:cs="Arial"/>
                <w:b/>
                <w:bCs/>
                <w:szCs w:val="20"/>
                <w:lang w:eastAsia="en-GB"/>
              </w:rPr>
            </w:pPr>
            <w:r w:rsidRPr="00102FD9">
              <w:rPr>
                <w:rFonts w:ascii="Arial" w:hAnsi="Arial" w:cs="Arial"/>
                <w:b/>
                <w:bCs/>
                <w:szCs w:val="20"/>
                <w:lang w:eastAsia="en-GB"/>
              </w:rPr>
              <w:t>Target Room Occupancy</w:t>
            </w:r>
          </w:p>
        </w:tc>
        <w:tc>
          <w:tcPr>
            <w:tcW w:w="863" w:type="pct"/>
            <w:tcBorders>
              <w:bottom w:val="single" w:sz="4" w:space="0" w:color="auto"/>
              <w:right w:val="nil"/>
            </w:tcBorders>
            <w:shd w:val="clear" w:color="auto" w:fill="D9D9D9" w:themeFill="background1" w:themeFillShade="D9"/>
          </w:tcPr>
          <w:p w14:paraId="378621B3" w14:textId="77777777" w:rsidR="00AE782D" w:rsidRPr="00102FD9" w:rsidRDefault="00AE782D" w:rsidP="00102FD9">
            <w:pPr>
              <w:spacing w:before="40" w:after="40" w:line="240" w:lineRule="auto"/>
              <w:jc w:val="center"/>
              <w:rPr>
                <w:rFonts w:ascii="Arial" w:hAnsi="Arial" w:cs="Arial"/>
                <w:b/>
                <w:bCs/>
                <w:szCs w:val="20"/>
                <w:lang w:eastAsia="en-GB"/>
              </w:rPr>
            </w:pPr>
            <w:r w:rsidRPr="00102FD9">
              <w:rPr>
                <w:rFonts w:ascii="Arial" w:hAnsi="Arial" w:cs="Arial"/>
                <w:b/>
                <w:bCs/>
                <w:szCs w:val="20"/>
                <w:lang w:eastAsia="en-GB"/>
              </w:rPr>
              <w:t>Target Utilisation</w:t>
            </w:r>
          </w:p>
        </w:tc>
      </w:tr>
      <w:tr w:rsidR="00AE782D" w:rsidRPr="00F062E1" w14:paraId="50B5B29E" w14:textId="77777777" w:rsidTr="00102FD9">
        <w:trPr>
          <w:jc w:val="center"/>
        </w:trPr>
        <w:tc>
          <w:tcPr>
            <w:tcW w:w="2324" w:type="pct"/>
            <w:tcBorders>
              <w:left w:val="nil"/>
            </w:tcBorders>
          </w:tcPr>
          <w:p w14:paraId="19428188" w14:textId="77777777" w:rsidR="00AE782D" w:rsidRPr="00F062E1" w:rsidRDefault="00AE782D" w:rsidP="004F5DA7">
            <w:pPr>
              <w:spacing w:before="40" w:after="40" w:line="240" w:lineRule="auto"/>
              <w:rPr>
                <w:rFonts w:ascii="Arial" w:hAnsi="Arial" w:cs="Arial"/>
                <w:sz w:val="18"/>
                <w:szCs w:val="18"/>
                <w:lang w:eastAsia="en-GB"/>
              </w:rPr>
            </w:pPr>
            <w:r w:rsidRPr="00F062E1">
              <w:rPr>
                <w:rFonts w:ascii="Arial" w:hAnsi="Arial" w:cs="Arial"/>
                <w:sz w:val="18"/>
                <w:szCs w:val="18"/>
                <w:lang w:eastAsia="en-GB"/>
              </w:rPr>
              <w:t>Lecture Theatres</w:t>
            </w:r>
          </w:p>
          <w:p w14:paraId="276FF76E"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t>Large (250+ seats)</w:t>
            </w:r>
          </w:p>
          <w:p w14:paraId="0D73F335"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t>Medium (180-249 seats)</w:t>
            </w:r>
          </w:p>
          <w:p w14:paraId="3445ED3B"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t>Small (60-179 seats)</w:t>
            </w:r>
          </w:p>
        </w:tc>
        <w:tc>
          <w:tcPr>
            <w:tcW w:w="906" w:type="pct"/>
          </w:tcPr>
          <w:p w14:paraId="79AAB404"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907" w:type="pct"/>
          </w:tcPr>
          <w:p w14:paraId="24C8F783"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863" w:type="pct"/>
            <w:tcBorders>
              <w:bottom w:val="single" w:sz="4" w:space="0" w:color="auto"/>
              <w:right w:val="nil"/>
            </w:tcBorders>
          </w:tcPr>
          <w:p w14:paraId="4CCC3262"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56%</w:t>
            </w:r>
          </w:p>
        </w:tc>
      </w:tr>
      <w:tr w:rsidR="00AE782D" w:rsidRPr="00F062E1" w14:paraId="050316B8" w14:textId="77777777" w:rsidTr="00102FD9">
        <w:trPr>
          <w:jc w:val="center"/>
        </w:trPr>
        <w:tc>
          <w:tcPr>
            <w:tcW w:w="2324" w:type="pct"/>
            <w:tcBorders>
              <w:left w:val="nil"/>
            </w:tcBorders>
          </w:tcPr>
          <w:p w14:paraId="65922925" w14:textId="77777777" w:rsidR="00AE782D" w:rsidRPr="00F062E1" w:rsidRDefault="00AE782D" w:rsidP="004F5DA7">
            <w:pPr>
              <w:spacing w:before="40" w:after="40" w:line="240" w:lineRule="auto"/>
              <w:rPr>
                <w:rFonts w:ascii="Arial" w:hAnsi="Arial" w:cs="Arial"/>
                <w:sz w:val="18"/>
                <w:szCs w:val="18"/>
                <w:lang w:eastAsia="en-GB"/>
              </w:rPr>
            </w:pPr>
            <w:r w:rsidRPr="00F062E1">
              <w:rPr>
                <w:rFonts w:ascii="Arial" w:hAnsi="Arial" w:cs="Arial"/>
                <w:sz w:val="18"/>
                <w:szCs w:val="18"/>
                <w:lang w:eastAsia="en-GB"/>
              </w:rPr>
              <w:t>Teaching:</w:t>
            </w:r>
          </w:p>
          <w:p w14:paraId="334150CD"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t>Large flat floor teaching areas (non-theatre)</w:t>
            </w:r>
          </w:p>
          <w:p w14:paraId="6BC59293"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t>Classrooms</w:t>
            </w:r>
          </w:p>
          <w:p w14:paraId="159503E5"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lastRenderedPageBreak/>
              <w:t>Tutorial Rooms</w:t>
            </w:r>
          </w:p>
        </w:tc>
        <w:tc>
          <w:tcPr>
            <w:tcW w:w="906" w:type="pct"/>
          </w:tcPr>
          <w:p w14:paraId="10C330A6"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lastRenderedPageBreak/>
              <w:t>75%</w:t>
            </w:r>
          </w:p>
        </w:tc>
        <w:tc>
          <w:tcPr>
            <w:tcW w:w="907" w:type="pct"/>
          </w:tcPr>
          <w:p w14:paraId="2B2E1C95"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863" w:type="pct"/>
            <w:tcBorders>
              <w:right w:val="nil"/>
            </w:tcBorders>
          </w:tcPr>
          <w:p w14:paraId="230B5686"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56%</w:t>
            </w:r>
          </w:p>
        </w:tc>
      </w:tr>
      <w:tr w:rsidR="00AE782D" w:rsidRPr="00F062E1" w14:paraId="1125CA5D" w14:textId="77777777" w:rsidTr="00102FD9">
        <w:trPr>
          <w:jc w:val="center"/>
        </w:trPr>
        <w:tc>
          <w:tcPr>
            <w:tcW w:w="2324" w:type="pct"/>
            <w:tcBorders>
              <w:left w:val="nil"/>
            </w:tcBorders>
          </w:tcPr>
          <w:p w14:paraId="628B419F" w14:textId="77777777" w:rsidR="00AE782D" w:rsidRPr="00F062E1" w:rsidRDefault="00AE782D" w:rsidP="004F5DA7">
            <w:pPr>
              <w:spacing w:before="40" w:after="40" w:line="240" w:lineRule="auto"/>
              <w:rPr>
                <w:rFonts w:ascii="Arial" w:hAnsi="Arial" w:cs="Arial"/>
                <w:sz w:val="18"/>
                <w:szCs w:val="18"/>
                <w:lang w:eastAsia="en-GB"/>
              </w:rPr>
            </w:pPr>
            <w:r w:rsidRPr="00F062E1">
              <w:rPr>
                <w:rFonts w:ascii="Arial" w:hAnsi="Arial" w:cs="Arial"/>
                <w:sz w:val="18"/>
                <w:szCs w:val="18"/>
                <w:lang w:eastAsia="en-GB"/>
              </w:rPr>
              <w:t>Computer Laboratories</w:t>
            </w:r>
            <w:r w:rsidRPr="00F062E1">
              <w:rPr>
                <w:rStyle w:val="FootnoteReference"/>
                <w:rFonts w:ascii="Arial" w:hAnsi="Arial" w:cs="Arial"/>
                <w:sz w:val="18"/>
                <w:szCs w:val="18"/>
                <w:lang w:eastAsia="en-GB"/>
              </w:rPr>
              <w:footnoteReference w:id="4"/>
            </w:r>
          </w:p>
        </w:tc>
        <w:tc>
          <w:tcPr>
            <w:tcW w:w="906" w:type="pct"/>
          </w:tcPr>
          <w:p w14:paraId="1361541F"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907" w:type="pct"/>
          </w:tcPr>
          <w:p w14:paraId="17E4D732"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863" w:type="pct"/>
            <w:tcBorders>
              <w:right w:val="nil"/>
            </w:tcBorders>
          </w:tcPr>
          <w:p w14:paraId="412059E7"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56%</w:t>
            </w:r>
          </w:p>
        </w:tc>
      </w:tr>
      <w:tr w:rsidR="00AE782D" w:rsidRPr="00F062E1" w14:paraId="16A65C58" w14:textId="77777777" w:rsidTr="00102FD9">
        <w:trPr>
          <w:jc w:val="center"/>
        </w:trPr>
        <w:tc>
          <w:tcPr>
            <w:tcW w:w="2324" w:type="pct"/>
            <w:tcBorders>
              <w:left w:val="nil"/>
            </w:tcBorders>
          </w:tcPr>
          <w:p w14:paraId="71D10449" w14:textId="77777777" w:rsidR="00AE782D" w:rsidRPr="00F062E1" w:rsidRDefault="00AE782D" w:rsidP="004F5DA7">
            <w:pPr>
              <w:spacing w:before="40" w:after="40" w:line="240" w:lineRule="auto"/>
              <w:rPr>
                <w:rFonts w:ascii="Arial" w:hAnsi="Arial" w:cs="Arial"/>
                <w:sz w:val="18"/>
                <w:szCs w:val="18"/>
                <w:lang w:eastAsia="en-GB"/>
              </w:rPr>
            </w:pPr>
            <w:r w:rsidRPr="00F062E1">
              <w:rPr>
                <w:rFonts w:ascii="Arial" w:hAnsi="Arial" w:cs="Arial"/>
                <w:sz w:val="18"/>
                <w:szCs w:val="18"/>
                <w:lang w:eastAsia="en-GB"/>
              </w:rPr>
              <w:t>Specialist Laboratories and Workshops</w:t>
            </w:r>
            <w:r w:rsidRPr="00F062E1">
              <w:rPr>
                <w:rStyle w:val="FootnoteReference"/>
                <w:rFonts w:ascii="Arial" w:hAnsi="Arial" w:cs="Arial"/>
                <w:sz w:val="18"/>
                <w:szCs w:val="18"/>
                <w:lang w:eastAsia="en-GB"/>
              </w:rPr>
              <w:footnoteReference w:id="5"/>
            </w:r>
          </w:p>
          <w:p w14:paraId="7A9E4EB1"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t>Engineering, metalwork, woodwork, psychology, children’s studies</w:t>
            </w:r>
          </w:p>
        </w:tc>
        <w:tc>
          <w:tcPr>
            <w:tcW w:w="906" w:type="pct"/>
          </w:tcPr>
          <w:p w14:paraId="263DC4FA"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50%</w:t>
            </w:r>
          </w:p>
        </w:tc>
        <w:tc>
          <w:tcPr>
            <w:tcW w:w="907" w:type="pct"/>
          </w:tcPr>
          <w:p w14:paraId="2ABA7B38"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863" w:type="pct"/>
            <w:tcBorders>
              <w:right w:val="nil"/>
            </w:tcBorders>
          </w:tcPr>
          <w:p w14:paraId="4F15E95C"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37.5%</w:t>
            </w:r>
          </w:p>
        </w:tc>
      </w:tr>
      <w:tr w:rsidR="00AE782D" w:rsidRPr="00F062E1" w14:paraId="454EB02F" w14:textId="77777777" w:rsidTr="00102FD9">
        <w:trPr>
          <w:jc w:val="center"/>
        </w:trPr>
        <w:tc>
          <w:tcPr>
            <w:tcW w:w="2324" w:type="pct"/>
            <w:tcBorders>
              <w:left w:val="nil"/>
            </w:tcBorders>
          </w:tcPr>
          <w:p w14:paraId="0731615B" w14:textId="77777777" w:rsidR="00AE782D" w:rsidRPr="00F062E1" w:rsidRDefault="00AE782D" w:rsidP="004F5DA7">
            <w:pPr>
              <w:spacing w:before="40" w:after="40" w:line="240" w:lineRule="auto"/>
              <w:rPr>
                <w:rFonts w:ascii="Arial" w:hAnsi="Arial" w:cs="Arial"/>
                <w:sz w:val="18"/>
                <w:szCs w:val="18"/>
                <w:lang w:eastAsia="en-GB"/>
              </w:rPr>
            </w:pPr>
            <w:r w:rsidRPr="00F062E1">
              <w:rPr>
                <w:rFonts w:ascii="Arial" w:hAnsi="Arial" w:cs="Arial"/>
                <w:sz w:val="18"/>
                <w:szCs w:val="18"/>
                <w:lang w:eastAsia="en-GB"/>
              </w:rPr>
              <w:t>Studios</w:t>
            </w:r>
          </w:p>
          <w:p w14:paraId="0C709B2E"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t>Architecture, painting &amp; drawing, sculpture, ceramics, textiles, printmaking, dancing, drama.</w:t>
            </w:r>
          </w:p>
        </w:tc>
        <w:tc>
          <w:tcPr>
            <w:tcW w:w="906" w:type="pct"/>
          </w:tcPr>
          <w:p w14:paraId="56FDF340"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907" w:type="pct"/>
          </w:tcPr>
          <w:p w14:paraId="6769B949"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863" w:type="pct"/>
            <w:tcBorders>
              <w:right w:val="nil"/>
            </w:tcBorders>
          </w:tcPr>
          <w:p w14:paraId="5DF619F5"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56%</w:t>
            </w:r>
          </w:p>
        </w:tc>
      </w:tr>
      <w:tr w:rsidR="00AE782D" w:rsidRPr="00F062E1" w14:paraId="4FA57EE2" w14:textId="77777777" w:rsidTr="00102FD9">
        <w:trPr>
          <w:jc w:val="center"/>
        </w:trPr>
        <w:tc>
          <w:tcPr>
            <w:tcW w:w="2324" w:type="pct"/>
            <w:tcBorders>
              <w:left w:val="nil"/>
            </w:tcBorders>
          </w:tcPr>
          <w:p w14:paraId="76C9CF4A" w14:textId="77777777" w:rsidR="00AE782D" w:rsidRPr="00F062E1" w:rsidRDefault="00AE782D" w:rsidP="004F5DA7">
            <w:pPr>
              <w:spacing w:before="40" w:after="40" w:line="240" w:lineRule="auto"/>
              <w:rPr>
                <w:rFonts w:ascii="Arial" w:hAnsi="Arial" w:cs="Arial"/>
                <w:sz w:val="18"/>
                <w:szCs w:val="18"/>
                <w:lang w:eastAsia="en-GB"/>
              </w:rPr>
            </w:pPr>
            <w:r w:rsidRPr="00F062E1">
              <w:rPr>
                <w:rFonts w:ascii="Arial" w:hAnsi="Arial" w:cs="Arial"/>
                <w:sz w:val="18"/>
                <w:szCs w:val="18"/>
                <w:lang w:eastAsia="en-GB"/>
              </w:rPr>
              <w:t>Practice Rooms</w:t>
            </w:r>
          </w:p>
          <w:p w14:paraId="37225061"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t>Dance</w:t>
            </w:r>
          </w:p>
          <w:p w14:paraId="3A7274E0" w14:textId="77777777" w:rsidR="00AE782D" w:rsidRPr="00F062E1" w:rsidRDefault="00AE782D" w:rsidP="004F5DA7">
            <w:pPr>
              <w:pStyle w:val="ListParagraph"/>
              <w:numPr>
                <w:ilvl w:val="0"/>
                <w:numId w:val="38"/>
              </w:numPr>
              <w:spacing w:before="40" w:after="40" w:line="240" w:lineRule="auto"/>
              <w:rPr>
                <w:rFonts w:ascii="Arial" w:hAnsi="Arial" w:cs="Arial"/>
                <w:sz w:val="18"/>
                <w:szCs w:val="18"/>
                <w:lang w:eastAsia="en-GB"/>
              </w:rPr>
            </w:pPr>
            <w:r w:rsidRPr="00F062E1">
              <w:rPr>
                <w:rFonts w:ascii="Arial" w:hAnsi="Arial" w:cs="Arial"/>
                <w:sz w:val="18"/>
                <w:szCs w:val="18"/>
                <w:lang w:eastAsia="en-GB"/>
              </w:rPr>
              <w:t>Music</w:t>
            </w:r>
          </w:p>
        </w:tc>
        <w:tc>
          <w:tcPr>
            <w:tcW w:w="906" w:type="pct"/>
          </w:tcPr>
          <w:p w14:paraId="53FA94D5"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80%</w:t>
            </w:r>
          </w:p>
        </w:tc>
        <w:tc>
          <w:tcPr>
            <w:tcW w:w="907" w:type="pct"/>
          </w:tcPr>
          <w:p w14:paraId="4F2C98F4"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863" w:type="pct"/>
            <w:tcBorders>
              <w:right w:val="nil"/>
            </w:tcBorders>
          </w:tcPr>
          <w:p w14:paraId="7CF49FDB"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60%</w:t>
            </w:r>
          </w:p>
        </w:tc>
      </w:tr>
      <w:tr w:rsidR="00AE782D" w:rsidRPr="00F062E1" w14:paraId="446C6838" w14:textId="77777777" w:rsidTr="00102FD9">
        <w:trPr>
          <w:jc w:val="center"/>
        </w:trPr>
        <w:tc>
          <w:tcPr>
            <w:tcW w:w="2324" w:type="pct"/>
            <w:tcBorders>
              <w:left w:val="nil"/>
            </w:tcBorders>
          </w:tcPr>
          <w:p w14:paraId="1B01745A" w14:textId="77777777" w:rsidR="00AE782D" w:rsidRPr="00F062E1" w:rsidRDefault="00AE782D" w:rsidP="004F5DA7">
            <w:pPr>
              <w:spacing w:before="40" w:after="40" w:line="240" w:lineRule="auto"/>
              <w:rPr>
                <w:rFonts w:ascii="Arial" w:hAnsi="Arial" w:cs="Arial"/>
                <w:sz w:val="18"/>
                <w:szCs w:val="18"/>
                <w:lang w:eastAsia="en-GB"/>
              </w:rPr>
            </w:pPr>
            <w:r w:rsidRPr="00F062E1">
              <w:rPr>
                <w:rFonts w:ascii="Arial" w:hAnsi="Arial" w:cs="Arial"/>
                <w:sz w:val="18"/>
                <w:szCs w:val="18"/>
                <w:lang w:eastAsia="en-GB"/>
              </w:rPr>
              <w:t>Meeting Rooms</w:t>
            </w:r>
            <w:r w:rsidRPr="00F062E1">
              <w:rPr>
                <w:rStyle w:val="FootnoteReference"/>
                <w:rFonts w:ascii="Arial" w:hAnsi="Arial" w:cs="Arial"/>
                <w:sz w:val="18"/>
                <w:szCs w:val="18"/>
                <w:lang w:eastAsia="en-GB"/>
              </w:rPr>
              <w:footnoteReference w:id="6"/>
            </w:r>
          </w:p>
        </w:tc>
        <w:tc>
          <w:tcPr>
            <w:tcW w:w="906" w:type="pct"/>
          </w:tcPr>
          <w:p w14:paraId="21D968C7"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45%</w:t>
            </w:r>
          </w:p>
        </w:tc>
        <w:tc>
          <w:tcPr>
            <w:tcW w:w="907" w:type="pct"/>
          </w:tcPr>
          <w:p w14:paraId="2C956A18"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75%</w:t>
            </w:r>
          </w:p>
        </w:tc>
        <w:tc>
          <w:tcPr>
            <w:tcW w:w="863" w:type="pct"/>
            <w:tcBorders>
              <w:right w:val="nil"/>
            </w:tcBorders>
          </w:tcPr>
          <w:p w14:paraId="7B13DF5A" w14:textId="77777777" w:rsidR="00AE782D" w:rsidRPr="00F062E1" w:rsidRDefault="00AE782D" w:rsidP="004F5DA7">
            <w:pPr>
              <w:spacing w:before="40" w:after="40" w:line="240" w:lineRule="auto"/>
              <w:jc w:val="center"/>
              <w:rPr>
                <w:rFonts w:ascii="Arial" w:hAnsi="Arial" w:cs="Arial"/>
                <w:sz w:val="18"/>
                <w:szCs w:val="18"/>
                <w:lang w:eastAsia="en-GB"/>
              </w:rPr>
            </w:pPr>
            <w:r w:rsidRPr="00F062E1">
              <w:rPr>
                <w:rFonts w:ascii="Arial" w:hAnsi="Arial" w:cs="Arial"/>
                <w:sz w:val="18"/>
                <w:szCs w:val="18"/>
                <w:lang w:eastAsia="en-GB"/>
              </w:rPr>
              <w:t>34%</w:t>
            </w:r>
          </w:p>
        </w:tc>
      </w:tr>
    </w:tbl>
    <w:p w14:paraId="539F28C5" w14:textId="01088A9E" w:rsidR="00102FD9" w:rsidRDefault="00AE782D" w:rsidP="00AE782D">
      <w:pPr>
        <w:pStyle w:val="Heading4"/>
        <w:keepNext/>
        <w:keepLines/>
        <w:spacing w:before="200" w:line="276" w:lineRule="auto"/>
        <w:ind w:left="0" w:firstLine="0"/>
        <w:rPr>
          <w:rFonts w:ascii="Arial" w:eastAsiaTheme="majorEastAsia" w:hAnsi="Arial"/>
          <w:b w:val="0"/>
        </w:rPr>
      </w:pPr>
      <w:r w:rsidRPr="6EF71D99">
        <w:rPr>
          <w:rFonts w:ascii="Arial" w:eastAsiaTheme="majorEastAsia" w:hAnsi="Arial"/>
          <w:b w:val="0"/>
        </w:rPr>
        <w:t xml:space="preserve">Space norms have been endorsed by the Executive Group to support the efficient allocation and usage of office space. </w:t>
      </w:r>
    </w:p>
    <w:tbl>
      <w:tblPr>
        <w:tblStyle w:val="TableGrid"/>
        <w:tblW w:w="5000" w:type="pct"/>
        <w:jc w:val="center"/>
        <w:tblLook w:val="04A0" w:firstRow="1" w:lastRow="0" w:firstColumn="1" w:lastColumn="0" w:noHBand="0" w:noVBand="1"/>
      </w:tblPr>
      <w:tblGrid>
        <w:gridCol w:w="3119"/>
        <w:gridCol w:w="6739"/>
      </w:tblGrid>
      <w:tr w:rsidR="00CA07EB" w:rsidRPr="00F062E1" w14:paraId="3E15DBF7" w14:textId="77777777" w:rsidTr="00AD049A">
        <w:trPr>
          <w:tblHeader/>
          <w:jc w:val="center"/>
        </w:trPr>
        <w:tc>
          <w:tcPr>
            <w:tcW w:w="5000" w:type="pct"/>
            <w:gridSpan w:val="2"/>
            <w:tcBorders>
              <w:top w:val="nil"/>
              <w:left w:val="nil"/>
              <w:right w:val="nil"/>
            </w:tcBorders>
            <w:shd w:val="clear" w:color="auto" w:fill="808080" w:themeFill="background1" w:themeFillShade="80"/>
          </w:tcPr>
          <w:p w14:paraId="2BAD9ABC" w14:textId="621D8E45" w:rsidR="00CA07EB" w:rsidRPr="00102FD9" w:rsidRDefault="00CA07EB" w:rsidP="00AD049A">
            <w:pPr>
              <w:spacing w:before="120" w:after="120" w:line="240" w:lineRule="auto"/>
              <w:rPr>
                <w:rFonts w:ascii="Arial" w:hAnsi="Arial" w:cs="Arial"/>
                <w:b/>
                <w:bCs/>
                <w:sz w:val="24"/>
                <w:szCs w:val="24"/>
                <w:lang w:eastAsia="en-GB"/>
              </w:rPr>
            </w:pPr>
            <w:r w:rsidRPr="00CA07EB">
              <w:rPr>
                <w:rFonts w:ascii="Arial" w:hAnsi="Arial" w:cs="Arial"/>
                <w:b/>
                <w:bCs/>
                <w:color w:val="FFFFFF" w:themeColor="background1"/>
                <w:sz w:val="24"/>
                <w:szCs w:val="24"/>
                <w:lang w:eastAsia="en-GB"/>
              </w:rPr>
              <w:t>SPACE NORMS FOR OFFICE SPACE</w:t>
            </w:r>
          </w:p>
        </w:tc>
      </w:tr>
      <w:tr w:rsidR="00CA07EB" w:rsidRPr="00F062E1" w14:paraId="41D86E10" w14:textId="77777777" w:rsidTr="00CA07EB">
        <w:trPr>
          <w:jc w:val="center"/>
        </w:trPr>
        <w:tc>
          <w:tcPr>
            <w:tcW w:w="1582" w:type="pct"/>
            <w:tcBorders>
              <w:left w:val="nil"/>
              <w:bottom w:val="single" w:sz="4" w:space="0" w:color="auto"/>
            </w:tcBorders>
            <w:shd w:val="clear" w:color="auto" w:fill="D9D9D9" w:themeFill="background1" w:themeFillShade="D9"/>
          </w:tcPr>
          <w:p w14:paraId="6E19F302" w14:textId="29579082" w:rsidR="00CA07EB" w:rsidRPr="00CA07EB" w:rsidRDefault="00CA07EB" w:rsidP="00CA07EB">
            <w:pPr>
              <w:spacing w:before="40" w:after="40" w:line="240" w:lineRule="auto"/>
              <w:rPr>
                <w:rFonts w:ascii="Arial" w:hAnsi="Arial" w:cs="Arial"/>
                <w:b/>
                <w:bCs/>
                <w:szCs w:val="20"/>
                <w:lang w:eastAsia="en-GB"/>
              </w:rPr>
            </w:pPr>
            <w:r w:rsidRPr="00CA07EB">
              <w:rPr>
                <w:rFonts w:ascii="Arial" w:hAnsi="Arial" w:cs="Arial"/>
                <w:b/>
                <w:bCs/>
                <w:szCs w:val="20"/>
                <w:lang w:eastAsia="en-GB"/>
              </w:rPr>
              <w:t>Space</w:t>
            </w:r>
            <w:r>
              <w:rPr>
                <w:rFonts w:ascii="Arial" w:hAnsi="Arial" w:cs="Arial"/>
                <w:b/>
                <w:bCs/>
                <w:szCs w:val="20"/>
                <w:lang w:eastAsia="en-GB"/>
              </w:rPr>
              <w:t xml:space="preserve"> Type</w:t>
            </w:r>
            <w:r w:rsidRPr="00CA07EB">
              <w:rPr>
                <w:rFonts w:ascii="Arial" w:hAnsi="Arial" w:cs="Arial"/>
                <w:b/>
                <w:bCs/>
                <w:szCs w:val="20"/>
                <w:lang w:eastAsia="en-GB"/>
              </w:rPr>
              <w:t xml:space="preserve"> </w:t>
            </w:r>
          </w:p>
        </w:tc>
        <w:tc>
          <w:tcPr>
            <w:tcW w:w="3418" w:type="pct"/>
            <w:tcBorders>
              <w:bottom w:val="single" w:sz="4" w:space="0" w:color="auto"/>
              <w:right w:val="nil"/>
            </w:tcBorders>
            <w:shd w:val="clear" w:color="auto" w:fill="D9D9D9" w:themeFill="background1" w:themeFillShade="D9"/>
          </w:tcPr>
          <w:p w14:paraId="6325F297" w14:textId="1C6DD219" w:rsidR="00CA07EB" w:rsidRPr="00CA07EB" w:rsidRDefault="00CA07EB" w:rsidP="00CA07EB">
            <w:pPr>
              <w:spacing w:before="40" w:after="40" w:line="240" w:lineRule="auto"/>
              <w:rPr>
                <w:rFonts w:ascii="Arial" w:hAnsi="Arial" w:cs="Arial"/>
                <w:b/>
                <w:bCs/>
                <w:szCs w:val="20"/>
                <w:lang w:eastAsia="en-GB"/>
              </w:rPr>
            </w:pPr>
            <w:r w:rsidRPr="00CA07EB">
              <w:rPr>
                <w:rFonts w:ascii="Arial" w:hAnsi="Arial" w:cs="Arial"/>
                <w:b/>
                <w:bCs/>
                <w:szCs w:val="20"/>
                <w:lang w:eastAsia="en-GB"/>
              </w:rPr>
              <w:t>m2 per person</w:t>
            </w:r>
          </w:p>
        </w:tc>
      </w:tr>
      <w:tr w:rsidR="00CA07EB" w:rsidRPr="00F062E1" w14:paraId="61567D19" w14:textId="77777777" w:rsidTr="00CA07EB">
        <w:trPr>
          <w:jc w:val="center"/>
        </w:trPr>
        <w:tc>
          <w:tcPr>
            <w:tcW w:w="1582" w:type="pct"/>
            <w:vMerge w:val="restart"/>
            <w:tcBorders>
              <w:left w:val="nil"/>
              <w:bottom w:val="single" w:sz="8" w:space="0" w:color="auto"/>
            </w:tcBorders>
          </w:tcPr>
          <w:p w14:paraId="4E4B4B24" w14:textId="04BB222A" w:rsidR="00CA07EB" w:rsidRPr="00CA07EB"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Executive Enclosed Office</w:t>
            </w:r>
          </w:p>
        </w:tc>
        <w:tc>
          <w:tcPr>
            <w:tcW w:w="3418" w:type="pct"/>
            <w:tcBorders>
              <w:bottom w:val="single" w:sz="8" w:space="0" w:color="auto"/>
              <w:right w:val="nil"/>
            </w:tcBorders>
          </w:tcPr>
          <w:p w14:paraId="096ACD66" w14:textId="529915F2" w:rsidR="00CA07EB" w:rsidRPr="00F062E1"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16 – 20 (Senior Executive)</w:t>
            </w:r>
          </w:p>
        </w:tc>
      </w:tr>
      <w:tr w:rsidR="00CA07EB" w:rsidRPr="00F062E1" w14:paraId="01318E5B" w14:textId="77777777" w:rsidTr="00CA07EB">
        <w:trPr>
          <w:jc w:val="center"/>
        </w:trPr>
        <w:tc>
          <w:tcPr>
            <w:tcW w:w="1582" w:type="pct"/>
            <w:vMerge/>
            <w:tcBorders>
              <w:top w:val="single" w:sz="8" w:space="0" w:color="auto"/>
              <w:left w:val="nil"/>
            </w:tcBorders>
          </w:tcPr>
          <w:p w14:paraId="629A0366" w14:textId="77777777" w:rsidR="00CA07EB" w:rsidRDefault="00CA07EB" w:rsidP="00CA07EB">
            <w:pPr>
              <w:spacing w:before="40" w:after="40" w:line="240" w:lineRule="auto"/>
              <w:rPr>
                <w:rFonts w:ascii="Arial" w:hAnsi="Arial" w:cs="Arial"/>
                <w:sz w:val="18"/>
                <w:szCs w:val="18"/>
                <w:lang w:eastAsia="en-GB"/>
              </w:rPr>
            </w:pPr>
          </w:p>
        </w:tc>
        <w:tc>
          <w:tcPr>
            <w:tcW w:w="3418" w:type="pct"/>
            <w:tcBorders>
              <w:top w:val="single" w:sz="8" w:space="0" w:color="auto"/>
              <w:right w:val="nil"/>
            </w:tcBorders>
          </w:tcPr>
          <w:p w14:paraId="498151F2" w14:textId="1BA18EB6" w:rsidR="00CA07EB" w:rsidRPr="00F062E1"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12 – 14 (Dean, Director, HOS)</w:t>
            </w:r>
          </w:p>
        </w:tc>
      </w:tr>
      <w:tr w:rsidR="00CA07EB" w:rsidRPr="00F062E1" w14:paraId="258EFA77" w14:textId="77777777" w:rsidTr="00AC571E">
        <w:trPr>
          <w:jc w:val="center"/>
        </w:trPr>
        <w:tc>
          <w:tcPr>
            <w:tcW w:w="1582" w:type="pct"/>
            <w:vMerge w:val="restart"/>
            <w:tcBorders>
              <w:left w:val="nil"/>
            </w:tcBorders>
            <w:shd w:val="clear" w:color="auto" w:fill="F2F2F2" w:themeFill="background1" w:themeFillShade="F2"/>
          </w:tcPr>
          <w:p w14:paraId="17EDCE92" w14:textId="1A01EBBB" w:rsidR="00CA07EB"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Enclosed Office</w:t>
            </w:r>
          </w:p>
        </w:tc>
        <w:tc>
          <w:tcPr>
            <w:tcW w:w="3418" w:type="pct"/>
            <w:tcBorders>
              <w:right w:val="nil"/>
            </w:tcBorders>
            <w:shd w:val="clear" w:color="auto" w:fill="F2F2F2" w:themeFill="background1" w:themeFillShade="F2"/>
          </w:tcPr>
          <w:p w14:paraId="191A6B31" w14:textId="590DEC45" w:rsidR="00CA07EB" w:rsidRPr="00F062E1"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10 – 12 (academic staff C to E)</w:t>
            </w:r>
          </w:p>
        </w:tc>
      </w:tr>
      <w:tr w:rsidR="00CA07EB" w:rsidRPr="00F062E1" w14:paraId="5E87DA6A" w14:textId="77777777" w:rsidTr="00AC571E">
        <w:trPr>
          <w:jc w:val="center"/>
        </w:trPr>
        <w:tc>
          <w:tcPr>
            <w:tcW w:w="1582" w:type="pct"/>
            <w:vMerge/>
            <w:tcBorders>
              <w:left w:val="nil"/>
            </w:tcBorders>
            <w:shd w:val="clear" w:color="auto" w:fill="F2F2F2" w:themeFill="background1" w:themeFillShade="F2"/>
          </w:tcPr>
          <w:p w14:paraId="6DE7F2DB" w14:textId="77777777" w:rsidR="00CA07EB" w:rsidRDefault="00CA07EB" w:rsidP="00CA07EB">
            <w:pPr>
              <w:spacing w:before="40" w:after="40" w:line="240" w:lineRule="auto"/>
              <w:rPr>
                <w:rFonts w:ascii="Arial" w:hAnsi="Arial" w:cs="Arial"/>
                <w:sz w:val="18"/>
                <w:szCs w:val="18"/>
                <w:lang w:eastAsia="en-GB"/>
              </w:rPr>
            </w:pPr>
          </w:p>
        </w:tc>
        <w:tc>
          <w:tcPr>
            <w:tcW w:w="3418" w:type="pct"/>
            <w:tcBorders>
              <w:right w:val="nil"/>
            </w:tcBorders>
            <w:shd w:val="clear" w:color="auto" w:fill="F2F2F2" w:themeFill="background1" w:themeFillShade="F2"/>
          </w:tcPr>
          <w:p w14:paraId="765CBB3C" w14:textId="7BA46284" w:rsidR="00CA07EB" w:rsidRPr="00F062E1"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12 with 2 occupants (</w:t>
            </w:r>
            <w:r w:rsidR="00AC571E">
              <w:rPr>
                <w:rFonts w:ascii="Arial" w:hAnsi="Arial" w:cs="Arial"/>
                <w:sz w:val="18"/>
                <w:szCs w:val="18"/>
                <w:lang w:eastAsia="en-GB"/>
              </w:rPr>
              <w:t>a</w:t>
            </w:r>
            <w:r>
              <w:rPr>
                <w:rFonts w:ascii="Arial" w:hAnsi="Arial" w:cs="Arial"/>
                <w:sz w:val="18"/>
                <w:szCs w:val="18"/>
                <w:lang w:eastAsia="en-GB"/>
              </w:rPr>
              <w:t xml:space="preserve">cademic </w:t>
            </w:r>
            <w:r w:rsidR="00AC571E">
              <w:rPr>
                <w:rFonts w:ascii="Arial" w:hAnsi="Arial" w:cs="Arial"/>
                <w:sz w:val="18"/>
                <w:szCs w:val="18"/>
                <w:lang w:eastAsia="en-GB"/>
              </w:rPr>
              <w:t xml:space="preserve">staff </w:t>
            </w:r>
            <w:r>
              <w:rPr>
                <w:rFonts w:ascii="Arial" w:hAnsi="Arial" w:cs="Arial"/>
                <w:sz w:val="18"/>
                <w:szCs w:val="18"/>
                <w:lang w:eastAsia="en-GB"/>
              </w:rPr>
              <w:t>A &amp; B)</w:t>
            </w:r>
          </w:p>
        </w:tc>
      </w:tr>
      <w:tr w:rsidR="00CA07EB" w:rsidRPr="00F062E1" w14:paraId="2CCE6494" w14:textId="77777777" w:rsidTr="00AC571E">
        <w:trPr>
          <w:jc w:val="center"/>
        </w:trPr>
        <w:tc>
          <w:tcPr>
            <w:tcW w:w="1582" w:type="pct"/>
            <w:vMerge/>
            <w:tcBorders>
              <w:left w:val="nil"/>
            </w:tcBorders>
            <w:shd w:val="clear" w:color="auto" w:fill="F2F2F2" w:themeFill="background1" w:themeFillShade="F2"/>
          </w:tcPr>
          <w:p w14:paraId="73559434" w14:textId="77777777" w:rsidR="00CA07EB" w:rsidRDefault="00CA07EB" w:rsidP="00CA07EB">
            <w:pPr>
              <w:spacing w:before="40" w:after="40" w:line="240" w:lineRule="auto"/>
              <w:rPr>
                <w:rFonts w:ascii="Arial" w:hAnsi="Arial" w:cs="Arial"/>
                <w:sz w:val="18"/>
                <w:szCs w:val="18"/>
                <w:lang w:eastAsia="en-GB"/>
              </w:rPr>
            </w:pPr>
          </w:p>
        </w:tc>
        <w:tc>
          <w:tcPr>
            <w:tcW w:w="3418" w:type="pct"/>
            <w:tcBorders>
              <w:right w:val="nil"/>
            </w:tcBorders>
            <w:shd w:val="clear" w:color="auto" w:fill="F2F2F2" w:themeFill="background1" w:themeFillShade="F2"/>
          </w:tcPr>
          <w:p w14:paraId="35237864" w14:textId="31CF9182" w:rsidR="00CA07EB" w:rsidRPr="00F062E1"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10 – 12 (academic senior staff)</w:t>
            </w:r>
          </w:p>
        </w:tc>
      </w:tr>
      <w:tr w:rsidR="00CA07EB" w:rsidRPr="00F062E1" w14:paraId="0A7812CB" w14:textId="77777777" w:rsidTr="00AC571E">
        <w:trPr>
          <w:jc w:val="center"/>
        </w:trPr>
        <w:tc>
          <w:tcPr>
            <w:tcW w:w="1582" w:type="pct"/>
            <w:vMerge/>
            <w:tcBorders>
              <w:left w:val="nil"/>
            </w:tcBorders>
            <w:shd w:val="clear" w:color="auto" w:fill="F2F2F2" w:themeFill="background1" w:themeFillShade="F2"/>
          </w:tcPr>
          <w:p w14:paraId="278FE07D" w14:textId="77777777" w:rsidR="00CA07EB" w:rsidRDefault="00CA07EB" w:rsidP="00CA07EB">
            <w:pPr>
              <w:spacing w:before="40" w:after="40" w:line="240" w:lineRule="auto"/>
              <w:rPr>
                <w:rFonts w:ascii="Arial" w:hAnsi="Arial" w:cs="Arial"/>
                <w:sz w:val="18"/>
                <w:szCs w:val="18"/>
                <w:lang w:eastAsia="en-GB"/>
              </w:rPr>
            </w:pPr>
          </w:p>
        </w:tc>
        <w:tc>
          <w:tcPr>
            <w:tcW w:w="3418" w:type="pct"/>
            <w:tcBorders>
              <w:right w:val="nil"/>
            </w:tcBorders>
            <w:shd w:val="clear" w:color="auto" w:fill="F2F2F2" w:themeFill="background1" w:themeFillShade="F2"/>
          </w:tcPr>
          <w:p w14:paraId="55A3DD92" w14:textId="472AE91F" w:rsidR="00CA07EB" w:rsidRPr="00F062E1"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8 – 10 (administrative staff)</w:t>
            </w:r>
          </w:p>
        </w:tc>
      </w:tr>
      <w:tr w:rsidR="00CA07EB" w:rsidRPr="00F062E1" w14:paraId="3CBCCAB0" w14:textId="77777777" w:rsidTr="00CA07EB">
        <w:trPr>
          <w:jc w:val="center"/>
        </w:trPr>
        <w:tc>
          <w:tcPr>
            <w:tcW w:w="1582" w:type="pct"/>
            <w:tcBorders>
              <w:left w:val="nil"/>
            </w:tcBorders>
          </w:tcPr>
          <w:p w14:paraId="1C526F59" w14:textId="5D9436D3" w:rsidR="00CA07EB"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 xml:space="preserve">Open Plan </w:t>
            </w:r>
          </w:p>
        </w:tc>
        <w:tc>
          <w:tcPr>
            <w:tcW w:w="3418" w:type="pct"/>
            <w:tcBorders>
              <w:right w:val="nil"/>
            </w:tcBorders>
          </w:tcPr>
          <w:p w14:paraId="21866AD2" w14:textId="0C0562D9" w:rsidR="00CA07EB" w:rsidRPr="00F062E1"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6 – 8 (Open plan configurations will be supported by small meeting rooms)</w:t>
            </w:r>
          </w:p>
        </w:tc>
      </w:tr>
      <w:tr w:rsidR="00CA07EB" w:rsidRPr="00F062E1" w14:paraId="310DA558" w14:textId="77777777" w:rsidTr="00AC571E">
        <w:trPr>
          <w:jc w:val="center"/>
        </w:trPr>
        <w:tc>
          <w:tcPr>
            <w:tcW w:w="1582" w:type="pct"/>
            <w:tcBorders>
              <w:left w:val="nil"/>
            </w:tcBorders>
            <w:shd w:val="clear" w:color="auto" w:fill="F2F2F2" w:themeFill="background1" w:themeFillShade="F2"/>
          </w:tcPr>
          <w:p w14:paraId="4F3AAEB2" w14:textId="0B08BD32" w:rsidR="00CA07EB"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Postgrad / HDR</w:t>
            </w:r>
          </w:p>
        </w:tc>
        <w:tc>
          <w:tcPr>
            <w:tcW w:w="3418" w:type="pct"/>
            <w:tcBorders>
              <w:right w:val="nil"/>
            </w:tcBorders>
            <w:shd w:val="clear" w:color="auto" w:fill="F2F2F2" w:themeFill="background1" w:themeFillShade="F2"/>
          </w:tcPr>
          <w:p w14:paraId="194CC426" w14:textId="694EE9EC" w:rsidR="00CA07EB" w:rsidRPr="00F062E1" w:rsidRDefault="00CA07EB" w:rsidP="00CA07EB">
            <w:pPr>
              <w:spacing w:before="40" w:after="40" w:line="240" w:lineRule="auto"/>
              <w:rPr>
                <w:rFonts w:ascii="Arial" w:hAnsi="Arial" w:cs="Arial"/>
                <w:sz w:val="18"/>
                <w:szCs w:val="18"/>
                <w:lang w:eastAsia="en-GB"/>
              </w:rPr>
            </w:pPr>
            <w:r>
              <w:rPr>
                <w:rFonts w:ascii="Arial" w:hAnsi="Arial" w:cs="Arial"/>
                <w:sz w:val="18"/>
                <w:szCs w:val="18"/>
                <w:lang w:eastAsia="en-GB"/>
              </w:rPr>
              <w:t>4</w:t>
            </w:r>
          </w:p>
        </w:tc>
      </w:tr>
    </w:tbl>
    <w:p w14:paraId="7523F0E1" w14:textId="77777777" w:rsidR="00AE782D" w:rsidRPr="00517663" w:rsidRDefault="00AE782D" w:rsidP="002C53E7">
      <w:pPr>
        <w:spacing w:before="120" w:after="0"/>
        <w:rPr>
          <w:rFonts w:ascii="Arial" w:hAnsi="Arial" w:cs="Arial"/>
          <w:b/>
          <w:bCs/>
          <w:lang w:eastAsia="en-GB"/>
        </w:rPr>
      </w:pPr>
      <w:r w:rsidRPr="00517663">
        <w:rPr>
          <w:rFonts w:ascii="Arial" w:hAnsi="Arial" w:cs="Arial"/>
          <w:b/>
          <w:bCs/>
          <w:lang w:eastAsia="en-GB"/>
        </w:rPr>
        <w:t>Table 1: Maximum space allocation (Space Norms for Office space)</w:t>
      </w:r>
    </w:p>
    <w:p w14:paraId="7EDCD4E8" w14:textId="77777777" w:rsidR="00AE782D" w:rsidRPr="002C53E7" w:rsidRDefault="00AE782D" w:rsidP="00744C5E">
      <w:pPr>
        <w:spacing w:after="0"/>
        <w:rPr>
          <w:rFonts w:ascii="Arial" w:hAnsi="Arial" w:cs="Arial"/>
          <w:sz w:val="18"/>
          <w:szCs w:val="18"/>
        </w:rPr>
      </w:pPr>
      <w:r w:rsidRPr="002C53E7">
        <w:rPr>
          <w:rFonts w:ascii="Arial" w:hAnsi="Arial" w:cs="Arial"/>
          <w:sz w:val="18"/>
          <w:szCs w:val="18"/>
        </w:rPr>
        <w:t xml:space="preserve">Notes: </w:t>
      </w:r>
    </w:p>
    <w:p w14:paraId="78E0BB25" w14:textId="77777777" w:rsidR="00AE782D" w:rsidRPr="002C53E7" w:rsidRDefault="00AE782D" w:rsidP="00744C5E">
      <w:pPr>
        <w:pStyle w:val="ListParagraph"/>
        <w:numPr>
          <w:ilvl w:val="0"/>
          <w:numId w:val="40"/>
        </w:numPr>
        <w:ind w:left="360"/>
        <w:jc w:val="both"/>
        <w:rPr>
          <w:rFonts w:ascii="Arial" w:hAnsi="Arial" w:cs="Arial"/>
          <w:sz w:val="18"/>
          <w:szCs w:val="18"/>
        </w:rPr>
      </w:pPr>
      <w:r w:rsidRPr="002C53E7">
        <w:rPr>
          <w:rFonts w:ascii="Arial" w:hAnsi="Arial" w:cs="Arial"/>
          <w:sz w:val="18"/>
          <w:szCs w:val="18"/>
        </w:rPr>
        <w:t>Where a position is required to provide confidential support services to students, engage regularly with industry, or hold confidential discussions, planning of the space should ensure:</w:t>
      </w:r>
    </w:p>
    <w:p w14:paraId="607865D0" w14:textId="77777777" w:rsidR="00AE782D" w:rsidRPr="002C53E7" w:rsidRDefault="00AE782D" w:rsidP="00744C5E">
      <w:pPr>
        <w:pStyle w:val="ListParagraph"/>
        <w:numPr>
          <w:ilvl w:val="0"/>
          <w:numId w:val="39"/>
        </w:numPr>
        <w:ind w:left="850" w:hanging="283"/>
        <w:jc w:val="both"/>
        <w:rPr>
          <w:rFonts w:ascii="Arial" w:hAnsi="Arial" w:cs="Arial"/>
          <w:sz w:val="18"/>
          <w:szCs w:val="18"/>
        </w:rPr>
      </w:pPr>
      <w:r w:rsidRPr="002C53E7">
        <w:rPr>
          <w:rFonts w:ascii="Arial" w:hAnsi="Arial" w:cs="Arial"/>
          <w:sz w:val="18"/>
          <w:szCs w:val="18"/>
        </w:rPr>
        <w:t>Open plan offices have sufficient bookable private meeting space within the immediate surrounds.</w:t>
      </w:r>
    </w:p>
    <w:p w14:paraId="05E6C1A5" w14:textId="77777777" w:rsidR="00AE782D" w:rsidRPr="002C53E7" w:rsidRDefault="00AE782D" w:rsidP="00744C5E">
      <w:pPr>
        <w:pStyle w:val="ListParagraph"/>
        <w:numPr>
          <w:ilvl w:val="0"/>
          <w:numId w:val="39"/>
        </w:numPr>
        <w:ind w:left="850" w:hanging="283"/>
        <w:jc w:val="both"/>
        <w:rPr>
          <w:rFonts w:ascii="Arial" w:hAnsi="Arial" w:cs="Arial"/>
          <w:sz w:val="18"/>
          <w:szCs w:val="18"/>
        </w:rPr>
      </w:pPr>
      <w:r w:rsidRPr="002C53E7">
        <w:rPr>
          <w:rFonts w:ascii="Arial" w:hAnsi="Arial" w:cs="Arial"/>
          <w:sz w:val="18"/>
          <w:szCs w:val="18"/>
        </w:rPr>
        <w:t>Individual Offices have large glass windows/doors that are transparent.</w:t>
      </w:r>
    </w:p>
    <w:p w14:paraId="009F8BB2" w14:textId="77777777" w:rsidR="00AE782D" w:rsidRPr="002C53E7" w:rsidRDefault="00AE782D" w:rsidP="002C53E7">
      <w:pPr>
        <w:pStyle w:val="ListParagraph"/>
        <w:numPr>
          <w:ilvl w:val="0"/>
          <w:numId w:val="40"/>
        </w:numPr>
        <w:spacing w:after="120"/>
        <w:ind w:left="357" w:hanging="357"/>
        <w:contextualSpacing w:val="0"/>
        <w:jc w:val="both"/>
        <w:rPr>
          <w:rFonts w:ascii="Arial" w:hAnsi="Arial" w:cs="Arial"/>
          <w:sz w:val="18"/>
          <w:szCs w:val="18"/>
        </w:rPr>
      </w:pPr>
      <w:r w:rsidRPr="002C53E7">
        <w:rPr>
          <w:rFonts w:ascii="Arial" w:hAnsi="Arial" w:cs="Arial"/>
          <w:sz w:val="18"/>
          <w:szCs w:val="18"/>
        </w:rPr>
        <w:t xml:space="preserve">New and refurbished spaces will be designed to include, for example, storage, resources areas, libraries, and space for scholarly resources. </w:t>
      </w:r>
    </w:p>
    <w:p w14:paraId="03BEDA59" w14:textId="39598E17" w:rsidR="00AE782D" w:rsidRDefault="00AE782D" w:rsidP="002C53E7">
      <w:pPr>
        <w:jc w:val="both"/>
        <w:rPr>
          <w:rFonts w:ascii="Arial" w:eastAsiaTheme="majorEastAsia" w:hAnsi="Arial"/>
        </w:rPr>
      </w:pPr>
      <w:r w:rsidRPr="00517663">
        <w:rPr>
          <w:rFonts w:ascii="Arial" w:eastAsiaTheme="majorEastAsia" w:hAnsi="Arial"/>
        </w:rPr>
        <w:t xml:space="preserve">Group Pro Vice Chancellors and Heads </w:t>
      </w:r>
      <w:r>
        <w:rPr>
          <w:rFonts w:ascii="Arial" w:eastAsiaTheme="majorEastAsia" w:hAnsi="Arial"/>
        </w:rPr>
        <w:t xml:space="preserve">of Element </w:t>
      </w:r>
      <w:r w:rsidRPr="00517663">
        <w:rPr>
          <w:rFonts w:ascii="Arial" w:eastAsiaTheme="majorEastAsia" w:hAnsi="Arial"/>
        </w:rPr>
        <w:t>are asked to refer to the TEFMA Utilisation Benchmarks and agreed Space Norms for day-to-day operations and when reviewing their space needs/refurbishments as part of the Capital Planning process.</w:t>
      </w:r>
    </w:p>
    <w:p w14:paraId="3CF73DA9" w14:textId="77777777" w:rsidR="00744C5E" w:rsidRPr="00301C8D" w:rsidRDefault="00744C5E" w:rsidP="00744C5E">
      <w:pPr>
        <w:pStyle w:val="Heading4"/>
        <w:keepNext/>
        <w:keepLines/>
        <w:spacing w:before="200" w:line="276" w:lineRule="auto"/>
        <w:ind w:left="720" w:firstLine="0"/>
        <w:rPr>
          <w:rFonts w:eastAsiaTheme="majorEastAsia"/>
        </w:rPr>
      </w:pPr>
      <w:r>
        <w:rPr>
          <w:rFonts w:eastAsiaTheme="majorEastAsia"/>
        </w:rPr>
        <w:lastRenderedPageBreak/>
        <w:t xml:space="preserve">3.2.1 </w:t>
      </w:r>
      <w:r w:rsidRPr="00301C8D">
        <w:rPr>
          <w:rFonts w:eastAsiaTheme="majorEastAsia"/>
        </w:rPr>
        <w:t xml:space="preserve">New Buildings and Refurbishments </w:t>
      </w:r>
    </w:p>
    <w:p w14:paraId="74055748" w14:textId="77777777" w:rsidR="00744C5E" w:rsidRDefault="00744C5E" w:rsidP="00744C5E">
      <w:pPr>
        <w:spacing w:after="120"/>
        <w:ind w:left="720"/>
        <w:jc w:val="both"/>
        <w:rPr>
          <w:rFonts w:ascii="Arial" w:eastAsiaTheme="majorEastAsia" w:hAnsi="Arial"/>
        </w:rPr>
      </w:pPr>
      <w:r w:rsidRPr="00301C8D">
        <w:rPr>
          <w:rFonts w:ascii="Arial" w:eastAsiaTheme="majorEastAsia" w:hAnsi="Arial"/>
        </w:rPr>
        <w:t xml:space="preserve">Office space in new buildings or newly refurbished areas are allocated using University space norms approved by the Executive Group.  </w:t>
      </w:r>
    </w:p>
    <w:p w14:paraId="0BF24BA9" w14:textId="77777777" w:rsidR="00744C5E" w:rsidRPr="0065657D" w:rsidRDefault="00744C5E" w:rsidP="00252A97">
      <w:pPr>
        <w:ind w:left="720" w:right="77"/>
        <w:jc w:val="both"/>
        <w:rPr>
          <w:rFonts w:ascii="Arial" w:hAnsi="Arial" w:cs="Arial"/>
          <w:lang w:eastAsia="en-GB"/>
        </w:rPr>
      </w:pPr>
      <w:r w:rsidRPr="3E99097E">
        <w:rPr>
          <w:rFonts w:ascii="Arial" w:eastAsiaTheme="majorEastAsia" w:hAnsi="Arial"/>
        </w:rPr>
        <w:t xml:space="preserve">All major capital projects, including extensions, new buildings and substantial refurbishments should seek to maximise functional requirements. This occurs through meeting the standards above, while maintaining the efficiency of floor plate. </w:t>
      </w:r>
    </w:p>
    <w:p w14:paraId="694D5873" w14:textId="77777777" w:rsidR="00744C5E" w:rsidRPr="0065657D" w:rsidRDefault="00744C5E" w:rsidP="00252A97">
      <w:pPr>
        <w:ind w:left="720" w:right="77"/>
        <w:jc w:val="both"/>
        <w:rPr>
          <w:rFonts w:ascii="Arial" w:hAnsi="Arial" w:cs="Arial"/>
          <w:lang w:eastAsia="en-GB"/>
        </w:rPr>
      </w:pPr>
      <w:r w:rsidRPr="3E99097E">
        <w:rPr>
          <w:rFonts w:ascii="Arial" w:eastAsiaTheme="majorEastAsia" w:hAnsi="Arial"/>
        </w:rPr>
        <w:t>In planning new building/refurbishment work, consideration must be given to local work arrangements approved in accordance with the Work Location Policy. Flexible multipurpose design is encouraged wherever possible. This may result in an increasing proportion of shared offices/workspaces and more hot-desking over time.</w:t>
      </w:r>
    </w:p>
    <w:p w14:paraId="57472D9C" w14:textId="77777777" w:rsidR="00744C5E" w:rsidRPr="00127704" w:rsidRDefault="00744C5E" w:rsidP="00744C5E">
      <w:pPr>
        <w:pStyle w:val="Heading4"/>
        <w:keepNext/>
        <w:keepLines/>
        <w:spacing w:before="200" w:line="276" w:lineRule="auto"/>
        <w:ind w:left="720" w:firstLine="0"/>
        <w:rPr>
          <w:rFonts w:eastAsiaTheme="majorEastAsia"/>
          <w:b w:val="0"/>
        </w:rPr>
      </w:pPr>
      <w:r w:rsidRPr="00127704">
        <w:rPr>
          <w:rFonts w:eastAsiaTheme="majorEastAsia"/>
        </w:rPr>
        <w:t>3.2.2 Existing Buildings</w:t>
      </w:r>
    </w:p>
    <w:p w14:paraId="60ADA0D9" w14:textId="77777777" w:rsidR="00744C5E" w:rsidRPr="00517663" w:rsidRDefault="00744C5E" w:rsidP="00252A97">
      <w:pPr>
        <w:pStyle w:val="Heading4"/>
        <w:keepNext/>
        <w:keepLines/>
        <w:spacing w:before="80" w:after="80" w:line="276" w:lineRule="auto"/>
        <w:ind w:left="720" w:right="77" w:firstLine="0"/>
        <w:rPr>
          <w:rFonts w:ascii="Arial" w:eastAsiaTheme="majorEastAsia" w:hAnsi="Arial"/>
        </w:rPr>
      </w:pPr>
      <w:r w:rsidRPr="00517663">
        <w:rPr>
          <w:rFonts w:ascii="Arial" w:eastAsiaTheme="majorEastAsia" w:hAnsi="Arial"/>
          <w:b w:val="0"/>
        </w:rPr>
        <w:t>The dimension and layouts of existing buildings may place constraints on using space efficiently. It is the responsibility of Heads of Elements to allocate space within their Element to achieve as efficient use of space as possible using the following principles:</w:t>
      </w:r>
    </w:p>
    <w:p w14:paraId="0000833F" w14:textId="77777777" w:rsidR="00744C5E" w:rsidRPr="00FC6704" w:rsidRDefault="00744C5E" w:rsidP="00744C5E">
      <w:pPr>
        <w:pStyle w:val="NormalWhite"/>
        <w:numPr>
          <w:ilvl w:val="1"/>
          <w:numId w:val="41"/>
        </w:numPr>
        <w:spacing w:before="80" w:after="80"/>
        <w:jc w:val="both"/>
        <w:rPr>
          <w:rFonts w:ascii="Arial" w:hAnsi="Arial" w:cs="Arial"/>
          <w:color w:val="000000" w:themeColor="text1"/>
        </w:rPr>
      </w:pPr>
      <w:r w:rsidRPr="00FC6704">
        <w:rPr>
          <w:rFonts w:ascii="Arial" w:hAnsi="Arial" w:cs="Arial"/>
          <w:color w:val="000000" w:themeColor="text1"/>
        </w:rPr>
        <w:t>The Head of Element is responsible for ensuring that accessibility requirements of all students and staff are considered in the management of the element’s space allocation</w:t>
      </w:r>
      <w:r>
        <w:rPr>
          <w:rFonts w:ascii="Arial" w:hAnsi="Arial" w:cs="Arial"/>
          <w:color w:val="000000" w:themeColor="text1"/>
        </w:rPr>
        <w:t>.</w:t>
      </w:r>
    </w:p>
    <w:p w14:paraId="2EB7B645" w14:textId="77777777" w:rsidR="00744C5E" w:rsidRDefault="00744C5E" w:rsidP="00744C5E">
      <w:pPr>
        <w:pStyle w:val="NormalWhite"/>
        <w:numPr>
          <w:ilvl w:val="1"/>
          <w:numId w:val="41"/>
        </w:numPr>
        <w:spacing w:before="80" w:after="80"/>
        <w:jc w:val="both"/>
        <w:rPr>
          <w:rFonts w:ascii="Arial" w:hAnsi="Arial" w:cs="Arial"/>
          <w:color w:val="000000" w:themeColor="text1"/>
        </w:rPr>
      </w:pPr>
      <w:r w:rsidRPr="3E99097E">
        <w:rPr>
          <w:rFonts w:ascii="Arial" w:hAnsi="Arial" w:cs="Arial"/>
          <w:color w:val="000000" w:themeColor="text1"/>
        </w:rPr>
        <w:t>Academic space</w:t>
      </w:r>
      <w:r w:rsidRPr="3E99097E">
        <w:rPr>
          <w:rFonts w:ascii="Arial" w:hAnsi="Arial" w:cs="Arial"/>
          <w:b/>
          <w:bCs/>
          <w:color w:val="000000" w:themeColor="text1"/>
        </w:rPr>
        <w:t xml:space="preserve"> </w:t>
      </w:r>
      <w:r w:rsidRPr="3E99097E">
        <w:rPr>
          <w:rFonts w:ascii="Arial" w:hAnsi="Arial" w:cs="Arial"/>
          <w:color w:val="000000" w:themeColor="text1"/>
        </w:rPr>
        <w:t>is allocated in accordance with the Space Norms.</w:t>
      </w:r>
      <w:r>
        <w:rPr>
          <w:rFonts w:ascii="Arial" w:hAnsi="Arial" w:cs="Arial"/>
          <w:color w:val="000000" w:themeColor="text1"/>
        </w:rPr>
        <w:t xml:space="preserve"> </w:t>
      </w:r>
      <w:r w:rsidRPr="3E99097E">
        <w:rPr>
          <w:rFonts w:ascii="Arial" w:hAnsi="Arial" w:cs="Arial"/>
          <w:color w:val="000000" w:themeColor="text1"/>
        </w:rPr>
        <w:t xml:space="preserve">However, a Head of Element may choose not to allocate sole occupancy offices to academic staff in particular cases where: </w:t>
      </w:r>
    </w:p>
    <w:p w14:paraId="58D83940" w14:textId="77777777" w:rsidR="00744C5E" w:rsidRDefault="00744C5E" w:rsidP="00744C5E">
      <w:pPr>
        <w:pStyle w:val="NormalWhite"/>
        <w:numPr>
          <w:ilvl w:val="2"/>
          <w:numId w:val="41"/>
        </w:numPr>
        <w:spacing w:before="80" w:after="80"/>
        <w:jc w:val="both"/>
        <w:rPr>
          <w:color w:val="000000" w:themeColor="text1"/>
        </w:rPr>
      </w:pPr>
      <w:r w:rsidRPr="3E99097E">
        <w:rPr>
          <w:rFonts w:ascii="Arial" w:hAnsi="Arial" w:cs="Arial"/>
          <w:color w:val="000000" w:themeColor="text1"/>
        </w:rPr>
        <w:t xml:space="preserve">there are significant space pressures in the Element and Groups/Division; </w:t>
      </w:r>
    </w:p>
    <w:p w14:paraId="7A193F1D" w14:textId="77777777" w:rsidR="00744C5E" w:rsidRDefault="00744C5E" w:rsidP="00744C5E">
      <w:pPr>
        <w:pStyle w:val="NormalWhite"/>
        <w:numPr>
          <w:ilvl w:val="2"/>
          <w:numId w:val="41"/>
        </w:numPr>
        <w:spacing w:before="80" w:after="80"/>
        <w:jc w:val="both"/>
        <w:rPr>
          <w:color w:val="000000" w:themeColor="text1"/>
        </w:rPr>
      </w:pPr>
      <w:r w:rsidRPr="3E99097E">
        <w:rPr>
          <w:rFonts w:ascii="Arial" w:hAnsi="Arial" w:cs="Arial"/>
          <w:color w:val="000000" w:themeColor="text1"/>
        </w:rPr>
        <w:t xml:space="preserve">the spaces available are over the space norm entitlement; </w:t>
      </w:r>
    </w:p>
    <w:p w14:paraId="359726D5" w14:textId="77777777" w:rsidR="00744C5E" w:rsidRDefault="00744C5E" w:rsidP="00744C5E">
      <w:pPr>
        <w:pStyle w:val="NormalWhite"/>
        <w:numPr>
          <w:ilvl w:val="2"/>
          <w:numId w:val="41"/>
        </w:numPr>
        <w:spacing w:before="80" w:after="80"/>
        <w:jc w:val="both"/>
        <w:rPr>
          <w:color w:val="000000" w:themeColor="text1"/>
        </w:rPr>
      </w:pPr>
      <w:r w:rsidRPr="3E99097E">
        <w:rPr>
          <w:rFonts w:ascii="Arial" w:hAnsi="Arial" w:cs="Arial"/>
          <w:color w:val="000000" w:themeColor="text1"/>
        </w:rPr>
        <w:t xml:space="preserve">the nature of the activities undertaken by staff means that shared office space is more appropriate, and/or; </w:t>
      </w:r>
    </w:p>
    <w:p w14:paraId="02B9976B" w14:textId="77777777" w:rsidR="00744C5E" w:rsidRDefault="00744C5E" w:rsidP="00744C5E">
      <w:pPr>
        <w:pStyle w:val="NormalWhite"/>
        <w:numPr>
          <w:ilvl w:val="2"/>
          <w:numId w:val="41"/>
        </w:numPr>
        <w:spacing w:before="80" w:after="80"/>
        <w:jc w:val="both"/>
        <w:rPr>
          <w:color w:val="000000" w:themeColor="text1"/>
        </w:rPr>
      </w:pPr>
      <w:r w:rsidRPr="3E99097E">
        <w:rPr>
          <w:rFonts w:ascii="Arial" w:hAnsi="Arial" w:cs="Arial"/>
          <w:color w:val="000000" w:themeColor="text1"/>
        </w:rPr>
        <w:t>the building design and layout is better suited to offices being shared.</w:t>
      </w:r>
    </w:p>
    <w:p w14:paraId="24F295C6" w14:textId="77777777" w:rsidR="00744C5E" w:rsidRDefault="00744C5E" w:rsidP="00744C5E">
      <w:pPr>
        <w:pStyle w:val="NormalWhite"/>
        <w:numPr>
          <w:ilvl w:val="1"/>
          <w:numId w:val="41"/>
        </w:numPr>
        <w:spacing w:before="80" w:after="80"/>
        <w:jc w:val="both"/>
        <w:rPr>
          <w:rFonts w:ascii="Arial" w:hAnsi="Arial" w:cs="Arial"/>
          <w:color w:val="000000" w:themeColor="text1"/>
        </w:rPr>
      </w:pPr>
      <w:r w:rsidRPr="3E99097E">
        <w:rPr>
          <w:rFonts w:ascii="Arial" w:hAnsi="Arial" w:cs="Arial"/>
          <w:color w:val="000000" w:themeColor="text1"/>
        </w:rPr>
        <w:t>Support and professional staff may be expected to share office accommodation or be located in open plan space.</w:t>
      </w:r>
    </w:p>
    <w:p w14:paraId="0968A5BA" w14:textId="77777777" w:rsidR="00744C5E" w:rsidRPr="000A36E6" w:rsidRDefault="00744C5E" w:rsidP="00744C5E">
      <w:pPr>
        <w:pStyle w:val="NormalWhite"/>
        <w:numPr>
          <w:ilvl w:val="1"/>
          <w:numId w:val="41"/>
        </w:numPr>
        <w:spacing w:before="80" w:after="80"/>
        <w:jc w:val="both"/>
        <w:rPr>
          <w:rFonts w:ascii="Arial" w:hAnsi="Arial" w:cs="Arial"/>
          <w:color w:val="000000" w:themeColor="text1"/>
        </w:rPr>
      </w:pPr>
      <w:r w:rsidRPr="3E99097E">
        <w:rPr>
          <w:rFonts w:ascii="Arial" w:hAnsi="Arial" w:cs="Arial"/>
          <w:color w:val="000000" w:themeColor="text1"/>
        </w:rPr>
        <w:t>Heads of Element should consider flexible ways of working and the extent to which offices and workstations can be shared to improve the efficiency and performance of the Elements space.</w:t>
      </w:r>
    </w:p>
    <w:p w14:paraId="0EAA7E0E" w14:textId="77777777" w:rsidR="00744C5E" w:rsidRPr="00FC6704" w:rsidRDefault="00744C5E" w:rsidP="00744C5E">
      <w:pPr>
        <w:pStyle w:val="NormalWhite"/>
        <w:numPr>
          <w:ilvl w:val="1"/>
          <w:numId w:val="41"/>
        </w:numPr>
        <w:spacing w:before="80" w:after="80"/>
        <w:jc w:val="both"/>
        <w:rPr>
          <w:rFonts w:ascii="Arial" w:hAnsi="Arial" w:cs="Arial"/>
          <w:color w:val="000000" w:themeColor="text1"/>
        </w:rPr>
      </w:pPr>
      <w:r w:rsidRPr="3E99097E">
        <w:rPr>
          <w:rFonts w:ascii="Arial" w:hAnsi="Arial" w:cs="Arial"/>
          <w:color w:val="000000" w:themeColor="text1"/>
        </w:rPr>
        <w:t>Only the Vice Chancellor is entitled to multiple offices.  Senior leaders will have dedicated office space on a home campus and will use bookable flexible office space on other campuses. Other staff working between campuses are required to hot-desk within the Groups/Divisions existing space allocation.</w:t>
      </w:r>
    </w:p>
    <w:p w14:paraId="3DB29C61" w14:textId="77777777" w:rsidR="00744C5E" w:rsidRPr="00FC6704" w:rsidRDefault="00744C5E" w:rsidP="00744C5E">
      <w:pPr>
        <w:pStyle w:val="NormalWhite"/>
        <w:numPr>
          <w:ilvl w:val="1"/>
          <w:numId w:val="41"/>
        </w:numPr>
        <w:spacing w:before="80" w:after="80"/>
        <w:jc w:val="both"/>
        <w:rPr>
          <w:rFonts w:ascii="Arial" w:hAnsi="Arial" w:cs="Arial"/>
          <w:color w:val="000000" w:themeColor="text1"/>
        </w:rPr>
      </w:pPr>
      <w:r w:rsidRPr="00FC6704">
        <w:rPr>
          <w:rFonts w:ascii="Arial" w:hAnsi="Arial" w:cs="Arial"/>
          <w:color w:val="000000" w:themeColor="text1"/>
        </w:rPr>
        <w:t>There is no automatic right to the sole use of a room by a member of staff if they are on study leave or leave of absence, though access to a working area should be facilitated where required.</w:t>
      </w:r>
    </w:p>
    <w:p w14:paraId="0825FF0C" w14:textId="77777777" w:rsidR="00744C5E" w:rsidRPr="00FC6704" w:rsidRDefault="00744C5E" w:rsidP="00744C5E">
      <w:pPr>
        <w:pStyle w:val="NormalWhite"/>
        <w:numPr>
          <w:ilvl w:val="1"/>
          <w:numId w:val="41"/>
        </w:numPr>
        <w:spacing w:before="80" w:after="80"/>
        <w:jc w:val="both"/>
        <w:rPr>
          <w:rFonts w:ascii="Arial" w:hAnsi="Arial" w:cs="Arial"/>
          <w:color w:val="000000" w:themeColor="text1"/>
        </w:rPr>
      </w:pPr>
      <w:r w:rsidRPr="3E99097E">
        <w:rPr>
          <w:rFonts w:ascii="Arial" w:hAnsi="Arial" w:cs="Arial"/>
          <w:color w:val="000000" w:themeColor="text1"/>
        </w:rPr>
        <w:t>The allocation ratio of HDR students per workstation should be informed by utilisation data. Schools/Institutes are expected to make efficient use of space by allocating larger rooms and offices to multiple occupancy for HDRs.</w:t>
      </w:r>
    </w:p>
    <w:p w14:paraId="34B61F9D" w14:textId="77777777" w:rsidR="00744C5E" w:rsidRDefault="00744C5E" w:rsidP="00744C5E">
      <w:pPr>
        <w:pStyle w:val="NormalWhite"/>
        <w:numPr>
          <w:ilvl w:val="1"/>
          <w:numId w:val="41"/>
        </w:numPr>
        <w:spacing w:before="80" w:after="80"/>
        <w:jc w:val="both"/>
        <w:rPr>
          <w:rFonts w:ascii="Arial" w:hAnsi="Arial" w:cs="Arial"/>
          <w:color w:val="000000" w:themeColor="text1"/>
        </w:rPr>
      </w:pPr>
      <w:r w:rsidRPr="3D322E4B">
        <w:rPr>
          <w:rFonts w:ascii="Arial" w:hAnsi="Arial" w:cs="Arial"/>
          <w:color w:val="000000" w:themeColor="text1"/>
        </w:rPr>
        <w:t>Honorary and Emeriti Professors should only be provided an office where the individual has external research funding or carries a significant teaching load, otherwise accommodation should be in designated ‘hot desk/shared space’.</w:t>
      </w:r>
    </w:p>
    <w:p w14:paraId="49E7A2FA" w14:textId="77777777" w:rsidR="00744C5E" w:rsidRPr="00FC6704" w:rsidRDefault="00744C5E" w:rsidP="00744C5E">
      <w:pPr>
        <w:pStyle w:val="NormalWhite"/>
        <w:numPr>
          <w:ilvl w:val="1"/>
          <w:numId w:val="41"/>
        </w:numPr>
        <w:spacing w:before="80" w:after="80"/>
        <w:jc w:val="both"/>
        <w:rPr>
          <w:rFonts w:ascii="Arial" w:hAnsi="Arial" w:cs="Arial"/>
          <w:color w:val="000000" w:themeColor="text1"/>
        </w:rPr>
      </w:pPr>
      <w:r w:rsidRPr="3E99097E">
        <w:rPr>
          <w:rFonts w:ascii="Arial" w:hAnsi="Arial" w:cs="Arial"/>
          <w:color w:val="000000" w:themeColor="text1"/>
        </w:rPr>
        <w:t>Adjunct Professors are not entitled to an office space but are allowed to access hot-desking spaces for specific projects or purposes.</w:t>
      </w:r>
    </w:p>
    <w:p w14:paraId="56641B99" w14:textId="77777777" w:rsidR="00744C5E" w:rsidRPr="00FC6704" w:rsidRDefault="00744C5E" w:rsidP="00744C5E">
      <w:pPr>
        <w:pStyle w:val="NormalWhite"/>
        <w:numPr>
          <w:ilvl w:val="1"/>
          <w:numId w:val="41"/>
        </w:numPr>
        <w:spacing w:before="80" w:after="80"/>
        <w:jc w:val="both"/>
        <w:rPr>
          <w:rFonts w:ascii="Arial" w:hAnsi="Arial" w:cs="Arial"/>
          <w:color w:val="000000" w:themeColor="text1"/>
        </w:rPr>
      </w:pPr>
      <w:r w:rsidRPr="00FC6704">
        <w:rPr>
          <w:rFonts w:ascii="Arial" w:hAnsi="Arial" w:cs="Arial"/>
          <w:color w:val="000000" w:themeColor="text1"/>
        </w:rPr>
        <w:t>Specialised space utilisation data should be regularly reviewed</w:t>
      </w:r>
      <w:r>
        <w:rPr>
          <w:rFonts w:ascii="Arial" w:hAnsi="Arial" w:cs="Arial"/>
          <w:color w:val="000000" w:themeColor="text1"/>
        </w:rPr>
        <w:t xml:space="preserve"> as to</w:t>
      </w:r>
      <w:r w:rsidRPr="00FC6704">
        <w:rPr>
          <w:rFonts w:ascii="Arial" w:hAnsi="Arial" w:cs="Arial"/>
          <w:color w:val="000000" w:themeColor="text1"/>
        </w:rPr>
        <w:t xml:space="preserve"> its </w:t>
      </w:r>
      <w:r>
        <w:rPr>
          <w:rFonts w:ascii="Arial" w:hAnsi="Arial" w:cs="Arial"/>
          <w:color w:val="000000" w:themeColor="text1"/>
        </w:rPr>
        <w:t xml:space="preserve">ongoing </w:t>
      </w:r>
      <w:r w:rsidRPr="00FC6704">
        <w:rPr>
          <w:rFonts w:ascii="Arial" w:hAnsi="Arial" w:cs="Arial"/>
          <w:color w:val="000000" w:themeColor="text1"/>
        </w:rPr>
        <w:t>need (</w:t>
      </w:r>
      <w:r>
        <w:rPr>
          <w:rFonts w:ascii="Arial" w:hAnsi="Arial" w:cs="Arial"/>
          <w:color w:val="000000" w:themeColor="text1"/>
        </w:rPr>
        <w:t xml:space="preserve">e.g. </w:t>
      </w:r>
      <w:r w:rsidRPr="00FC6704">
        <w:rPr>
          <w:rFonts w:ascii="Arial" w:hAnsi="Arial" w:cs="Arial"/>
          <w:color w:val="000000" w:themeColor="text1"/>
        </w:rPr>
        <w:t>additional capacity required /</w:t>
      </w:r>
      <w:r>
        <w:rPr>
          <w:rFonts w:ascii="Arial" w:hAnsi="Arial" w:cs="Arial"/>
          <w:color w:val="000000" w:themeColor="text1"/>
        </w:rPr>
        <w:t xml:space="preserve">can </w:t>
      </w:r>
      <w:r w:rsidRPr="00FC6704">
        <w:rPr>
          <w:rFonts w:ascii="Arial" w:hAnsi="Arial" w:cs="Arial"/>
          <w:color w:val="000000" w:themeColor="text1"/>
        </w:rPr>
        <w:t>the activity be undertaken in another space</w:t>
      </w:r>
      <w:r>
        <w:rPr>
          <w:rFonts w:ascii="Arial" w:hAnsi="Arial" w:cs="Arial"/>
          <w:color w:val="000000" w:themeColor="text1"/>
        </w:rPr>
        <w:t xml:space="preserve"> to increase overall utilisation</w:t>
      </w:r>
      <w:r w:rsidRPr="00FC6704">
        <w:rPr>
          <w:rFonts w:ascii="Arial" w:hAnsi="Arial" w:cs="Arial"/>
          <w:color w:val="000000" w:themeColor="text1"/>
        </w:rPr>
        <w:t>, freeing up space to be repurposed)</w:t>
      </w:r>
      <w:r>
        <w:rPr>
          <w:rFonts w:ascii="Arial" w:hAnsi="Arial" w:cs="Arial"/>
          <w:color w:val="000000" w:themeColor="text1"/>
        </w:rPr>
        <w:t>.</w:t>
      </w:r>
    </w:p>
    <w:p w14:paraId="5983A10F" w14:textId="77777777" w:rsidR="00744C5E" w:rsidRPr="00FC6704" w:rsidRDefault="00744C5E" w:rsidP="00744C5E">
      <w:pPr>
        <w:pStyle w:val="NormalWhite"/>
        <w:numPr>
          <w:ilvl w:val="1"/>
          <w:numId w:val="41"/>
        </w:numPr>
        <w:spacing w:before="80" w:after="80"/>
        <w:rPr>
          <w:rFonts w:ascii="Arial" w:hAnsi="Arial" w:cs="Arial"/>
          <w:color w:val="000000" w:themeColor="text1"/>
        </w:rPr>
      </w:pPr>
      <w:r w:rsidRPr="3E99097E">
        <w:rPr>
          <w:rFonts w:ascii="Arial" w:hAnsi="Arial" w:cs="Arial"/>
          <w:color w:val="000000" w:themeColor="text1"/>
        </w:rPr>
        <w:lastRenderedPageBreak/>
        <w:t xml:space="preserve">The University recognises the importance of providing adequate storage space for both academic and professional staff. </w:t>
      </w:r>
      <w:r>
        <w:br/>
      </w:r>
      <w:r>
        <w:br/>
      </w:r>
      <w:r w:rsidRPr="3E99097E">
        <w:rPr>
          <w:rFonts w:ascii="Arial" w:hAnsi="Arial" w:cs="Arial"/>
          <w:color w:val="000000" w:themeColor="text1"/>
        </w:rPr>
        <w:t xml:space="preserve">Where possible, staff should maximise the use of digital storage options provided by Griffith. As a supplement to digital storage, new projects will address the provision of adequate physical storage through design solutions. These may include: </w:t>
      </w:r>
    </w:p>
    <w:p w14:paraId="29C6AC8B" w14:textId="77777777" w:rsidR="00744C5E" w:rsidRPr="00FC6704" w:rsidRDefault="00744C5E" w:rsidP="00744C5E">
      <w:pPr>
        <w:pStyle w:val="NormalWhite"/>
        <w:numPr>
          <w:ilvl w:val="2"/>
          <w:numId w:val="41"/>
        </w:numPr>
        <w:spacing w:before="80" w:after="80"/>
        <w:jc w:val="both"/>
        <w:rPr>
          <w:color w:val="000000" w:themeColor="text1"/>
        </w:rPr>
      </w:pPr>
      <w:r w:rsidRPr="3E99097E">
        <w:rPr>
          <w:rFonts w:ascii="Arial" w:hAnsi="Arial" w:cs="Arial"/>
          <w:color w:val="000000" w:themeColor="text1"/>
        </w:rPr>
        <w:t xml:space="preserve">personal storage located at individual workstations and in enclosed offices; </w:t>
      </w:r>
    </w:p>
    <w:p w14:paraId="45D62025" w14:textId="77777777" w:rsidR="00744C5E" w:rsidRPr="00FC6704" w:rsidRDefault="00744C5E" w:rsidP="00744C5E">
      <w:pPr>
        <w:pStyle w:val="NormalWhite"/>
        <w:numPr>
          <w:ilvl w:val="2"/>
          <w:numId w:val="41"/>
        </w:numPr>
        <w:spacing w:before="80" w:after="80"/>
        <w:jc w:val="both"/>
        <w:rPr>
          <w:color w:val="000000" w:themeColor="text1"/>
        </w:rPr>
      </w:pPr>
      <w:r w:rsidRPr="3E99097E">
        <w:rPr>
          <w:rFonts w:ascii="Arial" w:hAnsi="Arial" w:cs="Arial"/>
          <w:color w:val="000000" w:themeColor="text1"/>
        </w:rPr>
        <w:t xml:space="preserve">shared, team storage/libraries located in areas adjacent to team clusters; </w:t>
      </w:r>
    </w:p>
    <w:p w14:paraId="429C0881" w14:textId="77777777" w:rsidR="00744C5E" w:rsidRPr="00FC6704" w:rsidRDefault="00744C5E" w:rsidP="00744C5E">
      <w:pPr>
        <w:pStyle w:val="NormalWhite"/>
        <w:numPr>
          <w:ilvl w:val="2"/>
          <w:numId w:val="41"/>
        </w:numPr>
        <w:spacing w:before="80" w:after="80"/>
        <w:jc w:val="both"/>
        <w:rPr>
          <w:color w:val="000000" w:themeColor="text1"/>
        </w:rPr>
      </w:pPr>
      <w:r w:rsidRPr="3E99097E">
        <w:rPr>
          <w:rFonts w:ascii="Arial" w:hAnsi="Arial" w:cs="Arial"/>
          <w:color w:val="000000" w:themeColor="text1"/>
        </w:rPr>
        <w:t xml:space="preserve">shared facility and resource hubs located through the total workspace; </w:t>
      </w:r>
    </w:p>
    <w:p w14:paraId="76FF0744" w14:textId="77777777" w:rsidR="00744C5E" w:rsidRPr="00FC6704" w:rsidRDefault="00744C5E" w:rsidP="00744C5E">
      <w:pPr>
        <w:pStyle w:val="NormalWhite"/>
        <w:numPr>
          <w:ilvl w:val="2"/>
          <w:numId w:val="41"/>
        </w:numPr>
        <w:spacing w:before="80" w:after="80"/>
        <w:jc w:val="both"/>
        <w:rPr>
          <w:color w:val="000000" w:themeColor="text1"/>
        </w:rPr>
      </w:pPr>
      <w:r w:rsidRPr="3E99097E">
        <w:rPr>
          <w:rFonts w:ascii="Arial" w:hAnsi="Arial" w:cs="Arial"/>
          <w:color w:val="000000" w:themeColor="text1"/>
        </w:rPr>
        <w:t>shared security storage located where appropriate.</w:t>
      </w:r>
    </w:p>
    <w:p w14:paraId="30C6A3B4" w14:textId="77777777" w:rsidR="00744C5E" w:rsidRPr="00FC6704" w:rsidRDefault="00744C5E" w:rsidP="00744C5E">
      <w:pPr>
        <w:pStyle w:val="NormalWhite"/>
        <w:numPr>
          <w:ilvl w:val="1"/>
          <w:numId w:val="41"/>
        </w:numPr>
        <w:jc w:val="both"/>
        <w:rPr>
          <w:rFonts w:ascii="Arial" w:hAnsi="Arial" w:cs="Arial"/>
          <w:color w:val="000000" w:themeColor="text1"/>
        </w:rPr>
      </w:pPr>
      <w:r w:rsidRPr="3E99097E">
        <w:rPr>
          <w:rFonts w:ascii="Arial" w:hAnsi="Arial" w:cs="Arial"/>
          <w:color w:val="000000" w:themeColor="text1"/>
        </w:rPr>
        <w:t>For specific bulky property such as Art Collections, Academic Gowns, and other items, consideration should be given to appropriate offsite storage.</w:t>
      </w:r>
    </w:p>
    <w:p w14:paraId="09FD8D93" w14:textId="6F41536B" w:rsidR="00744C5E" w:rsidRPr="00744C5E" w:rsidRDefault="00744C5E" w:rsidP="00744C5E">
      <w:pPr>
        <w:pStyle w:val="Heading3"/>
        <w:ind w:left="0" w:firstLine="284"/>
      </w:pPr>
      <w:bookmarkStart w:id="18" w:name="_3.3_Space_Management"/>
      <w:bookmarkEnd w:id="18"/>
      <w:r>
        <w:t xml:space="preserve">3.3 </w:t>
      </w:r>
      <w:r w:rsidRPr="00744C5E">
        <w:t>Space Management</w:t>
      </w:r>
    </w:p>
    <w:p w14:paraId="5F2D0722" w14:textId="77777777" w:rsidR="00744C5E" w:rsidRPr="00CC0AF8" w:rsidRDefault="00744C5E" w:rsidP="00CC0AF8">
      <w:pPr>
        <w:pStyle w:val="Heading4"/>
        <w:keepNext/>
        <w:keepLines/>
        <w:spacing w:before="120" w:line="276" w:lineRule="auto"/>
        <w:ind w:left="284" w:right="77" w:firstLine="0"/>
        <w:rPr>
          <w:rFonts w:ascii="Arial" w:eastAsiaTheme="majorEastAsia" w:hAnsi="Arial"/>
        </w:rPr>
      </w:pPr>
      <w:r w:rsidRPr="00CC0AF8">
        <w:rPr>
          <w:rFonts w:ascii="Arial" w:eastAsiaTheme="majorEastAsia" w:hAnsi="Arial"/>
          <w:b w:val="0"/>
        </w:rPr>
        <w:t>Elements are responsible for maintaining an accurate record of who is occupying office, laboratory, or other spaces.</w:t>
      </w:r>
    </w:p>
    <w:p w14:paraId="5D778F2C" w14:textId="77777777" w:rsidR="00744C5E" w:rsidRPr="00CC0AF8" w:rsidRDefault="00744C5E" w:rsidP="00CC0AF8">
      <w:pPr>
        <w:pStyle w:val="Heading4"/>
        <w:keepNext/>
        <w:keepLines/>
        <w:spacing w:before="120" w:line="276" w:lineRule="auto"/>
        <w:ind w:left="284" w:right="77" w:firstLine="0"/>
        <w:rPr>
          <w:rFonts w:ascii="Arial" w:eastAsiaTheme="majorEastAsia" w:hAnsi="Arial"/>
        </w:rPr>
      </w:pPr>
      <w:r w:rsidRPr="00CC0AF8">
        <w:rPr>
          <w:rFonts w:ascii="Arial" w:eastAsiaTheme="majorEastAsia" w:hAnsi="Arial"/>
          <w:b w:val="0"/>
        </w:rPr>
        <w:t xml:space="preserve">Space information including a statistical overview, floor plans, inventory, allocation, Group and Element locations and other information is provided in the </w:t>
      </w:r>
      <w:hyperlink r:id="rId11" w:history="1">
        <w:r w:rsidRPr="00CC0AF8">
          <w:rPr>
            <w:rFonts w:ascii="Arial" w:eastAsiaTheme="majorEastAsia" w:hAnsi="Arial"/>
            <w:b w:val="0"/>
            <w:bCs/>
          </w:rPr>
          <w:t>SpaceAid</w:t>
        </w:r>
      </w:hyperlink>
      <w:r w:rsidRPr="00CC0AF8">
        <w:rPr>
          <w:rFonts w:ascii="Arial" w:eastAsiaTheme="majorEastAsia" w:hAnsi="Arial"/>
          <w:b w:val="0"/>
        </w:rPr>
        <w:t xml:space="preserve"> application.</w:t>
      </w:r>
    </w:p>
    <w:p w14:paraId="4EBC736F" w14:textId="77777777" w:rsidR="00744C5E" w:rsidRPr="00CC0AF8" w:rsidRDefault="00744C5E" w:rsidP="00CC0AF8">
      <w:pPr>
        <w:pStyle w:val="Heading4"/>
        <w:keepNext/>
        <w:keepLines/>
        <w:spacing w:before="120" w:line="276" w:lineRule="auto"/>
        <w:ind w:left="284" w:firstLine="0"/>
        <w:rPr>
          <w:rFonts w:ascii="Arial" w:eastAsiaTheme="majorEastAsia" w:hAnsi="Arial"/>
          <w:b w:val="0"/>
        </w:rPr>
      </w:pPr>
      <w:r w:rsidRPr="00CC0AF8">
        <w:rPr>
          <w:rFonts w:ascii="Arial" w:eastAsiaTheme="majorEastAsia" w:hAnsi="Arial"/>
          <w:b w:val="0"/>
        </w:rPr>
        <w:t>SpaceAid is used by Elements to allocate HDR students, staff, contractors, and visitors to rooms.</w:t>
      </w:r>
    </w:p>
    <w:p w14:paraId="0269BC0C" w14:textId="12ECE5A7" w:rsidR="001B50F0" w:rsidRPr="001B50F0" w:rsidRDefault="001B50F0" w:rsidP="001B50F0">
      <w:pPr>
        <w:pStyle w:val="Heading3"/>
        <w:ind w:left="0" w:firstLine="284"/>
      </w:pPr>
      <w:bookmarkStart w:id="19" w:name="_3.4_Space_Reassignment"/>
      <w:bookmarkEnd w:id="19"/>
      <w:r>
        <w:t xml:space="preserve">3.4 </w:t>
      </w:r>
      <w:r w:rsidRPr="001B50F0">
        <w:t>Space Reassignment</w:t>
      </w:r>
    </w:p>
    <w:p w14:paraId="2D5FC58B" w14:textId="77777777" w:rsidR="001B50F0" w:rsidRPr="004A672C" w:rsidRDefault="001B50F0" w:rsidP="001B50F0">
      <w:pPr>
        <w:pStyle w:val="Heading4"/>
        <w:ind w:left="0"/>
        <w:rPr>
          <w:lang w:val="en-US"/>
        </w:rPr>
      </w:pPr>
      <w:r w:rsidRPr="00CB63E3">
        <w:rPr>
          <w:rFonts w:eastAsiaTheme="majorEastAsia"/>
        </w:rPr>
        <w:t>3.4.1 Reassignment of Teaching</w:t>
      </w:r>
      <w:r w:rsidRPr="004A672C">
        <w:rPr>
          <w:lang w:val="en-US"/>
        </w:rPr>
        <w:t xml:space="preserve"> </w:t>
      </w:r>
      <w:r w:rsidRPr="00CB63E3">
        <w:rPr>
          <w:lang w:val="en-US"/>
        </w:rPr>
        <w:t>Space</w:t>
      </w:r>
    </w:p>
    <w:p w14:paraId="4E2A2D47" w14:textId="3CCA443F" w:rsidR="001B50F0" w:rsidRPr="00436017" w:rsidRDefault="001B50F0" w:rsidP="00CC0AF8">
      <w:pPr>
        <w:ind w:left="720"/>
        <w:jc w:val="both"/>
        <w:rPr>
          <w:rFonts w:ascii="Arial" w:hAnsi="Arial" w:cs="Arial"/>
          <w:color w:val="000000" w:themeColor="text1"/>
          <w:lang w:val="en-US"/>
        </w:rPr>
      </w:pPr>
      <w:r w:rsidRPr="00EC19A7">
        <w:rPr>
          <w:rFonts w:ascii="Arial" w:hAnsi="Arial" w:cs="Arial"/>
          <w:color w:val="000000" w:themeColor="text1"/>
          <w:lang w:val="en-US"/>
        </w:rPr>
        <w:t xml:space="preserve">Teaching space cannot be re-assigned to another function without the approval of the </w:t>
      </w:r>
      <w:r w:rsidR="00552D1C">
        <w:rPr>
          <w:rFonts w:ascii="Arial" w:hAnsi="Arial" w:cs="Arial"/>
          <w:color w:val="000000" w:themeColor="text1"/>
          <w:lang w:val="en-US"/>
        </w:rPr>
        <w:t>Provost</w:t>
      </w:r>
      <w:r>
        <w:rPr>
          <w:rFonts w:ascii="Arial" w:hAnsi="Arial" w:cs="Arial"/>
          <w:color w:val="000000" w:themeColor="text1"/>
          <w:lang w:val="en-US"/>
        </w:rPr>
        <w:t xml:space="preserve"> and Chief Operating Officer</w:t>
      </w:r>
      <w:r w:rsidRPr="00EC19A7">
        <w:rPr>
          <w:rFonts w:ascii="Arial" w:hAnsi="Arial" w:cs="Arial"/>
          <w:color w:val="000000" w:themeColor="text1"/>
          <w:lang w:val="en-US"/>
        </w:rPr>
        <w:t xml:space="preserve">.  Any requests for such re-assignment must </w:t>
      </w:r>
      <w:r>
        <w:rPr>
          <w:rFonts w:ascii="Arial" w:hAnsi="Arial" w:cs="Arial"/>
          <w:color w:val="000000" w:themeColor="text1"/>
          <w:lang w:val="en-US"/>
        </w:rPr>
        <w:t>be supported by</w:t>
      </w:r>
      <w:r w:rsidRPr="00EC19A7">
        <w:rPr>
          <w:rFonts w:ascii="Arial" w:hAnsi="Arial" w:cs="Arial"/>
          <w:color w:val="000000" w:themeColor="text1"/>
          <w:lang w:val="en-US"/>
        </w:rPr>
        <w:t xml:space="preserve"> utili</w:t>
      </w:r>
      <w:r>
        <w:rPr>
          <w:rFonts w:ascii="Arial" w:hAnsi="Arial" w:cs="Arial"/>
          <w:color w:val="000000" w:themeColor="text1"/>
          <w:lang w:val="en-US"/>
        </w:rPr>
        <w:t>s</w:t>
      </w:r>
      <w:r w:rsidRPr="00EC19A7">
        <w:rPr>
          <w:rFonts w:ascii="Arial" w:hAnsi="Arial" w:cs="Arial"/>
          <w:color w:val="000000" w:themeColor="text1"/>
          <w:lang w:val="en-US"/>
        </w:rPr>
        <w:t>ation data from Campus Life</w:t>
      </w:r>
      <w:r>
        <w:rPr>
          <w:rFonts w:ascii="Arial" w:hAnsi="Arial" w:cs="Arial"/>
          <w:color w:val="000000" w:themeColor="text1"/>
          <w:lang w:val="en-US"/>
        </w:rPr>
        <w:t xml:space="preserve"> and</w:t>
      </w:r>
      <w:r w:rsidRPr="00EC19A7">
        <w:rPr>
          <w:rFonts w:ascii="Arial" w:hAnsi="Arial" w:cs="Arial"/>
          <w:color w:val="000000" w:themeColor="text1"/>
          <w:lang w:val="en-US"/>
        </w:rPr>
        <w:t xml:space="preserve"> Exams and Timetabling</w:t>
      </w:r>
      <w:r>
        <w:rPr>
          <w:rFonts w:ascii="Arial" w:hAnsi="Arial" w:cs="Arial"/>
          <w:color w:val="000000" w:themeColor="text1"/>
          <w:lang w:val="en-US"/>
        </w:rPr>
        <w:t>, as appropriate</w:t>
      </w:r>
      <w:r w:rsidRPr="00EC19A7">
        <w:rPr>
          <w:rFonts w:ascii="Arial" w:hAnsi="Arial" w:cs="Arial"/>
          <w:color w:val="000000" w:themeColor="text1"/>
          <w:lang w:val="en-US"/>
        </w:rPr>
        <w:t>.</w:t>
      </w:r>
    </w:p>
    <w:p w14:paraId="4317EE16" w14:textId="77777777" w:rsidR="001B50F0" w:rsidRPr="00CB63E3" w:rsidRDefault="001B50F0" w:rsidP="001B50F0">
      <w:pPr>
        <w:pStyle w:val="Heading4"/>
        <w:ind w:left="0"/>
        <w:rPr>
          <w:lang w:val="en-US"/>
        </w:rPr>
      </w:pPr>
      <w:r w:rsidRPr="00CB63E3">
        <w:rPr>
          <w:rFonts w:eastAsiaTheme="majorEastAsia"/>
        </w:rPr>
        <w:t>3.4.2 Reassignment within a</w:t>
      </w:r>
      <w:r w:rsidRPr="00CB63E3">
        <w:rPr>
          <w:lang w:val="en-US"/>
        </w:rPr>
        <w:t xml:space="preserve"> Group/</w:t>
      </w:r>
      <w:r>
        <w:rPr>
          <w:lang w:val="en-US"/>
        </w:rPr>
        <w:t>Element</w:t>
      </w:r>
    </w:p>
    <w:p w14:paraId="08158E0C" w14:textId="77777777" w:rsidR="001B50F0" w:rsidRPr="006B18C1" w:rsidRDefault="001B50F0" w:rsidP="00CC0AF8">
      <w:pPr>
        <w:ind w:left="720"/>
        <w:jc w:val="both"/>
        <w:rPr>
          <w:rFonts w:ascii="Arial" w:hAnsi="Arial" w:cs="Arial"/>
        </w:rPr>
      </w:pPr>
      <w:r w:rsidRPr="006B18C1">
        <w:rPr>
          <w:rFonts w:ascii="Arial" w:hAnsi="Arial" w:cs="Arial"/>
          <w:color w:val="000000" w:themeColor="text1"/>
          <w:lang w:val="en-US"/>
        </w:rPr>
        <w:t>Group P</w:t>
      </w:r>
      <w:r>
        <w:rPr>
          <w:rFonts w:ascii="Arial" w:hAnsi="Arial" w:cs="Arial"/>
          <w:color w:val="000000" w:themeColor="text1"/>
          <w:lang w:val="en-US"/>
        </w:rPr>
        <w:t xml:space="preserve">ro </w:t>
      </w:r>
      <w:r w:rsidRPr="006B18C1">
        <w:rPr>
          <w:rFonts w:ascii="Arial" w:hAnsi="Arial" w:cs="Arial"/>
          <w:color w:val="000000" w:themeColor="text1"/>
          <w:lang w:val="en-US"/>
        </w:rPr>
        <w:t>V</w:t>
      </w:r>
      <w:r>
        <w:rPr>
          <w:rFonts w:ascii="Arial" w:hAnsi="Arial" w:cs="Arial"/>
          <w:color w:val="000000" w:themeColor="text1"/>
          <w:lang w:val="en-US"/>
        </w:rPr>
        <w:t xml:space="preserve">ice </w:t>
      </w:r>
      <w:r w:rsidRPr="006B18C1">
        <w:rPr>
          <w:rFonts w:ascii="Arial" w:hAnsi="Arial" w:cs="Arial"/>
          <w:color w:val="000000" w:themeColor="text1"/>
          <w:lang w:val="en-US"/>
        </w:rPr>
        <w:t>C</w:t>
      </w:r>
      <w:r>
        <w:rPr>
          <w:rFonts w:ascii="Arial" w:hAnsi="Arial" w:cs="Arial"/>
          <w:color w:val="000000" w:themeColor="text1"/>
          <w:lang w:val="en-US"/>
        </w:rPr>
        <w:t>hancellor</w:t>
      </w:r>
      <w:r w:rsidRPr="006B18C1">
        <w:rPr>
          <w:rFonts w:ascii="Arial" w:hAnsi="Arial" w:cs="Arial"/>
          <w:color w:val="000000" w:themeColor="text1"/>
          <w:lang w:val="en-US"/>
        </w:rPr>
        <w:t>s/ Heads</w:t>
      </w:r>
      <w:r>
        <w:rPr>
          <w:rFonts w:ascii="Arial" w:hAnsi="Arial" w:cs="Arial"/>
          <w:color w:val="000000" w:themeColor="text1"/>
          <w:lang w:val="en-US"/>
        </w:rPr>
        <w:t xml:space="preserve"> of Element (DVC’s / VP’s and equivalents)</w:t>
      </w:r>
      <w:r w:rsidRPr="006B18C1">
        <w:rPr>
          <w:rFonts w:ascii="Arial" w:hAnsi="Arial" w:cs="Arial"/>
          <w:color w:val="000000" w:themeColor="text1"/>
          <w:lang w:val="en-US"/>
        </w:rPr>
        <w:t xml:space="preserve"> can reassign space within their </w:t>
      </w:r>
      <w:r>
        <w:rPr>
          <w:rFonts w:ascii="Arial" w:hAnsi="Arial" w:cs="Arial"/>
          <w:color w:val="000000" w:themeColor="text1"/>
          <w:lang w:val="en-US"/>
        </w:rPr>
        <w:t>portfolios</w:t>
      </w:r>
      <w:r w:rsidRPr="006B18C1">
        <w:rPr>
          <w:rFonts w:ascii="Arial" w:hAnsi="Arial" w:cs="Arial"/>
          <w:color w:val="000000" w:themeColor="text1"/>
          <w:lang w:val="en-US"/>
        </w:rPr>
        <w:t xml:space="preserve">. </w:t>
      </w:r>
    </w:p>
    <w:p w14:paraId="3DF723D9" w14:textId="77777777" w:rsidR="001B50F0" w:rsidRPr="00CB63E3" w:rsidRDefault="001B50F0" w:rsidP="001B50F0">
      <w:pPr>
        <w:pStyle w:val="Heading4"/>
        <w:ind w:left="0"/>
        <w:rPr>
          <w:rFonts w:eastAsiaTheme="majorEastAsia"/>
        </w:rPr>
      </w:pPr>
      <w:r w:rsidRPr="00CB63E3">
        <w:rPr>
          <w:rFonts w:eastAsiaTheme="majorEastAsia"/>
        </w:rPr>
        <w:t>3.4.3 Reassignment between Groups/</w:t>
      </w:r>
      <w:r>
        <w:rPr>
          <w:rFonts w:eastAsiaTheme="majorEastAsia"/>
        </w:rPr>
        <w:t>Element</w:t>
      </w:r>
    </w:p>
    <w:p w14:paraId="4D270C3B" w14:textId="77777777" w:rsidR="001B50F0" w:rsidRPr="006B18C1" w:rsidRDefault="001B50F0" w:rsidP="001B50F0">
      <w:pPr>
        <w:spacing w:after="120"/>
        <w:ind w:left="720"/>
        <w:jc w:val="both"/>
        <w:rPr>
          <w:rFonts w:ascii="Arial" w:hAnsi="Arial" w:cs="Arial"/>
        </w:rPr>
      </w:pPr>
      <w:r w:rsidRPr="006B18C1">
        <w:rPr>
          <w:rFonts w:ascii="Arial" w:hAnsi="Arial" w:cs="Arial"/>
          <w:color w:val="000000" w:themeColor="text1"/>
          <w:lang w:val="en-US"/>
        </w:rPr>
        <w:t xml:space="preserve">Groups </w:t>
      </w:r>
      <w:r>
        <w:rPr>
          <w:rFonts w:ascii="Arial" w:hAnsi="Arial" w:cs="Arial"/>
          <w:color w:val="000000" w:themeColor="text1"/>
          <w:lang w:val="en-US"/>
        </w:rPr>
        <w:t>and Elements</w:t>
      </w:r>
      <w:r w:rsidRPr="006B18C1" w:rsidDel="003A7189">
        <w:rPr>
          <w:rFonts w:ascii="Arial" w:hAnsi="Arial" w:cs="Arial"/>
          <w:color w:val="000000" w:themeColor="text1"/>
          <w:lang w:val="en-US"/>
        </w:rPr>
        <w:t xml:space="preserve"> </w:t>
      </w:r>
      <w:r>
        <w:rPr>
          <w:rFonts w:ascii="Arial" w:hAnsi="Arial" w:cs="Arial"/>
          <w:color w:val="000000" w:themeColor="text1"/>
          <w:lang w:val="en-US"/>
        </w:rPr>
        <w:t>can r</w:t>
      </w:r>
      <w:r w:rsidRPr="006B18C1">
        <w:rPr>
          <w:rFonts w:ascii="Arial" w:hAnsi="Arial" w:cs="Arial"/>
          <w:color w:val="000000" w:themeColor="text1"/>
          <w:lang w:val="en-US"/>
        </w:rPr>
        <w:t xml:space="preserve">e-assign space </w:t>
      </w:r>
      <w:r>
        <w:rPr>
          <w:rFonts w:ascii="Arial" w:hAnsi="Arial" w:cs="Arial"/>
          <w:color w:val="000000" w:themeColor="text1"/>
          <w:lang w:val="en-US"/>
        </w:rPr>
        <w:t>between themselves to meet the needs of the Groups/Element</w:t>
      </w:r>
      <w:r w:rsidRPr="006B18C1">
        <w:rPr>
          <w:rFonts w:ascii="Arial" w:hAnsi="Arial" w:cs="Arial"/>
          <w:color w:val="000000" w:themeColor="text1"/>
          <w:lang w:val="en-US"/>
        </w:rPr>
        <w:t>.</w:t>
      </w:r>
    </w:p>
    <w:p w14:paraId="6E0D0973" w14:textId="77777777" w:rsidR="001B50F0" w:rsidRPr="006B18C1" w:rsidRDefault="001B50F0" w:rsidP="001B50F0">
      <w:pPr>
        <w:spacing w:after="120"/>
        <w:ind w:left="720"/>
        <w:jc w:val="both"/>
        <w:rPr>
          <w:rFonts w:ascii="Arial" w:hAnsi="Arial" w:cs="Arial"/>
        </w:rPr>
      </w:pPr>
      <w:r w:rsidRPr="3E99097E">
        <w:rPr>
          <w:rFonts w:ascii="Arial" w:hAnsi="Arial" w:cs="Arial"/>
          <w:color w:val="000000" w:themeColor="text1"/>
          <w:lang w:val="en-US"/>
        </w:rPr>
        <w:t xml:space="preserve">Where a significant re-assignment of space is to occur on a campus between Groups, discussion between the Pro Vice Chancellors is required, followed by notification </w:t>
      </w:r>
      <w:r>
        <w:rPr>
          <w:rFonts w:ascii="Arial" w:hAnsi="Arial" w:cs="Arial"/>
          <w:color w:val="000000" w:themeColor="text1"/>
          <w:lang w:val="en-US"/>
        </w:rPr>
        <w:t>and discussion with</w:t>
      </w:r>
      <w:r w:rsidRPr="3E99097E">
        <w:rPr>
          <w:rFonts w:ascii="Arial" w:hAnsi="Arial" w:cs="Arial"/>
          <w:color w:val="000000" w:themeColor="text1"/>
          <w:lang w:val="en-US"/>
        </w:rPr>
        <w:t xml:space="preserve"> the Head of Campus so that a campus overview is maintained.  Where agreement cannot be reached, the </w:t>
      </w:r>
      <w:hyperlink r:id="rId12">
        <w:r w:rsidRPr="3E99097E">
          <w:rPr>
            <w:rFonts w:ascii="Arial" w:hAnsi="Arial" w:cs="Arial"/>
            <w:color w:val="000000" w:themeColor="text1"/>
            <w:lang w:val="en-US"/>
          </w:rPr>
          <w:t>Head</w:t>
        </w:r>
      </w:hyperlink>
      <w:r w:rsidRPr="3E99097E">
        <w:rPr>
          <w:rFonts w:ascii="Arial" w:hAnsi="Arial" w:cs="Arial"/>
          <w:color w:val="000000" w:themeColor="text1"/>
          <w:lang w:val="en-US"/>
        </w:rPr>
        <w:t xml:space="preserve"> of Campus will make a recommendation to the Provost for a decision.</w:t>
      </w:r>
    </w:p>
    <w:p w14:paraId="05306EB3" w14:textId="77777777" w:rsidR="001B50F0" w:rsidRPr="00EC19A7" w:rsidRDefault="001B50F0" w:rsidP="001B50F0">
      <w:pPr>
        <w:ind w:left="720"/>
        <w:jc w:val="both"/>
        <w:rPr>
          <w:rFonts w:ascii="Arial" w:hAnsi="Arial" w:cs="Arial"/>
          <w:color w:val="000000" w:themeColor="text1"/>
          <w:lang w:val="en-US"/>
        </w:rPr>
      </w:pPr>
      <w:r w:rsidRPr="3E99097E">
        <w:rPr>
          <w:rFonts w:ascii="Arial" w:hAnsi="Arial" w:cs="Arial"/>
          <w:color w:val="000000" w:themeColor="text1"/>
          <w:lang w:val="en-US"/>
        </w:rPr>
        <w:t xml:space="preserve">From time to time, there will be competing demands for existing space due to growth in teaching, research, or engagement activities. This may require multiple Groups/Elements to resolve the issue and work to achieve a mutually acceptable arrangement. </w:t>
      </w:r>
    </w:p>
    <w:p w14:paraId="2E138E7D" w14:textId="77777777" w:rsidR="001B50F0" w:rsidRPr="00EC19A7" w:rsidRDefault="001B50F0" w:rsidP="001B50F0">
      <w:pPr>
        <w:ind w:left="720"/>
        <w:jc w:val="both"/>
        <w:rPr>
          <w:rFonts w:ascii="Arial" w:hAnsi="Arial" w:cs="Arial"/>
          <w:color w:val="000000" w:themeColor="text1"/>
          <w:lang w:val="en-US"/>
        </w:rPr>
      </w:pPr>
      <w:r w:rsidRPr="3E99097E">
        <w:rPr>
          <w:rFonts w:ascii="Arial" w:hAnsi="Arial" w:cs="Arial"/>
          <w:color w:val="000000" w:themeColor="text1"/>
          <w:lang w:val="en-US"/>
        </w:rPr>
        <w:t xml:space="preserve">It is expected that any space issue which requires a reassignment of space is brought to the attention of the relevant Group Pro Vice Chancellor/ Head of Element. The Group Pro Vice Chancellors/ Head of Elements are expected to achieve consensus by placing the University’s overall needs first. Decisions should be data driven and be based on a determination of space utilisation and performance reporting </w:t>
      </w:r>
      <w:r w:rsidRPr="3E99097E">
        <w:rPr>
          <w:rFonts w:ascii="Arial" w:hAnsi="Arial" w:cs="Arial"/>
          <w:color w:val="000000" w:themeColor="text1"/>
          <w:lang w:val="en-US"/>
        </w:rPr>
        <w:lastRenderedPageBreak/>
        <w:t>provided by Campus Life. Guidance may also be sought from one or more Deputy Vice Chancellor, as applicable.</w:t>
      </w:r>
    </w:p>
    <w:p w14:paraId="3F4E137F" w14:textId="77777777" w:rsidR="001B50F0" w:rsidRPr="00127704" w:rsidRDefault="001B50F0" w:rsidP="001B50F0">
      <w:pPr>
        <w:pStyle w:val="Heading4"/>
        <w:keepNext/>
        <w:keepLines/>
        <w:spacing w:before="200" w:line="276" w:lineRule="auto"/>
        <w:ind w:left="720" w:firstLine="0"/>
        <w:rPr>
          <w:rFonts w:eastAsiaTheme="majorEastAsia"/>
        </w:rPr>
      </w:pPr>
      <w:r w:rsidRPr="00127704">
        <w:rPr>
          <w:rFonts w:eastAsiaTheme="majorEastAsia"/>
        </w:rPr>
        <w:t>3.4.4 Maintaining an accurate inventory post reassignment</w:t>
      </w:r>
    </w:p>
    <w:p w14:paraId="314ED0EB" w14:textId="77777777" w:rsidR="001B50F0" w:rsidRDefault="001B50F0" w:rsidP="001B50F0">
      <w:pPr>
        <w:ind w:left="720"/>
        <w:jc w:val="both"/>
        <w:rPr>
          <w:rFonts w:ascii="Arial" w:hAnsi="Arial" w:cs="Arial"/>
          <w:color w:val="000000" w:themeColor="text1"/>
          <w:lang w:val="en-US"/>
        </w:rPr>
      </w:pPr>
      <w:r w:rsidRPr="006B18C1">
        <w:rPr>
          <w:rFonts w:ascii="Arial" w:hAnsi="Arial" w:cs="Arial"/>
          <w:color w:val="000000" w:themeColor="text1"/>
          <w:lang w:val="en-US"/>
        </w:rPr>
        <w:t>Group</w:t>
      </w:r>
      <w:r>
        <w:rPr>
          <w:rFonts w:ascii="Arial" w:hAnsi="Arial" w:cs="Arial"/>
          <w:color w:val="000000" w:themeColor="text1"/>
          <w:lang w:val="en-US"/>
        </w:rPr>
        <w:t>s</w:t>
      </w:r>
      <w:r w:rsidRPr="006B18C1">
        <w:rPr>
          <w:rFonts w:ascii="Arial" w:hAnsi="Arial" w:cs="Arial"/>
          <w:color w:val="000000" w:themeColor="text1"/>
          <w:lang w:val="en-US"/>
        </w:rPr>
        <w:t>/</w:t>
      </w:r>
      <w:r>
        <w:rPr>
          <w:rFonts w:ascii="Arial" w:hAnsi="Arial" w:cs="Arial"/>
          <w:color w:val="000000" w:themeColor="text1"/>
          <w:lang w:val="en-US"/>
        </w:rPr>
        <w:t>Elements</w:t>
      </w:r>
      <w:r w:rsidRPr="006B18C1">
        <w:rPr>
          <w:rFonts w:ascii="Arial" w:hAnsi="Arial" w:cs="Arial"/>
          <w:color w:val="000000" w:themeColor="text1"/>
          <w:lang w:val="en-US"/>
        </w:rPr>
        <w:t xml:space="preserve"> must </w:t>
      </w:r>
      <w:r>
        <w:rPr>
          <w:rFonts w:ascii="Arial" w:hAnsi="Arial" w:cs="Arial"/>
          <w:color w:val="000000" w:themeColor="text1"/>
          <w:lang w:val="en-US"/>
        </w:rPr>
        <w:t xml:space="preserve">inform the Director, Campus Life of any space reassignments and </w:t>
      </w:r>
      <w:r w:rsidRPr="006B18C1">
        <w:rPr>
          <w:rFonts w:ascii="Arial" w:hAnsi="Arial" w:cs="Arial"/>
          <w:color w:val="000000" w:themeColor="text1"/>
          <w:lang w:val="en-US"/>
        </w:rPr>
        <w:t>update the Space inventory in SpaceAid following any space reassignment.</w:t>
      </w:r>
    </w:p>
    <w:p w14:paraId="37B1A2C9" w14:textId="0ED0EC65" w:rsidR="001B50F0" w:rsidRPr="00EF61B2" w:rsidRDefault="00EF61B2" w:rsidP="00EF61B2">
      <w:pPr>
        <w:pStyle w:val="Heading3"/>
        <w:ind w:left="0" w:firstLine="284"/>
      </w:pPr>
      <w:bookmarkStart w:id="20" w:name="_3.5_Vacated_Space"/>
      <w:bookmarkEnd w:id="20"/>
      <w:r>
        <w:t xml:space="preserve">3.5 </w:t>
      </w:r>
      <w:r w:rsidR="001B50F0" w:rsidRPr="00EF61B2">
        <w:t>Vacated Space</w:t>
      </w:r>
    </w:p>
    <w:p w14:paraId="34BEC393" w14:textId="77777777" w:rsidR="001B50F0" w:rsidRDefault="001B50F0" w:rsidP="001B50F0">
      <w:pPr>
        <w:spacing w:after="120"/>
        <w:ind w:left="284"/>
        <w:jc w:val="both"/>
        <w:rPr>
          <w:rFonts w:ascii="Arial" w:hAnsi="Arial" w:cs="Arial"/>
          <w:color w:val="000000" w:themeColor="text1"/>
          <w:lang w:val="en-US"/>
        </w:rPr>
      </w:pPr>
      <w:r w:rsidRPr="3E99097E">
        <w:rPr>
          <w:rFonts w:ascii="Arial" w:hAnsi="Arial" w:cs="Arial"/>
          <w:color w:val="000000" w:themeColor="text1"/>
          <w:lang w:val="en-US"/>
        </w:rPr>
        <w:t>Where Groups/Elements no longer require space and vacate the space, they must update SpaceAid to reflect they have vacated the space and relinquished the allocation. In addition, they are required to inform the Director, Campus Life.</w:t>
      </w:r>
    </w:p>
    <w:p w14:paraId="1561ADFB" w14:textId="77777777" w:rsidR="001B50F0" w:rsidRDefault="001B50F0" w:rsidP="001B50F0">
      <w:pPr>
        <w:ind w:left="284"/>
        <w:jc w:val="both"/>
        <w:rPr>
          <w:rFonts w:ascii="Arial" w:hAnsi="Arial" w:cs="Arial"/>
          <w:color w:val="000000" w:themeColor="text1"/>
          <w:lang w:val="en-US"/>
        </w:rPr>
      </w:pPr>
      <w:r w:rsidRPr="006B18C1">
        <w:rPr>
          <w:rFonts w:ascii="Arial" w:hAnsi="Arial" w:cs="Arial"/>
          <w:color w:val="000000" w:themeColor="text1"/>
          <w:lang w:val="en-US"/>
        </w:rPr>
        <w:t xml:space="preserve">Vacated space </w:t>
      </w:r>
      <w:r>
        <w:rPr>
          <w:rFonts w:ascii="Arial" w:hAnsi="Arial" w:cs="Arial"/>
          <w:color w:val="000000" w:themeColor="text1"/>
          <w:lang w:val="en-US"/>
        </w:rPr>
        <w:t xml:space="preserve">that is not reassigned within a Group or Element </w:t>
      </w:r>
      <w:r w:rsidRPr="006B18C1">
        <w:rPr>
          <w:rFonts w:ascii="Arial" w:hAnsi="Arial" w:cs="Arial"/>
          <w:color w:val="000000" w:themeColor="text1"/>
          <w:lang w:val="en-US"/>
        </w:rPr>
        <w:t xml:space="preserve">is allocated to the Chief Operating Officer for relocation </w:t>
      </w:r>
      <w:r>
        <w:rPr>
          <w:rFonts w:ascii="Arial" w:hAnsi="Arial" w:cs="Arial"/>
          <w:color w:val="000000" w:themeColor="text1"/>
          <w:lang w:val="en-US"/>
        </w:rPr>
        <w:t>aligned with</w:t>
      </w:r>
      <w:r w:rsidRPr="006B18C1">
        <w:rPr>
          <w:rFonts w:ascii="Arial" w:hAnsi="Arial" w:cs="Arial"/>
          <w:color w:val="000000" w:themeColor="text1"/>
          <w:lang w:val="en-US"/>
        </w:rPr>
        <w:t xml:space="preserve"> the strategic </w:t>
      </w:r>
      <w:r>
        <w:rPr>
          <w:rFonts w:ascii="Arial" w:hAnsi="Arial" w:cs="Arial"/>
          <w:color w:val="000000" w:themeColor="text1"/>
          <w:lang w:val="en-US"/>
        </w:rPr>
        <w:t>priorities</w:t>
      </w:r>
      <w:r w:rsidRPr="006B18C1">
        <w:rPr>
          <w:rFonts w:ascii="Arial" w:hAnsi="Arial" w:cs="Arial"/>
          <w:color w:val="000000" w:themeColor="text1"/>
          <w:lang w:val="en-US"/>
        </w:rPr>
        <w:t xml:space="preserve"> of the University.</w:t>
      </w:r>
    </w:p>
    <w:p w14:paraId="5F5C25E9" w14:textId="16B5A35C" w:rsidR="001B50F0" w:rsidRPr="00517663" w:rsidRDefault="00EF61B2" w:rsidP="00EF61B2">
      <w:pPr>
        <w:pStyle w:val="Heading3"/>
        <w:ind w:left="0" w:firstLine="284"/>
        <w:rPr>
          <w:rFonts w:eastAsiaTheme="majorEastAsia"/>
          <w:szCs w:val="22"/>
          <w:lang w:eastAsia="en-AU"/>
        </w:rPr>
      </w:pPr>
      <w:bookmarkStart w:id="21" w:name="_3.6_Sharing_Space"/>
      <w:bookmarkEnd w:id="21"/>
      <w:r>
        <w:rPr>
          <w:rFonts w:eastAsiaTheme="majorEastAsia"/>
          <w:szCs w:val="22"/>
          <w:lang w:eastAsia="en-AU"/>
        </w:rPr>
        <w:t xml:space="preserve">3.6 </w:t>
      </w:r>
      <w:r w:rsidR="001B50F0">
        <w:rPr>
          <w:rFonts w:eastAsiaTheme="majorEastAsia"/>
          <w:szCs w:val="22"/>
          <w:lang w:eastAsia="en-AU"/>
        </w:rPr>
        <w:t>Sharing</w:t>
      </w:r>
      <w:r w:rsidR="001B50F0" w:rsidRPr="00DF53C7">
        <w:rPr>
          <w:rFonts w:eastAsiaTheme="majorEastAsia"/>
          <w:szCs w:val="22"/>
          <w:lang w:eastAsia="en-AU"/>
        </w:rPr>
        <w:t xml:space="preserve"> </w:t>
      </w:r>
      <w:r w:rsidR="001B50F0">
        <w:rPr>
          <w:rFonts w:eastAsiaTheme="majorEastAsia"/>
          <w:szCs w:val="22"/>
          <w:lang w:eastAsia="en-AU"/>
        </w:rPr>
        <w:t>Space</w:t>
      </w:r>
    </w:p>
    <w:p w14:paraId="6D275088" w14:textId="77777777" w:rsidR="001B50F0" w:rsidRDefault="001B50F0" w:rsidP="00274555">
      <w:pPr>
        <w:pStyle w:val="ListParagraph"/>
        <w:ind w:left="284" w:right="77"/>
        <w:jc w:val="both"/>
        <w:rPr>
          <w:rFonts w:ascii="Arial" w:hAnsi="Arial" w:cs="Arial"/>
          <w:lang w:eastAsia="en-GB"/>
        </w:rPr>
      </w:pPr>
      <w:r w:rsidRPr="001B0011">
        <w:rPr>
          <w:rFonts w:ascii="Arial" w:hAnsi="Arial" w:cs="Arial"/>
          <w:lang w:eastAsia="en-GB"/>
        </w:rPr>
        <w:t>Where a Group/</w:t>
      </w:r>
      <w:r>
        <w:rPr>
          <w:rFonts w:ascii="Arial" w:hAnsi="Arial" w:cs="Arial"/>
          <w:lang w:eastAsia="en-GB"/>
        </w:rPr>
        <w:t>Element</w:t>
      </w:r>
      <w:r w:rsidRPr="001B0011">
        <w:rPr>
          <w:rFonts w:ascii="Arial" w:hAnsi="Arial" w:cs="Arial"/>
          <w:lang w:eastAsia="en-GB"/>
        </w:rPr>
        <w:t xml:space="preserve"> agrees to share space with another Group, the Group originally holding the space will determine whether a formal Space Management Agreement should be </w:t>
      </w:r>
      <w:r>
        <w:rPr>
          <w:rFonts w:ascii="Arial" w:hAnsi="Arial" w:cs="Arial"/>
          <w:lang w:eastAsia="en-GB"/>
        </w:rPr>
        <w:t>implemented</w:t>
      </w:r>
      <w:r w:rsidRPr="001B0011">
        <w:rPr>
          <w:rFonts w:ascii="Arial" w:hAnsi="Arial" w:cs="Arial"/>
          <w:lang w:eastAsia="en-GB"/>
        </w:rPr>
        <w:t>. Examples of Space Management Agreements are provided in SpaceAid.</w:t>
      </w:r>
    </w:p>
    <w:p w14:paraId="18495909" w14:textId="33DFAC23" w:rsidR="001B50F0" w:rsidRPr="00971A09" w:rsidRDefault="00971A09" w:rsidP="00971A09">
      <w:pPr>
        <w:pStyle w:val="Heading3"/>
        <w:ind w:left="0" w:firstLine="284"/>
        <w:rPr>
          <w:rFonts w:eastAsiaTheme="majorEastAsia"/>
          <w:szCs w:val="22"/>
          <w:lang w:eastAsia="en-AU"/>
        </w:rPr>
      </w:pPr>
      <w:bookmarkStart w:id="22" w:name="_3.7_Leased_/"/>
      <w:bookmarkEnd w:id="22"/>
      <w:r>
        <w:rPr>
          <w:rFonts w:eastAsiaTheme="majorEastAsia"/>
          <w:szCs w:val="22"/>
          <w:lang w:eastAsia="en-AU"/>
        </w:rPr>
        <w:t xml:space="preserve">3.7 </w:t>
      </w:r>
      <w:r w:rsidR="001B50F0" w:rsidRPr="00971A09">
        <w:rPr>
          <w:rFonts w:eastAsiaTheme="majorEastAsia"/>
          <w:szCs w:val="22"/>
          <w:lang w:eastAsia="en-AU"/>
        </w:rPr>
        <w:t>Leased / Licensed Space</w:t>
      </w:r>
    </w:p>
    <w:p w14:paraId="50E969D6" w14:textId="77777777" w:rsidR="001B50F0" w:rsidRPr="009C5EA2" w:rsidRDefault="001B50F0" w:rsidP="001B50F0">
      <w:pPr>
        <w:pStyle w:val="ListParagraph"/>
        <w:spacing w:after="120"/>
        <w:ind w:left="284"/>
        <w:contextualSpacing w:val="0"/>
        <w:jc w:val="both"/>
        <w:rPr>
          <w:rFonts w:ascii="Arial" w:hAnsi="Arial" w:cs="Arial"/>
          <w:lang w:eastAsia="en-GB"/>
        </w:rPr>
      </w:pPr>
      <w:r w:rsidRPr="3E99097E">
        <w:rPr>
          <w:rFonts w:ascii="Arial" w:hAnsi="Arial" w:cs="Arial"/>
          <w:lang w:eastAsia="en-GB"/>
        </w:rPr>
        <w:t>Where University space is leased or licenced, it should provide an economic benefit and / or wider academic/engagement value. These should be reviewed annually.</w:t>
      </w:r>
    </w:p>
    <w:p w14:paraId="258E2018" w14:textId="77777777" w:rsidR="001B50F0" w:rsidRPr="009C5EA2" w:rsidRDefault="001B50F0" w:rsidP="001B50F0">
      <w:pPr>
        <w:pStyle w:val="ListParagraph"/>
        <w:spacing w:after="120"/>
        <w:ind w:left="284"/>
        <w:contextualSpacing w:val="0"/>
        <w:jc w:val="both"/>
        <w:rPr>
          <w:rFonts w:ascii="Arial" w:hAnsi="Arial" w:cs="Arial"/>
          <w:lang w:eastAsia="en-GB"/>
        </w:rPr>
      </w:pPr>
      <w:r>
        <w:rPr>
          <w:rFonts w:ascii="Arial" w:hAnsi="Arial" w:cs="Arial"/>
          <w:lang w:eastAsia="en-GB"/>
        </w:rPr>
        <w:t>Where an Element proposes to lease/licence space to an external person/organisation, a risk assessment of the work intended to be conducted in the leased space must be undertaken by the Element. The risk assessment must be approved by the Group Pro Vice Chancellor’s/ Head of Element and Human Resources and Safety prior to a decision being made on whether to grant a lease/licence to use the space.</w:t>
      </w:r>
    </w:p>
    <w:p w14:paraId="5871FB07" w14:textId="77777777" w:rsidR="001B50F0" w:rsidRPr="009C5EA2" w:rsidRDefault="001B50F0" w:rsidP="001B50F0">
      <w:pPr>
        <w:pStyle w:val="ListParagraph"/>
        <w:spacing w:after="120"/>
        <w:ind w:left="284"/>
        <w:contextualSpacing w:val="0"/>
        <w:jc w:val="both"/>
        <w:rPr>
          <w:rFonts w:ascii="Arial" w:hAnsi="Arial" w:cs="Arial"/>
          <w:lang w:eastAsia="en-GB"/>
        </w:rPr>
      </w:pPr>
      <w:r>
        <w:rPr>
          <w:rFonts w:ascii="Arial" w:hAnsi="Arial" w:cs="Arial"/>
          <w:lang w:eastAsia="en-GB"/>
        </w:rPr>
        <w:t>University space may only be leased to an external person or organisation with prior approval of the Chief Operating Officer.</w:t>
      </w:r>
    </w:p>
    <w:p w14:paraId="27B8323B" w14:textId="77777777" w:rsidR="001B50F0" w:rsidRDefault="001B50F0" w:rsidP="001B50F0">
      <w:pPr>
        <w:pStyle w:val="ListParagraph"/>
        <w:spacing w:after="120"/>
        <w:ind w:left="284"/>
        <w:contextualSpacing w:val="0"/>
        <w:jc w:val="both"/>
        <w:rPr>
          <w:rFonts w:ascii="Arial" w:hAnsi="Arial" w:cs="Arial"/>
          <w:lang w:eastAsia="en-GB"/>
        </w:rPr>
      </w:pPr>
      <w:r w:rsidRPr="3E99097E">
        <w:rPr>
          <w:rFonts w:ascii="Arial" w:hAnsi="Arial" w:cs="Arial"/>
          <w:lang w:eastAsia="en-GB"/>
        </w:rPr>
        <w:t>Normally, revenue from leases/licences to occupy tenanted areas is assigned to the central Capital Fund of the University unless otherwise directed by the Chief Operating Officer or the subject of a wider contractual agreement approved by the Chief Operating Officer. A proportion of revenue may be kept by the Group to pay for equipment or other costs. The Group/Element must outline these costs to the Chief Operating Officer when requesting a portion of the revenue.</w:t>
      </w:r>
    </w:p>
    <w:p w14:paraId="606BD07B" w14:textId="1CA74AFB" w:rsidR="001B50F0" w:rsidRPr="00517663" w:rsidRDefault="00971A09" w:rsidP="00971A09">
      <w:pPr>
        <w:pStyle w:val="Heading3"/>
        <w:ind w:left="0" w:firstLine="284"/>
        <w:rPr>
          <w:rFonts w:eastAsiaTheme="majorEastAsia"/>
          <w:szCs w:val="22"/>
          <w:lang w:eastAsia="en-AU"/>
        </w:rPr>
      </w:pPr>
      <w:bookmarkStart w:id="23" w:name="_3.8_Furniture_and"/>
      <w:bookmarkEnd w:id="23"/>
      <w:r>
        <w:rPr>
          <w:rFonts w:eastAsiaTheme="majorEastAsia"/>
          <w:szCs w:val="22"/>
          <w:lang w:eastAsia="en-AU"/>
        </w:rPr>
        <w:t xml:space="preserve">3.8 </w:t>
      </w:r>
      <w:r w:rsidR="001B50F0">
        <w:rPr>
          <w:rFonts w:eastAsiaTheme="majorEastAsia"/>
          <w:szCs w:val="22"/>
          <w:lang w:eastAsia="en-AU"/>
        </w:rPr>
        <w:t>Furniture and Equipment</w:t>
      </w:r>
    </w:p>
    <w:p w14:paraId="2329F0BA" w14:textId="77777777" w:rsidR="001B50F0" w:rsidRDefault="001B50F0" w:rsidP="001B50F0">
      <w:pPr>
        <w:spacing w:after="120"/>
        <w:ind w:left="284"/>
        <w:jc w:val="both"/>
        <w:rPr>
          <w:rFonts w:ascii="Arial" w:hAnsi="Arial" w:cs="Arial"/>
          <w:lang w:val="en-US"/>
        </w:rPr>
      </w:pPr>
      <w:r w:rsidRPr="1C2939E1">
        <w:rPr>
          <w:rFonts w:ascii="Arial" w:hAnsi="Arial" w:cs="Arial"/>
          <w:lang w:eastAsia="en-GB"/>
        </w:rPr>
        <w:t xml:space="preserve">Where new space is provided or existing </w:t>
      </w:r>
      <w:r w:rsidRPr="1C2939E1">
        <w:rPr>
          <w:rFonts w:ascii="Arial" w:hAnsi="Arial" w:cs="Arial"/>
          <w:lang w:val="en-US"/>
        </w:rPr>
        <w:t xml:space="preserve">space refurbished through the Capital Management Plan, the cost of furniture is met from the Capital Management Plan. In all other cases, replacement/upgrade of furniture is the responsibility of the Group/Element. </w:t>
      </w:r>
    </w:p>
    <w:p w14:paraId="1B04D495" w14:textId="77777777" w:rsidR="001B50F0" w:rsidRDefault="001B50F0" w:rsidP="001B50F0">
      <w:pPr>
        <w:spacing w:after="120"/>
        <w:ind w:left="284"/>
        <w:jc w:val="both"/>
        <w:rPr>
          <w:rFonts w:ascii="Arial" w:hAnsi="Arial" w:cs="Arial"/>
          <w:lang w:val="en-US"/>
        </w:rPr>
      </w:pPr>
      <w:r>
        <w:rPr>
          <w:rFonts w:ascii="Arial" w:hAnsi="Arial" w:cs="Arial"/>
          <w:lang w:val="en-US"/>
        </w:rPr>
        <w:t>Where a Group/Division relocates staff on or between campuses requests are to be submitted via Facilities Assist.</w:t>
      </w:r>
    </w:p>
    <w:p w14:paraId="235C16C5" w14:textId="77777777" w:rsidR="001B50F0" w:rsidRDefault="001B50F0" w:rsidP="001B50F0">
      <w:pPr>
        <w:spacing w:after="120"/>
        <w:ind w:left="284"/>
        <w:jc w:val="both"/>
        <w:rPr>
          <w:rFonts w:ascii="Arial" w:hAnsi="Arial" w:cs="Arial"/>
          <w:lang w:val="en-US"/>
        </w:rPr>
      </w:pPr>
      <w:r w:rsidRPr="3E99097E">
        <w:rPr>
          <w:rFonts w:ascii="Arial" w:hAnsi="Arial" w:cs="Arial"/>
          <w:lang w:val="en-US"/>
        </w:rPr>
        <w:t>Where furniture is being demolished, modified, or repaired, the space occupier must consult and co-operate with Campus Life to ensure any associated work is in accordance with WHS legislation regarding construction work.</w:t>
      </w:r>
    </w:p>
    <w:p w14:paraId="1EE257B7" w14:textId="77777777" w:rsidR="001B50F0" w:rsidRPr="00F062E1" w:rsidRDefault="001B50F0" w:rsidP="001B50F0">
      <w:pPr>
        <w:ind w:left="284"/>
        <w:jc w:val="both"/>
        <w:rPr>
          <w:rFonts w:ascii="Arial" w:hAnsi="Arial" w:cs="Arial"/>
          <w:lang w:val="en-US"/>
        </w:rPr>
      </w:pPr>
      <w:r w:rsidRPr="3E99097E">
        <w:rPr>
          <w:rFonts w:ascii="Arial" w:hAnsi="Arial" w:cs="Arial"/>
          <w:lang w:val="en-US"/>
        </w:rPr>
        <w:t xml:space="preserve">Equipment such as computers, scientific instruments etc. are the responsibility of the Group/Element in both new and refurbished space.  </w:t>
      </w:r>
    </w:p>
    <w:p w14:paraId="6C4BBA48" w14:textId="77777777" w:rsidR="001B50F0" w:rsidRPr="00F062E1" w:rsidRDefault="001B50F0" w:rsidP="002C53E7">
      <w:pPr>
        <w:ind w:left="284"/>
        <w:jc w:val="both"/>
        <w:rPr>
          <w:rFonts w:ascii="Arial" w:hAnsi="Arial" w:cs="Arial"/>
          <w:lang w:val="en-US"/>
        </w:rPr>
      </w:pPr>
      <w:r w:rsidRPr="3E99097E">
        <w:rPr>
          <w:rFonts w:ascii="Arial" w:hAnsi="Arial" w:cs="Arial"/>
          <w:lang w:val="en-US"/>
        </w:rPr>
        <w:lastRenderedPageBreak/>
        <w:t xml:space="preserve">Digital Solutions has responsibility for the audio-visual equipment in General Teaching spaces.  </w:t>
      </w:r>
    </w:p>
    <w:p w14:paraId="30363BD7" w14:textId="77777777" w:rsidR="001B50F0" w:rsidRPr="00F062E1" w:rsidRDefault="001B50F0" w:rsidP="001B50F0">
      <w:pPr>
        <w:ind w:left="284"/>
        <w:jc w:val="both"/>
        <w:rPr>
          <w:rFonts w:ascii="Arial" w:hAnsi="Arial" w:cs="Arial"/>
          <w:lang w:val="en-US"/>
        </w:rPr>
      </w:pPr>
      <w:r w:rsidRPr="3E99097E">
        <w:rPr>
          <w:rFonts w:ascii="Arial" w:hAnsi="Arial" w:cs="Arial"/>
          <w:lang w:val="en-US"/>
        </w:rPr>
        <w:t>Installation or upgrade of equipment is funded through the Electronic Infrastructure Capital Plan component of the Capital Management Plan. Campus Life and Digital Solutions are required to liaise closely in relation to the scheduling of any work to be carried out in General Teaching Spaces.</w:t>
      </w:r>
    </w:p>
    <w:p w14:paraId="2BA27F4C" w14:textId="173D535A" w:rsidR="001B50F0" w:rsidRPr="00517663" w:rsidRDefault="00162E34" w:rsidP="00162E34">
      <w:pPr>
        <w:pStyle w:val="Heading3"/>
        <w:ind w:left="0" w:firstLine="284"/>
        <w:rPr>
          <w:rFonts w:eastAsiaTheme="majorEastAsia"/>
          <w:szCs w:val="22"/>
          <w:lang w:eastAsia="en-AU"/>
        </w:rPr>
      </w:pPr>
      <w:bookmarkStart w:id="24" w:name="_3.9_Space_Reporting"/>
      <w:bookmarkEnd w:id="24"/>
      <w:r>
        <w:rPr>
          <w:rFonts w:eastAsiaTheme="majorEastAsia"/>
          <w:szCs w:val="22"/>
          <w:lang w:eastAsia="en-AU"/>
        </w:rPr>
        <w:t xml:space="preserve">3.9 </w:t>
      </w:r>
      <w:r w:rsidR="001B50F0">
        <w:rPr>
          <w:rFonts w:eastAsiaTheme="majorEastAsia"/>
          <w:szCs w:val="22"/>
          <w:lang w:eastAsia="en-AU"/>
        </w:rPr>
        <w:t>Space Reporting</w:t>
      </w:r>
    </w:p>
    <w:p w14:paraId="13FA586F" w14:textId="77777777" w:rsidR="001B50F0" w:rsidRDefault="001B50F0" w:rsidP="00BC6982">
      <w:pPr>
        <w:ind w:left="284" w:right="77"/>
        <w:rPr>
          <w:rFonts w:ascii="Arial" w:hAnsi="Arial" w:cs="Arial"/>
          <w:lang w:eastAsia="en-GB"/>
        </w:rPr>
      </w:pPr>
      <w:r>
        <w:rPr>
          <w:noProof/>
          <w:color w:val="2B579A"/>
          <w:shd w:val="clear" w:color="auto" w:fill="E6E6E6"/>
        </w:rPr>
        <w:drawing>
          <wp:anchor distT="0" distB="0" distL="114300" distR="114300" simplePos="0" relativeHeight="251661312" behindDoc="1" locked="0" layoutInCell="1" allowOverlap="1" wp14:anchorId="5A98BD61" wp14:editId="30A60C27">
            <wp:simplePos x="0" y="0"/>
            <wp:positionH relativeFrom="column">
              <wp:posOffset>161290</wp:posOffset>
            </wp:positionH>
            <wp:positionV relativeFrom="paragraph">
              <wp:posOffset>525780</wp:posOffset>
            </wp:positionV>
            <wp:extent cx="6264275" cy="2085975"/>
            <wp:effectExtent l="0" t="0" r="3175" b="9525"/>
            <wp:wrapTight wrapText="bothSides">
              <wp:wrapPolygon edited="0">
                <wp:start x="0" y="0"/>
                <wp:lineTo x="0" y="21501"/>
                <wp:lineTo x="21545" y="21501"/>
                <wp:lineTo x="21545" y="0"/>
                <wp:lineTo x="0" y="0"/>
              </wp:wrapPolygon>
            </wp:wrapTight>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264275" cy="2085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lang w:eastAsia="en-GB"/>
        </w:rPr>
        <w:t>Space Reports, which monitor space inventory and utilisation, will be provided for review by the Executive Group, as detailed in the table above.</w:t>
      </w:r>
    </w:p>
    <w:p w14:paraId="061F5B4A" w14:textId="77777777" w:rsidR="001B50F0" w:rsidRDefault="001B50F0" w:rsidP="00AE4810">
      <w:pPr>
        <w:spacing w:after="120"/>
        <w:ind w:left="284"/>
        <w:jc w:val="both"/>
        <w:rPr>
          <w:rFonts w:ascii="Arial" w:hAnsi="Arial" w:cs="Arial"/>
          <w:lang w:eastAsia="en-GB"/>
        </w:rPr>
      </w:pPr>
      <w:r w:rsidRPr="3E99097E">
        <w:rPr>
          <w:rFonts w:ascii="Arial" w:hAnsi="Arial" w:cs="Arial"/>
          <w:lang w:eastAsia="en-GB"/>
        </w:rPr>
        <w:t xml:space="preserve">The Executive are encouraged to use these reports to: </w:t>
      </w:r>
    </w:p>
    <w:p w14:paraId="7BFDEBDD" w14:textId="77777777" w:rsidR="001B50F0" w:rsidRDefault="001B50F0" w:rsidP="00AE4810">
      <w:pPr>
        <w:pStyle w:val="ListParagraph"/>
        <w:numPr>
          <w:ilvl w:val="0"/>
          <w:numId w:val="47"/>
        </w:numPr>
        <w:jc w:val="both"/>
        <w:rPr>
          <w:rFonts w:asciiTheme="minorHAnsi" w:eastAsiaTheme="minorEastAsia" w:hAnsiTheme="minorHAnsi"/>
          <w:szCs w:val="20"/>
          <w:lang w:eastAsia="en-GB"/>
        </w:rPr>
      </w:pPr>
      <w:r w:rsidRPr="3E99097E">
        <w:rPr>
          <w:rFonts w:ascii="Arial" w:hAnsi="Arial" w:cs="Arial"/>
          <w:lang w:eastAsia="en-GB"/>
        </w:rPr>
        <w:t xml:space="preserve">improve the overall efficiency and performance of their assigned space; </w:t>
      </w:r>
    </w:p>
    <w:p w14:paraId="574E7026" w14:textId="77777777" w:rsidR="001B50F0" w:rsidRDefault="001B50F0" w:rsidP="00AE4810">
      <w:pPr>
        <w:pStyle w:val="ListParagraph"/>
        <w:numPr>
          <w:ilvl w:val="0"/>
          <w:numId w:val="47"/>
        </w:numPr>
        <w:jc w:val="both"/>
        <w:rPr>
          <w:szCs w:val="20"/>
          <w:lang w:eastAsia="en-GB"/>
        </w:rPr>
      </w:pPr>
      <w:r w:rsidRPr="3E99097E">
        <w:rPr>
          <w:rFonts w:ascii="Arial" w:hAnsi="Arial" w:cs="Arial"/>
          <w:lang w:eastAsia="en-GB"/>
        </w:rPr>
        <w:t xml:space="preserve">assist in determining whether space should be reassigned to another Group/Element; and/or </w:t>
      </w:r>
    </w:p>
    <w:p w14:paraId="77314D2D" w14:textId="77777777" w:rsidR="001B50F0" w:rsidRDefault="001B50F0" w:rsidP="00AE4810">
      <w:pPr>
        <w:pStyle w:val="ListParagraph"/>
        <w:numPr>
          <w:ilvl w:val="0"/>
          <w:numId w:val="47"/>
        </w:numPr>
        <w:jc w:val="both"/>
        <w:rPr>
          <w:szCs w:val="20"/>
          <w:lang w:eastAsia="en-GB"/>
        </w:rPr>
      </w:pPr>
      <w:r w:rsidRPr="3E99097E">
        <w:rPr>
          <w:rFonts w:ascii="Arial" w:hAnsi="Arial" w:cs="Arial"/>
          <w:lang w:eastAsia="en-GB"/>
        </w:rPr>
        <w:t>determine additional space needs or refurbishments as part of the capital planning process.</w:t>
      </w:r>
    </w:p>
    <w:p w14:paraId="396A9C5A" w14:textId="1AF11B08" w:rsidR="001B50F0" w:rsidRPr="00517663" w:rsidRDefault="00952592" w:rsidP="00952592">
      <w:pPr>
        <w:pStyle w:val="Heading3"/>
        <w:ind w:left="0" w:firstLine="284"/>
        <w:rPr>
          <w:rFonts w:eastAsiaTheme="majorEastAsia"/>
          <w:szCs w:val="22"/>
          <w:lang w:eastAsia="en-AU"/>
        </w:rPr>
      </w:pPr>
      <w:bookmarkStart w:id="25" w:name="_3.10_Material_Change"/>
      <w:bookmarkEnd w:id="25"/>
      <w:r>
        <w:rPr>
          <w:rFonts w:eastAsiaTheme="majorEastAsia"/>
          <w:szCs w:val="22"/>
          <w:lang w:eastAsia="en-AU"/>
        </w:rPr>
        <w:t xml:space="preserve">3.10 </w:t>
      </w:r>
      <w:r w:rsidR="001B50F0">
        <w:rPr>
          <w:rFonts w:eastAsiaTheme="majorEastAsia"/>
          <w:szCs w:val="22"/>
          <w:lang w:eastAsia="en-AU"/>
        </w:rPr>
        <w:t>Material Change</w:t>
      </w:r>
    </w:p>
    <w:p w14:paraId="49FCFCD7" w14:textId="77777777" w:rsidR="001B50F0" w:rsidRDefault="001B50F0" w:rsidP="001B50F0">
      <w:pPr>
        <w:ind w:left="284"/>
        <w:jc w:val="both"/>
        <w:rPr>
          <w:rFonts w:ascii="Arial" w:hAnsi="Arial" w:cs="Arial"/>
          <w:lang w:eastAsia="en-GB"/>
        </w:rPr>
      </w:pPr>
      <w:r>
        <w:rPr>
          <w:rFonts w:ascii="Arial" w:hAnsi="Arial" w:cs="Arial"/>
          <w:lang w:eastAsia="en-GB"/>
        </w:rPr>
        <w:t>Groups/Elements must inform Campus Life whenever the function or use of a building or space needs to change. For example, moving a space from teaching to research or administrative support (a functional change), or moving from a meeting room to an office (a change in room type).</w:t>
      </w:r>
    </w:p>
    <w:p w14:paraId="097C9D46" w14:textId="77777777" w:rsidR="001B50F0" w:rsidRDefault="001B50F0" w:rsidP="00682600">
      <w:pPr>
        <w:spacing w:after="120"/>
        <w:ind w:left="284"/>
        <w:jc w:val="both"/>
        <w:rPr>
          <w:rFonts w:ascii="Arial" w:hAnsi="Arial" w:cs="Arial"/>
          <w:lang w:eastAsia="en-GB"/>
        </w:rPr>
      </w:pPr>
      <w:r w:rsidRPr="3E99097E">
        <w:rPr>
          <w:rFonts w:ascii="Arial" w:hAnsi="Arial" w:cs="Arial"/>
          <w:lang w:eastAsia="en-GB"/>
        </w:rPr>
        <w:t xml:space="preserve">Examples of potential impact include: </w:t>
      </w:r>
    </w:p>
    <w:p w14:paraId="0CAA3FC1" w14:textId="77777777" w:rsidR="001B50F0" w:rsidRDefault="001B50F0" w:rsidP="00682600">
      <w:pPr>
        <w:pStyle w:val="ListParagraph"/>
        <w:numPr>
          <w:ilvl w:val="0"/>
          <w:numId w:val="48"/>
        </w:numPr>
        <w:jc w:val="both"/>
        <w:rPr>
          <w:rFonts w:asciiTheme="minorHAnsi" w:eastAsiaTheme="minorEastAsia" w:hAnsiTheme="minorHAnsi"/>
          <w:szCs w:val="20"/>
          <w:lang w:eastAsia="en-GB"/>
        </w:rPr>
      </w:pPr>
      <w:r w:rsidRPr="3E99097E">
        <w:rPr>
          <w:rFonts w:ascii="Arial" w:hAnsi="Arial" w:cs="Arial"/>
          <w:lang w:eastAsia="en-GB"/>
        </w:rPr>
        <w:t xml:space="preserve">increasing the amount of equipment in a space; </w:t>
      </w:r>
    </w:p>
    <w:p w14:paraId="7A5C80DD" w14:textId="77777777" w:rsidR="001B50F0" w:rsidRDefault="001B50F0" w:rsidP="00682600">
      <w:pPr>
        <w:pStyle w:val="ListParagraph"/>
        <w:numPr>
          <w:ilvl w:val="0"/>
          <w:numId w:val="48"/>
        </w:numPr>
        <w:jc w:val="both"/>
        <w:rPr>
          <w:szCs w:val="20"/>
          <w:lang w:eastAsia="en-GB"/>
        </w:rPr>
      </w:pPr>
      <w:r w:rsidRPr="3E99097E">
        <w:rPr>
          <w:rFonts w:ascii="Arial" w:hAnsi="Arial" w:cs="Arial"/>
          <w:lang w:eastAsia="en-GB"/>
        </w:rPr>
        <w:t xml:space="preserve">changes or modifications to equipment that exceed the designed floor load, or </w:t>
      </w:r>
    </w:p>
    <w:p w14:paraId="49C88F80" w14:textId="77777777" w:rsidR="001B50F0" w:rsidRDefault="001B50F0" w:rsidP="00682600">
      <w:pPr>
        <w:pStyle w:val="ListParagraph"/>
        <w:numPr>
          <w:ilvl w:val="0"/>
          <w:numId w:val="48"/>
        </w:numPr>
        <w:jc w:val="both"/>
        <w:rPr>
          <w:szCs w:val="20"/>
          <w:lang w:eastAsia="en-GB"/>
        </w:rPr>
      </w:pPr>
      <w:r w:rsidRPr="3E99097E">
        <w:rPr>
          <w:rFonts w:ascii="Arial" w:hAnsi="Arial" w:cs="Arial"/>
          <w:lang w:eastAsia="en-GB"/>
        </w:rPr>
        <w:t>changes or increases to equipment which require changes in the services infrastructure (i.e. hydraulics, gas, power, HVAC or others).</w:t>
      </w:r>
    </w:p>
    <w:p w14:paraId="2E360D06" w14:textId="77777777" w:rsidR="001B50F0" w:rsidRDefault="001B50F0" w:rsidP="001B50F0">
      <w:pPr>
        <w:ind w:left="284"/>
        <w:jc w:val="both"/>
        <w:rPr>
          <w:rFonts w:ascii="Arial" w:hAnsi="Arial" w:cs="Arial"/>
          <w:lang w:eastAsia="en-GB"/>
        </w:rPr>
      </w:pPr>
      <w:r w:rsidRPr="3E99097E">
        <w:rPr>
          <w:rFonts w:ascii="Arial" w:hAnsi="Arial" w:cs="Arial"/>
          <w:lang w:eastAsia="en-GB"/>
        </w:rPr>
        <w:t xml:space="preserve">Groups/Elements must inform Campus Life whenever the capacity of a space is increased (for example, where more desks are added into a space). This allows Campus Life to determine that the increase in capacity continues to comply with the Building Code and Fire Certificate, and that the HVAC system continues to have the capacity to service the space. </w:t>
      </w:r>
    </w:p>
    <w:p w14:paraId="2733DEF6" w14:textId="3102B566" w:rsidR="00744C5E" w:rsidRPr="00682600" w:rsidRDefault="001B50F0" w:rsidP="00682600">
      <w:pPr>
        <w:ind w:left="284"/>
        <w:jc w:val="both"/>
        <w:rPr>
          <w:rFonts w:ascii="Arial" w:hAnsi="Arial" w:cs="Arial"/>
          <w:lang w:eastAsia="en-GB"/>
        </w:rPr>
      </w:pPr>
      <w:r>
        <w:rPr>
          <w:rFonts w:ascii="Arial" w:hAnsi="Arial" w:cs="Arial"/>
          <w:lang w:eastAsia="en-GB"/>
        </w:rPr>
        <w:t>All material changes must be approved by the Director, Campus Life.</w:t>
      </w:r>
    </w:p>
    <w:p w14:paraId="29D75CE1" w14:textId="2E24194A" w:rsidR="00B54CE9" w:rsidRPr="00DA348D" w:rsidRDefault="00B54CE9" w:rsidP="00E235C1">
      <w:pPr>
        <w:pStyle w:val="Heading2"/>
        <w:ind w:left="426" w:hanging="426"/>
      </w:pPr>
      <w:bookmarkStart w:id="26" w:name="_Ref20320732"/>
      <w:r>
        <w:t>4</w:t>
      </w:r>
      <w:r w:rsidRPr="00DA348D">
        <w:t>.0 Definitions</w:t>
      </w:r>
      <w:bookmarkEnd w:id="26"/>
    </w:p>
    <w:bookmarkEnd w:id="17"/>
    <w:p w14:paraId="15A6375D" w14:textId="77777777" w:rsidR="002E39FF" w:rsidRPr="00ED55E6" w:rsidRDefault="002E39FF" w:rsidP="00AD049A">
      <w:pPr>
        <w:spacing w:after="120"/>
        <w:jc w:val="both"/>
        <w:rPr>
          <w:rFonts w:ascii="Arial" w:hAnsi="Arial" w:cs="Arial"/>
          <w:szCs w:val="20"/>
        </w:rPr>
      </w:pPr>
      <w:r w:rsidRPr="00ED55E6">
        <w:rPr>
          <w:rFonts w:ascii="Arial" w:hAnsi="Arial" w:cs="Arial"/>
          <w:szCs w:val="20"/>
        </w:rPr>
        <w:t>For the purposes of th</w:t>
      </w:r>
      <w:r>
        <w:rPr>
          <w:rFonts w:ascii="Arial" w:hAnsi="Arial" w:cs="Arial"/>
          <w:szCs w:val="20"/>
        </w:rPr>
        <w:t xml:space="preserve">ese guidelines </w:t>
      </w:r>
      <w:r w:rsidRPr="00ED55E6">
        <w:rPr>
          <w:rFonts w:ascii="Arial" w:hAnsi="Arial" w:cs="Arial"/>
          <w:szCs w:val="20"/>
        </w:rPr>
        <w:t xml:space="preserve">and related policy documents, the following definitions apply: </w:t>
      </w:r>
    </w:p>
    <w:p w14:paraId="24A6AF59" w14:textId="77777777" w:rsidR="002E39FF" w:rsidRDefault="002E39FF" w:rsidP="00AD049A">
      <w:pPr>
        <w:jc w:val="both"/>
        <w:rPr>
          <w:rFonts w:ascii="Arial" w:hAnsi="Arial" w:cs="Arial"/>
          <w:b/>
          <w:bCs/>
        </w:rPr>
      </w:pPr>
      <w:r w:rsidRPr="00517663">
        <w:rPr>
          <w:rFonts w:ascii="Arial" w:hAnsi="Arial" w:cs="Arial"/>
          <w:b/>
          <w:bCs/>
        </w:rPr>
        <w:t>Capacity</w:t>
      </w:r>
      <w:r w:rsidRPr="00517663">
        <w:rPr>
          <w:rFonts w:ascii="Arial" w:hAnsi="Arial" w:cs="Arial"/>
        </w:rPr>
        <w:t xml:space="preserve"> is the maximum number of occupants a room can accommodate.</w:t>
      </w:r>
    </w:p>
    <w:p w14:paraId="29A1A487" w14:textId="77777777" w:rsidR="002E39FF" w:rsidRPr="00517663" w:rsidRDefault="002E39FF" w:rsidP="00AD049A">
      <w:pPr>
        <w:jc w:val="both"/>
        <w:rPr>
          <w:rFonts w:ascii="Arial" w:hAnsi="Arial" w:cs="Arial"/>
        </w:rPr>
      </w:pPr>
      <w:r w:rsidRPr="00517663">
        <w:rPr>
          <w:rFonts w:ascii="Arial" w:hAnsi="Arial" w:cs="Arial"/>
          <w:b/>
          <w:bCs/>
        </w:rPr>
        <w:lastRenderedPageBreak/>
        <w:t>General Teaching</w:t>
      </w:r>
      <w:r w:rsidRPr="00517663">
        <w:rPr>
          <w:rFonts w:ascii="Arial" w:hAnsi="Arial" w:cs="Arial"/>
          <w:b/>
        </w:rPr>
        <w:t xml:space="preserve"> </w:t>
      </w:r>
      <w:r w:rsidRPr="00517663">
        <w:rPr>
          <w:rFonts w:ascii="Arial" w:hAnsi="Arial" w:cs="Arial"/>
          <w:bCs/>
        </w:rPr>
        <w:t>is a</w:t>
      </w:r>
      <w:r w:rsidRPr="00517663">
        <w:rPr>
          <w:rFonts w:ascii="Arial" w:hAnsi="Arial" w:cs="Arial"/>
        </w:rPr>
        <w:t xml:space="preserve"> category of rooms which provide space for all academic and general university use, e.g. seminar room, lecture theatre.</w:t>
      </w:r>
    </w:p>
    <w:p w14:paraId="3931958D" w14:textId="77777777" w:rsidR="002E39FF" w:rsidRPr="00517663" w:rsidRDefault="002E39FF" w:rsidP="00AD049A">
      <w:pPr>
        <w:jc w:val="both"/>
        <w:rPr>
          <w:rFonts w:ascii="Arial" w:hAnsi="Arial" w:cs="Arial"/>
        </w:rPr>
      </w:pPr>
      <w:r w:rsidRPr="00517663">
        <w:rPr>
          <w:rFonts w:ascii="Arial" w:hAnsi="Arial" w:cs="Arial"/>
          <w:b/>
          <w:bCs/>
        </w:rPr>
        <w:t>Specialised Space</w:t>
      </w:r>
      <w:r w:rsidRPr="00517663">
        <w:rPr>
          <w:rFonts w:ascii="Arial" w:hAnsi="Arial" w:cs="Arial"/>
        </w:rPr>
        <w:t xml:space="preserve"> is a category of rooms purpose built with specialised features/equipment, e</w:t>
      </w:r>
      <w:r>
        <w:rPr>
          <w:rFonts w:ascii="Arial" w:hAnsi="Arial" w:cs="Arial"/>
        </w:rPr>
        <w:t>.</w:t>
      </w:r>
      <w:r w:rsidRPr="00517663">
        <w:rPr>
          <w:rFonts w:ascii="Arial" w:hAnsi="Arial" w:cs="Arial"/>
        </w:rPr>
        <w:t>g</w:t>
      </w:r>
      <w:r>
        <w:rPr>
          <w:rFonts w:ascii="Arial" w:hAnsi="Arial" w:cs="Arial"/>
        </w:rPr>
        <w:t>.</w:t>
      </w:r>
      <w:r w:rsidRPr="00517663">
        <w:rPr>
          <w:rFonts w:ascii="Arial" w:hAnsi="Arial" w:cs="Arial"/>
        </w:rPr>
        <w:t xml:space="preserve"> laboratories, studio.</w:t>
      </w:r>
    </w:p>
    <w:p w14:paraId="3E431924" w14:textId="77777777" w:rsidR="002E39FF" w:rsidRPr="00517663" w:rsidRDefault="002E39FF" w:rsidP="00AD049A">
      <w:pPr>
        <w:jc w:val="both"/>
        <w:rPr>
          <w:rFonts w:ascii="Arial" w:hAnsi="Arial" w:cs="Arial"/>
        </w:rPr>
      </w:pPr>
      <w:r w:rsidRPr="00517663">
        <w:rPr>
          <w:rFonts w:ascii="Arial" w:hAnsi="Arial" w:cs="Arial"/>
          <w:b/>
          <w:bCs/>
        </w:rPr>
        <w:t>Room</w:t>
      </w:r>
      <w:r w:rsidRPr="00517663">
        <w:rPr>
          <w:rFonts w:ascii="Arial" w:hAnsi="Arial" w:cs="Arial"/>
        </w:rPr>
        <w:t xml:space="preserve"> </w:t>
      </w:r>
      <w:r w:rsidRPr="00517663">
        <w:rPr>
          <w:rFonts w:ascii="Arial" w:hAnsi="Arial" w:cs="Arial"/>
          <w:b/>
          <w:bCs/>
        </w:rPr>
        <w:t>Types</w:t>
      </w:r>
      <w:r w:rsidRPr="00517663">
        <w:rPr>
          <w:rFonts w:ascii="Arial" w:hAnsi="Arial" w:cs="Arial"/>
        </w:rPr>
        <w:t xml:space="preserve"> describe the space in a detailed way, indicating the nature of the space and the primary architectural function of that space.</w:t>
      </w:r>
    </w:p>
    <w:p w14:paraId="2F284888" w14:textId="4B0CB226" w:rsidR="002E39FF" w:rsidRDefault="002E39FF" w:rsidP="002E39FF">
      <w:pPr>
        <w:ind w:right="2635"/>
        <w:jc w:val="both"/>
        <w:rPr>
          <w:rFonts w:ascii="Arial" w:hAnsi="Arial" w:cs="Arial"/>
        </w:rPr>
      </w:pPr>
      <w:r w:rsidRPr="00517663">
        <w:rPr>
          <w:rFonts w:ascii="Arial" w:hAnsi="Arial" w:cs="Arial"/>
          <w:b/>
          <w:bCs/>
        </w:rPr>
        <w:t>Room</w:t>
      </w:r>
      <w:r w:rsidRPr="00517663">
        <w:rPr>
          <w:rFonts w:ascii="Arial" w:hAnsi="Arial" w:cs="Arial"/>
        </w:rPr>
        <w:t xml:space="preserve"> </w:t>
      </w:r>
      <w:r w:rsidRPr="00517663">
        <w:rPr>
          <w:rFonts w:ascii="Arial" w:hAnsi="Arial" w:cs="Arial"/>
          <w:b/>
          <w:bCs/>
        </w:rPr>
        <w:t>Functions</w:t>
      </w:r>
      <w:r w:rsidRPr="00517663">
        <w:rPr>
          <w:rFonts w:ascii="Arial" w:hAnsi="Arial" w:cs="Arial"/>
        </w:rPr>
        <w:t xml:space="preserve"> describe the kind of activities held within the room and how they support the primary functions of the institution. </w:t>
      </w:r>
    </w:p>
    <w:p w14:paraId="411B4587" w14:textId="4E473132" w:rsidR="002E39FF" w:rsidRDefault="002E39FF">
      <w:pPr>
        <w:spacing w:after="0" w:line="240" w:lineRule="auto"/>
        <w:rPr>
          <w:rFonts w:ascii="Arial" w:hAnsi="Arial"/>
        </w:rPr>
      </w:pPr>
      <w:r>
        <w:rPr>
          <w:rFonts w:ascii="Arial" w:hAnsi="Arial"/>
        </w:rPr>
        <w:br w:type="page"/>
      </w: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D77C9B" w14:paraId="63123D9A" w14:textId="77777777" w:rsidTr="000B2888">
        <w:tc>
          <w:tcPr>
            <w:tcW w:w="1222" w:type="pct"/>
            <w:tcBorders>
              <w:top w:val="nil"/>
              <w:left w:val="nil"/>
              <w:bottom w:val="single" w:sz="8" w:space="0" w:color="E30918"/>
              <w:right w:val="nil"/>
            </w:tcBorders>
            <w:shd w:val="clear" w:color="auto" w:fill="auto"/>
          </w:tcPr>
          <w:p w14:paraId="63A19D69" w14:textId="77777777" w:rsidR="0095399A" w:rsidRPr="00102B8A" w:rsidRDefault="0095399A" w:rsidP="00360D42">
            <w:pPr>
              <w:spacing w:before="120" w:after="120"/>
              <w:rPr>
                <w:rFonts w:ascii="Arial" w:hAnsi="Arial" w:cs="Arial"/>
                <w:b/>
                <w:bCs/>
                <w:color w:val="E30918"/>
                <w:sz w:val="24"/>
                <w:szCs w:val="24"/>
              </w:rPr>
            </w:pPr>
            <w:r w:rsidRPr="00102B8A">
              <w:rPr>
                <w:rFonts w:ascii="Arial" w:hAnsi="Arial" w:cs="Arial"/>
                <w:b/>
                <w:bCs/>
                <w:caps/>
                <w:color w:val="E30918"/>
                <w:sz w:val="24"/>
                <w:szCs w:val="24"/>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466B7E" w:rsidRDefault="0095399A" w:rsidP="00360D42">
            <w:pPr>
              <w:spacing w:before="120" w:after="120"/>
              <w:jc w:val="right"/>
              <w:rPr>
                <w:rFonts w:ascii="Arial" w:hAnsi="Arial" w:cs="Arial"/>
                <w:szCs w:val="20"/>
              </w:rPr>
            </w:pPr>
            <w:r w:rsidRPr="00466B7E">
              <w:rPr>
                <w:rFonts w:ascii="Arial" w:hAnsi="Arial" w:cs="Arial"/>
                <w:szCs w:val="20"/>
              </w:rPr>
              <w:t>Printable version (PDF) Downloadable version (Word)</w:t>
            </w:r>
          </w:p>
        </w:tc>
      </w:tr>
      <w:tr w:rsidR="002E39FF" w14:paraId="304E25EF" w14:textId="77777777" w:rsidTr="000B2888">
        <w:tc>
          <w:tcPr>
            <w:tcW w:w="1222" w:type="pct"/>
            <w:tcBorders>
              <w:top w:val="single" w:sz="8" w:space="0" w:color="E30918"/>
              <w:left w:val="nil"/>
              <w:bottom w:val="nil"/>
              <w:right w:val="nil"/>
            </w:tcBorders>
            <w:shd w:val="clear" w:color="auto" w:fill="E6E7E8"/>
          </w:tcPr>
          <w:p w14:paraId="4DD225B2" w14:textId="6B4EBD43" w:rsidR="002E39FF" w:rsidRPr="00102B8A" w:rsidRDefault="002E39FF" w:rsidP="002E39FF">
            <w:pPr>
              <w:spacing w:before="120" w:after="120"/>
              <w:rPr>
                <w:rFonts w:ascii="Arial" w:hAnsi="Arial" w:cs="Arial"/>
                <w:szCs w:val="20"/>
              </w:rPr>
            </w:pPr>
            <w:r w:rsidRPr="00ED55E6">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11FCF4F5" w14:textId="4240D9DD" w:rsidR="002E39FF" w:rsidRPr="00102B8A" w:rsidRDefault="002E39FF" w:rsidP="002E39FF">
            <w:pPr>
              <w:spacing w:before="120" w:after="120"/>
              <w:rPr>
                <w:rFonts w:ascii="Arial" w:hAnsi="Arial" w:cs="Arial"/>
                <w:szCs w:val="20"/>
              </w:rPr>
            </w:pPr>
            <w:r>
              <w:rPr>
                <w:rFonts w:ascii="Arial" w:hAnsi="Arial" w:cs="Arial"/>
                <w:szCs w:val="20"/>
              </w:rPr>
              <w:t>Space Management Procedure</w:t>
            </w:r>
          </w:p>
        </w:tc>
      </w:tr>
      <w:tr w:rsidR="002E39FF" w14:paraId="7EB2AB77" w14:textId="77777777" w:rsidTr="000B2888">
        <w:tc>
          <w:tcPr>
            <w:tcW w:w="1222" w:type="pct"/>
            <w:tcBorders>
              <w:top w:val="nil"/>
              <w:left w:val="nil"/>
              <w:bottom w:val="nil"/>
              <w:right w:val="nil"/>
            </w:tcBorders>
            <w:shd w:val="clear" w:color="auto" w:fill="auto"/>
          </w:tcPr>
          <w:p w14:paraId="41120DE0" w14:textId="1863C56E" w:rsidR="002E39FF" w:rsidRPr="00102B8A" w:rsidRDefault="002E39FF" w:rsidP="002E39FF">
            <w:pPr>
              <w:spacing w:before="120" w:after="120"/>
              <w:rPr>
                <w:rFonts w:ascii="Arial" w:hAnsi="Arial" w:cs="Arial"/>
                <w:szCs w:val="20"/>
              </w:rPr>
            </w:pPr>
            <w:r w:rsidRPr="00ED55E6">
              <w:rPr>
                <w:rFonts w:ascii="Arial" w:hAnsi="Arial" w:cs="Arial"/>
                <w:szCs w:val="20"/>
              </w:rPr>
              <w:t>Document number</w:t>
            </w:r>
          </w:p>
        </w:tc>
        <w:tc>
          <w:tcPr>
            <w:tcW w:w="3778" w:type="pct"/>
            <w:tcBorders>
              <w:top w:val="nil"/>
              <w:left w:val="nil"/>
              <w:bottom w:val="nil"/>
              <w:right w:val="nil"/>
            </w:tcBorders>
            <w:shd w:val="clear" w:color="auto" w:fill="auto"/>
          </w:tcPr>
          <w:p w14:paraId="6CAB3239" w14:textId="5BB03F98" w:rsidR="002E39FF" w:rsidRPr="008E2325" w:rsidRDefault="008E2325" w:rsidP="002E39FF">
            <w:pPr>
              <w:spacing w:before="120" w:after="120"/>
              <w:rPr>
                <w:rFonts w:ascii="Arial" w:hAnsi="Arial" w:cs="Arial"/>
                <w:szCs w:val="20"/>
              </w:rPr>
            </w:pPr>
            <w:r w:rsidRPr="008E2325">
              <w:rPr>
                <w:rFonts w:ascii="Arial" w:hAnsi="Arial" w:cs="Arial"/>
              </w:rPr>
              <w:t>2023/0001184</w:t>
            </w:r>
          </w:p>
        </w:tc>
      </w:tr>
      <w:tr w:rsidR="002E39FF" w14:paraId="43C59C5D" w14:textId="77777777" w:rsidTr="000B2888">
        <w:tc>
          <w:tcPr>
            <w:tcW w:w="1222" w:type="pct"/>
            <w:tcBorders>
              <w:top w:val="nil"/>
              <w:left w:val="nil"/>
              <w:bottom w:val="nil"/>
              <w:right w:val="nil"/>
            </w:tcBorders>
            <w:shd w:val="clear" w:color="auto" w:fill="E6E7E8"/>
          </w:tcPr>
          <w:p w14:paraId="2768F0B0" w14:textId="5DCAC793" w:rsidR="002E39FF" w:rsidRPr="00102B8A" w:rsidRDefault="002E39FF" w:rsidP="002E39FF">
            <w:pPr>
              <w:spacing w:before="120" w:after="120"/>
              <w:rPr>
                <w:rFonts w:ascii="Arial" w:hAnsi="Arial" w:cs="Arial"/>
                <w:szCs w:val="20"/>
              </w:rPr>
            </w:pPr>
            <w:r w:rsidRPr="00ED55E6">
              <w:rPr>
                <w:rFonts w:ascii="Arial" w:hAnsi="Arial" w:cs="Arial"/>
                <w:szCs w:val="20"/>
              </w:rPr>
              <w:t>Purpose</w:t>
            </w:r>
          </w:p>
        </w:tc>
        <w:tc>
          <w:tcPr>
            <w:tcW w:w="3778" w:type="pct"/>
            <w:tcBorders>
              <w:top w:val="nil"/>
              <w:left w:val="nil"/>
              <w:bottom w:val="nil"/>
              <w:right w:val="nil"/>
            </w:tcBorders>
            <w:shd w:val="clear" w:color="auto" w:fill="E6E7E8"/>
          </w:tcPr>
          <w:p w14:paraId="7FE65E89" w14:textId="78FDD906" w:rsidR="002E39FF" w:rsidRPr="00102B8A" w:rsidRDefault="002E39FF" w:rsidP="002E39FF">
            <w:pPr>
              <w:spacing w:before="120" w:after="120"/>
              <w:rPr>
                <w:rFonts w:ascii="Arial" w:hAnsi="Arial" w:cs="Arial"/>
                <w:szCs w:val="20"/>
              </w:rPr>
            </w:pPr>
            <w:r w:rsidRPr="00337C85">
              <w:rPr>
                <w:rFonts w:ascii="Arial" w:hAnsi="Arial" w:cs="Arial"/>
                <w:szCs w:val="20"/>
              </w:rPr>
              <w:t>The purpose of th</w:t>
            </w:r>
            <w:r>
              <w:rPr>
                <w:rFonts w:ascii="Arial" w:hAnsi="Arial" w:cs="Arial"/>
                <w:szCs w:val="20"/>
              </w:rPr>
              <w:t>is procedure</w:t>
            </w:r>
            <w:r w:rsidRPr="00337C85">
              <w:rPr>
                <w:rFonts w:ascii="Arial" w:hAnsi="Arial" w:cs="Arial"/>
                <w:szCs w:val="20"/>
              </w:rPr>
              <w:t xml:space="preserve"> is to establish the processes for management and allocation of University Campus space to ensure that space is provided to support the University’s strategy.</w:t>
            </w:r>
          </w:p>
        </w:tc>
      </w:tr>
      <w:tr w:rsidR="002E39FF" w14:paraId="222189D1" w14:textId="77777777" w:rsidTr="000B2888">
        <w:tc>
          <w:tcPr>
            <w:tcW w:w="1222" w:type="pct"/>
            <w:tcBorders>
              <w:top w:val="nil"/>
              <w:left w:val="nil"/>
              <w:bottom w:val="nil"/>
              <w:right w:val="nil"/>
            </w:tcBorders>
            <w:shd w:val="clear" w:color="auto" w:fill="auto"/>
          </w:tcPr>
          <w:p w14:paraId="0F0C7986" w14:textId="4F6309D4" w:rsidR="002E39FF" w:rsidRPr="00102B8A" w:rsidRDefault="002E39FF" w:rsidP="002E39FF">
            <w:pPr>
              <w:spacing w:before="120" w:after="120"/>
              <w:rPr>
                <w:rFonts w:ascii="Arial" w:hAnsi="Arial" w:cs="Arial"/>
                <w:szCs w:val="20"/>
              </w:rPr>
            </w:pPr>
            <w:r w:rsidRPr="00ED55E6">
              <w:rPr>
                <w:rFonts w:ascii="Arial" w:hAnsi="Arial" w:cs="Arial"/>
                <w:szCs w:val="20"/>
              </w:rPr>
              <w:t>Audience</w:t>
            </w:r>
          </w:p>
        </w:tc>
        <w:tc>
          <w:tcPr>
            <w:tcW w:w="3778" w:type="pct"/>
            <w:tcBorders>
              <w:top w:val="nil"/>
              <w:left w:val="nil"/>
              <w:bottom w:val="nil"/>
              <w:right w:val="nil"/>
            </w:tcBorders>
            <w:shd w:val="clear" w:color="auto" w:fill="auto"/>
          </w:tcPr>
          <w:p w14:paraId="6C9EC612" w14:textId="428342A3" w:rsidR="002E39FF" w:rsidRPr="00102B8A" w:rsidRDefault="002E39FF" w:rsidP="002E39FF">
            <w:pPr>
              <w:spacing w:before="120" w:after="120"/>
              <w:rPr>
                <w:rFonts w:ascii="Arial" w:hAnsi="Arial" w:cs="Arial"/>
                <w:szCs w:val="20"/>
              </w:rPr>
            </w:pPr>
            <w:r w:rsidRPr="00ED55E6">
              <w:rPr>
                <w:rFonts w:ascii="Arial" w:hAnsi="Arial" w:cs="Arial"/>
                <w:szCs w:val="20"/>
              </w:rPr>
              <w:t>Staff</w:t>
            </w:r>
          </w:p>
        </w:tc>
      </w:tr>
      <w:tr w:rsidR="002E39FF" w14:paraId="28125B28" w14:textId="77777777" w:rsidTr="000B2888">
        <w:tc>
          <w:tcPr>
            <w:tcW w:w="1222" w:type="pct"/>
            <w:tcBorders>
              <w:top w:val="nil"/>
              <w:left w:val="nil"/>
              <w:bottom w:val="nil"/>
              <w:right w:val="nil"/>
            </w:tcBorders>
            <w:shd w:val="clear" w:color="auto" w:fill="E6E7E8"/>
          </w:tcPr>
          <w:p w14:paraId="7BB0D257" w14:textId="5EC169B2" w:rsidR="002E39FF" w:rsidRPr="00102B8A" w:rsidRDefault="002E39FF" w:rsidP="002E39FF">
            <w:pPr>
              <w:spacing w:before="120" w:after="120"/>
              <w:rPr>
                <w:rFonts w:ascii="Arial" w:hAnsi="Arial" w:cs="Arial"/>
                <w:szCs w:val="20"/>
              </w:rPr>
            </w:pPr>
            <w:r w:rsidRPr="00ED55E6">
              <w:rPr>
                <w:rFonts w:ascii="Arial" w:hAnsi="Arial" w:cs="Arial"/>
                <w:szCs w:val="20"/>
              </w:rPr>
              <w:t>Category</w:t>
            </w:r>
          </w:p>
        </w:tc>
        <w:tc>
          <w:tcPr>
            <w:tcW w:w="3778" w:type="pct"/>
            <w:tcBorders>
              <w:top w:val="nil"/>
              <w:left w:val="nil"/>
              <w:bottom w:val="nil"/>
              <w:right w:val="nil"/>
            </w:tcBorders>
            <w:shd w:val="clear" w:color="auto" w:fill="E6E7E8"/>
          </w:tcPr>
          <w:p w14:paraId="49825562" w14:textId="6132BDD5" w:rsidR="002E39FF" w:rsidRPr="00102B8A" w:rsidRDefault="002E39FF" w:rsidP="002E39FF">
            <w:pPr>
              <w:spacing w:before="120" w:after="120"/>
              <w:rPr>
                <w:rFonts w:ascii="Arial" w:hAnsi="Arial" w:cs="Arial"/>
                <w:szCs w:val="20"/>
              </w:rPr>
            </w:pPr>
            <w:r w:rsidRPr="00ED55E6">
              <w:rPr>
                <w:rFonts w:ascii="Arial" w:hAnsi="Arial" w:cs="Arial"/>
                <w:szCs w:val="20"/>
              </w:rPr>
              <w:t>Operational</w:t>
            </w:r>
          </w:p>
        </w:tc>
      </w:tr>
      <w:tr w:rsidR="002E39FF" w14:paraId="6804AE71" w14:textId="77777777" w:rsidTr="000B2888">
        <w:tc>
          <w:tcPr>
            <w:tcW w:w="1222" w:type="pct"/>
            <w:tcBorders>
              <w:top w:val="nil"/>
              <w:left w:val="nil"/>
              <w:bottom w:val="nil"/>
              <w:right w:val="nil"/>
            </w:tcBorders>
            <w:shd w:val="clear" w:color="auto" w:fill="auto"/>
          </w:tcPr>
          <w:p w14:paraId="633FDD1A" w14:textId="69048B5E" w:rsidR="002E39FF" w:rsidRPr="00102B8A" w:rsidRDefault="002E39FF" w:rsidP="002E39FF">
            <w:pPr>
              <w:spacing w:before="120" w:after="120"/>
              <w:rPr>
                <w:rFonts w:ascii="Arial" w:hAnsi="Arial" w:cs="Arial"/>
                <w:szCs w:val="20"/>
              </w:rPr>
            </w:pPr>
            <w:r w:rsidRPr="00ED55E6">
              <w:rPr>
                <w:rFonts w:ascii="Arial" w:hAnsi="Arial" w:cs="Arial"/>
                <w:szCs w:val="20"/>
              </w:rPr>
              <w:t>Subcategory</w:t>
            </w:r>
          </w:p>
        </w:tc>
        <w:tc>
          <w:tcPr>
            <w:tcW w:w="3778" w:type="pct"/>
            <w:tcBorders>
              <w:top w:val="nil"/>
              <w:left w:val="nil"/>
              <w:bottom w:val="nil"/>
              <w:right w:val="nil"/>
            </w:tcBorders>
            <w:shd w:val="clear" w:color="auto" w:fill="auto"/>
          </w:tcPr>
          <w:p w14:paraId="24122AE7" w14:textId="7A409393" w:rsidR="002E39FF" w:rsidRPr="002E39FF" w:rsidRDefault="002E39FF" w:rsidP="002E39FF">
            <w:pPr>
              <w:spacing w:before="120" w:after="120"/>
              <w:rPr>
                <w:rFonts w:ascii="Arial" w:hAnsi="Arial" w:cs="Arial"/>
                <w:szCs w:val="20"/>
              </w:rPr>
            </w:pPr>
            <w:r w:rsidRPr="002E39FF">
              <w:rPr>
                <w:rFonts w:ascii="Arial" w:hAnsi="Arial" w:cs="Arial"/>
                <w:szCs w:val="20"/>
              </w:rPr>
              <w:t>Campuses, Facilities and Assets</w:t>
            </w:r>
          </w:p>
        </w:tc>
      </w:tr>
      <w:tr w:rsidR="0095399A" w14:paraId="50471DC5" w14:textId="77777777" w:rsidTr="000B2888">
        <w:tc>
          <w:tcPr>
            <w:tcW w:w="1222" w:type="pct"/>
            <w:tcBorders>
              <w:top w:val="nil"/>
              <w:left w:val="nil"/>
              <w:bottom w:val="nil"/>
              <w:right w:val="nil"/>
            </w:tcBorders>
            <w:shd w:val="clear" w:color="auto" w:fill="E6E7E8"/>
          </w:tcPr>
          <w:p w14:paraId="16A50CAE" w14:textId="29BCC189" w:rsidR="00BD32B2" w:rsidRPr="00102B8A" w:rsidRDefault="00BD32B2" w:rsidP="004F29C7">
            <w:pPr>
              <w:spacing w:before="120" w:after="120"/>
              <w:rPr>
                <w:rFonts w:ascii="Arial" w:hAnsi="Arial" w:cs="Arial"/>
                <w:szCs w:val="20"/>
              </w:rPr>
            </w:pPr>
            <w:r>
              <w:rPr>
                <w:rFonts w:ascii="Arial" w:hAnsi="Arial" w:cs="Arial"/>
                <w:szCs w:val="20"/>
              </w:rPr>
              <w:t>Approval date</w:t>
            </w:r>
          </w:p>
        </w:tc>
        <w:tc>
          <w:tcPr>
            <w:tcW w:w="3778" w:type="pct"/>
            <w:tcBorders>
              <w:top w:val="nil"/>
              <w:left w:val="nil"/>
              <w:bottom w:val="nil"/>
              <w:right w:val="nil"/>
            </w:tcBorders>
            <w:shd w:val="clear" w:color="auto" w:fill="E6E7E8"/>
          </w:tcPr>
          <w:p w14:paraId="54E42AB4" w14:textId="495970BF" w:rsidR="0095399A" w:rsidRPr="00102B8A" w:rsidRDefault="004F29C7" w:rsidP="004F29C7">
            <w:pPr>
              <w:spacing w:before="120" w:after="120"/>
              <w:rPr>
                <w:rFonts w:ascii="Arial" w:hAnsi="Arial" w:cs="Arial"/>
                <w:szCs w:val="20"/>
              </w:rPr>
            </w:pPr>
            <w:r>
              <w:rPr>
                <w:rFonts w:ascii="Arial" w:hAnsi="Arial" w:cs="Arial"/>
                <w:szCs w:val="20"/>
              </w:rPr>
              <w:t>25 August 2021</w:t>
            </w:r>
          </w:p>
        </w:tc>
      </w:tr>
      <w:tr w:rsidR="004F29C7" w14:paraId="35FCFB49" w14:textId="77777777" w:rsidTr="000B2888">
        <w:tc>
          <w:tcPr>
            <w:tcW w:w="1222" w:type="pct"/>
            <w:tcBorders>
              <w:top w:val="nil"/>
              <w:left w:val="nil"/>
              <w:bottom w:val="nil"/>
              <w:right w:val="nil"/>
            </w:tcBorders>
            <w:shd w:val="clear" w:color="auto" w:fill="E6E7E8"/>
          </w:tcPr>
          <w:p w14:paraId="50015C55" w14:textId="3D639724" w:rsidR="004F29C7" w:rsidRDefault="004F29C7" w:rsidP="00360D42">
            <w:pPr>
              <w:spacing w:before="120" w:after="120"/>
              <w:rPr>
                <w:rFonts w:ascii="Arial" w:hAnsi="Arial" w:cs="Arial"/>
                <w:szCs w:val="20"/>
              </w:rPr>
            </w:pPr>
            <w:r w:rsidRPr="00102B8A">
              <w:rPr>
                <w:rFonts w:ascii="Arial" w:hAnsi="Arial" w:cs="Arial"/>
                <w:szCs w:val="20"/>
              </w:rPr>
              <w:t>Effective date</w:t>
            </w:r>
          </w:p>
        </w:tc>
        <w:tc>
          <w:tcPr>
            <w:tcW w:w="3778" w:type="pct"/>
            <w:tcBorders>
              <w:top w:val="nil"/>
              <w:left w:val="nil"/>
              <w:bottom w:val="nil"/>
              <w:right w:val="nil"/>
            </w:tcBorders>
            <w:shd w:val="clear" w:color="auto" w:fill="E6E7E8"/>
          </w:tcPr>
          <w:p w14:paraId="5F400497" w14:textId="138F1195" w:rsidR="004F29C7" w:rsidRDefault="004F29C7" w:rsidP="0012295B">
            <w:pPr>
              <w:spacing w:before="120" w:after="120"/>
              <w:rPr>
                <w:rFonts w:ascii="Arial" w:hAnsi="Arial" w:cs="Arial"/>
                <w:szCs w:val="20"/>
              </w:rPr>
            </w:pPr>
            <w:r>
              <w:rPr>
                <w:rFonts w:ascii="Arial" w:hAnsi="Arial" w:cs="Arial"/>
                <w:szCs w:val="20"/>
              </w:rPr>
              <w:t>25 August 2021</w:t>
            </w:r>
          </w:p>
        </w:tc>
      </w:tr>
      <w:tr w:rsidR="0095399A" w14:paraId="2BC374DF" w14:textId="77777777" w:rsidTr="000B2888">
        <w:tc>
          <w:tcPr>
            <w:tcW w:w="1222" w:type="pct"/>
            <w:tcBorders>
              <w:top w:val="nil"/>
              <w:left w:val="nil"/>
              <w:bottom w:val="nil"/>
              <w:right w:val="nil"/>
            </w:tcBorders>
            <w:shd w:val="clear" w:color="auto" w:fill="auto"/>
          </w:tcPr>
          <w:p w14:paraId="534DFB5D" w14:textId="77777777" w:rsidR="0095399A" w:rsidRPr="00102B8A" w:rsidRDefault="0095399A" w:rsidP="00360D42">
            <w:pPr>
              <w:spacing w:before="120" w:after="120"/>
              <w:rPr>
                <w:rFonts w:ascii="Arial" w:hAnsi="Arial" w:cs="Arial"/>
                <w:szCs w:val="20"/>
              </w:rPr>
            </w:pPr>
            <w:r w:rsidRPr="00102B8A">
              <w:rPr>
                <w:rFonts w:ascii="Arial" w:hAnsi="Arial" w:cs="Arial"/>
                <w:szCs w:val="20"/>
              </w:rPr>
              <w:t>Review date</w:t>
            </w:r>
          </w:p>
        </w:tc>
        <w:tc>
          <w:tcPr>
            <w:tcW w:w="3778" w:type="pct"/>
            <w:tcBorders>
              <w:top w:val="nil"/>
              <w:left w:val="nil"/>
              <w:bottom w:val="nil"/>
              <w:right w:val="nil"/>
            </w:tcBorders>
            <w:shd w:val="clear" w:color="auto" w:fill="auto"/>
          </w:tcPr>
          <w:p w14:paraId="71B0EEBB" w14:textId="660F0208" w:rsidR="0095399A" w:rsidRPr="00102B8A" w:rsidRDefault="002E39FF" w:rsidP="00360D42">
            <w:pPr>
              <w:spacing w:before="120" w:after="120"/>
              <w:rPr>
                <w:rFonts w:ascii="Arial" w:hAnsi="Arial" w:cs="Arial"/>
                <w:szCs w:val="20"/>
              </w:rPr>
            </w:pPr>
            <w:r>
              <w:rPr>
                <w:rFonts w:ascii="Arial" w:hAnsi="Arial" w:cs="Arial"/>
                <w:szCs w:val="20"/>
              </w:rPr>
              <w:t>2</w:t>
            </w:r>
            <w:r>
              <w:rPr>
                <w:rFonts w:ascii="Arial" w:hAnsi="Arial"/>
                <w:szCs w:val="20"/>
              </w:rPr>
              <w:t>026</w:t>
            </w:r>
          </w:p>
        </w:tc>
      </w:tr>
      <w:tr w:rsidR="002E39FF" w14:paraId="7B757065" w14:textId="77777777" w:rsidTr="000B2888">
        <w:tc>
          <w:tcPr>
            <w:tcW w:w="1222" w:type="pct"/>
            <w:tcBorders>
              <w:top w:val="nil"/>
              <w:left w:val="nil"/>
              <w:bottom w:val="nil"/>
              <w:right w:val="nil"/>
            </w:tcBorders>
            <w:shd w:val="clear" w:color="auto" w:fill="E6E7E8"/>
          </w:tcPr>
          <w:p w14:paraId="04674916" w14:textId="77777777" w:rsidR="002E39FF" w:rsidRPr="00102B8A" w:rsidRDefault="002E39FF" w:rsidP="002E39FF">
            <w:pPr>
              <w:spacing w:before="120" w:after="120"/>
              <w:rPr>
                <w:rFonts w:ascii="Arial" w:hAnsi="Arial" w:cs="Arial"/>
                <w:szCs w:val="20"/>
              </w:rPr>
            </w:pPr>
            <w:r w:rsidRPr="00102B8A">
              <w:rPr>
                <w:rFonts w:ascii="Arial" w:hAnsi="Arial" w:cs="Arial"/>
                <w:szCs w:val="20"/>
              </w:rPr>
              <w:t>Policy advisor</w:t>
            </w:r>
          </w:p>
        </w:tc>
        <w:tc>
          <w:tcPr>
            <w:tcW w:w="3778" w:type="pct"/>
            <w:tcBorders>
              <w:top w:val="nil"/>
              <w:left w:val="nil"/>
              <w:bottom w:val="nil"/>
              <w:right w:val="nil"/>
            </w:tcBorders>
            <w:shd w:val="clear" w:color="auto" w:fill="E6E7E8"/>
          </w:tcPr>
          <w:p w14:paraId="096B7BB4" w14:textId="4A34878C" w:rsidR="002E39FF" w:rsidRPr="00102B8A" w:rsidRDefault="008E2325" w:rsidP="002E39FF">
            <w:pPr>
              <w:spacing w:before="120" w:after="120"/>
              <w:rPr>
                <w:rFonts w:ascii="Arial" w:hAnsi="Arial" w:cs="Arial"/>
                <w:szCs w:val="20"/>
              </w:rPr>
            </w:pPr>
            <w:r w:rsidRPr="008E2325">
              <w:rPr>
                <w:rFonts w:ascii="Arial" w:hAnsi="Arial" w:cs="Arial"/>
                <w:szCs w:val="20"/>
              </w:rPr>
              <w:t>Associate Director, Facilities Management</w:t>
            </w:r>
          </w:p>
        </w:tc>
      </w:tr>
      <w:tr w:rsidR="002E39FF" w14:paraId="16E54E7F" w14:textId="77777777" w:rsidTr="000B2888">
        <w:tc>
          <w:tcPr>
            <w:tcW w:w="1222" w:type="pct"/>
            <w:tcBorders>
              <w:top w:val="nil"/>
              <w:left w:val="nil"/>
              <w:bottom w:val="nil"/>
              <w:right w:val="nil"/>
            </w:tcBorders>
            <w:shd w:val="clear" w:color="auto" w:fill="auto"/>
          </w:tcPr>
          <w:p w14:paraId="6365C1E2" w14:textId="77777777" w:rsidR="002E39FF" w:rsidRPr="00102B8A" w:rsidRDefault="002E39FF" w:rsidP="002E39FF">
            <w:pPr>
              <w:spacing w:before="120" w:after="120"/>
              <w:rPr>
                <w:rFonts w:ascii="Arial" w:hAnsi="Arial" w:cs="Arial"/>
                <w:szCs w:val="20"/>
              </w:rPr>
            </w:pPr>
            <w:r w:rsidRPr="00102B8A">
              <w:rPr>
                <w:rFonts w:ascii="Arial" w:hAnsi="Arial" w:cs="Arial"/>
                <w:szCs w:val="20"/>
              </w:rPr>
              <w:t>Approving authority</w:t>
            </w:r>
          </w:p>
        </w:tc>
        <w:tc>
          <w:tcPr>
            <w:tcW w:w="3778" w:type="pct"/>
            <w:tcBorders>
              <w:top w:val="nil"/>
              <w:left w:val="nil"/>
              <w:bottom w:val="nil"/>
              <w:right w:val="nil"/>
            </w:tcBorders>
            <w:shd w:val="clear" w:color="auto" w:fill="auto"/>
          </w:tcPr>
          <w:p w14:paraId="51CBEA38" w14:textId="155189D0" w:rsidR="002E39FF" w:rsidRPr="00102B8A" w:rsidRDefault="008E2325" w:rsidP="002E39FF">
            <w:pPr>
              <w:spacing w:before="120" w:after="120"/>
              <w:rPr>
                <w:rFonts w:ascii="Arial" w:hAnsi="Arial" w:cs="Arial"/>
                <w:szCs w:val="20"/>
              </w:rPr>
            </w:pPr>
            <w:r>
              <w:rPr>
                <w:rFonts w:ascii="Arial" w:hAnsi="Arial" w:cs="Arial"/>
                <w:szCs w:val="20"/>
              </w:rPr>
              <w:t>Director, Campus Life</w:t>
            </w:r>
          </w:p>
        </w:tc>
      </w:tr>
    </w:tbl>
    <w:p w14:paraId="59A619DC" w14:textId="7A1BB616" w:rsidR="000372F6" w:rsidRDefault="000372F6" w:rsidP="00B34AA7">
      <w:pPr>
        <w:rPr>
          <w:rFonts w:ascii="Foundry Sterling Book" w:hAnsi="Foundry Sterling Book"/>
          <w:color w:val="000000" w:themeColor="text1"/>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5E494F" w:rsidRPr="00D77C9B" w14:paraId="7BCABB05" w14:textId="77777777" w:rsidTr="00087697">
        <w:tc>
          <w:tcPr>
            <w:tcW w:w="5000" w:type="pct"/>
            <w:gridSpan w:val="2"/>
            <w:tcBorders>
              <w:bottom w:val="single" w:sz="8" w:space="0" w:color="E30918"/>
            </w:tcBorders>
            <w:shd w:val="clear" w:color="auto" w:fill="auto"/>
          </w:tcPr>
          <w:p w14:paraId="7B22A96D" w14:textId="77777777" w:rsidR="005E494F" w:rsidRPr="00102B8A" w:rsidRDefault="005E494F" w:rsidP="00360D42">
            <w:pPr>
              <w:spacing w:before="120" w:after="120"/>
              <w:rPr>
                <w:rFonts w:ascii="Arial" w:hAnsi="Arial" w:cs="Arial"/>
                <w:b/>
                <w:bCs/>
                <w:sz w:val="24"/>
                <w:szCs w:val="24"/>
              </w:rPr>
            </w:pPr>
            <w:r w:rsidRPr="00102B8A">
              <w:rPr>
                <w:rFonts w:ascii="Arial" w:hAnsi="Arial" w:cs="Arial"/>
                <w:b/>
                <w:bCs/>
                <w:caps/>
                <w:color w:val="E30918"/>
                <w:sz w:val="24"/>
                <w:szCs w:val="24"/>
              </w:rPr>
              <w:t>RELATED POLICY DOCUMENTS AND supporting documents</w:t>
            </w:r>
          </w:p>
        </w:tc>
      </w:tr>
      <w:tr w:rsidR="0012295B" w14:paraId="1C7EADDE" w14:textId="77777777" w:rsidTr="000B2888">
        <w:tc>
          <w:tcPr>
            <w:tcW w:w="1222" w:type="pct"/>
            <w:tcBorders>
              <w:top w:val="single" w:sz="8" w:space="0" w:color="E30918"/>
            </w:tcBorders>
            <w:shd w:val="clear" w:color="auto" w:fill="E6E7E8"/>
          </w:tcPr>
          <w:p w14:paraId="2B75BBE8" w14:textId="77777777" w:rsidR="0012295B" w:rsidRPr="00102B8A" w:rsidRDefault="0012295B" w:rsidP="0012295B">
            <w:pPr>
              <w:spacing w:before="120" w:after="120"/>
              <w:rPr>
                <w:rFonts w:ascii="Arial" w:hAnsi="Arial" w:cs="Arial"/>
                <w:szCs w:val="20"/>
              </w:rPr>
            </w:pPr>
            <w:r w:rsidRPr="00102B8A">
              <w:rPr>
                <w:rFonts w:ascii="Arial" w:hAnsi="Arial" w:cs="Arial"/>
                <w:szCs w:val="20"/>
              </w:rPr>
              <w:t xml:space="preserve">Legislation </w:t>
            </w:r>
          </w:p>
        </w:tc>
        <w:tc>
          <w:tcPr>
            <w:tcW w:w="3778" w:type="pct"/>
            <w:tcBorders>
              <w:top w:val="single" w:sz="8" w:space="0" w:color="E30918"/>
            </w:tcBorders>
            <w:shd w:val="clear" w:color="auto" w:fill="E6E7E8"/>
          </w:tcPr>
          <w:p w14:paraId="5EB68E51" w14:textId="56670A29" w:rsidR="0012295B" w:rsidRPr="00102B8A" w:rsidRDefault="0012295B" w:rsidP="0012295B">
            <w:pPr>
              <w:spacing w:before="120" w:after="120"/>
              <w:rPr>
                <w:rFonts w:ascii="Arial" w:hAnsi="Arial" w:cs="Arial"/>
              </w:rPr>
            </w:pPr>
            <w:r>
              <w:rPr>
                <w:rFonts w:ascii="Arial" w:hAnsi="Arial" w:cs="Arial"/>
              </w:rPr>
              <w:t>N/A</w:t>
            </w:r>
          </w:p>
        </w:tc>
      </w:tr>
      <w:tr w:rsidR="0012295B" w14:paraId="6B9273E8" w14:textId="77777777" w:rsidTr="000B2888">
        <w:tc>
          <w:tcPr>
            <w:tcW w:w="1222" w:type="pct"/>
            <w:shd w:val="clear" w:color="auto" w:fill="auto"/>
          </w:tcPr>
          <w:p w14:paraId="42E0DB77" w14:textId="77777777" w:rsidR="0012295B" w:rsidRPr="00102B8A" w:rsidRDefault="0012295B" w:rsidP="0012295B">
            <w:pPr>
              <w:spacing w:before="120" w:after="120"/>
              <w:rPr>
                <w:rFonts w:ascii="Arial" w:hAnsi="Arial" w:cs="Arial"/>
                <w:szCs w:val="20"/>
              </w:rPr>
            </w:pPr>
            <w:r w:rsidRPr="00102B8A">
              <w:rPr>
                <w:rFonts w:ascii="Arial" w:hAnsi="Arial" w:cs="Arial"/>
                <w:szCs w:val="20"/>
              </w:rPr>
              <w:t>Policy</w:t>
            </w:r>
          </w:p>
        </w:tc>
        <w:tc>
          <w:tcPr>
            <w:tcW w:w="3778" w:type="pct"/>
            <w:shd w:val="clear" w:color="auto" w:fill="auto"/>
          </w:tcPr>
          <w:p w14:paraId="0C315364" w14:textId="77777777" w:rsidR="0012295B" w:rsidRDefault="0012295B" w:rsidP="0012295B">
            <w:pPr>
              <w:spacing w:before="120" w:after="120"/>
              <w:rPr>
                <w:rFonts w:ascii="Arial" w:hAnsi="Arial" w:cs="Arial"/>
              </w:rPr>
            </w:pPr>
            <w:r>
              <w:rPr>
                <w:rFonts w:ascii="Arial" w:hAnsi="Arial" w:cs="Arial"/>
              </w:rPr>
              <w:t xml:space="preserve">Facilities Management and Campus Access and Use Policy </w:t>
            </w:r>
          </w:p>
          <w:p w14:paraId="47503873" w14:textId="793E39A0" w:rsidR="0012295B" w:rsidRPr="00102B8A" w:rsidRDefault="0012295B" w:rsidP="0012295B">
            <w:pPr>
              <w:spacing w:before="120" w:after="120"/>
              <w:rPr>
                <w:rFonts w:ascii="Arial" w:hAnsi="Arial" w:cs="Arial"/>
                <w:color w:val="E30918"/>
                <w:szCs w:val="20"/>
                <w:u w:val="single"/>
              </w:rPr>
            </w:pPr>
            <w:r>
              <w:rPr>
                <w:rFonts w:ascii="Arial" w:hAnsi="Arial" w:cs="Arial"/>
                <w:color w:val="E30918"/>
                <w:u w:val="single"/>
              </w:rPr>
              <w:t>Work Location Policy</w:t>
            </w:r>
          </w:p>
        </w:tc>
      </w:tr>
      <w:tr w:rsidR="0012295B" w14:paraId="2BF6E089" w14:textId="77777777" w:rsidTr="000B2888">
        <w:tc>
          <w:tcPr>
            <w:tcW w:w="1222" w:type="pct"/>
            <w:shd w:val="clear" w:color="auto" w:fill="E6E7E8"/>
          </w:tcPr>
          <w:p w14:paraId="6C758D34" w14:textId="0158E7D7" w:rsidR="0012295B" w:rsidRPr="00102B8A" w:rsidRDefault="0012295B" w:rsidP="0012295B">
            <w:pPr>
              <w:spacing w:before="120" w:after="120"/>
              <w:rPr>
                <w:rFonts w:ascii="Arial" w:hAnsi="Arial" w:cs="Arial"/>
                <w:szCs w:val="20"/>
              </w:rPr>
            </w:pPr>
            <w:r w:rsidRPr="00102B8A">
              <w:rPr>
                <w:rFonts w:ascii="Arial" w:hAnsi="Arial" w:cs="Arial"/>
                <w:szCs w:val="20"/>
              </w:rPr>
              <w:t>Procedures</w:t>
            </w:r>
            <w:r w:rsidR="0074512E">
              <w:rPr>
                <w:rFonts w:ascii="Arial" w:hAnsi="Arial" w:cs="Arial"/>
                <w:szCs w:val="20"/>
              </w:rPr>
              <w:t xml:space="preserve"> / Plans</w:t>
            </w:r>
          </w:p>
        </w:tc>
        <w:tc>
          <w:tcPr>
            <w:tcW w:w="3778" w:type="pct"/>
            <w:shd w:val="clear" w:color="auto" w:fill="E6E7E8"/>
          </w:tcPr>
          <w:p w14:paraId="2F41A8B8" w14:textId="77777777" w:rsidR="0012295B" w:rsidRDefault="0012295B" w:rsidP="0012295B">
            <w:pPr>
              <w:spacing w:before="120" w:after="120"/>
              <w:rPr>
                <w:rFonts w:ascii="Arial" w:hAnsi="Arial" w:cs="Arial"/>
              </w:rPr>
            </w:pPr>
            <w:r w:rsidRPr="28E519EC">
              <w:rPr>
                <w:rFonts w:ascii="Arial" w:hAnsi="Arial" w:cs="Arial"/>
              </w:rPr>
              <w:t>Campus Access and Use Procedure</w:t>
            </w:r>
          </w:p>
          <w:p w14:paraId="60D2B904" w14:textId="77777777" w:rsidR="0074512E" w:rsidRDefault="0074512E" w:rsidP="0074512E">
            <w:pPr>
              <w:spacing w:before="120" w:after="120"/>
              <w:rPr>
                <w:rFonts w:ascii="Arial" w:hAnsi="Arial" w:cs="Arial"/>
              </w:rPr>
            </w:pPr>
            <w:r>
              <w:rPr>
                <w:rFonts w:ascii="Arial" w:hAnsi="Arial" w:cs="Arial"/>
              </w:rPr>
              <w:t>Capital Management Plan</w:t>
            </w:r>
          </w:p>
          <w:p w14:paraId="74B702E4" w14:textId="2FA83E62" w:rsidR="0074512E" w:rsidRPr="0074512E" w:rsidRDefault="0074512E" w:rsidP="0012295B">
            <w:pPr>
              <w:spacing w:before="120" w:after="120"/>
              <w:rPr>
                <w:rFonts w:ascii="Arial" w:hAnsi="Arial" w:cs="Arial"/>
                <w:color w:val="E30918"/>
                <w:u w:val="single"/>
              </w:rPr>
            </w:pPr>
            <w:r>
              <w:rPr>
                <w:rFonts w:ascii="Arial" w:hAnsi="Arial" w:cs="Arial"/>
                <w:color w:val="E30918"/>
                <w:u w:val="single"/>
              </w:rPr>
              <w:t>University Strategic Plan</w:t>
            </w:r>
          </w:p>
        </w:tc>
      </w:tr>
      <w:tr w:rsidR="0012295B" w14:paraId="62E9927B" w14:textId="77777777" w:rsidTr="000B2888">
        <w:tc>
          <w:tcPr>
            <w:tcW w:w="1222" w:type="pct"/>
            <w:shd w:val="clear" w:color="auto" w:fill="auto"/>
          </w:tcPr>
          <w:p w14:paraId="3910BD6A" w14:textId="77777777" w:rsidR="0012295B" w:rsidRPr="00102B8A" w:rsidRDefault="0012295B" w:rsidP="0012295B">
            <w:pPr>
              <w:spacing w:before="120" w:after="120"/>
              <w:rPr>
                <w:rFonts w:ascii="Arial" w:hAnsi="Arial" w:cs="Arial"/>
                <w:szCs w:val="20"/>
              </w:rPr>
            </w:pPr>
            <w:r w:rsidRPr="00102B8A">
              <w:rPr>
                <w:rFonts w:ascii="Arial" w:hAnsi="Arial" w:cs="Arial"/>
                <w:szCs w:val="20"/>
              </w:rPr>
              <w:t>Local protocols</w:t>
            </w:r>
          </w:p>
        </w:tc>
        <w:tc>
          <w:tcPr>
            <w:tcW w:w="3778" w:type="pct"/>
            <w:shd w:val="clear" w:color="auto" w:fill="auto"/>
          </w:tcPr>
          <w:p w14:paraId="523F5696" w14:textId="164A09A8" w:rsidR="0012295B" w:rsidRPr="00102B8A" w:rsidRDefault="0012295B" w:rsidP="0012295B">
            <w:pPr>
              <w:spacing w:before="120" w:after="120"/>
              <w:rPr>
                <w:rFonts w:ascii="Arial" w:hAnsi="Arial" w:cs="Arial"/>
                <w:szCs w:val="20"/>
              </w:rPr>
            </w:pPr>
            <w:r w:rsidRPr="3D19CE1F">
              <w:rPr>
                <w:rFonts w:ascii="Arial" w:hAnsi="Arial" w:cs="Arial"/>
              </w:rPr>
              <w:t>Capital Planning</w:t>
            </w:r>
          </w:p>
        </w:tc>
      </w:tr>
      <w:tr w:rsidR="0012295B" w14:paraId="5DB71FAA" w14:textId="77777777" w:rsidTr="000B2888">
        <w:tc>
          <w:tcPr>
            <w:tcW w:w="1222" w:type="pct"/>
            <w:shd w:val="clear" w:color="auto" w:fill="E6E7E8"/>
          </w:tcPr>
          <w:p w14:paraId="35A5584B" w14:textId="77777777" w:rsidR="0012295B" w:rsidRPr="00102B8A" w:rsidRDefault="0012295B" w:rsidP="0012295B">
            <w:pPr>
              <w:spacing w:before="120" w:after="120"/>
              <w:rPr>
                <w:rFonts w:ascii="Arial" w:hAnsi="Arial" w:cs="Arial"/>
                <w:szCs w:val="20"/>
              </w:rPr>
            </w:pPr>
            <w:r w:rsidRPr="00102B8A">
              <w:rPr>
                <w:rFonts w:ascii="Arial" w:hAnsi="Arial" w:cs="Arial"/>
                <w:szCs w:val="20"/>
              </w:rPr>
              <w:t>Forms</w:t>
            </w:r>
          </w:p>
        </w:tc>
        <w:tc>
          <w:tcPr>
            <w:tcW w:w="3778" w:type="pct"/>
            <w:shd w:val="clear" w:color="auto" w:fill="E6E7E8"/>
          </w:tcPr>
          <w:p w14:paraId="23390665" w14:textId="76E01E49" w:rsidR="0012295B" w:rsidRPr="00102B8A" w:rsidRDefault="0012295B" w:rsidP="0012295B">
            <w:pPr>
              <w:spacing w:before="120" w:after="120"/>
              <w:rPr>
                <w:rFonts w:ascii="Arial" w:hAnsi="Arial" w:cs="Arial"/>
                <w:szCs w:val="20"/>
              </w:rPr>
            </w:pPr>
            <w:r>
              <w:rPr>
                <w:rFonts w:ascii="Arial" w:hAnsi="Arial" w:cs="Arial"/>
                <w:szCs w:val="20"/>
              </w:rPr>
              <w:t>N/A</w:t>
            </w:r>
            <w:r w:rsidRPr="00ED55E6">
              <w:rPr>
                <w:rFonts w:ascii="Arial" w:hAnsi="Arial" w:cs="Arial"/>
                <w:szCs w:val="20"/>
              </w:rPr>
              <w:t xml:space="preserve"> </w:t>
            </w:r>
          </w:p>
        </w:tc>
      </w:tr>
    </w:tbl>
    <w:p w14:paraId="237DB944" w14:textId="59732C84" w:rsidR="00814590" w:rsidRPr="00DA3C93" w:rsidRDefault="00814590" w:rsidP="00DA3C93">
      <w:pPr>
        <w:tabs>
          <w:tab w:val="left" w:pos="8550"/>
        </w:tabs>
        <w:rPr>
          <w:rFonts w:ascii="Foundry Sterling Book" w:hAnsi="Foundry Sterling Book"/>
          <w:szCs w:val="20"/>
        </w:rPr>
      </w:pPr>
    </w:p>
    <w:sectPr w:rsidR="00814590" w:rsidRPr="00DA3C93" w:rsidSect="00624C23">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8EF3" w14:textId="77777777" w:rsidR="00405B77" w:rsidRDefault="00405B77" w:rsidP="00F45E9C">
      <w:r>
        <w:separator/>
      </w:r>
    </w:p>
  </w:endnote>
  <w:endnote w:type="continuationSeparator" w:id="0">
    <w:p w14:paraId="5EB5FAC1" w14:textId="77777777" w:rsidR="00405B77" w:rsidRDefault="00405B77" w:rsidP="00F45E9C">
      <w:r>
        <w:continuationSeparator/>
      </w:r>
    </w:p>
  </w:endnote>
  <w:endnote w:type="continuationNotice" w:id="1">
    <w:p w14:paraId="697F5844" w14:textId="77777777" w:rsidR="00405B77" w:rsidRDefault="00405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Light">
    <w:charset w:val="00"/>
    <w:family w:val="auto"/>
    <w:pitch w:val="variable"/>
    <w:sig w:usb0="80000027" w:usb1="00000040" w:usb2="00000000" w:usb3="00000000" w:csb0="00000001" w:csb1="00000000"/>
  </w:font>
  <w:font w:name="FoundrySterling-Book">
    <w:altName w:val="Calibr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F41A" w14:textId="77777777" w:rsidR="008E2325" w:rsidRDefault="008E2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C5ADBF2"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5B3E79EF" w:rsidR="007C1483" w:rsidRDefault="00AE782D"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Space Management Procedure</w:t>
        </w:r>
        <w:r w:rsidRPr="00102B8A">
          <w:rPr>
            <w:rFonts w:asciiTheme="minorHAnsi" w:hAnsiTheme="minorHAnsi" w:cstheme="minorHAnsi"/>
            <w:color w:val="70787B"/>
            <w:sz w:val="15"/>
            <w:szCs w:val="15"/>
          </w:rPr>
          <w:t xml:space="preserve"> | </w:t>
        </w:r>
        <w:r w:rsidR="0094541F">
          <w:rPr>
            <w:rFonts w:asciiTheme="minorHAnsi" w:hAnsiTheme="minorHAnsi" w:cstheme="minorHAnsi"/>
            <w:color w:val="70787B"/>
            <w:sz w:val="15"/>
            <w:szCs w:val="15"/>
          </w:rPr>
          <w:t>August</w:t>
        </w:r>
        <w:r w:rsidRPr="00102B8A">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21</w:t>
        </w:r>
        <w:r w:rsidR="007C1483" w:rsidRPr="00102B8A">
          <w:rPr>
            <w:rFonts w:asciiTheme="minorHAnsi" w:hAnsiTheme="minorHAnsi" w:cstheme="minorHAnsi"/>
            <w:color w:val="70787B"/>
            <w:sz w:val="15"/>
            <w:szCs w:val="15"/>
          </w:rPr>
          <w:t xml:space="preserve"> </w:t>
        </w:r>
      </w:p>
      <w:p w14:paraId="4AF18D46" w14:textId="4737B63D" w:rsidR="00AE782D" w:rsidRPr="00102B8A" w:rsidRDefault="007C1483" w:rsidP="00AE782D">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8E2325">
          <w:rPr>
            <w:rFonts w:asciiTheme="minorHAnsi" w:hAnsiTheme="minorHAnsi" w:cstheme="minorHAnsi"/>
            <w:color w:val="70787B"/>
            <w:sz w:val="15"/>
            <w:szCs w:val="15"/>
          </w:rPr>
          <w:t xml:space="preserve">: </w:t>
        </w:r>
        <w:r w:rsidR="008E2325" w:rsidRPr="008E2325">
          <w:rPr>
            <w:rFonts w:asciiTheme="minorHAnsi" w:hAnsiTheme="minorHAnsi" w:cstheme="minorHAnsi"/>
            <w:color w:val="70787B"/>
            <w:sz w:val="15"/>
            <w:szCs w:val="15"/>
          </w:rPr>
          <w:t>2023/0001184</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rPr>
        <w:rFonts w:asciiTheme="majorHAnsi" w:hAnsiTheme="majorHAnsi" w:cstheme="majorHAnsi"/>
        <w:noProof/>
      </w:rPr>
    </w:sdtEndPr>
    <w:sdtContent>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6573319C" w14:textId="1DAD041F"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65408"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8" style="position:absolute;margin-left:0;margin-top:-218.95pt;width:280.7pt;height:280.65pt;z-index:251665408;mso-position-horizontal:left;mso-position-horizontal-relative:page;mso-width-relative:margin;mso-height-relative:margin" coordsize="39606,39598" o:spid="_x0000_s1026" w14:anchorId="0F77C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F50553">
      <w:rPr>
        <w:rFonts w:asciiTheme="minorHAnsi" w:hAnsiTheme="minorHAnsi" w:cstheme="minorHAnsi"/>
        <w:color w:val="70787B"/>
        <w:sz w:val="15"/>
        <w:szCs w:val="15"/>
      </w:rPr>
      <w:t>Space Management Procedure</w:t>
    </w:r>
    <w:r w:rsidRPr="00102B8A">
      <w:rPr>
        <w:rFonts w:asciiTheme="minorHAnsi" w:hAnsiTheme="minorHAnsi" w:cstheme="minorHAnsi"/>
        <w:color w:val="70787B"/>
        <w:sz w:val="15"/>
        <w:szCs w:val="15"/>
      </w:rPr>
      <w:t xml:space="preserve"> | </w:t>
    </w:r>
    <w:r w:rsidR="00F50553">
      <w:rPr>
        <w:rFonts w:asciiTheme="minorHAnsi" w:hAnsiTheme="minorHAnsi" w:cstheme="minorHAnsi"/>
        <w:color w:val="70787B"/>
        <w:sz w:val="15"/>
        <w:szCs w:val="15"/>
      </w:rPr>
      <w:t>September</w:t>
    </w:r>
    <w:r w:rsidRPr="00102B8A">
      <w:rPr>
        <w:rFonts w:asciiTheme="minorHAnsi" w:hAnsiTheme="minorHAnsi" w:cstheme="minorHAnsi"/>
        <w:color w:val="70787B"/>
        <w:sz w:val="15"/>
        <w:szCs w:val="15"/>
      </w:rPr>
      <w:t xml:space="preserve"> 20</w:t>
    </w:r>
    <w:r w:rsidR="00F50553">
      <w:rPr>
        <w:rFonts w:asciiTheme="minorHAnsi" w:hAnsiTheme="minorHAnsi" w:cstheme="minorHAnsi"/>
        <w:color w:val="70787B"/>
        <w:sz w:val="15"/>
        <w:szCs w:val="15"/>
      </w:rPr>
      <w:t>21</w:t>
    </w:r>
  </w:p>
  <w:p w14:paraId="0F431CCB" w14:textId="281CC5EC"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E2325" w:rsidRPr="008E2325">
      <w:rPr>
        <w:rFonts w:asciiTheme="minorHAnsi" w:hAnsiTheme="minorHAnsi" w:cstheme="minorHAnsi"/>
        <w:color w:val="70787B"/>
        <w:sz w:val="15"/>
        <w:szCs w:val="15"/>
      </w:rPr>
      <w:t>2023/0001184</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3B13" w14:textId="77777777" w:rsidR="00405B77" w:rsidRDefault="00405B77" w:rsidP="00F45E9C">
      <w:r>
        <w:separator/>
      </w:r>
    </w:p>
  </w:footnote>
  <w:footnote w:type="continuationSeparator" w:id="0">
    <w:p w14:paraId="70BE88EE" w14:textId="77777777" w:rsidR="00405B77" w:rsidRDefault="00405B77" w:rsidP="00F45E9C">
      <w:r>
        <w:continuationSeparator/>
      </w:r>
    </w:p>
  </w:footnote>
  <w:footnote w:type="continuationNotice" w:id="1">
    <w:p w14:paraId="5ABDD033" w14:textId="77777777" w:rsidR="00405B77" w:rsidRDefault="00405B77">
      <w:pPr>
        <w:spacing w:after="0" w:line="240" w:lineRule="auto"/>
      </w:pPr>
    </w:p>
  </w:footnote>
  <w:footnote w:id="2">
    <w:p w14:paraId="508CB881" w14:textId="77777777" w:rsidR="00AE782D" w:rsidRPr="00F062E1" w:rsidRDefault="00AE782D" w:rsidP="00AE782D">
      <w:pPr>
        <w:pStyle w:val="FootnoteText"/>
        <w:spacing w:before="0" w:after="0" w:line="240" w:lineRule="auto"/>
        <w:rPr>
          <w:sz w:val="14"/>
          <w:szCs w:val="14"/>
        </w:rPr>
      </w:pPr>
      <w:r w:rsidRPr="00F062E1">
        <w:rPr>
          <w:rStyle w:val="FootnoteReference"/>
          <w:sz w:val="14"/>
          <w:szCs w:val="14"/>
        </w:rPr>
        <w:footnoteRef/>
      </w:r>
      <w:r w:rsidRPr="00F062E1">
        <w:rPr>
          <w:sz w:val="14"/>
          <w:szCs w:val="14"/>
        </w:rPr>
        <w:t xml:space="preserve"> The space utilisation rates shown in this table are indicative only and are based on a typical overall week of 67.5 hours.</w:t>
      </w:r>
    </w:p>
  </w:footnote>
  <w:footnote w:id="3">
    <w:p w14:paraId="418F1D08" w14:textId="77777777" w:rsidR="00AE782D" w:rsidRPr="00F062E1" w:rsidRDefault="00AE782D" w:rsidP="00AE782D">
      <w:pPr>
        <w:pStyle w:val="FootnoteText"/>
        <w:spacing w:before="0" w:after="0" w:line="240" w:lineRule="auto"/>
        <w:rPr>
          <w:sz w:val="14"/>
          <w:szCs w:val="14"/>
        </w:rPr>
      </w:pPr>
      <w:r w:rsidRPr="00F062E1">
        <w:rPr>
          <w:rStyle w:val="FootnoteReference"/>
          <w:sz w:val="14"/>
          <w:szCs w:val="14"/>
        </w:rPr>
        <w:footnoteRef/>
      </w:r>
      <w:r w:rsidRPr="00F062E1">
        <w:rPr>
          <w:sz w:val="14"/>
          <w:szCs w:val="14"/>
        </w:rPr>
        <w:t xml:space="preserve"> Given the disparate space types used by institutions throughout Australasia, the space types used in this table are intended to be broad/generic descriptions.</w:t>
      </w:r>
    </w:p>
  </w:footnote>
  <w:footnote w:id="4">
    <w:p w14:paraId="2A599286" w14:textId="77777777" w:rsidR="00AE782D" w:rsidRDefault="00AE782D" w:rsidP="00AE782D">
      <w:pPr>
        <w:pStyle w:val="FootnoteText"/>
        <w:spacing w:before="0" w:after="0" w:line="240" w:lineRule="auto"/>
      </w:pPr>
      <w:r w:rsidRPr="00F062E1">
        <w:rPr>
          <w:rStyle w:val="FootnoteReference"/>
          <w:sz w:val="14"/>
          <w:szCs w:val="14"/>
        </w:rPr>
        <w:footnoteRef/>
      </w:r>
      <w:r w:rsidRPr="00F062E1">
        <w:rPr>
          <w:sz w:val="14"/>
          <w:szCs w:val="14"/>
        </w:rPr>
        <w:t xml:space="preserve"> Many universities operate some computer laboratories on a 24 hr/7 day-a-week access basis. Calculation of utilisation of these facilities is recommended as being calculated, in the first instance, for the standard typical overall day hours of operation. A utilisation result may also be determined for the 24hr/7 day-a-week use (168 hrs a week availability). However, due to the distortions that are likely to apply to results from this approach, it is recommended that this data result be kept separated from the typical overall day data and used for internal purposes only.</w:t>
      </w:r>
    </w:p>
  </w:footnote>
  <w:footnote w:id="5">
    <w:p w14:paraId="4956F79F" w14:textId="77777777" w:rsidR="00AE782D" w:rsidRPr="001B0011" w:rsidRDefault="00AE782D" w:rsidP="00AE782D">
      <w:pPr>
        <w:pStyle w:val="FootnoteText"/>
        <w:spacing w:before="0" w:after="0" w:line="240" w:lineRule="auto"/>
        <w:rPr>
          <w:sz w:val="14"/>
          <w:szCs w:val="14"/>
        </w:rPr>
      </w:pPr>
      <w:r w:rsidRPr="001B0011">
        <w:rPr>
          <w:rStyle w:val="FootnoteReference"/>
          <w:sz w:val="14"/>
          <w:szCs w:val="14"/>
        </w:rPr>
        <w:footnoteRef/>
      </w:r>
      <w:r w:rsidRPr="001B0011">
        <w:rPr>
          <w:sz w:val="14"/>
          <w:szCs w:val="14"/>
        </w:rPr>
        <w:t xml:space="preserve"> Laboratories and Workshops have a lower frequency of use rate than lecture theatres or teaching areas due to the requirement to provide set-up and additional cleaning time for these areas.</w:t>
      </w:r>
    </w:p>
  </w:footnote>
  <w:footnote w:id="6">
    <w:p w14:paraId="2866598B" w14:textId="77777777" w:rsidR="00AE782D" w:rsidRPr="001B0011" w:rsidRDefault="00AE782D" w:rsidP="00AE782D">
      <w:pPr>
        <w:pStyle w:val="FootnoteText"/>
        <w:spacing w:before="0" w:after="0" w:line="240" w:lineRule="auto"/>
        <w:rPr>
          <w:sz w:val="14"/>
          <w:szCs w:val="14"/>
        </w:rPr>
      </w:pPr>
      <w:r w:rsidRPr="001B0011">
        <w:rPr>
          <w:rStyle w:val="FootnoteReference"/>
          <w:sz w:val="14"/>
          <w:szCs w:val="14"/>
        </w:rPr>
        <w:footnoteRef/>
      </w:r>
      <w:r w:rsidRPr="001B0011">
        <w:rPr>
          <w:sz w:val="14"/>
          <w:szCs w:val="14"/>
        </w:rPr>
        <w:t xml:space="preserve"> Meeting rooms have been calculated as having a low frequency of use due to their use being largely associated with the daytime operation of a University. It is anticipated that evening use is minimal.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4F55" w14:textId="77777777" w:rsidR="008E2325" w:rsidRDefault="008E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365BD72E" w:rsidR="00F45E9C" w:rsidRPr="00F7147F" w:rsidRDefault="007A132E" w:rsidP="007A132E">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6192" behindDoc="1" locked="0" layoutInCell="1" allowOverlap="1" wp14:anchorId="6427B65B" wp14:editId="0FDD42E4">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04AABA49" w:rsidR="007C1483" w:rsidRDefault="002E285B" w:rsidP="007C1483">
    <w:pPr>
      <w:pStyle w:val="Header"/>
      <w:ind w:right="-348"/>
      <w:jc w:val="right"/>
    </w:pPr>
    <w:r w:rsidRPr="007C1483">
      <w:rPr>
        <w:noProof/>
      </w:rPr>
      <mc:AlternateContent>
        <mc:Choice Requires="wps">
          <w:drawing>
            <wp:anchor distT="0" distB="0" distL="114300" distR="114300" simplePos="0" relativeHeight="251663360"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5" coordsize="21600,21600" o:spt="5" adj="10800" path="m@0,l,21600r21600,xe" w14:anchorId="75783E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241.7pt;margin-top:-55.8pt;width:397.5pt;height:197.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"/>
          </w:pict>
        </mc:Fallback>
      </mc:AlternateContent>
    </w:r>
    <w:r w:rsidR="007C1483" w:rsidRPr="007C1483">
      <w:rPr>
        <w:rFonts w:ascii="Arial" w:hAnsi="Arial" w:cs="Arial"/>
        <w:b/>
        <w:color w:val="E30918"/>
        <w:sz w:val="52"/>
        <w:szCs w:val="52"/>
      </w:rPr>
      <w:t>Procedure</w:t>
    </w:r>
    <w:r w:rsidR="007C1483" w:rsidRPr="007C1483">
      <w:t xml:space="preserve"> </w:t>
    </w:r>
    <w:r w:rsidR="007C1483" w:rsidRPr="007C1483">
      <w:rPr>
        <w:noProof/>
      </w:rPr>
      <w:drawing>
        <wp:anchor distT="0" distB="0" distL="114300" distR="114300" simplePos="0" relativeHeight="251662336"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086C92"/>
    <w:multiLevelType w:val="hybridMultilevel"/>
    <w:tmpl w:val="DB7EEA50"/>
    <w:lvl w:ilvl="0" w:tplc="BEA4178E">
      <w:start w:val="1"/>
      <w:numFmt w:val="bullet"/>
      <w:lvlText w:val=""/>
      <w:lvlJc w:val="left"/>
      <w:pPr>
        <w:ind w:left="432" w:hanging="360"/>
      </w:pPr>
      <w:rPr>
        <w:rFonts w:ascii="Wingdings" w:hAnsi="Wingdings" w:hint="default"/>
        <w:color w:val="E30918"/>
      </w:rPr>
    </w:lvl>
    <w:lvl w:ilvl="1" w:tplc="D04EEABC">
      <w:start w:val="1"/>
      <w:numFmt w:val="bullet"/>
      <w:lvlText w:val=""/>
      <w:lvlJc w:val="left"/>
      <w:pPr>
        <w:ind w:left="1152" w:hanging="360"/>
      </w:pPr>
      <w:rPr>
        <w:rFonts w:ascii="Wingdings" w:hAnsi="Wingdings" w:hint="default"/>
        <w:color w:val="E30918"/>
      </w:rPr>
    </w:lvl>
    <w:lvl w:ilvl="2" w:tplc="0C090005">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4"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44A8E"/>
    <w:multiLevelType w:val="hybridMultilevel"/>
    <w:tmpl w:val="EC74B29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D77AFB"/>
    <w:multiLevelType w:val="hybridMultilevel"/>
    <w:tmpl w:val="8028F748"/>
    <w:lvl w:ilvl="0" w:tplc="D04EEABC">
      <w:start w:val="1"/>
      <w:numFmt w:val="bullet"/>
      <w:lvlText w:val=""/>
      <w:lvlJc w:val="left"/>
      <w:pPr>
        <w:ind w:left="720" w:hanging="360"/>
      </w:pPr>
      <w:rPr>
        <w:rFonts w:ascii="Wingdings" w:hAnsi="Wingdings" w:hint="default"/>
        <w:color w:val="E30918"/>
      </w:rPr>
    </w:lvl>
    <w:lvl w:ilvl="1" w:tplc="08DAF434">
      <w:start w:val="1"/>
      <w:numFmt w:val="bullet"/>
      <w:lvlText w:val="o"/>
      <w:lvlJc w:val="left"/>
      <w:pPr>
        <w:ind w:left="1440" w:hanging="360"/>
      </w:pPr>
      <w:rPr>
        <w:rFonts w:ascii="Courier New" w:hAnsi="Courier New" w:hint="default"/>
      </w:rPr>
    </w:lvl>
    <w:lvl w:ilvl="2" w:tplc="36060B86">
      <w:start w:val="1"/>
      <w:numFmt w:val="bullet"/>
      <w:lvlText w:val=""/>
      <w:lvlJc w:val="left"/>
      <w:pPr>
        <w:ind w:left="2160" w:hanging="360"/>
      </w:pPr>
      <w:rPr>
        <w:rFonts w:ascii="Wingdings" w:hAnsi="Wingdings" w:hint="default"/>
      </w:rPr>
    </w:lvl>
    <w:lvl w:ilvl="3" w:tplc="691E160A">
      <w:start w:val="1"/>
      <w:numFmt w:val="bullet"/>
      <w:lvlText w:val=""/>
      <w:lvlJc w:val="left"/>
      <w:pPr>
        <w:ind w:left="2880" w:hanging="360"/>
      </w:pPr>
      <w:rPr>
        <w:rFonts w:ascii="Symbol" w:hAnsi="Symbol" w:hint="default"/>
      </w:rPr>
    </w:lvl>
    <w:lvl w:ilvl="4" w:tplc="D3F4B006">
      <w:start w:val="1"/>
      <w:numFmt w:val="bullet"/>
      <w:lvlText w:val="o"/>
      <w:lvlJc w:val="left"/>
      <w:pPr>
        <w:ind w:left="3600" w:hanging="360"/>
      </w:pPr>
      <w:rPr>
        <w:rFonts w:ascii="Courier New" w:hAnsi="Courier New" w:hint="default"/>
      </w:rPr>
    </w:lvl>
    <w:lvl w:ilvl="5" w:tplc="5864551E">
      <w:start w:val="1"/>
      <w:numFmt w:val="bullet"/>
      <w:lvlText w:val=""/>
      <w:lvlJc w:val="left"/>
      <w:pPr>
        <w:ind w:left="4320" w:hanging="360"/>
      </w:pPr>
      <w:rPr>
        <w:rFonts w:ascii="Wingdings" w:hAnsi="Wingdings" w:hint="default"/>
      </w:rPr>
    </w:lvl>
    <w:lvl w:ilvl="6" w:tplc="C66A74B8">
      <w:start w:val="1"/>
      <w:numFmt w:val="bullet"/>
      <w:lvlText w:val=""/>
      <w:lvlJc w:val="left"/>
      <w:pPr>
        <w:ind w:left="5040" w:hanging="360"/>
      </w:pPr>
      <w:rPr>
        <w:rFonts w:ascii="Symbol" w:hAnsi="Symbol" w:hint="default"/>
      </w:rPr>
    </w:lvl>
    <w:lvl w:ilvl="7" w:tplc="14AC9074">
      <w:start w:val="1"/>
      <w:numFmt w:val="bullet"/>
      <w:lvlText w:val="o"/>
      <w:lvlJc w:val="left"/>
      <w:pPr>
        <w:ind w:left="5760" w:hanging="360"/>
      </w:pPr>
      <w:rPr>
        <w:rFonts w:ascii="Courier New" w:hAnsi="Courier New" w:hint="default"/>
      </w:rPr>
    </w:lvl>
    <w:lvl w:ilvl="8" w:tplc="48846708">
      <w:start w:val="1"/>
      <w:numFmt w:val="bullet"/>
      <w:lvlText w:val=""/>
      <w:lvlJc w:val="left"/>
      <w:pPr>
        <w:ind w:left="6480" w:hanging="360"/>
      </w:pPr>
      <w:rPr>
        <w:rFonts w:ascii="Wingdings" w:hAnsi="Wingdings" w:hint="default"/>
      </w:rPr>
    </w:lvl>
  </w:abstractNum>
  <w:abstractNum w:abstractNumId="11"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900F0A"/>
    <w:multiLevelType w:val="multilevel"/>
    <w:tmpl w:val="30489F1C"/>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054631B"/>
    <w:multiLevelType w:val="hybridMultilevel"/>
    <w:tmpl w:val="FFFFFFFF"/>
    <w:lvl w:ilvl="0" w:tplc="A3D82F6A">
      <w:start w:val="1"/>
      <w:numFmt w:val="bullet"/>
      <w:lvlText w:val="-"/>
      <w:lvlJc w:val="left"/>
      <w:pPr>
        <w:ind w:left="720" w:hanging="360"/>
      </w:pPr>
      <w:rPr>
        <w:rFonts w:ascii="Calibri" w:hAnsi="Calibri" w:hint="default"/>
      </w:rPr>
    </w:lvl>
    <w:lvl w:ilvl="1" w:tplc="5F7C85D2">
      <w:start w:val="1"/>
      <w:numFmt w:val="bullet"/>
      <w:lvlText w:val="o"/>
      <w:lvlJc w:val="left"/>
      <w:pPr>
        <w:ind w:left="1440" w:hanging="360"/>
      </w:pPr>
      <w:rPr>
        <w:rFonts w:ascii="Courier New" w:hAnsi="Courier New" w:hint="default"/>
      </w:rPr>
    </w:lvl>
    <w:lvl w:ilvl="2" w:tplc="42A2BC92">
      <w:start w:val="1"/>
      <w:numFmt w:val="bullet"/>
      <w:lvlText w:val=""/>
      <w:lvlJc w:val="left"/>
      <w:pPr>
        <w:ind w:left="2160" w:hanging="360"/>
      </w:pPr>
      <w:rPr>
        <w:rFonts w:ascii="Wingdings" w:hAnsi="Wingdings" w:hint="default"/>
      </w:rPr>
    </w:lvl>
    <w:lvl w:ilvl="3" w:tplc="C556FBA0">
      <w:start w:val="1"/>
      <w:numFmt w:val="bullet"/>
      <w:lvlText w:val=""/>
      <w:lvlJc w:val="left"/>
      <w:pPr>
        <w:ind w:left="2880" w:hanging="360"/>
      </w:pPr>
      <w:rPr>
        <w:rFonts w:ascii="Symbol" w:hAnsi="Symbol" w:hint="default"/>
      </w:rPr>
    </w:lvl>
    <w:lvl w:ilvl="4" w:tplc="C8A4F6DE">
      <w:start w:val="1"/>
      <w:numFmt w:val="bullet"/>
      <w:lvlText w:val="o"/>
      <w:lvlJc w:val="left"/>
      <w:pPr>
        <w:ind w:left="3600" w:hanging="360"/>
      </w:pPr>
      <w:rPr>
        <w:rFonts w:ascii="Courier New" w:hAnsi="Courier New" w:hint="default"/>
      </w:rPr>
    </w:lvl>
    <w:lvl w:ilvl="5" w:tplc="2FF8908C">
      <w:start w:val="1"/>
      <w:numFmt w:val="bullet"/>
      <w:lvlText w:val=""/>
      <w:lvlJc w:val="left"/>
      <w:pPr>
        <w:ind w:left="4320" w:hanging="360"/>
      </w:pPr>
      <w:rPr>
        <w:rFonts w:ascii="Wingdings" w:hAnsi="Wingdings" w:hint="default"/>
      </w:rPr>
    </w:lvl>
    <w:lvl w:ilvl="6" w:tplc="D2C43BFE">
      <w:start w:val="1"/>
      <w:numFmt w:val="bullet"/>
      <w:lvlText w:val=""/>
      <w:lvlJc w:val="left"/>
      <w:pPr>
        <w:ind w:left="5040" w:hanging="360"/>
      </w:pPr>
      <w:rPr>
        <w:rFonts w:ascii="Symbol" w:hAnsi="Symbol" w:hint="default"/>
      </w:rPr>
    </w:lvl>
    <w:lvl w:ilvl="7" w:tplc="C8FE71CA">
      <w:start w:val="1"/>
      <w:numFmt w:val="bullet"/>
      <w:lvlText w:val="o"/>
      <w:lvlJc w:val="left"/>
      <w:pPr>
        <w:ind w:left="5760" w:hanging="360"/>
      </w:pPr>
      <w:rPr>
        <w:rFonts w:ascii="Courier New" w:hAnsi="Courier New" w:hint="default"/>
      </w:rPr>
    </w:lvl>
    <w:lvl w:ilvl="8" w:tplc="D99837A8">
      <w:start w:val="1"/>
      <w:numFmt w:val="bullet"/>
      <w:lvlText w:val=""/>
      <w:lvlJc w:val="left"/>
      <w:pPr>
        <w:ind w:left="6480" w:hanging="360"/>
      </w:pPr>
      <w:rPr>
        <w:rFonts w:ascii="Wingdings" w:hAnsi="Wingdings" w:hint="default"/>
      </w:rPr>
    </w:lvl>
  </w:abstractNum>
  <w:abstractNum w:abstractNumId="15" w15:restartNumberingAfterBreak="0">
    <w:nsid w:val="20AE76F2"/>
    <w:multiLevelType w:val="hybridMultilevel"/>
    <w:tmpl w:val="FE8C07D2"/>
    <w:lvl w:ilvl="0" w:tplc="D04EEABC">
      <w:start w:val="1"/>
      <w:numFmt w:val="bullet"/>
      <w:lvlText w:val=""/>
      <w:lvlJc w:val="left"/>
      <w:pPr>
        <w:ind w:left="720" w:hanging="360"/>
      </w:pPr>
      <w:rPr>
        <w:rFonts w:ascii="Wingdings" w:hAnsi="Wingdings" w:hint="default"/>
        <w:color w:val="E30918"/>
      </w:rPr>
    </w:lvl>
    <w:lvl w:ilvl="1" w:tplc="5F7C85D2">
      <w:start w:val="1"/>
      <w:numFmt w:val="bullet"/>
      <w:lvlText w:val="o"/>
      <w:lvlJc w:val="left"/>
      <w:pPr>
        <w:ind w:left="1440" w:hanging="360"/>
      </w:pPr>
      <w:rPr>
        <w:rFonts w:ascii="Courier New" w:hAnsi="Courier New" w:hint="default"/>
      </w:rPr>
    </w:lvl>
    <w:lvl w:ilvl="2" w:tplc="42A2BC92">
      <w:start w:val="1"/>
      <w:numFmt w:val="bullet"/>
      <w:lvlText w:val=""/>
      <w:lvlJc w:val="left"/>
      <w:pPr>
        <w:ind w:left="2160" w:hanging="360"/>
      </w:pPr>
      <w:rPr>
        <w:rFonts w:ascii="Wingdings" w:hAnsi="Wingdings" w:hint="default"/>
      </w:rPr>
    </w:lvl>
    <w:lvl w:ilvl="3" w:tplc="C556FBA0">
      <w:start w:val="1"/>
      <w:numFmt w:val="bullet"/>
      <w:lvlText w:val=""/>
      <w:lvlJc w:val="left"/>
      <w:pPr>
        <w:ind w:left="2880" w:hanging="360"/>
      </w:pPr>
      <w:rPr>
        <w:rFonts w:ascii="Symbol" w:hAnsi="Symbol" w:hint="default"/>
      </w:rPr>
    </w:lvl>
    <w:lvl w:ilvl="4" w:tplc="C8A4F6DE">
      <w:start w:val="1"/>
      <w:numFmt w:val="bullet"/>
      <w:lvlText w:val="o"/>
      <w:lvlJc w:val="left"/>
      <w:pPr>
        <w:ind w:left="3600" w:hanging="360"/>
      </w:pPr>
      <w:rPr>
        <w:rFonts w:ascii="Courier New" w:hAnsi="Courier New" w:hint="default"/>
      </w:rPr>
    </w:lvl>
    <w:lvl w:ilvl="5" w:tplc="2FF8908C">
      <w:start w:val="1"/>
      <w:numFmt w:val="bullet"/>
      <w:lvlText w:val=""/>
      <w:lvlJc w:val="left"/>
      <w:pPr>
        <w:ind w:left="4320" w:hanging="360"/>
      </w:pPr>
      <w:rPr>
        <w:rFonts w:ascii="Wingdings" w:hAnsi="Wingdings" w:hint="default"/>
      </w:rPr>
    </w:lvl>
    <w:lvl w:ilvl="6" w:tplc="D2C43BFE">
      <w:start w:val="1"/>
      <w:numFmt w:val="bullet"/>
      <w:lvlText w:val=""/>
      <w:lvlJc w:val="left"/>
      <w:pPr>
        <w:ind w:left="5040" w:hanging="360"/>
      </w:pPr>
      <w:rPr>
        <w:rFonts w:ascii="Symbol" w:hAnsi="Symbol" w:hint="default"/>
      </w:rPr>
    </w:lvl>
    <w:lvl w:ilvl="7" w:tplc="C8FE71CA">
      <w:start w:val="1"/>
      <w:numFmt w:val="bullet"/>
      <w:lvlText w:val="o"/>
      <w:lvlJc w:val="left"/>
      <w:pPr>
        <w:ind w:left="5760" w:hanging="360"/>
      </w:pPr>
      <w:rPr>
        <w:rFonts w:ascii="Courier New" w:hAnsi="Courier New" w:hint="default"/>
      </w:rPr>
    </w:lvl>
    <w:lvl w:ilvl="8" w:tplc="D99837A8">
      <w:start w:val="1"/>
      <w:numFmt w:val="bullet"/>
      <w:lvlText w:val=""/>
      <w:lvlJc w:val="left"/>
      <w:pPr>
        <w:ind w:left="6480" w:hanging="360"/>
      </w:pPr>
      <w:rPr>
        <w:rFonts w:ascii="Wingdings" w:hAnsi="Wingdings" w:hint="default"/>
      </w:rPr>
    </w:lvl>
  </w:abstractNum>
  <w:abstractNum w:abstractNumId="16" w15:restartNumberingAfterBreak="0">
    <w:nsid w:val="22BA6D27"/>
    <w:multiLevelType w:val="hybridMultilevel"/>
    <w:tmpl w:val="026893BA"/>
    <w:lvl w:ilvl="0" w:tplc="5ABE7F8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CB480B"/>
    <w:multiLevelType w:val="multilevel"/>
    <w:tmpl w:val="0DF6E8B0"/>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493246E8"/>
    <w:multiLevelType w:val="hybridMultilevel"/>
    <w:tmpl w:val="A86CC850"/>
    <w:lvl w:ilvl="0" w:tplc="6B2CE73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211D7F"/>
    <w:multiLevelType w:val="hybridMultilevel"/>
    <w:tmpl w:val="FFFFFFFF"/>
    <w:lvl w:ilvl="0" w:tplc="89841CAA">
      <w:start w:val="1"/>
      <w:numFmt w:val="bullet"/>
      <w:lvlText w:val="-"/>
      <w:lvlJc w:val="left"/>
      <w:pPr>
        <w:ind w:left="720" w:hanging="360"/>
      </w:pPr>
      <w:rPr>
        <w:rFonts w:ascii="Calibri" w:hAnsi="Calibri" w:hint="default"/>
      </w:rPr>
    </w:lvl>
    <w:lvl w:ilvl="1" w:tplc="08DAF434">
      <w:start w:val="1"/>
      <w:numFmt w:val="bullet"/>
      <w:lvlText w:val="o"/>
      <w:lvlJc w:val="left"/>
      <w:pPr>
        <w:ind w:left="1440" w:hanging="360"/>
      </w:pPr>
      <w:rPr>
        <w:rFonts w:ascii="Courier New" w:hAnsi="Courier New" w:hint="default"/>
      </w:rPr>
    </w:lvl>
    <w:lvl w:ilvl="2" w:tplc="36060B86">
      <w:start w:val="1"/>
      <w:numFmt w:val="bullet"/>
      <w:lvlText w:val=""/>
      <w:lvlJc w:val="left"/>
      <w:pPr>
        <w:ind w:left="2160" w:hanging="360"/>
      </w:pPr>
      <w:rPr>
        <w:rFonts w:ascii="Wingdings" w:hAnsi="Wingdings" w:hint="default"/>
      </w:rPr>
    </w:lvl>
    <w:lvl w:ilvl="3" w:tplc="691E160A">
      <w:start w:val="1"/>
      <w:numFmt w:val="bullet"/>
      <w:lvlText w:val=""/>
      <w:lvlJc w:val="left"/>
      <w:pPr>
        <w:ind w:left="2880" w:hanging="360"/>
      </w:pPr>
      <w:rPr>
        <w:rFonts w:ascii="Symbol" w:hAnsi="Symbol" w:hint="default"/>
      </w:rPr>
    </w:lvl>
    <w:lvl w:ilvl="4" w:tplc="D3F4B006">
      <w:start w:val="1"/>
      <w:numFmt w:val="bullet"/>
      <w:lvlText w:val="o"/>
      <w:lvlJc w:val="left"/>
      <w:pPr>
        <w:ind w:left="3600" w:hanging="360"/>
      </w:pPr>
      <w:rPr>
        <w:rFonts w:ascii="Courier New" w:hAnsi="Courier New" w:hint="default"/>
      </w:rPr>
    </w:lvl>
    <w:lvl w:ilvl="5" w:tplc="5864551E">
      <w:start w:val="1"/>
      <w:numFmt w:val="bullet"/>
      <w:lvlText w:val=""/>
      <w:lvlJc w:val="left"/>
      <w:pPr>
        <w:ind w:left="4320" w:hanging="360"/>
      </w:pPr>
      <w:rPr>
        <w:rFonts w:ascii="Wingdings" w:hAnsi="Wingdings" w:hint="default"/>
      </w:rPr>
    </w:lvl>
    <w:lvl w:ilvl="6" w:tplc="C66A74B8">
      <w:start w:val="1"/>
      <w:numFmt w:val="bullet"/>
      <w:lvlText w:val=""/>
      <w:lvlJc w:val="left"/>
      <w:pPr>
        <w:ind w:left="5040" w:hanging="360"/>
      </w:pPr>
      <w:rPr>
        <w:rFonts w:ascii="Symbol" w:hAnsi="Symbol" w:hint="default"/>
      </w:rPr>
    </w:lvl>
    <w:lvl w:ilvl="7" w:tplc="14AC9074">
      <w:start w:val="1"/>
      <w:numFmt w:val="bullet"/>
      <w:lvlText w:val="o"/>
      <w:lvlJc w:val="left"/>
      <w:pPr>
        <w:ind w:left="5760" w:hanging="360"/>
      </w:pPr>
      <w:rPr>
        <w:rFonts w:ascii="Courier New" w:hAnsi="Courier New" w:hint="default"/>
      </w:rPr>
    </w:lvl>
    <w:lvl w:ilvl="8" w:tplc="48846708">
      <w:start w:val="1"/>
      <w:numFmt w:val="bullet"/>
      <w:lvlText w:val=""/>
      <w:lvlJc w:val="left"/>
      <w:pPr>
        <w:ind w:left="6480" w:hanging="360"/>
      </w:pPr>
      <w:rPr>
        <w:rFonts w:ascii="Wingdings" w:hAnsi="Wingdings" w:hint="default"/>
      </w:rPr>
    </w:lvl>
  </w:abstractNum>
  <w:abstractNum w:abstractNumId="30"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50B2EA4"/>
    <w:multiLevelType w:val="multilevel"/>
    <w:tmpl w:val="F3A0E2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2034067"/>
    <w:multiLevelType w:val="hybridMultilevel"/>
    <w:tmpl w:val="DE2E1940"/>
    <w:lvl w:ilvl="0" w:tplc="D04EEABC">
      <w:start w:val="1"/>
      <w:numFmt w:val="bullet"/>
      <w:lvlText w:val=""/>
      <w:lvlJc w:val="left"/>
      <w:pPr>
        <w:ind w:left="720" w:hanging="360"/>
      </w:pPr>
      <w:rPr>
        <w:rFonts w:ascii="Wingdings" w:hAnsi="Wingdings" w:hint="default"/>
        <w:color w:val="E30918"/>
      </w:rPr>
    </w:lvl>
    <w:lvl w:ilvl="1" w:tplc="3A400322">
      <w:start w:val="1"/>
      <w:numFmt w:val="bullet"/>
      <w:lvlText w:val="o"/>
      <w:lvlJc w:val="left"/>
      <w:pPr>
        <w:ind w:left="1440" w:hanging="360"/>
      </w:pPr>
      <w:rPr>
        <w:rFonts w:ascii="Courier New" w:hAnsi="Courier New" w:hint="default"/>
      </w:rPr>
    </w:lvl>
    <w:lvl w:ilvl="2" w:tplc="7C543B8E">
      <w:start w:val="1"/>
      <w:numFmt w:val="bullet"/>
      <w:lvlText w:val=""/>
      <w:lvlJc w:val="left"/>
      <w:pPr>
        <w:ind w:left="2160" w:hanging="360"/>
      </w:pPr>
      <w:rPr>
        <w:rFonts w:ascii="Wingdings" w:hAnsi="Wingdings" w:hint="default"/>
      </w:rPr>
    </w:lvl>
    <w:lvl w:ilvl="3" w:tplc="16B8FD36">
      <w:start w:val="1"/>
      <w:numFmt w:val="bullet"/>
      <w:lvlText w:val=""/>
      <w:lvlJc w:val="left"/>
      <w:pPr>
        <w:ind w:left="2880" w:hanging="360"/>
      </w:pPr>
      <w:rPr>
        <w:rFonts w:ascii="Symbol" w:hAnsi="Symbol" w:hint="default"/>
      </w:rPr>
    </w:lvl>
    <w:lvl w:ilvl="4" w:tplc="864A55D8">
      <w:start w:val="1"/>
      <w:numFmt w:val="bullet"/>
      <w:lvlText w:val="o"/>
      <w:lvlJc w:val="left"/>
      <w:pPr>
        <w:ind w:left="3600" w:hanging="360"/>
      </w:pPr>
      <w:rPr>
        <w:rFonts w:ascii="Courier New" w:hAnsi="Courier New" w:hint="default"/>
      </w:rPr>
    </w:lvl>
    <w:lvl w:ilvl="5" w:tplc="A04ABF8C">
      <w:start w:val="1"/>
      <w:numFmt w:val="bullet"/>
      <w:lvlText w:val=""/>
      <w:lvlJc w:val="left"/>
      <w:pPr>
        <w:ind w:left="4320" w:hanging="360"/>
      </w:pPr>
      <w:rPr>
        <w:rFonts w:ascii="Wingdings" w:hAnsi="Wingdings" w:hint="default"/>
      </w:rPr>
    </w:lvl>
    <w:lvl w:ilvl="6" w:tplc="FE72FCD4">
      <w:start w:val="1"/>
      <w:numFmt w:val="bullet"/>
      <w:lvlText w:val=""/>
      <w:lvlJc w:val="left"/>
      <w:pPr>
        <w:ind w:left="5040" w:hanging="360"/>
      </w:pPr>
      <w:rPr>
        <w:rFonts w:ascii="Symbol" w:hAnsi="Symbol" w:hint="default"/>
      </w:rPr>
    </w:lvl>
    <w:lvl w:ilvl="7" w:tplc="D46A5E04">
      <w:start w:val="1"/>
      <w:numFmt w:val="bullet"/>
      <w:lvlText w:val="o"/>
      <w:lvlJc w:val="left"/>
      <w:pPr>
        <w:ind w:left="5760" w:hanging="360"/>
      </w:pPr>
      <w:rPr>
        <w:rFonts w:ascii="Courier New" w:hAnsi="Courier New" w:hint="default"/>
      </w:rPr>
    </w:lvl>
    <w:lvl w:ilvl="8" w:tplc="3A260FEC">
      <w:start w:val="1"/>
      <w:numFmt w:val="bullet"/>
      <w:lvlText w:val=""/>
      <w:lvlJc w:val="left"/>
      <w:pPr>
        <w:ind w:left="6480" w:hanging="360"/>
      </w:pPr>
      <w:rPr>
        <w:rFonts w:ascii="Wingdings" w:hAnsi="Wingdings" w:hint="default"/>
      </w:rPr>
    </w:lvl>
  </w:abstractNum>
  <w:abstractNum w:abstractNumId="41"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7F36AA2"/>
    <w:multiLevelType w:val="hybridMultilevel"/>
    <w:tmpl w:val="FFFFFFFF"/>
    <w:lvl w:ilvl="0" w:tplc="172AE9A6">
      <w:start w:val="1"/>
      <w:numFmt w:val="bullet"/>
      <w:lvlText w:val="-"/>
      <w:lvlJc w:val="left"/>
      <w:pPr>
        <w:ind w:left="720" w:hanging="360"/>
      </w:pPr>
      <w:rPr>
        <w:rFonts w:ascii="Calibri" w:hAnsi="Calibri" w:hint="default"/>
      </w:rPr>
    </w:lvl>
    <w:lvl w:ilvl="1" w:tplc="3A400322">
      <w:start w:val="1"/>
      <w:numFmt w:val="bullet"/>
      <w:lvlText w:val="o"/>
      <w:lvlJc w:val="left"/>
      <w:pPr>
        <w:ind w:left="1440" w:hanging="360"/>
      </w:pPr>
      <w:rPr>
        <w:rFonts w:ascii="Courier New" w:hAnsi="Courier New" w:hint="default"/>
      </w:rPr>
    </w:lvl>
    <w:lvl w:ilvl="2" w:tplc="7C543B8E">
      <w:start w:val="1"/>
      <w:numFmt w:val="bullet"/>
      <w:lvlText w:val=""/>
      <w:lvlJc w:val="left"/>
      <w:pPr>
        <w:ind w:left="2160" w:hanging="360"/>
      </w:pPr>
      <w:rPr>
        <w:rFonts w:ascii="Wingdings" w:hAnsi="Wingdings" w:hint="default"/>
      </w:rPr>
    </w:lvl>
    <w:lvl w:ilvl="3" w:tplc="16B8FD36">
      <w:start w:val="1"/>
      <w:numFmt w:val="bullet"/>
      <w:lvlText w:val=""/>
      <w:lvlJc w:val="left"/>
      <w:pPr>
        <w:ind w:left="2880" w:hanging="360"/>
      </w:pPr>
      <w:rPr>
        <w:rFonts w:ascii="Symbol" w:hAnsi="Symbol" w:hint="default"/>
      </w:rPr>
    </w:lvl>
    <w:lvl w:ilvl="4" w:tplc="864A55D8">
      <w:start w:val="1"/>
      <w:numFmt w:val="bullet"/>
      <w:lvlText w:val="o"/>
      <w:lvlJc w:val="left"/>
      <w:pPr>
        <w:ind w:left="3600" w:hanging="360"/>
      </w:pPr>
      <w:rPr>
        <w:rFonts w:ascii="Courier New" w:hAnsi="Courier New" w:hint="default"/>
      </w:rPr>
    </w:lvl>
    <w:lvl w:ilvl="5" w:tplc="A04ABF8C">
      <w:start w:val="1"/>
      <w:numFmt w:val="bullet"/>
      <w:lvlText w:val=""/>
      <w:lvlJc w:val="left"/>
      <w:pPr>
        <w:ind w:left="4320" w:hanging="360"/>
      </w:pPr>
      <w:rPr>
        <w:rFonts w:ascii="Wingdings" w:hAnsi="Wingdings" w:hint="default"/>
      </w:rPr>
    </w:lvl>
    <w:lvl w:ilvl="6" w:tplc="FE72FCD4">
      <w:start w:val="1"/>
      <w:numFmt w:val="bullet"/>
      <w:lvlText w:val=""/>
      <w:lvlJc w:val="left"/>
      <w:pPr>
        <w:ind w:left="5040" w:hanging="360"/>
      </w:pPr>
      <w:rPr>
        <w:rFonts w:ascii="Symbol" w:hAnsi="Symbol" w:hint="default"/>
      </w:rPr>
    </w:lvl>
    <w:lvl w:ilvl="7" w:tplc="D46A5E04">
      <w:start w:val="1"/>
      <w:numFmt w:val="bullet"/>
      <w:lvlText w:val="o"/>
      <w:lvlJc w:val="left"/>
      <w:pPr>
        <w:ind w:left="5760" w:hanging="360"/>
      </w:pPr>
      <w:rPr>
        <w:rFonts w:ascii="Courier New" w:hAnsi="Courier New" w:hint="default"/>
      </w:rPr>
    </w:lvl>
    <w:lvl w:ilvl="8" w:tplc="3A260FEC">
      <w:start w:val="1"/>
      <w:numFmt w:val="bullet"/>
      <w:lvlText w:val=""/>
      <w:lvlJc w:val="left"/>
      <w:pPr>
        <w:ind w:left="6480" w:hanging="360"/>
      </w:pPr>
      <w:rPr>
        <w:rFonts w:ascii="Wingdings" w:hAnsi="Wingdings" w:hint="default"/>
      </w:rPr>
    </w:lvl>
  </w:abstractNum>
  <w:abstractNum w:abstractNumId="45"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08512585">
    <w:abstractNumId w:val="11"/>
  </w:num>
  <w:num w:numId="2" w16cid:durableId="1363244236">
    <w:abstractNumId w:val="5"/>
  </w:num>
  <w:num w:numId="3" w16cid:durableId="1480607145">
    <w:abstractNumId w:val="24"/>
  </w:num>
  <w:num w:numId="4" w16cid:durableId="1867597929">
    <w:abstractNumId w:val="46"/>
  </w:num>
  <w:num w:numId="5" w16cid:durableId="919296193">
    <w:abstractNumId w:val="28"/>
  </w:num>
  <w:num w:numId="6" w16cid:durableId="1388870043">
    <w:abstractNumId w:val="26"/>
  </w:num>
  <w:num w:numId="7" w16cid:durableId="724597769">
    <w:abstractNumId w:val="30"/>
  </w:num>
  <w:num w:numId="8" w16cid:durableId="662464491">
    <w:abstractNumId w:val="9"/>
  </w:num>
  <w:num w:numId="9" w16cid:durableId="856188615">
    <w:abstractNumId w:val="19"/>
  </w:num>
  <w:num w:numId="10" w16cid:durableId="2095735832">
    <w:abstractNumId w:val="35"/>
  </w:num>
  <w:num w:numId="11" w16cid:durableId="1010136749">
    <w:abstractNumId w:val="23"/>
  </w:num>
  <w:num w:numId="12" w16cid:durableId="1921329214">
    <w:abstractNumId w:val="31"/>
  </w:num>
  <w:num w:numId="13" w16cid:durableId="692415105">
    <w:abstractNumId w:val="7"/>
  </w:num>
  <w:num w:numId="14" w16cid:durableId="959998792">
    <w:abstractNumId w:val="32"/>
  </w:num>
  <w:num w:numId="15" w16cid:durableId="447049025">
    <w:abstractNumId w:val="4"/>
  </w:num>
  <w:num w:numId="16" w16cid:durableId="442573762">
    <w:abstractNumId w:val="39"/>
  </w:num>
  <w:num w:numId="17" w16cid:durableId="2124306542">
    <w:abstractNumId w:val="41"/>
  </w:num>
  <w:num w:numId="18" w16cid:durableId="1399011166">
    <w:abstractNumId w:val="25"/>
  </w:num>
  <w:num w:numId="19" w16cid:durableId="1123187947">
    <w:abstractNumId w:val="37"/>
  </w:num>
  <w:num w:numId="20" w16cid:durableId="919027753">
    <w:abstractNumId w:val="47"/>
  </w:num>
  <w:num w:numId="21" w16cid:durableId="325059545">
    <w:abstractNumId w:val="0"/>
  </w:num>
  <w:num w:numId="22" w16cid:durableId="1709140019">
    <w:abstractNumId w:val="17"/>
  </w:num>
  <w:num w:numId="23" w16cid:durableId="1230307485">
    <w:abstractNumId w:val="1"/>
  </w:num>
  <w:num w:numId="24" w16cid:durableId="1127970475">
    <w:abstractNumId w:val="45"/>
  </w:num>
  <w:num w:numId="25" w16cid:durableId="1276793378">
    <w:abstractNumId w:val="18"/>
  </w:num>
  <w:num w:numId="26" w16cid:durableId="1097797175">
    <w:abstractNumId w:val="22"/>
  </w:num>
  <w:num w:numId="27" w16cid:durableId="1311789298">
    <w:abstractNumId w:val="2"/>
  </w:num>
  <w:num w:numId="28" w16cid:durableId="837572243">
    <w:abstractNumId w:val="20"/>
  </w:num>
  <w:num w:numId="29" w16cid:durableId="1529680481">
    <w:abstractNumId w:val="8"/>
  </w:num>
  <w:num w:numId="30" w16cid:durableId="1203320632">
    <w:abstractNumId w:val="42"/>
  </w:num>
  <w:num w:numId="31" w16cid:durableId="1957447285">
    <w:abstractNumId w:val="12"/>
  </w:num>
  <w:num w:numId="32" w16cid:durableId="1390038862">
    <w:abstractNumId w:val="36"/>
  </w:num>
  <w:num w:numId="33" w16cid:durableId="2135366061">
    <w:abstractNumId w:val="43"/>
  </w:num>
  <w:num w:numId="34" w16cid:durableId="1117718861">
    <w:abstractNumId w:val="34"/>
  </w:num>
  <w:num w:numId="35" w16cid:durableId="2068414182">
    <w:abstractNumId w:val="38"/>
  </w:num>
  <w:num w:numId="36" w16cid:durableId="1952933337">
    <w:abstractNumId w:val="29"/>
  </w:num>
  <w:num w:numId="37" w16cid:durableId="1368917837">
    <w:abstractNumId w:val="10"/>
  </w:num>
  <w:num w:numId="38" w16cid:durableId="99883517">
    <w:abstractNumId w:val="16"/>
  </w:num>
  <w:num w:numId="39" w16cid:durableId="1853255209">
    <w:abstractNumId w:val="6"/>
  </w:num>
  <w:num w:numId="40" w16cid:durableId="916594922">
    <w:abstractNumId w:val="27"/>
  </w:num>
  <w:num w:numId="41" w16cid:durableId="726489665">
    <w:abstractNumId w:val="3"/>
  </w:num>
  <w:num w:numId="42" w16cid:durableId="3168110">
    <w:abstractNumId w:val="33"/>
  </w:num>
  <w:num w:numId="43" w16cid:durableId="123159922">
    <w:abstractNumId w:val="44"/>
  </w:num>
  <w:num w:numId="44" w16cid:durableId="1423835345">
    <w:abstractNumId w:val="14"/>
  </w:num>
  <w:num w:numId="45" w16cid:durableId="1657567805">
    <w:abstractNumId w:val="13"/>
  </w:num>
  <w:num w:numId="46" w16cid:durableId="1926912076">
    <w:abstractNumId w:val="21"/>
  </w:num>
  <w:num w:numId="47" w16cid:durableId="2030377131">
    <w:abstractNumId w:val="15"/>
  </w:num>
  <w:num w:numId="48" w16cid:durableId="163987340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21C01"/>
    <w:rsid w:val="0002258D"/>
    <w:rsid w:val="000372F6"/>
    <w:rsid w:val="00037E6F"/>
    <w:rsid w:val="000408E3"/>
    <w:rsid w:val="00040BB8"/>
    <w:rsid w:val="00041B5B"/>
    <w:rsid w:val="00042FBA"/>
    <w:rsid w:val="00045D5F"/>
    <w:rsid w:val="00050910"/>
    <w:rsid w:val="00051573"/>
    <w:rsid w:val="00052E7B"/>
    <w:rsid w:val="00052F81"/>
    <w:rsid w:val="00053A5F"/>
    <w:rsid w:val="00056724"/>
    <w:rsid w:val="000576DF"/>
    <w:rsid w:val="00063FCF"/>
    <w:rsid w:val="000674C0"/>
    <w:rsid w:val="000849AD"/>
    <w:rsid w:val="00087697"/>
    <w:rsid w:val="0009125F"/>
    <w:rsid w:val="000B2888"/>
    <w:rsid w:val="000B3767"/>
    <w:rsid w:val="000B43C9"/>
    <w:rsid w:val="000B7D0C"/>
    <w:rsid w:val="000C2C05"/>
    <w:rsid w:val="000D0D8C"/>
    <w:rsid w:val="000D5843"/>
    <w:rsid w:val="000E2A8A"/>
    <w:rsid w:val="000E4CBE"/>
    <w:rsid w:val="000E51B4"/>
    <w:rsid w:val="000E5D52"/>
    <w:rsid w:val="000E5D83"/>
    <w:rsid w:val="000E6B26"/>
    <w:rsid w:val="00102763"/>
    <w:rsid w:val="00102B8A"/>
    <w:rsid w:val="00102D19"/>
    <w:rsid w:val="00102FD9"/>
    <w:rsid w:val="00104000"/>
    <w:rsid w:val="00105063"/>
    <w:rsid w:val="0010768E"/>
    <w:rsid w:val="0012295B"/>
    <w:rsid w:val="00122CF0"/>
    <w:rsid w:val="001254E2"/>
    <w:rsid w:val="0013141E"/>
    <w:rsid w:val="00147A35"/>
    <w:rsid w:val="00147B11"/>
    <w:rsid w:val="00152D7D"/>
    <w:rsid w:val="001537D5"/>
    <w:rsid w:val="00162972"/>
    <w:rsid w:val="00162E34"/>
    <w:rsid w:val="00167117"/>
    <w:rsid w:val="001735D3"/>
    <w:rsid w:val="0017412E"/>
    <w:rsid w:val="00180673"/>
    <w:rsid w:val="00180A28"/>
    <w:rsid w:val="00181BF5"/>
    <w:rsid w:val="00187159"/>
    <w:rsid w:val="00192ACD"/>
    <w:rsid w:val="001A138A"/>
    <w:rsid w:val="001A1ABF"/>
    <w:rsid w:val="001B50F0"/>
    <w:rsid w:val="001D0DB6"/>
    <w:rsid w:val="001D2660"/>
    <w:rsid w:val="001E6438"/>
    <w:rsid w:val="001F5E2B"/>
    <w:rsid w:val="002015FA"/>
    <w:rsid w:val="002043F8"/>
    <w:rsid w:val="002301BB"/>
    <w:rsid w:val="00231CF0"/>
    <w:rsid w:val="00233068"/>
    <w:rsid w:val="0024475D"/>
    <w:rsid w:val="00246CB4"/>
    <w:rsid w:val="00252A97"/>
    <w:rsid w:val="00272168"/>
    <w:rsid w:val="00272A33"/>
    <w:rsid w:val="00274555"/>
    <w:rsid w:val="0027526D"/>
    <w:rsid w:val="002848DA"/>
    <w:rsid w:val="00284D80"/>
    <w:rsid w:val="002A1DE8"/>
    <w:rsid w:val="002A78A0"/>
    <w:rsid w:val="002B02ED"/>
    <w:rsid w:val="002B100C"/>
    <w:rsid w:val="002B432B"/>
    <w:rsid w:val="002B5AE6"/>
    <w:rsid w:val="002C2BEA"/>
    <w:rsid w:val="002C4450"/>
    <w:rsid w:val="002C53E7"/>
    <w:rsid w:val="002E14B8"/>
    <w:rsid w:val="002E285B"/>
    <w:rsid w:val="002E39FF"/>
    <w:rsid w:val="002E4FA8"/>
    <w:rsid w:val="002F13EA"/>
    <w:rsid w:val="002F5132"/>
    <w:rsid w:val="002F52A9"/>
    <w:rsid w:val="002F6138"/>
    <w:rsid w:val="003045F8"/>
    <w:rsid w:val="00305299"/>
    <w:rsid w:val="00305C35"/>
    <w:rsid w:val="00311F29"/>
    <w:rsid w:val="00320C55"/>
    <w:rsid w:val="00322FF9"/>
    <w:rsid w:val="00332215"/>
    <w:rsid w:val="00332EC1"/>
    <w:rsid w:val="00333020"/>
    <w:rsid w:val="00333B53"/>
    <w:rsid w:val="00350CB0"/>
    <w:rsid w:val="00371CDA"/>
    <w:rsid w:val="0037658D"/>
    <w:rsid w:val="00376FB2"/>
    <w:rsid w:val="00382F39"/>
    <w:rsid w:val="0038519F"/>
    <w:rsid w:val="003873FF"/>
    <w:rsid w:val="00394AC0"/>
    <w:rsid w:val="003B0C9A"/>
    <w:rsid w:val="003B1D32"/>
    <w:rsid w:val="003C20B4"/>
    <w:rsid w:val="003C4CA3"/>
    <w:rsid w:val="003D0FE4"/>
    <w:rsid w:val="003D418D"/>
    <w:rsid w:val="003D51F2"/>
    <w:rsid w:val="003D5267"/>
    <w:rsid w:val="003E0B6D"/>
    <w:rsid w:val="003E1E69"/>
    <w:rsid w:val="003E5024"/>
    <w:rsid w:val="003E514B"/>
    <w:rsid w:val="003F32AF"/>
    <w:rsid w:val="003F67AC"/>
    <w:rsid w:val="00405B77"/>
    <w:rsid w:val="004127D7"/>
    <w:rsid w:val="004144E6"/>
    <w:rsid w:val="004251EE"/>
    <w:rsid w:val="00441014"/>
    <w:rsid w:val="004430BB"/>
    <w:rsid w:val="00443ADF"/>
    <w:rsid w:val="00452F4C"/>
    <w:rsid w:val="004617E4"/>
    <w:rsid w:val="00466B7E"/>
    <w:rsid w:val="00470DC3"/>
    <w:rsid w:val="004723ED"/>
    <w:rsid w:val="00473800"/>
    <w:rsid w:val="0049225D"/>
    <w:rsid w:val="004B38E1"/>
    <w:rsid w:val="004B67EB"/>
    <w:rsid w:val="004B767C"/>
    <w:rsid w:val="004C49E3"/>
    <w:rsid w:val="004C77E1"/>
    <w:rsid w:val="004D2859"/>
    <w:rsid w:val="004D2BE0"/>
    <w:rsid w:val="004D7998"/>
    <w:rsid w:val="004E17AF"/>
    <w:rsid w:val="004E2E48"/>
    <w:rsid w:val="004E50B9"/>
    <w:rsid w:val="004F01DA"/>
    <w:rsid w:val="004F29C7"/>
    <w:rsid w:val="004F3E9A"/>
    <w:rsid w:val="004F5DA7"/>
    <w:rsid w:val="00503A3B"/>
    <w:rsid w:val="0050415F"/>
    <w:rsid w:val="00504E01"/>
    <w:rsid w:val="005104A1"/>
    <w:rsid w:val="00511137"/>
    <w:rsid w:val="00525C75"/>
    <w:rsid w:val="005279AC"/>
    <w:rsid w:val="005411C6"/>
    <w:rsid w:val="00541F5A"/>
    <w:rsid w:val="00545FF8"/>
    <w:rsid w:val="00547ADF"/>
    <w:rsid w:val="0055123D"/>
    <w:rsid w:val="00552D1C"/>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A03C1"/>
    <w:rsid w:val="005A09EF"/>
    <w:rsid w:val="005A612B"/>
    <w:rsid w:val="005A7A34"/>
    <w:rsid w:val="005B3CB1"/>
    <w:rsid w:val="005B5914"/>
    <w:rsid w:val="005B5C34"/>
    <w:rsid w:val="005E1E03"/>
    <w:rsid w:val="005E4006"/>
    <w:rsid w:val="005E494F"/>
    <w:rsid w:val="00624C23"/>
    <w:rsid w:val="00634387"/>
    <w:rsid w:val="0064557D"/>
    <w:rsid w:val="006464BB"/>
    <w:rsid w:val="00647006"/>
    <w:rsid w:val="00650F00"/>
    <w:rsid w:val="0065542A"/>
    <w:rsid w:val="00661D55"/>
    <w:rsid w:val="006626D7"/>
    <w:rsid w:val="00662A4D"/>
    <w:rsid w:val="006640BF"/>
    <w:rsid w:val="006664D5"/>
    <w:rsid w:val="00667F87"/>
    <w:rsid w:val="00674AC7"/>
    <w:rsid w:val="00675E94"/>
    <w:rsid w:val="00682600"/>
    <w:rsid w:val="00686AED"/>
    <w:rsid w:val="0069439E"/>
    <w:rsid w:val="00696054"/>
    <w:rsid w:val="006A2939"/>
    <w:rsid w:val="006A472B"/>
    <w:rsid w:val="006A4F70"/>
    <w:rsid w:val="006B31ED"/>
    <w:rsid w:val="006C182A"/>
    <w:rsid w:val="006C2418"/>
    <w:rsid w:val="006D1A97"/>
    <w:rsid w:val="006D2A66"/>
    <w:rsid w:val="006D4D5D"/>
    <w:rsid w:val="006F246A"/>
    <w:rsid w:val="00701F3E"/>
    <w:rsid w:val="00702795"/>
    <w:rsid w:val="00704A2C"/>
    <w:rsid w:val="00707E82"/>
    <w:rsid w:val="0071121B"/>
    <w:rsid w:val="0072491E"/>
    <w:rsid w:val="00742899"/>
    <w:rsid w:val="00744C5E"/>
    <w:rsid w:val="0074512E"/>
    <w:rsid w:val="0075505C"/>
    <w:rsid w:val="0075730D"/>
    <w:rsid w:val="007706AB"/>
    <w:rsid w:val="00771F35"/>
    <w:rsid w:val="00773B30"/>
    <w:rsid w:val="00776C5D"/>
    <w:rsid w:val="0078241D"/>
    <w:rsid w:val="00784315"/>
    <w:rsid w:val="007866BC"/>
    <w:rsid w:val="0078767D"/>
    <w:rsid w:val="00792AD8"/>
    <w:rsid w:val="0079386C"/>
    <w:rsid w:val="007A132E"/>
    <w:rsid w:val="007A3046"/>
    <w:rsid w:val="007A36D7"/>
    <w:rsid w:val="007A578C"/>
    <w:rsid w:val="007B0365"/>
    <w:rsid w:val="007B100E"/>
    <w:rsid w:val="007B685A"/>
    <w:rsid w:val="007C00D0"/>
    <w:rsid w:val="007C1483"/>
    <w:rsid w:val="007C14CB"/>
    <w:rsid w:val="007C68AC"/>
    <w:rsid w:val="007D2C38"/>
    <w:rsid w:val="007D2CF5"/>
    <w:rsid w:val="007D65B8"/>
    <w:rsid w:val="007F1C81"/>
    <w:rsid w:val="007F2B02"/>
    <w:rsid w:val="008013F7"/>
    <w:rsid w:val="00807345"/>
    <w:rsid w:val="008075B2"/>
    <w:rsid w:val="00813D87"/>
    <w:rsid w:val="00814590"/>
    <w:rsid w:val="0081659D"/>
    <w:rsid w:val="00823301"/>
    <w:rsid w:val="00825110"/>
    <w:rsid w:val="008260C2"/>
    <w:rsid w:val="008267C5"/>
    <w:rsid w:val="008268D7"/>
    <w:rsid w:val="00831703"/>
    <w:rsid w:val="008342CC"/>
    <w:rsid w:val="00834839"/>
    <w:rsid w:val="00834CEE"/>
    <w:rsid w:val="00843997"/>
    <w:rsid w:val="0084695A"/>
    <w:rsid w:val="008542C4"/>
    <w:rsid w:val="00854ED8"/>
    <w:rsid w:val="0086273D"/>
    <w:rsid w:val="00863385"/>
    <w:rsid w:val="00871013"/>
    <w:rsid w:val="008752F2"/>
    <w:rsid w:val="008805DD"/>
    <w:rsid w:val="0088405A"/>
    <w:rsid w:val="0089398C"/>
    <w:rsid w:val="008A54D4"/>
    <w:rsid w:val="008C2171"/>
    <w:rsid w:val="008D030A"/>
    <w:rsid w:val="008D1E3C"/>
    <w:rsid w:val="008E1D32"/>
    <w:rsid w:val="008E2325"/>
    <w:rsid w:val="008E4171"/>
    <w:rsid w:val="008E4C9F"/>
    <w:rsid w:val="008E5D69"/>
    <w:rsid w:val="008F5D03"/>
    <w:rsid w:val="00911012"/>
    <w:rsid w:val="00911B41"/>
    <w:rsid w:val="0091205A"/>
    <w:rsid w:val="00921567"/>
    <w:rsid w:val="009252DB"/>
    <w:rsid w:val="00925E0C"/>
    <w:rsid w:val="0092637C"/>
    <w:rsid w:val="00926581"/>
    <w:rsid w:val="00933D23"/>
    <w:rsid w:val="0094086B"/>
    <w:rsid w:val="0094541F"/>
    <w:rsid w:val="009459B4"/>
    <w:rsid w:val="00945B70"/>
    <w:rsid w:val="00946B2D"/>
    <w:rsid w:val="00947F35"/>
    <w:rsid w:val="00950014"/>
    <w:rsid w:val="00952592"/>
    <w:rsid w:val="0095399A"/>
    <w:rsid w:val="00954F24"/>
    <w:rsid w:val="00971A09"/>
    <w:rsid w:val="0097437D"/>
    <w:rsid w:val="00974E55"/>
    <w:rsid w:val="00980F8E"/>
    <w:rsid w:val="0098690D"/>
    <w:rsid w:val="0098747B"/>
    <w:rsid w:val="00987959"/>
    <w:rsid w:val="0099187B"/>
    <w:rsid w:val="00997D62"/>
    <w:rsid w:val="00997DEA"/>
    <w:rsid w:val="009A6028"/>
    <w:rsid w:val="009B3179"/>
    <w:rsid w:val="009B7685"/>
    <w:rsid w:val="009C1955"/>
    <w:rsid w:val="009C3D6A"/>
    <w:rsid w:val="009E2F2F"/>
    <w:rsid w:val="009E7471"/>
    <w:rsid w:val="009F15CB"/>
    <w:rsid w:val="009F1BD8"/>
    <w:rsid w:val="009F313A"/>
    <w:rsid w:val="00A04082"/>
    <w:rsid w:val="00A06C38"/>
    <w:rsid w:val="00A127BD"/>
    <w:rsid w:val="00A24E55"/>
    <w:rsid w:val="00A25AA1"/>
    <w:rsid w:val="00A36943"/>
    <w:rsid w:val="00A50ED4"/>
    <w:rsid w:val="00A60321"/>
    <w:rsid w:val="00A63331"/>
    <w:rsid w:val="00A64338"/>
    <w:rsid w:val="00A65908"/>
    <w:rsid w:val="00A67DAE"/>
    <w:rsid w:val="00A70E6F"/>
    <w:rsid w:val="00A71AD8"/>
    <w:rsid w:val="00A7785F"/>
    <w:rsid w:val="00A804BA"/>
    <w:rsid w:val="00A8131C"/>
    <w:rsid w:val="00A8142C"/>
    <w:rsid w:val="00A82A75"/>
    <w:rsid w:val="00A84CEC"/>
    <w:rsid w:val="00A8677D"/>
    <w:rsid w:val="00A95F56"/>
    <w:rsid w:val="00A961AC"/>
    <w:rsid w:val="00AA227D"/>
    <w:rsid w:val="00AA4460"/>
    <w:rsid w:val="00AB30DD"/>
    <w:rsid w:val="00AC25B5"/>
    <w:rsid w:val="00AC571E"/>
    <w:rsid w:val="00AD1316"/>
    <w:rsid w:val="00AD6696"/>
    <w:rsid w:val="00AE4810"/>
    <w:rsid w:val="00AE4EA8"/>
    <w:rsid w:val="00AE51FB"/>
    <w:rsid w:val="00AE782D"/>
    <w:rsid w:val="00AF3757"/>
    <w:rsid w:val="00AF3B1E"/>
    <w:rsid w:val="00AF4034"/>
    <w:rsid w:val="00AF56C6"/>
    <w:rsid w:val="00AF5BF6"/>
    <w:rsid w:val="00B0284B"/>
    <w:rsid w:val="00B02B70"/>
    <w:rsid w:val="00B03A41"/>
    <w:rsid w:val="00B04BAA"/>
    <w:rsid w:val="00B15D0B"/>
    <w:rsid w:val="00B264BF"/>
    <w:rsid w:val="00B26C9A"/>
    <w:rsid w:val="00B31193"/>
    <w:rsid w:val="00B34AA7"/>
    <w:rsid w:val="00B43C60"/>
    <w:rsid w:val="00B51DF8"/>
    <w:rsid w:val="00B53615"/>
    <w:rsid w:val="00B54CE9"/>
    <w:rsid w:val="00B56FD6"/>
    <w:rsid w:val="00B57117"/>
    <w:rsid w:val="00B90033"/>
    <w:rsid w:val="00B954C5"/>
    <w:rsid w:val="00BA0015"/>
    <w:rsid w:val="00BA0D7E"/>
    <w:rsid w:val="00BA4BF0"/>
    <w:rsid w:val="00BA5B5E"/>
    <w:rsid w:val="00BA6219"/>
    <w:rsid w:val="00BA70D7"/>
    <w:rsid w:val="00BA7F01"/>
    <w:rsid w:val="00BB0B98"/>
    <w:rsid w:val="00BB332B"/>
    <w:rsid w:val="00BB3D5F"/>
    <w:rsid w:val="00BB407A"/>
    <w:rsid w:val="00BB66B5"/>
    <w:rsid w:val="00BC3ED3"/>
    <w:rsid w:val="00BC44CB"/>
    <w:rsid w:val="00BC55CF"/>
    <w:rsid w:val="00BC6982"/>
    <w:rsid w:val="00BD107C"/>
    <w:rsid w:val="00BD32B2"/>
    <w:rsid w:val="00BE5645"/>
    <w:rsid w:val="00BF3090"/>
    <w:rsid w:val="00C16500"/>
    <w:rsid w:val="00C31ECA"/>
    <w:rsid w:val="00C33CC5"/>
    <w:rsid w:val="00C40554"/>
    <w:rsid w:val="00C43588"/>
    <w:rsid w:val="00C5755D"/>
    <w:rsid w:val="00C61357"/>
    <w:rsid w:val="00C644BC"/>
    <w:rsid w:val="00C655EF"/>
    <w:rsid w:val="00C74FCB"/>
    <w:rsid w:val="00C80B51"/>
    <w:rsid w:val="00C80F2E"/>
    <w:rsid w:val="00C91165"/>
    <w:rsid w:val="00C97251"/>
    <w:rsid w:val="00C97759"/>
    <w:rsid w:val="00CA07EB"/>
    <w:rsid w:val="00CA7E35"/>
    <w:rsid w:val="00CC0AF8"/>
    <w:rsid w:val="00CC43B2"/>
    <w:rsid w:val="00CC69B4"/>
    <w:rsid w:val="00CD4C02"/>
    <w:rsid w:val="00CD4DCE"/>
    <w:rsid w:val="00CD6D22"/>
    <w:rsid w:val="00CE0A50"/>
    <w:rsid w:val="00CE4484"/>
    <w:rsid w:val="00CF2EBA"/>
    <w:rsid w:val="00CF6D79"/>
    <w:rsid w:val="00CF7F1B"/>
    <w:rsid w:val="00D14EF0"/>
    <w:rsid w:val="00D1605A"/>
    <w:rsid w:val="00D20DE3"/>
    <w:rsid w:val="00D22A18"/>
    <w:rsid w:val="00D31975"/>
    <w:rsid w:val="00D33E0C"/>
    <w:rsid w:val="00D35A2C"/>
    <w:rsid w:val="00D41A10"/>
    <w:rsid w:val="00D44766"/>
    <w:rsid w:val="00D5114B"/>
    <w:rsid w:val="00D66192"/>
    <w:rsid w:val="00D66ECF"/>
    <w:rsid w:val="00D67F1F"/>
    <w:rsid w:val="00D77C9B"/>
    <w:rsid w:val="00D8453B"/>
    <w:rsid w:val="00D855AA"/>
    <w:rsid w:val="00D86597"/>
    <w:rsid w:val="00D94F19"/>
    <w:rsid w:val="00D95767"/>
    <w:rsid w:val="00DA348D"/>
    <w:rsid w:val="00DA3C93"/>
    <w:rsid w:val="00DB0A25"/>
    <w:rsid w:val="00DB46CC"/>
    <w:rsid w:val="00DB53FB"/>
    <w:rsid w:val="00DC4670"/>
    <w:rsid w:val="00DD657E"/>
    <w:rsid w:val="00DD6A23"/>
    <w:rsid w:val="00DD7190"/>
    <w:rsid w:val="00DD72B2"/>
    <w:rsid w:val="00DE207C"/>
    <w:rsid w:val="00DE745A"/>
    <w:rsid w:val="00DF173D"/>
    <w:rsid w:val="00E00AD2"/>
    <w:rsid w:val="00E02A2F"/>
    <w:rsid w:val="00E136B5"/>
    <w:rsid w:val="00E14ADF"/>
    <w:rsid w:val="00E14CB6"/>
    <w:rsid w:val="00E17726"/>
    <w:rsid w:val="00E225C6"/>
    <w:rsid w:val="00E235C1"/>
    <w:rsid w:val="00E3370E"/>
    <w:rsid w:val="00E33EAB"/>
    <w:rsid w:val="00E40115"/>
    <w:rsid w:val="00E40567"/>
    <w:rsid w:val="00E406BB"/>
    <w:rsid w:val="00E4546F"/>
    <w:rsid w:val="00E5631A"/>
    <w:rsid w:val="00E5772B"/>
    <w:rsid w:val="00E61154"/>
    <w:rsid w:val="00E83148"/>
    <w:rsid w:val="00E870F4"/>
    <w:rsid w:val="00EA6390"/>
    <w:rsid w:val="00EA6454"/>
    <w:rsid w:val="00EA794F"/>
    <w:rsid w:val="00EB04C1"/>
    <w:rsid w:val="00EB67EB"/>
    <w:rsid w:val="00EB789F"/>
    <w:rsid w:val="00EC0BCC"/>
    <w:rsid w:val="00EC1778"/>
    <w:rsid w:val="00ED12B6"/>
    <w:rsid w:val="00EE02E1"/>
    <w:rsid w:val="00EE421A"/>
    <w:rsid w:val="00EF083E"/>
    <w:rsid w:val="00EF0FC1"/>
    <w:rsid w:val="00EF2D1C"/>
    <w:rsid w:val="00EF391B"/>
    <w:rsid w:val="00EF61B2"/>
    <w:rsid w:val="00F014A2"/>
    <w:rsid w:val="00F02DBB"/>
    <w:rsid w:val="00F035C0"/>
    <w:rsid w:val="00F3151F"/>
    <w:rsid w:val="00F32BFD"/>
    <w:rsid w:val="00F41226"/>
    <w:rsid w:val="00F45E9C"/>
    <w:rsid w:val="00F471E2"/>
    <w:rsid w:val="00F50553"/>
    <w:rsid w:val="00F65E11"/>
    <w:rsid w:val="00F673C0"/>
    <w:rsid w:val="00F7147F"/>
    <w:rsid w:val="00F71CBA"/>
    <w:rsid w:val="00F86E95"/>
    <w:rsid w:val="00F92F84"/>
    <w:rsid w:val="00F97A5A"/>
    <w:rsid w:val="00FA1219"/>
    <w:rsid w:val="00FA64E1"/>
    <w:rsid w:val="00FB01BB"/>
    <w:rsid w:val="00FB0914"/>
    <w:rsid w:val="00FB353A"/>
    <w:rsid w:val="00FB60AE"/>
    <w:rsid w:val="00FB6309"/>
    <w:rsid w:val="00FC25DD"/>
    <w:rsid w:val="00FC4EBB"/>
    <w:rsid w:val="00FD4F36"/>
    <w:rsid w:val="00FD540F"/>
    <w:rsid w:val="00FE0943"/>
    <w:rsid w:val="00FE28CF"/>
    <w:rsid w:val="00FE4C15"/>
    <w:rsid w:val="00FE505D"/>
    <w:rsid w:val="00FF5957"/>
    <w:rsid w:val="00FF5A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01619571">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riffith.edu.au/cgi-bin/frameit?http://www.griffith.edu.au:80/ua/aa/crp/sofficers/seniorofficer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54.griffith.edu.au/SpaceAi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sort xmlns="2f261a70-825f-4a37-b7b5-f6ecc2f4c5fa">2</docsort>
    <PublishOn xmlns="2f261a70-825f-4a37-b7b5-f6ecc2f4c5fa">2021-09-16T08:58:44+00:00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Campus Life</TermName>
          <TermId xmlns="http://schemas.microsoft.com/office/infopath/2007/PartnerControls">6de54371-083c-4292-84eb-514655c8362c</TermId>
        </TermInfo>
      </Terms>
    </l92b321e1c6d4932b3b7fc50f551e57a>
    <policysummary xmlns="2f261a70-825f-4a37-b7b5-f6ecc2f4c5fa">The purpose of this procedure is to establish the processes for management and allocation of University Campus space to ensure that space is provided to support the University’s strategy.</policysummary>
    <PolicyCategoryPath xmlns="2f261a70-825f-4a37-b7b5-f6ecc2f4c5fa">Operational:Campuses, Facilities and Assets</PolicyCategoryPath>
    <PolicyCategory0 xmlns="2f261a70-825f-4a37-b7b5-f6ecc2f4c5fa">Campuses, Facilities and Assets</PolicyCategory0>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92</Value>
      <Value>242</Value>
      <Value>527</Value>
      <Value>575</Value>
      <Value>77</Value>
    </TaxCatchAll>
    <PolicyCategoryParent xmlns="2f261a70-825f-4a37-b7b5-f6ecc2f4c5fa">Operational</PolicyCategoryParent>
    <LastPublished xmlns="2f261a70-825f-4a37-b7b5-f6ecc2f4c5fa" xsi:nil="true"/>
    <doccomments xmlns="2f261a70-825f-4a37-b7b5-f6ecc2f4c5fa">20/04/2022 - COO approved the administrative updates - update to position from DVC(E) to Provost.</doccomments>
    <datedeclared xmlns="2f261a70-825f-4a37-b7b5-f6ecc2f4c5fa">2021-08-24T14:00:00+00:00</datedeclared>
    <PrivatePolicy xmlns="2f261a70-825f-4a37-b7b5-f6ecc2f4c5fa">false</PrivatePolicy>
    <policyadvisor xmlns="2f261a70-825f-4a37-b7b5-f6ecc2f4c5fa">
      <UserInfo>
        <DisplayName>John Niven</DisplayName>
        <AccountId>434</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Operational:Campuses, Facilities and Assets</TermName>
          <TermId xmlns="http://schemas.microsoft.com/office/infopath/2007/PartnerControls">54f2b23f-b30e-4c83-be92-f529ab90f96a</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Campus Life</TermName>
          <TermId xmlns="http://schemas.microsoft.com/office/infopath/2007/PartnerControls">19ec5de5-ddbd-4a33-98f9-11d378b9a330</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6092AFC2-8A1F-48C7-8679-CDD6C7DEB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3</TotalTime>
  <Pages>9</Pages>
  <Words>3102</Words>
  <Characters>17686</Characters>
  <Application>Microsoft Office Word</Application>
  <DocSecurity>0</DocSecurity>
  <Lines>147</Lines>
  <Paragraphs>41</Paragraphs>
  <ScaleCrop>false</ScaleCrop>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Management Procedure</dc:title>
  <dc:subject/>
  <dc:creator>Rebecca Voisey</dc:creator>
  <cp:keywords/>
  <dc:description/>
  <cp:lastModifiedBy>Kiara Sledge</cp:lastModifiedBy>
  <cp:revision>41</cp:revision>
  <cp:lastPrinted>2019-10-02T04:35:00Z</cp:lastPrinted>
  <dcterms:created xsi:type="dcterms:W3CDTF">2023-12-01T03:13:00Z</dcterms:created>
  <dcterms:modified xsi:type="dcterms:W3CDTF">2023-12-01T03:18:00Z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575;#Director, Campus Life|19ec5de5-ddbd-4a33-98f9-11d378b9a330</vt:lpwstr>
  </property>
  <property fmtid="{D5CDD505-2E9C-101B-9397-08002B2CF9AE}" pid="12" name="policycategory">
    <vt:lpwstr/>
  </property>
  <property fmtid="{D5CDD505-2E9C-101B-9397-08002B2CF9AE}" pid="13" name="policy-category">
    <vt:lpwstr>527;#Operational:Campuses, Facilities and Assets|54f2b23f-b30e-4c83-be92-f529ab90f96a</vt:lpwstr>
  </property>
  <property fmtid="{D5CDD505-2E9C-101B-9397-08002B2CF9AE}" pid="14" name="glossaryterms">
    <vt:lpwstr/>
  </property>
  <property fmtid="{D5CDD505-2E9C-101B-9397-08002B2CF9AE}" pid="15" name="officearea">
    <vt:lpwstr>92;#Campus Life|6de54371-083c-4292-84eb-514655c8362c</vt:lpwstr>
  </property>
  <property fmtid="{D5CDD505-2E9C-101B-9397-08002B2CF9AE}" pid="16" name="policyaudience">
    <vt:lpwstr>77;#Staff|45ee306d-49ae-43fa-a3ef-02f70754fd2d</vt:lpwstr>
  </property>
  <property fmtid="{D5CDD505-2E9C-101B-9397-08002B2CF9AE}" pid="17" name="policyreview">
    <vt:lpwstr>242;#2026|0e39d474-4c22-40b4-8b37-f0e7c9e0e124</vt:lpwstr>
  </property>
  <property fmtid="{D5CDD505-2E9C-101B-9397-08002B2CF9AE}" pid="18" name="Managed_Testing_Field">
    <vt:lpwstr/>
  </property>
</Properties>
</file>