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C7E9" w14:textId="26B8ABCB" w:rsidR="00B67268" w:rsidRPr="000F74AF" w:rsidRDefault="00B93176" w:rsidP="000F74AF">
      <w:pPr>
        <w:pStyle w:val="ContentsHeading1"/>
        <w:pBdr>
          <w:bottom w:val="none" w:sz="0" w:space="0" w:color="auto"/>
        </w:pBdr>
        <w:rPr>
          <w:rFonts w:ascii="Arial" w:hAnsi="Arial" w:cs="Arial"/>
          <w:sz w:val="48"/>
          <w:szCs w:val="48"/>
        </w:rPr>
        <w:sectPr w:rsidR="00B67268" w:rsidRPr="000F74AF" w:rsidSect="00D87683">
          <w:headerReference w:type="default" r:id="rId11"/>
          <w:footerReference w:type="default" r:id="rId12"/>
          <w:type w:val="continuous"/>
          <w:pgSz w:w="11900" w:h="16840" w:code="9"/>
          <w:pgMar w:top="1985" w:right="680" w:bottom="851" w:left="680" w:header="680" w:footer="454" w:gutter="0"/>
          <w:cols w:space="454"/>
          <w:docGrid w:linePitch="360"/>
        </w:sectPr>
      </w:pPr>
      <w:r>
        <w:rPr>
          <w:rFonts w:ascii="Arial" w:hAnsi="Arial" w:cs="Arial"/>
          <w:sz w:val="48"/>
          <w:szCs w:val="48"/>
        </w:rPr>
        <w:t>Software Asset Management Policy</w:t>
      </w: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0E6F3197" w14:textId="083CDFD2" w:rsidR="00A63937" w:rsidRPr="000F74AF" w:rsidRDefault="00A63937" w:rsidP="00A63937">
      <w:pPr>
        <w:rPr>
          <w:rFonts w:ascii="Arial" w:hAnsi="Arial" w:cs="Arial"/>
        </w:rPr>
      </w:pPr>
      <w:bookmarkStart w:id="1" w:name="_Ref20318879"/>
      <w:r w:rsidRPr="000F74AF">
        <w:rPr>
          <w:rFonts w:ascii="Arial" w:hAnsi="Arial" w:cs="Arial"/>
        </w:rPr>
        <w:t>This policy</w:t>
      </w:r>
      <w:r w:rsidR="008A5CCB" w:rsidRPr="000F74AF">
        <w:rPr>
          <w:rFonts w:ascii="Arial" w:hAnsi="Arial" w:cs="Arial"/>
        </w:rPr>
        <w:t xml:space="preserve"> aims to </w:t>
      </w:r>
      <w:r w:rsidR="00B25692" w:rsidRPr="000F74AF">
        <w:rPr>
          <w:rFonts w:ascii="Arial" w:hAnsi="Arial" w:cs="Arial"/>
        </w:rPr>
        <w:t>maintain a</w:t>
      </w:r>
      <w:r w:rsidRPr="000F74AF">
        <w:rPr>
          <w:rFonts w:ascii="Arial" w:hAnsi="Arial" w:cs="Arial"/>
        </w:rPr>
        <w:t xml:space="preserve"> mature and centralised software asset management approach</w:t>
      </w:r>
      <w:r w:rsidR="00B25692" w:rsidRPr="000F74AF">
        <w:rPr>
          <w:rFonts w:ascii="Arial" w:hAnsi="Arial" w:cs="Arial"/>
        </w:rPr>
        <w:t>,</w:t>
      </w:r>
      <w:r w:rsidRPr="000F74AF">
        <w:rPr>
          <w:rFonts w:ascii="Arial" w:hAnsi="Arial" w:cs="Arial"/>
        </w:rPr>
        <w:t xml:space="preserve"> to ensure a compliant and optimised licensing position is maintained, including the provision of appropriate governance and oversight. </w:t>
      </w:r>
    </w:p>
    <w:p w14:paraId="65297E40" w14:textId="7667AAEE" w:rsidR="00F97A5A" w:rsidRPr="00902125" w:rsidRDefault="00902125" w:rsidP="009A18F0">
      <w:pPr>
        <w:pStyle w:val="Heading2"/>
      </w:pPr>
      <w:r w:rsidRPr="00902125">
        <w:t xml:space="preserve">2.0 </w:t>
      </w:r>
      <w:r w:rsidR="00F97A5A" w:rsidRPr="00902125">
        <w:t>Scope</w:t>
      </w:r>
      <w:bookmarkEnd w:id="1"/>
    </w:p>
    <w:p w14:paraId="32E9E5D4" w14:textId="77777777" w:rsidR="000B7F44" w:rsidRPr="00BB57EF" w:rsidRDefault="000B7F44" w:rsidP="000B7F44">
      <w:pPr>
        <w:rPr>
          <w:rFonts w:ascii="Arial" w:hAnsi="Arial" w:cs="Arial"/>
        </w:rPr>
      </w:pPr>
      <w:bookmarkStart w:id="2" w:name="_Ref20318910"/>
      <w:r w:rsidRPr="00BB57EF">
        <w:rPr>
          <w:rFonts w:ascii="Arial" w:hAnsi="Arial" w:cs="Arial"/>
        </w:rPr>
        <w:t>This policy applies to any Griffith University acquisition of software licences and/or services from a source outside of the University, regardless of whether it is free, a once-off cost, or based on a subscription model.</w:t>
      </w:r>
    </w:p>
    <w:p w14:paraId="5222D446" w14:textId="77777777" w:rsidR="000B7F44" w:rsidRPr="00BB57EF" w:rsidRDefault="000B7F44" w:rsidP="000B7F44">
      <w:pPr>
        <w:rPr>
          <w:rFonts w:ascii="Arial" w:hAnsi="Arial" w:cs="Arial"/>
        </w:rPr>
      </w:pPr>
      <w:r w:rsidRPr="00BB57EF">
        <w:rPr>
          <w:rFonts w:ascii="Arial" w:hAnsi="Arial" w:cs="Arial"/>
        </w:rPr>
        <w:t>An established exception to this policy is use by the Griffith community of university authorised social media platforms that allow user content to be uploaded or modified (</w:t>
      </w:r>
      <w:proofErr w:type="gramStart"/>
      <w:r w:rsidRPr="00BB57EF">
        <w:rPr>
          <w:rFonts w:ascii="Arial" w:hAnsi="Arial" w:cs="Arial"/>
        </w:rPr>
        <w:t>e.g.</w:t>
      </w:r>
      <w:proofErr w:type="gramEnd"/>
      <w:r w:rsidRPr="00BB57EF">
        <w:rPr>
          <w:rFonts w:ascii="Arial" w:hAnsi="Arial" w:cs="Arial"/>
        </w:rPr>
        <w:t xml:space="preserve"> YouTube) without compromising Griffith’s copyright guidelines, IT Code of Practice and using University information computing resources.</w:t>
      </w:r>
    </w:p>
    <w:p w14:paraId="16734CDB" w14:textId="5872CFCA" w:rsidR="00C91165" w:rsidRPr="00902125" w:rsidRDefault="00902125" w:rsidP="00902125">
      <w:pPr>
        <w:pStyle w:val="Heading2"/>
      </w:pPr>
      <w:r w:rsidRPr="00902125">
        <w:t xml:space="preserve">3.0 </w:t>
      </w:r>
      <w:r w:rsidR="00C91165" w:rsidRPr="00902125">
        <w:t xml:space="preserve">Policy </w:t>
      </w:r>
      <w:r w:rsidR="00C655EF" w:rsidRPr="00902125">
        <w:t>s</w:t>
      </w:r>
      <w:r w:rsidR="00C91165" w:rsidRPr="00902125">
        <w:t>tatement</w:t>
      </w:r>
      <w:bookmarkEnd w:id="2"/>
    </w:p>
    <w:p w14:paraId="4B44648D" w14:textId="5D92E0F6" w:rsidR="004A0679" w:rsidRPr="00BB57EF" w:rsidRDefault="004A0679" w:rsidP="00C17019">
      <w:pPr>
        <w:shd w:val="clear" w:color="auto" w:fill="FFFFFF"/>
        <w:jc w:val="both"/>
        <w:rPr>
          <w:rFonts w:ascii="Arial" w:hAnsi="Arial" w:cs="Arial"/>
          <w:color w:val="212529"/>
        </w:rPr>
      </w:pPr>
      <w:r w:rsidRPr="00BB57EF">
        <w:rPr>
          <w:rFonts w:ascii="Arial" w:hAnsi="Arial" w:cs="Arial"/>
          <w:color w:val="212529"/>
        </w:rPr>
        <w:t>The implementation of consistent and centralised software asset management practices at the university will facilitate improved control and management of ICT investments and reduce financial and legal risks associated with software utilised by the university community.</w:t>
      </w:r>
      <w:r w:rsidR="0059138E" w:rsidRPr="00BB57EF">
        <w:rPr>
          <w:rFonts w:ascii="Arial" w:hAnsi="Arial" w:cs="Arial"/>
          <w:color w:val="212529"/>
        </w:rPr>
        <w:t xml:space="preserve"> This policy will ensure:</w:t>
      </w:r>
    </w:p>
    <w:p w14:paraId="0AC976E3" w14:textId="1DAEB34F"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Due diligence with the Queensland Government requirements of the university as a statutory body with respect to relevant legislation and policies</w:t>
      </w:r>
    </w:p>
    <w:p w14:paraId="6DE2AAD8" w14:textId="77777777"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 xml:space="preserve">An appropriate level of oversight is provided, to address the possibility of a higher level of risk, including licence compliance and data </w:t>
      </w:r>
      <w:proofErr w:type="gramStart"/>
      <w:r w:rsidRPr="00BB57EF">
        <w:rPr>
          <w:rFonts w:ascii="Arial" w:hAnsi="Arial" w:cs="Arial"/>
        </w:rPr>
        <w:t>security</w:t>
      </w:r>
      <w:proofErr w:type="gramEnd"/>
    </w:p>
    <w:p w14:paraId="2BC10C24" w14:textId="77777777"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Risks are identified, prioritised, and managed in a coordinated manner.</w:t>
      </w:r>
    </w:p>
    <w:p w14:paraId="27FB9BAB" w14:textId="77777777"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 xml:space="preserve">Effort is not duplicated (existing internal and external options should be explored prior to acquiring a new service), nor ownership of the University’s assets </w:t>
      </w:r>
      <w:proofErr w:type="gramStart"/>
      <w:r w:rsidRPr="00BB57EF">
        <w:rPr>
          <w:rFonts w:ascii="Arial" w:hAnsi="Arial" w:cs="Arial"/>
        </w:rPr>
        <w:t>compromised</w:t>
      </w:r>
      <w:proofErr w:type="gramEnd"/>
    </w:p>
    <w:p w14:paraId="7A8FB9BF" w14:textId="77777777"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 xml:space="preserve">The University’s information assets remain protected and </w:t>
      </w:r>
      <w:proofErr w:type="gramStart"/>
      <w:r w:rsidRPr="00BB57EF">
        <w:rPr>
          <w:rFonts w:ascii="Arial" w:hAnsi="Arial" w:cs="Arial"/>
        </w:rPr>
        <w:t>available</w:t>
      </w:r>
      <w:proofErr w:type="gramEnd"/>
    </w:p>
    <w:p w14:paraId="76D5D14A" w14:textId="77777777" w:rsidR="00A63937" w:rsidRPr="00BB57EF" w:rsidRDefault="00A63937" w:rsidP="00C17019">
      <w:pPr>
        <w:pStyle w:val="ListParagraph"/>
        <w:numPr>
          <w:ilvl w:val="0"/>
          <w:numId w:val="35"/>
        </w:numPr>
        <w:spacing w:before="80" w:afterLines="80" w:after="192"/>
        <w:ind w:left="357" w:hanging="357"/>
        <w:contextualSpacing w:val="0"/>
        <w:jc w:val="both"/>
        <w:rPr>
          <w:rFonts w:ascii="Arial" w:hAnsi="Arial" w:cs="Arial"/>
        </w:rPr>
      </w:pPr>
      <w:r w:rsidRPr="00BB57EF">
        <w:rPr>
          <w:rFonts w:ascii="Arial" w:hAnsi="Arial" w:cs="Arial"/>
        </w:rPr>
        <w:t xml:space="preserve">The University derives maximum value from expenditure on IT </w:t>
      </w:r>
      <w:proofErr w:type="gramStart"/>
      <w:r w:rsidRPr="00BB57EF">
        <w:rPr>
          <w:rFonts w:ascii="Arial" w:hAnsi="Arial" w:cs="Arial"/>
        </w:rPr>
        <w:t>services</w:t>
      </w:r>
      <w:proofErr w:type="gramEnd"/>
    </w:p>
    <w:p w14:paraId="03CAFC4C" w14:textId="77777777" w:rsidR="00A63937" w:rsidRPr="00BB57EF" w:rsidRDefault="00A63937" w:rsidP="00C17019">
      <w:pPr>
        <w:pStyle w:val="ListParagraph"/>
        <w:numPr>
          <w:ilvl w:val="0"/>
          <w:numId w:val="35"/>
        </w:numPr>
        <w:shd w:val="clear" w:color="auto" w:fill="FFFFFF"/>
        <w:spacing w:before="80" w:afterLines="80" w:after="192"/>
        <w:ind w:left="357" w:hanging="357"/>
        <w:contextualSpacing w:val="0"/>
        <w:jc w:val="both"/>
        <w:rPr>
          <w:rFonts w:ascii="Arial" w:hAnsi="Arial" w:cs="Arial"/>
          <w:color w:val="212529"/>
        </w:rPr>
      </w:pPr>
      <w:r w:rsidRPr="00BB57EF">
        <w:rPr>
          <w:rFonts w:ascii="Arial" w:hAnsi="Arial" w:cs="Arial"/>
          <w:color w:val="212529"/>
        </w:rPr>
        <w:t xml:space="preserve">Savings achieved through licences only being purchased when needed and unused licences being tracked, pooled and transferred as </w:t>
      </w:r>
      <w:proofErr w:type="gramStart"/>
      <w:r w:rsidRPr="00BB57EF">
        <w:rPr>
          <w:rFonts w:ascii="Arial" w:hAnsi="Arial" w:cs="Arial"/>
          <w:color w:val="212529"/>
        </w:rPr>
        <w:t>required</w:t>
      </w:r>
      <w:proofErr w:type="gramEnd"/>
    </w:p>
    <w:p w14:paraId="1D3D9F31" w14:textId="77777777" w:rsidR="00A63937" w:rsidRPr="00BB57EF" w:rsidRDefault="00A63937" w:rsidP="00C17019">
      <w:pPr>
        <w:pStyle w:val="ListParagraph"/>
        <w:numPr>
          <w:ilvl w:val="0"/>
          <w:numId w:val="35"/>
        </w:numPr>
        <w:shd w:val="clear" w:color="auto" w:fill="FFFFFF"/>
        <w:spacing w:before="80" w:afterLines="80" w:after="192"/>
        <w:ind w:left="357" w:hanging="357"/>
        <w:contextualSpacing w:val="0"/>
        <w:jc w:val="both"/>
        <w:rPr>
          <w:rFonts w:ascii="Arial" w:hAnsi="Arial" w:cs="Arial"/>
          <w:color w:val="212529"/>
        </w:rPr>
      </w:pPr>
      <w:r w:rsidRPr="00BB57EF">
        <w:rPr>
          <w:rFonts w:ascii="Arial" w:hAnsi="Arial" w:cs="Arial"/>
          <w:color w:val="212529"/>
        </w:rPr>
        <w:t xml:space="preserve">Cost reductions through linkages from metering reports to ICT planning to ensure maintenance agreements will be continued only for software that is currently in </w:t>
      </w:r>
      <w:proofErr w:type="gramStart"/>
      <w:r w:rsidRPr="00BB57EF">
        <w:rPr>
          <w:rFonts w:ascii="Arial" w:hAnsi="Arial" w:cs="Arial"/>
          <w:color w:val="212529"/>
        </w:rPr>
        <w:t>use</w:t>
      </w:r>
      <w:proofErr w:type="gramEnd"/>
    </w:p>
    <w:p w14:paraId="6010DB63" w14:textId="77777777" w:rsidR="00A63937" w:rsidRPr="00BB57EF" w:rsidRDefault="00A63937" w:rsidP="00C17019">
      <w:pPr>
        <w:pStyle w:val="ListParagraph"/>
        <w:numPr>
          <w:ilvl w:val="0"/>
          <w:numId w:val="35"/>
        </w:numPr>
        <w:shd w:val="clear" w:color="auto" w:fill="FFFFFF"/>
        <w:spacing w:before="80" w:afterLines="80" w:after="192"/>
        <w:ind w:left="357" w:hanging="357"/>
        <w:contextualSpacing w:val="0"/>
        <w:jc w:val="both"/>
        <w:rPr>
          <w:rFonts w:ascii="Arial" w:hAnsi="Arial" w:cs="Arial"/>
          <w:color w:val="212529"/>
        </w:rPr>
      </w:pPr>
      <w:r w:rsidRPr="00BB57EF">
        <w:rPr>
          <w:rFonts w:ascii="Arial" w:hAnsi="Arial" w:cs="Arial"/>
          <w:color w:val="212529"/>
        </w:rPr>
        <w:t>Diminished exposure to financial and legal risks</w:t>
      </w:r>
    </w:p>
    <w:p w14:paraId="01BD54D6" w14:textId="77777777" w:rsidR="00A63937" w:rsidRPr="00BB57EF" w:rsidRDefault="00A63937" w:rsidP="00C17019">
      <w:pPr>
        <w:pStyle w:val="ListParagraph"/>
        <w:numPr>
          <w:ilvl w:val="0"/>
          <w:numId w:val="35"/>
        </w:numPr>
        <w:shd w:val="clear" w:color="auto" w:fill="FFFFFF"/>
        <w:spacing w:before="80" w:afterLines="80" w:after="192"/>
        <w:ind w:left="357" w:hanging="357"/>
        <w:contextualSpacing w:val="0"/>
        <w:jc w:val="both"/>
        <w:rPr>
          <w:rFonts w:ascii="Arial" w:hAnsi="Arial" w:cs="Arial"/>
          <w:color w:val="212529"/>
        </w:rPr>
      </w:pPr>
      <w:r w:rsidRPr="00BB57EF">
        <w:rPr>
          <w:rFonts w:ascii="Arial" w:hAnsi="Arial" w:cs="Arial"/>
          <w:color w:val="212529"/>
        </w:rPr>
        <w:lastRenderedPageBreak/>
        <w:t xml:space="preserve">More efficient use of resources, with time not being wasted in attempting to locate media, supporting untested software or searching for </w:t>
      </w:r>
      <w:proofErr w:type="gramStart"/>
      <w:r w:rsidRPr="00BB57EF">
        <w:rPr>
          <w:rFonts w:ascii="Arial" w:hAnsi="Arial" w:cs="Arial"/>
          <w:color w:val="212529"/>
        </w:rPr>
        <w:t>licences</w:t>
      </w:r>
      <w:proofErr w:type="gramEnd"/>
    </w:p>
    <w:p w14:paraId="576C507C" w14:textId="77777777" w:rsidR="00A63937" w:rsidRPr="00BB57EF" w:rsidRDefault="00A63937" w:rsidP="00C17019">
      <w:pPr>
        <w:pStyle w:val="ListParagraph"/>
        <w:numPr>
          <w:ilvl w:val="0"/>
          <w:numId w:val="35"/>
        </w:numPr>
        <w:shd w:val="clear" w:color="auto" w:fill="FFFFFF"/>
        <w:spacing w:before="80" w:afterLines="80" w:after="192"/>
        <w:ind w:left="357" w:hanging="357"/>
        <w:contextualSpacing w:val="0"/>
        <w:jc w:val="both"/>
        <w:rPr>
          <w:rFonts w:ascii="Arial" w:hAnsi="Arial" w:cs="Arial"/>
          <w:color w:val="212529"/>
        </w:rPr>
      </w:pPr>
      <w:r w:rsidRPr="00BB57EF">
        <w:rPr>
          <w:rFonts w:ascii="Arial" w:hAnsi="Arial" w:cs="Arial"/>
          <w:color w:val="212529"/>
        </w:rPr>
        <w:t xml:space="preserve">More accurate and precise budgeting will be possible, since maintenance renewal dates will be captured, upgrades will be accurately calculated, and user base licence growth can be </w:t>
      </w:r>
      <w:proofErr w:type="gramStart"/>
      <w:r w:rsidRPr="00BB57EF">
        <w:rPr>
          <w:rFonts w:ascii="Arial" w:hAnsi="Arial" w:cs="Arial"/>
          <w:color w:val="212529"/>
        </w:rPr>
        <w:t>calculated</w:t>
      </w:r>
      <w:proofErr w:type="gramEnd"/>
    </w:p>
    <w:p w14:paraId="35B37A56" w14:textId="397C8BC1" w:rsidR="00DA348D" w:rsidRPr="00902125" w:rsidRDefault="00902125" w:rsidP="00902125">
      <w:pPr>
        <w:pStyle w:val="Heading2"/>
      </w:pPr>
      <w:bookmarkStart w:id="3" w:name="_Ref20320710"/>
      <w:bookmarkStart w:id="4" w:name="_Ref21613385"/>
      <w:r w:rsidRPr="00902125">
        <w:t xml:space="preserve">4.0 </w:t>
      </w:r>
      <w:r w:rsidR="00DA348D" w:rsidRPr="00902125">
        <w:t>Roles</w:t>
      </w:r>
      <w:r w:rsidR="00AB5659">
        <w:t>,</w:t>
      </w:r>
      <w:r w:rsidR="00DA348D" w:rsidRPr="00902125">
        <w:t xml:space="preserve"> </w:t>
      </w:r>
      <w:proofErr w:type="gramStart"/>
      <w:r w:rsidR="00DA348D" w:rsidRPr="00902125">
        <w:t>responsibilities</w:t>
      </w:r>
      <w:bookmarkEnd w:id="3"/>
      <w:proofErr w:type="gramEnd"/>
      <w:r w:rsidR="00AB5659">
        <w:t xml:space="preserve"> and delegations</w:t>
      </w:r>
      <w:bookmarkEnd w:id="4"/>
    </w:p>
    <w:p w14:paraId="5CE9F908" w14:textId="0F933E97" w:rsidR="003602D1" w:rsidRPr="00BB57EF" w:rsidRDefault="003602D1" w:rsidP="00FB04B3">
      <w:pPr>
        <w:jc w:val="both"/>
        <w:rPr>
          <w:rFonts w:ascii="Arial" w:hAnsi="Arial" w:cs="Arial"/>
        </w:rPr>
      </w:pPr>
      <w:r w:rsidRPr="00BB57EF">
        <w:rPr>
          <w:rFonts w:ascii="Arial" w:hAnsi="Arial" w:cs="Arial"/>
        </w:rPr>
        <w:t xml:space="preserve">In accordance with </w:t>
      </w:r>
      <w:r w:rsidR="00055951" w:rsidRPr="00BB57EF">
        <w:rPr>
          <w:rFonts w:ascii="Arial" w:hAnsi="Arial" w:cs="Arial"/>
        </w:rPr>
        <w:t xml:space="preserve">the current university procurement </w:t>
      </w:r>
      <w:r w:rsidR="00936D5F" w:rsidRPr="00BB57EF">
        <w:rPr>
          <w:rFonts w:ascii="Arial" w:hAnsi="Arial" w:cs="Arial"/>
        </w:rPr>
        <w:t>guidelines</w:t>
      </w:r>
      <w:r w:rsidRPr="00BB57EF">
        <w:rPr>
          <w:rFonts w:ascii="Arial" w:hAnsi="Arial" w:cs="Arial"/>
        </w:rPr>
        <w:t xml:space="preserve">, all software is to be purchased through Digital Solutions. </w:t>
      </w:r>
    </w:p>
    <w:p w14:paraId="170390A9" w14:textId="77777777" w:rsidR="003602D1" w:rsidRPr="00BB57EF" w:rsidRDefault="003602D1" w:rsidP="00FB04B3">
      <w:pPr>
        <w:jc w:val="both"/>
        <w:rPr>
          <w:rFonts w:ascii="Arial" w:hAnsi="Arial" w:cs="Arial"/>
        </w:rPr>
      </w:pPr>
      <w:r w:rsidRPr="00BB57EF">
        <w:rPr>
          <w:rFonts w:ascii="Arial" w:hAnsi="Arial" w:cs="Arial"/>
        </w:rPr>
        <w:t xml:space="preserve">Digital Solutions are responsible for the Software lifecycle, including procurement, compliance, licence key management, deployment, licence transfer and optimisation and disposal. </w:t>
      </w:r>
    </w:p>
    <w:p w14:paraId="7ED15452" w14:textId="77777777" w:rsidR="003602D1" w:rsidRPr="00BB57EF" w:rsidRDefault="003602D1" w:rsidP="00FB04B3">
      <w:pPr>
        <w:jc w:val="both"/>
        <w:rPr>
          <w:rFonts w:ascii="Arial" w:hAnsi="Arial" w:cs="Arial"/>
        </w:rPr>
      </w:pPr>
      <w:r w:rsidRPr="00BB57EF">
        <w:rPr>
          <w:rFonts w:ascii="Arial" w:hAnsi="Arial" w:cs="Arial"/>
        </w:rPr>
        <w:t>The use of university credit cards to purchase software is not permitted, this includes Software-as-a-Service or other IT software subscription services.</w:t>
      </w:r>
    </w:p>
    <w:p w14:paraId="3F9CBF15" w14:textId="7701A3C3" w:rsidR="003602D1" w:rsidRPr="00BB57EF" w:rsidRDefault="003602D1" w:rsidP="00FB04B3">
      <w:pPr>
        <w:jc w:val="both"/>
        <w:rPr>
          <w:rFonts w:ascii="Arial" w:hAnsi="Arial" w:cs="Arial"/>
        </w:rPr>
      </w:pPr>
      <w:r w:rsidRPr="00BB57EF">
        <w:rPr>
          <w:rFonts w:ascii="Arial" w:hAnsi="Arial" w:cs="Arial"/>
        </w:rPr>
        <w:t xml:space="preserve">Many software licence agreements require the execution of a contract.  An IT Contract is considered a special contract subject to the Griffith University Delegations Framework. Only the Chief Digital Officer, Chief Operating Officer or Vice </w:t>
      </w:r>
      <w:r w:rsidR="00505151" w:rsidRPr="00BB57EF">
        <w:rPr>
          <w:rFonts w:ascii="Arial" w:hAnsi="Arial" w:cs="Arial"/>
        </w:rPr>
        <w:t>Chancellor</w:t>
      </w:r>
      <w:r w:rsidRPr="00BB57EF">
        <w:rPr>
          <w:rFonts w:ascii="Arial" w:hAnsi="Arial" w:cs="Arial"/>
        </w:rPr>
        <w:t xml:space="preserve"> can sign an IT contract.</w:t>
      </w:r>
    </w:p>
    <w:p w14:paraId="7B5B54AE" w14:textId="77777777" w:rsidR="003602D1" w:rsidRPr="00BB57EF" w:rsidRDefault="003602D1" w:rsidP="00FB04B3">
      <w:pPr>
        <w:jc w:val="both"/>
        <w:rPr>
          <w:rFonts w:ascii="Arial" w:hAnsi="Arial" w:cs="Arial"/>
        </w:rPr>
      </w:pPr>
      <w:r w:rsidRPr="00BB57EF">
        <w:rPr>
          <w:rFonts w:ascii="Arial" w:hAnsi="Arial" w:cs="Arial"/>
        </w:rPr>
        <w:t>Risk analysis and due diligence relating to compliance, financial and contractual risks are undertaken by Digital Solutions, Finance, and Legal Services prior to contract execution.</w:t>
      </w:r>
    </w:p>
    <w:p w14:paraId="79CC7F0F" w14:textId="2A6CDD78" w:rsidR="003602D1" w:rsidRDefault="003602D1" w:rsidP="00FB04B3">
      <w:pPr>
        <w:jc w:val="both"/>
        <w:rPr>
          <w:rFonts w:ascii="Arial" w:hAnsi="Arial" w:cs="Arial"/>
        </w:rPr>
      </w:pPr>
      <w:r w:rsidRPr="00BB57EF">
        <w:rPr>
          <w:rFonts w:ascii="Arial" w:hAnsi="Arial" w:cs="Arial"/>
        </w:rPr>
        <w:t>On an ongoing basis, operational and contractual risks are to be managed by the relevant Business Owner and Data Custodian for that service. Managers, at all levels, are required to ensure that staff and students are aware of their responsibilities under the Information Technology Code of Practice.</w:t>
      </w:r>
    </w:p>
    <w:p w14:paraId="15F9AEE5" w14:textId="78EBC291" w:rsidR="00B544FE" w:rsidRPr="00667F05" w:rsidRDefault="00B544FE" w:rsidP="00B544FE">
      <w:pPr>
        <w:rPr>
          <w:rFonts w:ascii="Arial" w:hAnsi="Arial" w:cs="Arial"/>
        </w:rPr>
      </w:pPr>
      <w:r w:rsidRPr="00667F05">
        <w:rPr>
          <w:rFonts w:ascii="Arial" w:hAnsi="Arial" w:cs="Arial"/>
        </w:rPr>
        <w:t xml:space="preserve">While providing benefits to the University, use of software can also introduce risks. As risks are identified, they must be managed </w:t>
      </w:r>
      <w:r w:rsidR="00667F05">
        <w:rPr>
          <w:rFonts w:ascii="Arial" w:hAnsi="Arial" w:cs="Arial"/>
        </w:rPr>
        <w:t>via</w:t>
      </w:r>
      <w:r w:rsidRPr="00667F05">
        <w:rPr>
          <w:rFonts w:ascii="Arial" w:hAnsi="Arial" w:cs="Arial"/>
        </w:rPr>
        <w:t xml:space="preserve"> the Digital Solutions IT Risk Register. The Head of IT Governance, Risk, Compliance and Continuity is responsible for maintaining the Digital Solutions IT Risk Register and reporting monthly to the Chief Digital Officer. </w:t>
      </w:r>
    </w:p>
    <w:p w14:paraId="26B737BF" w14:textId="7369EEE1" w:rsidR="00B544FE" w:rsidRDefault="00B544FE" w:rsidP="00B544FE">
      <w:pPr>
        <w:rPr>
          <w:rFonts w:ascii="Arial" w:hAnsi="Arial" w:cs="Arial"/>
        </w:rPr>
      </w:pPr>
      <w:r w:rsidRPr="00667F05">
        <w:rPr>
          <w:rFonts w:ascii="Arial" w:hAnsi="Arial" w:cs="Arial"/>
        </w:rPr>
        <w:t xml:space="preserve">Any significant IT risks associated with licenced software must be escalated immediately to the Chief Digital Officer.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B81079" w:rsidRPr="00BA6219" w14:paraId="7EF66FA6" w14:textId="77777777" w:rsidTr="00265AB4">
        <w:trPr>
          <w:trHeight w:val="454"/>
        </w:trPr>
        <w:tc>
          <w:tcPr>
            <w:tcW w:w="1438" w:type="pct"/>
            <w:tcBorders>
              <w:bottom w:val="single" w:sz="8" w:space="0" w:color="E30918"/>
            </w:tcBorders>
            <w:shd w:val="clear" w:color="auto" w:fill="auto"/>
          </w:tcPr>
          <w:p w14:paraId="29910A42" w14:textId="77777777" w:rsidR="00B81079" w:rsidRPr="00FC5552" w:rsidRDefault="00B81079" w:rsidP="00265AB4">
            <w:pPr>
              <w:spacing w:before="120" w:after="120"/>
              <w:rPr>
                <w:rFonts w:cs="Arial"/>
                <w:b/>
                <w:bCs/>
                <w:color w:val="000000" w:themeColor="text1"/>
                <w:sz w:val="24"/>
                <w:szCs w:val="24"/>
              </w:rPr>
            </w:pPr>
            <w:r>
              <w:rPr>
                <w:rFonts w:cs="Arial"/>
                <w:b/>
                <w:bCs/>
                <w:color w:val="E30918"/>
                <w:sz w:val="24"/>
                <w:szCs w:val="24"/>
              </w:rPr>
              <w:t xml:space="preserve">ROLE </w:t>
            </w:r>
          </w:p>
        </w:tc>
        <w:tc>
          <w:tcPr>
            <w:tcW w:w="3562" w:type="pct"/>
            <w:tcBorders>
              <w:bottom w:val="single" w:sz="8" w:space="0" w:color="E30918"/>
            </w:tcBorders>
            <w:shd w:val="clear" w:color="auto" w:fill="auto"/>
          </w:tcPr>
          <w:p w14:paraId="3C435A92" w14:textId="77777777" w:rsidR="00B81079" w:rsidRPr="00BA6219" w:rsidRDefault="00B81079" w:rsidP="00265AB4">
            <w:pPr>
              <w:spacing w:before="120" w:after="120"/>
              <w:rPr>
                <w:rFonts w:cs="Arial"/>
                <w:color w:val="000000" w:themeColor="text1"/>
                <w:szCs w:val="20"/>
              </w:rPr>
            </w:pPr>
            <w:r>
              <w:rPr>
                <w:rFonts w:cs="Arial"/>
                <w:b/>
                <w:bCs/>
                <w:color w:val="E30918"/>
                <w:sz w:val="24"/>
                <w:szCs w:val="24"/>
              </w:rPr>
              <w:t>RESPONSIBILITY</w:t>
            </w:r>
          </w:p>
        </w:tc>
      </w:tr>
      <w:tr w:rsidR="00B81079" w:rsidRPr="000209B9" w14:paraId="198A9B5F" w14:textId="77777777" w:rsidTr="00265AB4">
        <w:tc>
          <w:tcPr>
            <w:tcW w:w="1438" w:type="pct"/>
            <w:tcBorders>
              <w:top w:val="single" w:sz="8" w:space="0" w:color="E30918"/>
            </w:tcBorders>
            <w:shd w:val="clear" w:color="auto" w:fill="E6E7E8"/>
          </w:tcPr>
          <w:p w14:paraId="4F2620A0" w14:textId="4982F1D5" w:rsidR="00B81079" w:rsidRPr="000209B9" w:rsidRDefault="00F14269" w:rsidP="00265AB4">
            <w:pPr>
              <w:spacing w:before="120" w:after="120"/>
              <w:rPr>
                <w:rFonts w:cs="Arial"/>
                <w:szCs w:val="20"/>
              </w:rPr>
            </w:pPr>
            <w:r>
              <w:rPr>
                <w:rFonts w:cs="Arial"/>
                <w:szCs w:val="20"/>
              </w:rPr>
              <w:t>Chief Operating Officer</w:t>
            </w:r>
          </w:p>
        </w:tc>
        <w:tc>
          <w:tcPr>
            <w:tcW w:w="3562" w:type="pct"/>
            <w:tcBorders>
              <w:top w:val="single" w:sz="8" w:space="0" w:color="E30918"/>
            </w:tcBorders>
            <w:shd w:val="clear" w:color="auto" w:fill="E6E7E8"/>
          </w:tcPr>
          <w:p w14:paraId="04BE7491" w14:textId="65BC6DEE" w:rsidR="00B81079" w:rsidRPr="000209B9" w:rsidRDefault="00F14269" w:rsidP="00265AB4">
            <w:pPr>
              <w:spacing w:before="120" w:after="120"/>
              <w:rPr>
                <w:rFonts w:cs="Arial"/>
                <w:szCs w:val="20"/>
              </w:rPr>
            </w:pPr>
            <w:r>
              <w:rPr>
                <w:rFonts w:cs="Arial"/>
                <w:szCs w:val="20"/>
              </w:rPr>
              <w:t xml:space="preserve">Approval of Software licences and agreements </w:t>
            </w:r>
            <w:r w:rsidR="00154760">
              <w:rPr>
                <w:rFonts w:cs="Arial"/>
                <w:szCs w:val="20"/>
              </w:rPr>
              <w:t>including execution of IT contracts up to Financial Delegation</w:t>
            </w:r>
          </w:p>
        </w:tc>
      </w:tr>
      <w:tr w:rsidR="00B81079" w:rsidRPr="000209B9" w14:paraId="77E0174D" w14:textId="77777777" w:rsidTr="00265AB4">
        <w:tc>
          <w:tcPr>
            <w:tcW w:w="1438" w:type="pct"/>
          </w:tcPr>
          <w:p w14:paraId="757743EE" w14:textId="55D68138" w:rsidR="00B81079" w:rsidRPr="000209B9" w:rsidRDefault="00F0792C" w:rsidP="00265AB4">
            <w:pPr>
              <w:spacing w:before="120" w:after="120"/>
              <w:rPr>
                <w:rFonts w:cs="Arial"/>
                <w:szCs w:val="20"/>
              </w:rPr>
            </w:pPr>
            <w:bookmarkStart w:id="5" w:name="_Hlk131687921"/>
            <w:r>
              <w:rPr>
                <w:rFonts w:cs="Arial"/>
                <w:szCs w:val="20"/>
              </w:rPr>
              <w:t>Chief Digital Officer</w:t>
            </w:r>
          </w:p>
        </w:tc>
        <w:tc>
          <w:tcPr>
            <w:tcW w:w="3562" w:type="pct"/>
          </w:tcPr>
          <w:p w14:paraId="7B75F90B" w14:textId="7E83268C" w:rsidR="00B81079" w:rsidRPr="000209B9" w:rsidRDefault="00154760" w:rsidP="00265AB4">
            <w:pPr>
              <w:spacing w:before="120" w:after="120"/>
              <w:rPr>
                <w:rFonts w:cs="Arial"/>
                <w:szCs w:val="20"/>
              </w:rPr>
            </w:pPr>
            <w:r>
              <w:rPr>
                <w:rFonts w:cs="Arial"/>
                <w:szCs w:val="20"/>
              </w:rPr>
              <w:t>Approval of Software licences and agreements including execution of IT contracts up to Financial Delegation.</w:t>
            </w:r>
            <w:r w:rsidR="000A2081">
              <w:rPr>
                <w:rFonts w:cs="Arial"/>
                <w:szCs w:val="20"/>
              </w:rPr>
              <w:t xml:space="preserve"> </w:t>
            </w:r>
            <w:r w:rsidR="00C8018E">
              <w:rPr>
                <w:rFonts w:cs="Arial"/>
                <w:szCs w:val="20"/>
              </w:rPr>
              <w:t>Reviews and provides recommendations for</w:t>
            </w:r>
            <w:r w:rsidR="000A2081">
              <w:rPr>
                <w:rFonts w:cs="Arial"/>
                <w:szCs w:val="20"/>
              </w:rPr>
              <w:t xml:space="preserve"> licences and agreements for Chief Operating Officer</w:t>
            </w:r>
            <w:r w:rsidR="00C8018E">
              <w:rPr>
                <w:rFonts w:cs="Arial"/>
                <w:szCs w:val="20"/>
              </w:rPr>
              <w:t>s approval and execution</w:t>
            </w:r>
          </w:p>
        </w:tc>
      </w:tr>
      <w:bookmarkEnd w:id="5"/>
      <w:tr w:rsidR="00B81079" w:rsidRPr="000209B9" w14:paraId="549F9AE3" w14:textId="77777777" w:rsidTr="00265AB4">
        <w:tc>
          <w:tcPr>
            <w:tcW w:w="1438" w:type="pct"/>
            <w:shd w:val="clear" w:color="auto" w:fill="E6E7E8"/>
          </w:tcPr>
          <w:p w14:paraId="6AEACBFF" w14:textId="5308816A" w:rsidR="00B81079" w:rsidRPr="000209B9" w:rsidRDefault="00F82838" w:rsidP="00265AB4">
            <w:pPr>
              <w:spacing w:before="120" w:after="120"/>
              <w:rPr>
                <w:rFonts w:cs="Arial"/>
                <w:szCs w:val="20"/>
              </w:rPr>
            </w:pPr>
            <w:r>
              <w:rPr>
                <w:rFonts w:cs="Arial"/>
                <w:szCs w:val="20"/>
              </w:rPr>
              <w:t xml:space="preserve">IT </w:t>
            </w:r>
            <w:r w:rsidR="0027646D">
              <w:rPr>
                <w:rFonts w:cs="Arial"/>
                <w:szCs w:val="20"/>
              </w:rPr>
              <w:t>Sourcing and Contracts Specialist</w:t>
            </w:r>
          </w:p>
        </w:tc>
        <w:tc>
          <w:tcPr>
            <w:tcW w:w="3562" w:type="pct"/>
            <w:shd w:val="clear" w:color="auto" w:fill="E6E7E8"/>
          </w:tcPr>
          <w:p w14:paraId="4CA0EC8C" w14:textId="5962D1E3" w:rsidR="00B81079" w:rsidRPr="000209B9" w:rsidRDefault="0027646D" w:rsidP="00265AB4">
            <w:pPr>
              <w:spacing w:before="120" w:after="120"/>
              <w:rPr>
                <w:rFonts w:cs="Arial"/>
                <w:szCs w:val="20"/>
              </w:rPr>
            </w:pPr>
            <w:r>
              <w:rPr>
                <w:rFonts w:cs="Arial"/>
                <w:szCs w:val="20"/>
              </w:rPr>
              <w:t xml:space="preserve">Review </w:t>
            </w:r>
            <w:r w:rsidR="00385F16">
              <w:rPr>
                <w:rFonts w:cs="Arial"/>
                <w:szCs w:val="20"/>
              </w:rPr>
              <w:t xml:space="preserve">IT Contract documents and coordinate the IT Solution review process, including </w:t>
            </w:r>
            <w:r w:rsidR="004022DD">
              <w:rPr>
                <w:rFonts w:cs="Arial"/>
                <w:szCs w:val="20"/>
              </w:rPr>
              <w:t>document management processing</w:t>
            </w:r>
            <w:r w:rsidR="00385F16">
              <w:rPr>
                <w:rFonts w:cs="Arial"/>
                <w:szCs w:val="20"/>
              </w:rPr>
              <w:t xml:space="preserve"> </w:t>
            </w:r>
          </w:p>
        </w:tc>
      </w:tr>
      <w:tr w:rsidR="004022DD" w:rsidRPr="000209B9" w14:paraId="1631260B" w14:textId="77777777" w:rsidTr="00265AB4">
        <w:tc>
          <w:tcPr>
            <w:tcW w:w="1438" w:type="pct"/>
          </w:tcPr>
          <w:p w14:paraId="7F663841" w14:textId="64DE27A1" w:rsidR="004022DD" w:rsidRPr="000209B9" w:rsidRDefault="004022DD" w:rsidP="00265AB4">
            <w:pPr>
              <w:spacing w:before="120" w:after="120"/>
              <w:rPr>
                <w:rFonts w:cs="Arial"/>
                <w:szCs w:val="20"/>
              </w:rPr>
            </w:pPr>
            <w:r>
              <w:rPr>
                <w:rFonts w:cs="Arial"/>
                <w:szCs w:val="20"/>
              </w:rPr>
              <w:t>IT</w:t>
            </w:r>
            <w:r w:rsidR="00180115">
              <w:rPr>
                <w:rFonts w:cs="Arial"/>
                <w:szCs w:val="20"/>
              </w:rPr>
              <w:t xml:space="preserve"> Procurement Officer</w:t>
            </w:r>
          </w:p>
        </w:tc>
        <w:tc>
          <w:tcPr>
            <w:tcW w:w="3562" w:type="pct"/>
          </w:tcPr>
          <w:p w14:paraId="0F89027D" w14:textId="5834862D" w:rsidR="004022DD" w:rsidRPr="000209B9" w:rsidRDefault="00180115" w:rsidP="00265AB4">
            <w:pPr>
              <w:spacing w:before="120" w:after="120"/>
              <w:rPr>
                <w:rFonts w:cs="Arial"/>
                <w:szCs w:val="20"/>
              </w:rPr>
            </w:pPr>
            <w:r>
              <w:rPr>
                <w:rFonts w:cs="Arial"/>
                <w:szCs w:val="20"/>
              </w:rPr>
              <w:t>Manage the university software asset</w:t>
            </w:r>
            <w:r w:rsidR="00F14687">
              <w:rPr>
                <w:rFonts w:cs="Arial"/>
                <w:szCs w:val="20"/>
              </w:rPr>
              <w:t xml:space="preserve"> lifecycle including procurement, licence key management and end of service life / disposal</w:t>
            </w:r>
          </w:p>
        </w:tc>
      </w:tr>
    </w:tbl>
    <w:p w14:paraId="41FE2A58" w14:textId="77777777" w:rsidR="00242660" w:rsidRPr="00667F05" w:rsidRDefault="00242660" w:rsidP="00B544FE">
      <w:pPr>
        <w:rPr>
          <w:rFonts w:ascii="Arial" w:hAnsi="Arial" w:cs="Arial"/>
        </w:rPr>
      </w:pPr>
    </w:p>
    <w:p w14:paraId="34009791" w14:textId="54CB7D04" w:rsidR="003E0B6D" w:rsidRPr="00902125" w:rsidRDefault="00DA348D" w:rsidP="00902125">
      <w:pPr>
        <w:pStyle w:val="Heading2"/>
      </w:pPr>
      <w:bookmarkStart w:id="6" w:name="_Ref20320732"/>
      <w:r w:rsidRPr="00902125">
        <w:lastRenderedPageBreak/>
        <w:t>5</w:t>
      </w:r>
      <w:r w:rsidR="003E0B6D" w:rsidRPr="00902125">
        <w:t>.0 Definitions</w:t>
      </w:r>
      <w:bookmarkEnd w:id="6"/>
    </w:p>
    <w:p w14:paraId="5AB6C9FC" w14:textId="52AA47D2" w:rsidR="00EE646E" w:rsidRPr="00B45333" w:rsidRDefault="00EE646E" w:rsidP="00EE646E">
      <w:pPr>
        <w:spacing w:after="120"/>
        <w:rPr>
          <w:rFonts w:ascii="Arial" w:hAnsi="Arial" w:cs="Arial"/>
          <w:szCs w:val="20"/>
        </w:rPr>
      </w:pPr>
      <w:r w:rsidRPr="00B45333">
        <w:rPr>
          <w:rFonts w:ascii="Arial" w:hAnsi="Arial" w:cs="Arial"/>
          <w:szCs w:val="20"/>
        </w:rPr>
        <w:t xml:space="preserve">For the purposes of this policy and related policy documents, the following definitions apply: </w:t>
      </w:r>
    </w:p>
    <w:p w14:paraId="73C4644C" w14:textId="136671CA" w:rsidR="00551301" w:rsidRDefault="0008168B" w:rsidP="00FB04B3">
      <w:pPr>
        <w:pStyle w:val="ListParagraph"/>
        <w:ind w:left="0"/>
        <w:contextualSpacing w:val="0"/>
        <w:jc w:val="both"/>
        <w:rPr>
          <w:rFonts w:ascii="Arial" w:hAnsi="Arial" w:cs="Arial"/>
        </w:rPr>
      </w:pPr>
      <w:r w:rsidRPr="00B45333">
        <w:rPr>
          <w:rFonts w:ascii="Arial" w:hAnsi="Arial" w:cs="Arial"/>
          <w:b/>
          <w:bCs/>
        </w:rPr>
        <w:t>S</w:t>
      </w:r>
      <w:r w:rsidR="00551301" w:rsidRPr="00B45333">
        <w:rPr>
          <w:rFonts w:ascii="Arial" w:hAnsi="Arial" w:cs="Arial"/>
          <w:b/>
          <w:bCs/>
        </w:rPr>
        <w:t>oftware</w:t>
      </w:r>
      <w:r w:rsidR="00551301" w:rsidRPr="00B45333">
        <w:rPr>
          <w:rFonts w:ascii="Arial" w:hAnsi="Arial" w:cs="Arial"/>
        </w:rPr>
        <w:t xml:space="preserve"> as utilised in this document incorporates software applications, that are installed on university owned equipment, or accessed via cloud-based services. The use of software is governed by a licence agreement, which details the rights of usage for the software.</w:t>
      </w:r>
    </w:p>
    <w:p w14:paraId="10BD9884" w14:textId="343C6BE7" w:rsidR="00551301" w:rsidRPr="00B45333" w:rsidRDefault="00B30922" w:rsidP="00551301">
      <w:pPr>
        <w:pStyle w:val="ListParagraph"/>
        <w:ind w:left="0"/>
        <w:rPr>
          <w:rFonts w:ascii="Arial" w:hAnsi="Arial" w:cs="Arial"/>
        </w:rPr>
      </w:pPr>
      <w:r w:rsidRPr="00B45333">
        <w:rPr>
          <w:rFonts w:ascii="Arial" w:hAnsi="Arial" w:cs="Arial"/>
          <w:b/>
          <w:bCs/>
        </w:rPr>
        <w:t>S</w:t>
      </w:r>
      <w:r w:rsidR="0008168B" w:rsidRPr="00B45333">
        <w:rPr>
          <w:rFonts w:ascii="Arial" w:hAnsi="Arial" w:cs="Arial"/>
          <w:b/>
          <w:bCs/>
        </w:rPr>
        <w:t>oftware licence</w:t>
      </w:r>
      <w:r w:rsidR="0008168B" w:rsidRPr="00B45333">
        <w:rPr>
          <w:rFonts w:ascii="Arial" w:hAnsi="Arial" w:cs="Arial"/>
        </w:rPr>
        <w:t xml:space="preserve"> </w:t>
      </w:r>
      <w:r w:rsidRPr="00B45333">
        <w:rPr>
          <w:rFonts w:ascii="Arial" w:hAnsi="Arial" w:cs="Arial"/>
        </w:rPr>
        <w:t>– the purchase of software</w:t>
      </w:r>
      <w:r w:rsidR="00551301" w:rsidRPr="00B45333">
        <w:rPr>
          <w:rFonts w:ascii="Arial" w:hAnsi="Arial" w:cs="Arial"/>
        </w:rPr>
        <w:t xml:space="preserve"> </w:t>
      </w:r>
      <w:r w:rsidR="00972EEA" w:rsidRPr="00B45333">
        <w:rPr>
          <w:rFonts w:ascii="Arial" w:hAnsi="Arial" w:cs="Arial"/>
        </w:rPr>
        <w:t xml:space="preserve">provides </w:t>
      </w:r>
      <w:r w:rsidR="00551301" w:rsidRPr="00B45333">
        <w:rPr>
          <w:rFonts w:ascii="Arial" w:hAnsi="Arial" w:cs="Arial"/>
        </w:rPr>
        <w:t>the university a ‘right to use’ the software in accordance with the vendor’s terms or End User Licence Agreement (EULA). The university does not own commercial software, it purchases a licence (a right to use). Software can be licenced perpetually or on a subscription basis, using a variety of metrics to determine costs and compliance.</w:t>
      </w:r>
    </w:p>
    <w:p w14:paraId="57188A35" w14:textId="52FAC36C" w:rsidR="00FB6309" w:rsidRPr="00C96814" w:rsidRDefault="00FB6309" w:rsidP="00F035C0">
      <w:pPr>
        <w:spacing w:after="120"/>
        <w:rPr>
          <w:rFonts w:ascii="Arial" w:hAnsi="Arial" w:cs="Arial"/>
          <w:b/>
          <w:bCs/>
          <w:color w:val="000000"/>
          <w:spacing w:val="2"/>
          <w:szCs w:val="20"/>
          <w:shd w:val="clear" w:color="auto" w:fill="FFFFFF"/>
        </w:rPr>
        <w:sectPr w:rsidR="00FB6309" w:rsidRPr="00C96814" w:rsidSect="00AB79FC">
          <w:headerReference w:type="default" r:id="rId13"/>
          <w:footerReference w:type="default" r:id="rId14"/>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6464C6">
        <w:tc>
          <w:tcPr>
            <w:tcW w:w="1222" w:type="pct"/>
            <w:shd w:val="clear" w:color="auto" w:fill="auto"/>
          </w:tcPr>
          <w:p w14:paraId="5A2D9490" w14:textId="77777777" w:rsidR="006D1A97" w:rsidRPr="000209B9" w:rsidRDefault="006D1A97" w:rsidP="006464C6">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530B2713" w:rsidR="006D1A97" w:rsidRPr="000209B9" w:rsidRDefault="001F1341" w:rsidP="006464C6">
            <w:pPr>
              <w:spacing w:before="120" w:after="120"/>
              <w:rPr>
                <w:rFonts w:ascii="Arial" w:hAnsi="Arial" w:cs="Arial"/>
                <w:szCs w:val="20"/>
              </w:rPr>
            </w:pPr>
            <w:r>
              <w:rPr>
                <w:rFonts w:ascii="Arial" w:hAnsi="Arial" w:cs="Arial"/>
                <w:szCs w:val="20"/>
              </w:rPr>
              <w:t>Software Asset Management Policy</w:t>
            </w:r>
          </w:p>
        </w:tc>
      </w:tr>
      <w:tr w:rsidR="006D1A97" w14:paraId="3397A4DD" w14:textId="77777777" w:rsidTr="006464C6">
        <w:tc>
          <w:tcPr>
            <w:tcW w:w="1222" w:type="pct"/>
            <w:shd w:val="clear" w:color="auto" w:fill="E6E7E8"/>
          </w:tcPr>
          <w:p w14:paraId="794CFE4E" w14:textId="77777777" w:rsidR="006D1A97" w:rsidRPr="000209B9" w:rsidRDefault="006D1A97" w:rsidP="006464C6">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7F03A082" w:rsidR="006D1A97" w:rsidRPr="000209B9" w:rsidRDefault="00BB407A" w:rsidP="006464C6">
            <w:pPr>
              <w:spacing w:before="120" w:after="120"/>
              <w:rPr>
                <w:rFonts w:ascii="Arial" w:hAnsi="Arial" w:cs="Arial"/>
                <w:szCs w:val="20"/>
              </w:rPr>
            </w:pPr>
            <w:r w:rsidRPr="000209B9">
              <w:rPr>
                <w:rFonts w:ascii="Arial" w:hAnsi="Arial" w:cs="Arial"/>
                <w:szCs w:val="20"/>
              </w:rPr>
              <w:t>20</w:t>
            </w:r>
            <w:r w:rsidR="00AB79FC">
              <w:rPr>
                <w:rFonts w:ascii="Arial" w:hAnsi="Arial" w:cs="Arial"/>
                <w:szCs w:val="20"/>
              </w:rPr>
              <w:t>2</w:t>
            </w:r>
            <w:r w:rsidR="00370165">
              <w:rPr>
                <w:rFonts w:ascii="Arial" w:hAnsi="Arial" w:cs="Arial"/>
                <w:szCs w:val="20"/>
              </w:rPr>
              <w:t>3</w:t>
            </w:r>
            <w:r w:rsidRPr="000209B9">
              <w:rPr>
                <w:rFonts w:ascii="Arial" w:hAnsi="Arial" w:cs="Arial"/>
                <w:szCs w:val="20"/>
              </w:rPr>
              <w:t>/</w:t>
            </w:r>
            <w:r w:rsidR="00370165">
              <w:rPr>
                <w:rFonts w:ascii="Arial" w:hAnsi="Arial" w:cs="Arial"/>
                <w:szCs w:val="20"/>
              </w:rPr>
              <w:t>000101</w:t>
            </w:r>
            <w:r w:rsidR="001163D7">
              <w:rPr>
                <w:rFonts w:ascii="Arial" w:hAnsi="Arial" w:cs="Arial"/>
                <w:szCs w:val="20"/>
              </w:rPr>
              <w:t>5</w:t>
            </w:r>
          </w:p>
        </w:tc>
      </w:tr>
      <w:tr w:rsidR="006D1A97" w14:paraId="0CF1FDA4" w14:textId="77777777" w:rsidTr="006464C6">
        <w:tc>
          <w:tcPr>
            <w:tcW w:w="1222" w:type="pct"/>
            <w:shd w:val="clear" w:color="auto" w:fill="auto"/>
          </w:tcPr>
          <w:p w14:paraId="5B9C8B00" w14:textId="77777777" w:rsidR="006D1A97" w:rsidRPr="000209B9" w:rsidRDefault="006D1A97" w:rsidP="006464C6">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55C113BE" w:rsidR="006D1A97" w:rsidRPr="00FA776D" w:rsidRDefault="00FA776D" w:rsidP="00FA776D">
            <w:pPr>
              <w:rPr>
                <w:rFonts w:ascii="Arial" w:hAnsi="Arial" w:cs="Arial"/>
              </w:rPr>
            </w:pPr>
            <w:r w:rsidRPr="000F74AF">
              <w:rPr>
                <w:rFonts w:ascii="Arial" w:hAnsi="Arial" w:cs="Arial"/>
              </w:rPr>
              <w:t>This policy aims to maintain a mature and centralised software asset management approach, to ensure a compliant and optimised licensing position is maintained, including the provision of appropriate governance and oversight.</w:t>
            </w:r>
          </w:p>
        </w:tc>
      </w:tr>
      <w:tr w:rsidR="006D1A97" w14:paraId="43F34308" w14:textId="77777777" w:rsidTr="006464C6">
        <w:tc>
          <w:tcPr>
            <w:tcW w:w="1222" w:type="pct"/>
            <w:shd w:val="clear" w:color="auto" w:fill="E6E7E8"/>
          </w:tcPr>
          <w:p w14:paraId="3A9C452F" w14:textId="77777777" w:rsidR="006D1A97" w:rsidRPr="000209B9" w:rsidRDefault="006D1A97" w:rsidP="006464C6">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70FD801B" w:rsidR="006D1A97" w:rsidRPr="00EE646E" w:rsidRDefault="00BF6F31" w:rsidP="006464C6">
            <w:pPr>
              <w:spacing w:before="120" w:after="120"/>
              <w:rPr>
                <w:rFonts w:ascii="Arial" w:hAnsi="Arial" w:cs="Arial"/>
                <w:szCs w:val="20"/>
              </w:rPr>
            </w:pPr>
            <w:r>
              <w:rPr>
                <w:rFonts w:ascii="Arial" w:hAnsi="Arial" w:cs="Arial"/>
                <w:szCs w:val="20"/>
              </w:rPr>
              <w:t>Staff</w:t>
            </w:r>
          </w:p>
        </w:tc>
      </w:tr>
      <w:tr w:rsidR="006D1A97" w14:paraId="4B686D95" w14:textId="77777777" w:rsidTr="006464C6">
        <w:tc>
          <w:tcPr>
            <w:tcW w:w="1222" w:type="pct"/>
            <w:shd w:val="clear" w:color="auto" w:fill="auto"/>
          </w:tcPr>
          <w:p w14:paraId="665F750D" w14:textId="77777777" w:rsidR="006D1A97" w:rsidRPr="000209B9" w:rsidRDefault="006D1A97" w:rsidP="006464C6">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6DC660BA" w:rsidR="006D1A97" w:rsidRPr="000209B9" w:rsidRDefault="00C64897" w:rsidP="006464C6">
            <w:pPr>
              <w:spacing w:before="120" w:after="120"/>
              <w:rPr>
                <w:rFonts w:ascii="Arial" w:hAnsi="Arial" w:cs="Arial"/>
                <w:szCs w:val="20"/>
              </w:rPr>
            </w:pPr>
            <w:r w:rsidRPr="000209B9">
              <w:rPr>
                <w:rFonts w:ascii="Arial" w:hAnsi="Arial" w:cs="Arial"/>
                <w:szCs w:val="20"/>
              </w:rPr>
              <w:t>Operational</w:t>
            </w:r>
          </w:p>
        </w:tc>
      </w:tr>
      <w:tr w:rsidR="006D1A97" w14:paraId="5003F038" w14:textId="77777777" w:rsidTr="006464C6">
        <w:tc>
          <w:tcPr>
            <w:tcW w:w="1222" w:type="pct"/>
            <w:shd w:val="clear" w:color="auto" w:fill="E6E7E8"/>
          </w:tcPr>
          <w:p w14:paraId="0040C52D" w14:textId="65A3D833" w:rsidR="006D1A97" w:rsidRPr="000209B9" w:rsidRDefault="006D1A97" w:rsidP="006464C6">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07DD930F" w:rsidR="00AB79FC" w:rsidRPr="008D71DA" w:rsidRDefault="00AB79FC" w:rsidP="008D71DA">
            <w:pPr>
              <w:spacing w:before="120" w:after="120"/>
              <w:rPr>
                <w:rFonts w:ascii="Arial" w:hAnsi="Arial" w:cs="Arial"/>
                <w:szCs w:val="20"/>
              </w:rPr>
            </w:pPr>
            <w:r w:rsidRPr="008D71DA">
              <w:rPr>
                <w:rFonts w:ascii="Arial" w:hAnsi="Arial" w:cs="Arial"/>
                <w:szCs w:val="20"/>
              </w:rPr>
              <w:t>Staff</w:t>
            </w:r>
          </w:p>
        </w:tc>
      </w:tr>
      <w:tr w:rsidR="007837D8" w14:paraId="2215AE91" w14:textId="77777777" w:rsidTr="006464C6">
        <w:tc>
          <w:tcPr>
            <w:tcW w:w="1222" w:type="pct"/>
            <w:shd w:val="clear" w:color="auto" w:fill="auto"/>
          </w:tcPr>
          <w:p w14:paraId="126EA693" w14:textId="2E19AE03" w:rsidR="007837D8" w:rsidRPr="00B306C2" w:rsidRDefault="007837D8" w:rsidP="006464C6">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30457D1F" w:rsidR="007837D8" w:rsidRPr="00EE646E" w:rsidRDefault="009F2D14" w:rsidP="006464C6">
            <w:pPr>
              <w:spacing w:before="120" w:after="120"/>
              <w:rPr>
                <w:rFonts w:ascii="Arial" w:hAnsi="Arial" w:cs="Arial"/>
                <w:szCs w:val="20"/>
              </w:rPr>
            </w:pPr>
            <w:r>
              <w:rPr>
                <w:rFonts w:ascii="Arial" w:hAnsi="Arial" w:cs="Arial"/>
                <w:szCs w:val="20"/>
              </w:rPr>
              <w:t>3 April 2023</w:t>
            </w:r>
          </w:p>
        </w:tc>
      </w:tr>
      <w:tr w:rsidR="006D1A97" w14:paraId="4B3B6DDA" w14:textId="77777777" w:rsidTr="006464C6">
        <w:tc>
          <w:tcPr>
            <w:tcW w:w="1222" w:type="pct"/>
            <w:shd w:val="clear" w:color="auto" w:fill="auto"/>
          </w:tcPr>
          <w:p w14:paraId="422367F7" w14:textId="77777777" w:rsidR="006D1A97" w:rsidRPr="00EE646E" w:rsidRDefault="006D1A97" w:rsidP="006464C6">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64DD86FC" w:rsidR="006D1A97" w:rsidRPr="00EE646E" w:rsidRDefault="009F2D14" w:rsidP="006464C6">
            <w:pPr>
              <w:spacing w:before="120" w:after="120"/>
              <w:rPr>
                <w:rFonts w:ascii="Arial" w:hAnsi="Arial" w:cs="Arial"/>
                <w:szCs w:val="20"/>
              </w:rPr>
            </w:pPr>
            <w:r>
              <w:rPr>
                <w:rFonts w:ascii="Arial" w:hAnsi="Arial" w:cs="Arial"/>
                <w:szCs w:val="20"/>
              </w:rPr>
              <w:t>3 April 2023</w:t>
            </w:r>
          </w:p>
        </w:tc>
      </w:tr>
      <w:tr w:rsidR="006D1A97" w14:paraId="76DDC947" w14:textId="77777777" w:rsidTr="006464C6">
        <w:tc>
          <w:tcPr>
            <w:tcW w:w="1222" w:type="pct"/>
            <w:shd w:val="clear" w:color="auto" w:fill="E6E7E8"/>
          </w:tcPr>
          <w:p w14:paraId="41F219B0" w14:textId="77777777" w:rsidR="006D1A97" w:rsidRPr="000209B9" w:rsidRDefault="006D1A97" w:rsidP="006464C6">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3FEBE52C" w:rsidR="006D1A97" w:rsidRPr="000209B9" w:rsidRDefault="003F776C" w:rsidP="006464C6">
            <w:pPr>
              <w:spacing w:before="120" w:after="120"/>
              <w:rPr>
                <w:rFonts w:ascii="Arial" w:hAnsi="Arial" w:cs="Arial"/>
                <w:szCs w:val="20"/>
              </w:rPr>
            </w:pPr>
            <w:r>
              <w:rPr>
                <w:rFonts w:ascii="Arial" w:hAnsi="Arial" w:cs="Arial"/>
                <w:szCs w:val="20"/>
              </w:rPr>
              <w:t>2025</w:t>
            </w:r>
          </w:p>
        </w:tc>
      </w:tr>
      <w:tr w:rsidR="006D1A97" w14:paraId="72CC8086" w14:textId="77777777" w:rsidTr="006464C6">
        <w:tc>
          <w:tcPr>
            <w:tcW w:w="1222" w:type="pct"/>
            <w:shd w:val="clear" w:color="auto" w:fill="auto"/>
          </w:tcPr>
          <w:p w14:paraId="357FAE17" w14:textId="28F73799" w:rsidR="006D1A97" w:rsidRPr="000209B9" w:rsidRDefault="00AA227D" w:rsidP="006464C6">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6B774C3D" w:rsidR="006D1A97" w:rsidRPr="000209B9" w:rsidRDefault="00744E85" w:rsidP="006464C6">
            <w:pPr>
              <w:spacing w:before="120" w:after="120"/>
              <w:rPr>
                <w:rFonts w:ascii="Arial" w:hAnsi="Arial" w:cs="Arial"/>
                <w:szCs w:val="20"/>
              </w:rPr>
            </w:pPr>
            <w:r>
              <w:rPr>
                <w:rFonts w:ascii="Arial" w:hAnsi="Arial" w:cs="Arial"/>
                <w:szCs w:val="20"/>
              </w:rPr>
              <w:t>Chief Digital Officer</w:t>
            </w:r>
          </w:p>
        </w:tc>
      </w:tr>
      <w:tr w:rsidR="006D1A97" w14:paraId="5F52FDBC" w14:textId="77777777" w:rsidTr="006464C6">
        <w:tc>
          <w:tcPr>
            <w:tcW w:w="1222" w:type="pct"/>
            <w:shd w:val="clear" w:color="auto" w:fill="E6E7E8"/>
          </w:tcPr>
          <w:p w14:paraId="2A6B7869" w14:textId="77777777" w:rsidR="006D1A97" w:rsidRPr="000209B9" w:rsidRDefault="006D1A97" w:rsidP="006464C6">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14D4FCCE" w14:textId="3C854D14" w:rsidR="006D1A97" w:rsidRDefault="008E346F" w:rsidP="006464C6">
            <w:pPr>
              <w:spacing w:before="120" w:after="120"/>
              <w:rPr>
                <w:rFonts w:ascii="Arial" w:hAnsi="Arial" w:cs="Arial"/>
                <w:szCs w:val="20"/>
              </w:rPr>
            </w:pPr>
            <w:r>
              <w:rPr>
                <w:rFonts w:ascii="Arial" w:hAnsi="Arial" w:cs="Arial"/>
                <w:szCs w:val="20"/>
              </w:rPr>
              <w:t xml:space="preserve">Chief </w:t>
            </w:r>
            <w:r w:rsidR="00744E85">
              <w:rPr>
                <w:rFonts w:ascii="Arial" w:hAnsi="Arial" w:cs="Arial"/>
                <w:szCs w:val="20"/>
              </w:rPr>
              <w:t>Operating Officer</w:t>
            </w:r>
          </w:p>
          <w:p w14:paraId="77F724FD" w14:textId="2E33D090" w:rsidR="008B48A8" w:rsidRPr="000209B9" w:rsidRDefault="008B48A8" w:rsidP="006464C6">
            <w:pPr>
              <w:spacing w:before="120" w:after="120"/>
              <w:rPr>
                <w:rFonts w:ascii="Arial" w:hAnsi="Arial" w:cs="Arial"/>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0E2A8A">
            <w:pPr>
              <w:spacing w:before="120" w:after="120"/>
              <w:rPr>
                <w:rFonts w:ascii="Arial" w:hAnsi="Arial" w:cs="Arial"/>
              </w:rPr>
            </w:pPr>
            <w:r w:rsidRPr="00FC5552">
              <w:rPr>
                <w:rFonts w:ascii="Arial" w:hAnsi="Arial" w:cs="Arial"/>
                <w:b/>
                <w:bCs/>
                <w:caps/>
                <w:color w:val="FFFFFF" w:themeColor="background1"/>
                <w:sz w:val="24"/>
                <w:szCs w:val="24"/>
              </w:rPr>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7101AC86" w14:textId="1A817214" w:rsidR="00575B66" w:rsidRDefault="00FD308C" w:rsidP="000E2A8A">
            <w:pPr>
              <w:spacing w:before="120" w:after="120"/>
              <w:rPr>
                <w:rFonts w:ascii="Arial" w:hAnsi="Arial" w:cs="Arial"/>
              </w:rPr>
            </w:pPr>
            <w:hyperlink r:id="rId15" w:history="1">
              <w:r w:rsidR="00575B66" w:rsidRPr="00974D58">
                <w:rPr>
                  <w:rStyle w:val="Hyperlink"/>
                  <w:rFonts w:ascii="Arial" w:hAnsi="Arial" w:cs="Arial"/>
                </w:rPr>
                <w:t xml:space="preserve">Queensland Government – Procurement and Disposal </w:t>
              </w:r>
              <w:r w:rsidR="009C4EFE" w:rsidRPr="00974D58">
                <w:rPr>
                  <w:rStyle w:val="Hyperlink"/>
                  <w:rFonts w:ascii="Arial" w:hAnsi="Arial" w:cs="Arial"/>
                </w:rPr>
                <w:t>of ICT</w:t>
              </w:r>
              <w:r w:rsidR="00914F5A" w:rsidRPr="00974D58">
                <w:rPr>
                  <w:rStyle w:val="Hyperlink"/>
                  <w:rFonts w:ascii="Arial" w:hAnsi="Arial" w:cs="Arial"/>
                </w:rPr>
                <w:t xml:space="preserve"> </w:t>
              </w:r>
              <w:r w:rsidR="009C4EFE" w:rsidRPr="00974D58">
                <w:rPr>
                  <w:rStyle w:val="Hyperlink"/>
                  <w:rFonts w:ascii="Arial" w:hAnsi="Arial" w:cs="Arial"/>
                </w:rPr>
                <w:t>products and services policy (IS13)</w:t>
              </w:r>
            </w:hyperlink>
          </w:p>
          <w:p w14:paraId="3C6AE059" w14:textId="4E8911D9" w:rsidR="009C4EFE" w:rsidRPr="000209B9" w:rsidRDefault="00FD308C" w:rsidP="000E2A8A">
            <w:pPr>
              <w:spacing w:before="120" w:after="120"/>
              <w:rPr>
                <w:rFonts w:ascii="Arial" w:hAnsi="Arial" w:cs="Arial"/>
              </w:rPr>
            </w:pPr>
            <w:hyperlink r:id="rId16" w:history="1">
              <w:r w:rsidR="009C4EFE" w:rsidRPr="00BD1F1F">
                <w:rPr>
                  <w:rStyle w:val="Hyperlink"/>
                  <w:rFonts w:ascii="Arial" w:hAnsi="Arial" w:cs="Arial"/>
                </w:rPr>
                <w:t>Queensland Government – Software Asset Management Policy</w:t>
              </w:r>
            </w:hyperlink>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2CC8DF45" w14:textId="77777777" w:rsidR="009927D0" w:rsidRDefault="00FD308C" w:rsidP="000E2A8A">
            <w:pPr>
              <w:spacing w:before="120" w:after="120"/>
              <w:rPr>
                <w:rFonts w:ascii="Arial" w:hAnsi="Arial" w:cs="Arial"/>
                <w:color w:val="E30918"/>
                <w:u w:val="single"/>
              </w:rPr>
            </w:pPr>
            <w:hyperlink r:id="rId17" w:history="1">
              <w:r w:rsidR="009927D0" w:rsidRPr="009927D0">
                <w:rPr>
                  <w:rStyle w:val="Hyperlink"/>
                  <w:rFonts w:ascii="Arial" w:hAnsi="Arial" w:cs="Arial"/>
                </w:rPr>
                <w:t>Procurement and Supply Policy</w:t>
              </w:r>
            </w:hyperlink>
          </w:p>
          <w:p w14:paraId="3AC644ED" w14:textId="77777777" w:rsidR="00A9544E" w:rsidRDefault="00A9544E" w:rsidP="000E2A8A">
            <w:pPr>
              <w:spacing w:before="120" w:after="120"/>
              <w:rPr>
                <w:rFonts w:ascii="Arial" w:hAnsi="Arial" w:cs="Arial"/>
                <w:color w:val="E30918"/>
                <w:u w:val="single"/>
              </w:rPr>
            </w:pPr>
            <w:r>
              <w:rPr>
                <w:rFonts w:ascii="Arial" w:hAnsi="Arial" w:cs="Arial"/>
                <w:color w:val="E30918"/>
                <w:u w:val="single"/>
              </w:rPr>
              <w:t xml:space="preserve">Cloud Hosting </w:t>
            </w:r>
            <w:hyperlink r:id="rId18" w:history="1">
              <w:r w:rsidRPr="00A80D14">
                <w:rPr>
                  <w:rStyle w:val="Hyperlink"/>
                  <w:rFonts w:ascii="Arial" w:hAnsi="Arial" w:cs="Arial"/>
                </w:rPr>
                <w:t>Policy</w:t>
              </w:r>
            </w:hyperlink>
          </w:p>
          <w:p w14:paraId="74F78377" w14:textId="77777777" w:rsidR="000463AF" w:rsidRDefault="00FD308C" w:rsidP="000E2A8A">
            <w:pPr>
              <w:spacing w:before="120" w:after="120"/>
              <w:rPr>
                <w:rFonts w:ascii="Arial" w:hAnsi="Arial" w:cs="Arial"/>
                <w:color w:val="E30918"/>
                <w:u w:val="single"/>
              </w:rPr>
            </w:pPr>
            <w:hyperlink r:id="rId19" w:history="1">
              <w:r w:rsidR="000463AF" w:rsidRPr="000463AF">
                <w:rPr>
                  <w:rStyle w:val="Hyperlink"/>
                  <w:rFonts w:ascii="Arial" w:hAnsi="Arial" w:cs="Arial"/>
                </w:rPr>
                <w:t>Asset Management Policy</w:t>
              </w:r>
            </w:hyperlink>
          </w:p>
          <w:p w14:paraId="65DB4EF8" w14:textId="77777777" w:rsidR="004F039F" w:rsidRDefault="004F039F" w:rsidP="000E2A8A">
            <w:pPr>
              <w:spacing w:before="120" w:after="120"/>
              <w:rPr>
                <w:rFonts w:ascii="Arial" w:hAnsi="Arial" w:cs="Arial"/>
                <w:color w:val="E30918"/>
                <w:u w:val="single"/>
              </w:rPr>
            </w:pPr>
            <w:r>
              <w:rPr>
                <w:rFonts w:ascii="Arial" w:hAnsi="Arial" w:cs="Arial"/>
                <w:color w:val="E30918"/>
                <w:u w:val="single"/>
              </w:rPr>
              <w:t xml:space="preserve">Enterprise Information </w:t>
            </w:r>
            <w:hyperlink r:id="rId20" w:history="1">
              <w:r w:rsidRPr="001C1D4E">
                <w:rPr>
                  <w:rStyle w:val="Hyperlink"/>
                  <w:rFonts w:ascii="Arial" w:hAnsi="Arial" w:cs="Arial"/>
                </w:rPr>
                <w:t>Systems</w:t>
              </w:r>
            </w:hyperlink>
            <w:r>
              <w:rPr>
                <w:rFonts w:ascii="Arial" w:hAnsi="Arial" w:cs="Arial"/>
                <w:color w:val="E30918"/>
                <w:u w:val="single"/>
              </w:rPr>
              <w:t xml:space="preserve"> Policy</w:t>
            </w:r>
          </w:p>
          <w:p w14:paraId="57E2FC6C" w14:textId="13AED78F" w:rsidR="001C1D4E" w:rsidRPr="000209B9" w:rsidRDefault="001D5B64" w:rsidP="000E2A8A">
            <w:pPr>
              <w:spacing w:before="120" w:after="120"/>
              <w:rPr>
                <w:rFonts w:ascii="Arial" w:hAnsi="Arial" w:cs="Arial"/>
                <w:color w:val="E30918"/>
                <w:szCs w:val="20"/>
                <w:u w:val="single"/>
              </w:rPr>
            </w:pPr>
            <w:r>
              <w:rPr>
                <w:rFonts w:ascii="Arial" w:hAnsi="Arial" w:cs="Arial"/>
                <w:color w:val="E30918"/>
                <w:u w:val="single"/>
              </w:rPr>
              <w:t xml:space="preserve">Information </w:t>
            </w:r>
            <w:hyperlink r:id="rId21" w:history="1">
              <w:r w:rsidRPr="001D5B64">
                <w:rPr>
                  <w:rStyle w:val="Hyperlink"/>
                  <w:rFonts w:ascii="Arial" w:hAnsi="Arial" w:cs="Arial"/>
                </w:rPr>
                <w:t>Security</w:t>
              </w:r>
            </w:hyperlink>
            <w:r>
              <w:rPr>
                <w:rFonts w:ascii="Arial" w:hAnsi="Arial" w:cs="Arial"/>
                <w:color w:val="E30918"/>
                <w:u w:val="single"/>
              </w:rPr>
              <w:t xml:space="preserve"> Policy</w:t>
            </w:r>
          </w:p>
        </w:tc>
      </w:tr>
      <w:tr w:rsidR="00BD083F" w14:paraId="4F2E48CD" w14:textId="77777777" w:rsidTr="006464C6">
        <w:trPr>
          <w:tblHeader/>
        </w:trPr>
        <w:tc>
          <w:tcPr>
            <w:tcW w:w="1222" w:type="pct"/>
            <w:shd w:val="clear" w:color="auto" w:fill="auto"/>
          </w:tcPr>
          <w:p w14:paraId="04ABE946" w14:textId="77777777" w:rsidR="00AA227D" w:rsidRPr="000209B9" w:rsidRDefault="00AA227D" w:rsidP="000E2A8A">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5220CB91" w14:textId="500C1019" w:rsidR="00AA227D" w:rsidRPr="000209B9" w:rsidRDefault="001B5AD6" w:rsidP="000E2A8A">
            <w:pPr>
              <w:spacing w:before="120" w:after="120"/>
              <w:rPr>
                <w:rFonts w:ascii="Arial" w:hAnsi="Arial" w:cs="Arial"/>
                <w:szCs w:val="20"/>
              </w:rPr>
            </w:pPr>
            <w:r>
              <w:rPr>
                <w:rFonts w:ascii="Arial" w:hAnsi="Arial" w:cs="Arial"/>
                <w:szCs w:val="20"/>
              </w:rPr>
              <w:t>N/A</w:t>
            </w:r>
          </w:p>
        </w:tc>
      </w:tr>
    </w:tbl>
    <w:p w14:paraId="680A8379" w14:textId="03BA350E" w:rsidR="00DA3C93" w:rsidRPr="00DA3C93" w:rsidRDefault="00DA3C93" w:rsidP="00140E32">
      <w:pPr>
        <w:tabs>
          <w:tab w:val="left" w:pos="8550"/>
        </w:tabs>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2A86" w14:textId="77777777" w:rsidR="0083220A" w:rsidRDefault="0083220A" w:rsidP="00F45E9C">
      <w:r>
        <w:separator/>
      </w:r>
    </w:p>
  </w:endnote>
  <w:endnote w:type="continuationSeparator" w:id="0">
    <w:p w14:paraId="12D9394E" w14:textId="77777777" w:rsidR="0083220A" w:rsidRDefault="0083220A" w:rsidP="00F45E9C">
      <w:r>
        <w:continuationSeparator/>
      </w:r>
    </w:p>
  </w:endnote>
  <w:endnote w:type="continuationNotice" w:id="1">
    <w:p w14:paraId="42C48799" w14:textId="77777777" w:rsidR="0083220A" w:rsidRDefault="00832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ourier New"/>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1B802D6D"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83840"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8288DE" id="Group 3" o:spid="_x0000_s1026" style="position:absolute;margin-left:0;margin-top:-231.75pt;width:280.7pt;height:280.65pt;z-index:25168384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Pr="000209B9">
          <w:rPr>
            <w:rFonts w:asciiTheme="minorHAnsi" w:hAnsiTheme="minorHAnsi" w:cstheme="minorHAnsi"/>
            <w:color w:val="70787B"/>
            <w:sz w:val="15"/>
            <w:szCs w:val="15"/>
          </w:rPr>
          <w:t>&lt;</w:t>
        </w:r>
        <w:r w:rsidR="007A75C3">
          <w:rPr>
            <w:rFonts w:asciiTheme="minorHAnsi" w:hAnsiTheme="minorHAnsi" w:cstheme="minorHAnsi"/>
            <w:color w:val="70787B"/>
            <w:sz w:val="15"/>
            <w:szCs w:val="15"/>
          </w:rPr>
          <w:t>Software Asset Management Policy</w:t>
        </w:r>
        <w:r w:rsidRPr="000209B9">
          <w:rPr>
            <w:rFonts w:asciiTheme="minorHAnsi" w:hAnsiTheme="minorHAnsi" w:cstheme="minorHAnsi"/>
            <w:color w:val="70787B"/>
            <w:sz w:val="15"/>
            <w:szCs w:val="15"/>
          </w:rPr>
          <w:t xml:space="preserve"> | </w:t>
        </w:r>
        <w:r w:rsidR="007A75C3">
          <w:rPr>
            <w:rFonts w:asciiTheme="minorHAnsi" w:hAnsiTheme="minorHAnsi" w:cstheme="minorHAnsi"/>
            <w:color w:val="70787B"/>
            <w:sz w:val="15"/>
            <w:szCs w:val="15"/>
          </w:rPr>
          <w:t xml:space="preserve">April </w:t>
        </w:r>
        <w:r w:rsidRPr="000209B9">
          <w:rPr>
            <w:rFonts w:asciiTheme="minorHAnsi" w:hAnsiTheme="minorHAnsi" w:cstheme="minorHAnsi"/>
            <w:color w:val="70787B"/>
            <w:sz w:val="15"/>
            <w:szCs w:val="15"/>
          </w:rPr>
          <w:t>20</w:t>
        </w:r>
        <w:r w:rsidR="007A75C3">
          <w:rPr>
            <w:rFonts w:asciiTheme="minorHAnsi" w:hAnsiTheme="minorHAnsi" w:cstheme="minorHAnsi"/>
            <w:color w:val="70787B"/>
            <w:sz w:val="15"/>
            <w:szCs w:val="15"/>
          </w:rPr>
          <w:t>23</w:t>
        </w:r>
        <w:r w:rsidRPr="000209B9">
          <w:rPr>
            <w:rFonts w:asciiTheme="minorHAnsi" w:hAnsiTheme="minorHAnsi" w:cstheme="minorHAnsi"/>
            <w:color w:val="70787B"/>
            <w:sz w:val="15"/>
            <w:szCs w:val="15"/>
          </w:rPr>
          <w:t xml:space="preserve"> </w:t>
        </w:r>
      </w:p>
      <w:p w14:paraId="148BAFEF" w14:textId="4FB1FB5F"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073304" w:rsidRPr="001004A8">
          <w:rPr>
            <w:rFonts w:asciiTheme="minorHAnsi" w:hAnsiTheme="minorHAnsi" w:cstheme="minorHAnsi"/>
            <w:color w:val="70787B"/>
            <w:sz w:val="15"/>
            <w:szCs w:val="15"/>
          </w:rPr>
          <w:t>2023</w:t>
        </w:r>
        <w:r w:rsidRPr="00AB79FC">
          <w:rPr>
            <w:rFonts w:asciiTheme="minorHAnsi" w:hAnsiTheme="minorHAnsi" w:cstheme="minorHAnsi"/>
            <w:color w:val="70787B"/>
            <w:sz w:val="15"/>
            <w:szCs w:val="15"/>
            <w:highlight w:val="yellow"/>
          </w:rPr>
          <w:t>/</w:t>
        </w:r>
        <w:r w:rsidR="003F53B1">
          <w:rPr>
            <w:rFonts w:asciiTheme="minorHAnsi" w:hAnsiTheme="minorHAnsi" w:cstheme="minorHAnsi"/>
            <w:color w:val="70787B"/>
            <w:sz w:val="15"/>
            <w:szCs w:val="15"/>
          </w:rPr>
          <w:t>0001015</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108AF335" w:rsidR="00EC76B1" w:rsidRDefault="003F53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Software Asset Management P</w:t>
        </w:r>
        <w:r w:rsidR="001004A8">
          <w:rPr>
            <w:rFonts w:asciiTheme="minorHAnsi" w:hAnsiTheme="minorHAnsi" w:cstheme="minorHAnsi"/>
            <w:color w:val="70787B"/>
            <w:sz w:val="15"/>
            <w:szCs w:val="15"/>
          </w:rPr>
          <w:t>o</w:t>
        </w:r>
        <w:r>
          <w:rPr>
            <w:rFonts w:asciiTheme="minorHAnsi" w:hAnsiTheme="minorHAnsi" w:cstheme="minorHAnsi"/>
            <w:color w:val="70787B"/>
            <w:sz w:val="15"/>
            <w:szCs w:val="15"/>
          </w:rPr>
          <w:t>licy</w:t>
        </w:r>
        <w:r w:rsidR="00EC76B1"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 2023</w:t>
        </w:r>
        <w:r w:rsidR="00EC76B1" w:rsidRPr="000209B9">
          <w:rPr>
            <w:rFonts w:asciiTheme="minorHAnsi" w:hAnsiTheme="minorHAnsi" w:cstheme="minorHAnsi"/>
            <w:color w:val="70787B"/>
            <w:sz w:val="15"/>
            <w:szCs w:val="15"/>
          </w:rPr>
          <w:t xml:space="preserve"> </w:t>
        </w:r>
      </w:p>
      <w:p w14:paraId="40026289" w14:textId="0D7D899D"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004A8" w:rsidRPr="001004A8">
          <w:rPr>
            <w:rFonts w:asciiTheme="minorHAnsi" w:hAnsiTheme="minorHAnsi" w:cstheme="minorHAnsi"/>
            <w:color w:val="70787B"/>
            <w:sz w:val="15"/>
            <w:szCs w:val="15"/>
          </w:rPr>
          <w:t>2023/</w:t>
        </w:r>
        <w:r w:rsidR="001004A8">
          <w:rPr>
            <w:rFonts w:asciiTheme="minorHAnsi" w:hAnsiTheme="minorHAnsi" w:cstheme="minorHAnsi"/>
            <w:color w:val="70787B"/>
            <w:sz w:val="15"/>
            <w:szCs w:val="15"/>
          </w:rPr>
          <w:t>0001015</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F19" w14:textId="77777777" w:rsidR="0083220A" w:rsidRDefault="0083220A" w:rsidP="00F45E9C">
      <w:r>
        <w:separator/>
      </w:r>
    </w:p>
  </w:footnote>
  <w:footnote w:type="continuationSeparator" w:id="0">
    <w:p w14:paraId="44CF11CE" w14:textId="77777777" w:rsidR="0083220A" w:rsidRDefault="0083220A" w:rsidP="00F45E9C">
      <w:r>
        <w:continuationSeparator/>
      </w:r>
    </w:p>
  </w:footnote>
  <w:footnote w:type="continuationNotice" w:id="1">
    <w:p w14:paraId="0D0F68CC" w14:textId="77777777" w:rsidR="0083220A" w:rsidRDefault="00832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63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" fillcolor="#ec1d24" stroked="f" strokeweight="1pt"/>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C2A20"/>
    <w:multiLevelType w:val="hybridMultilevel"/>
    <w:tmpl w:val="F5A2E16C"/>
    <w:lvl w:ilvl="0" w:tplc="D2386362">
      <w:start w:val="1"/>
      <w:numFmt w:val="bullet"/>
      <w:lvlText w:val=""/>
      <w:lvlJc w:val="left"/>
      <w:pPr>
        <w:ind w:left="360" w:hanging="360"/>
      </w:pPr>
      <w:rPr>
        <w:rFonts w:ascii="Symbol" w:hAnsi="Symbol" w:hint="default"/>
        <w:color w:val="E309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6" w15:restartNumberingAfterBreak="0">
    <w:nsid w:val="67573C92"/>
    <w:multiLevelType w:val="hybridMultilevel"/>
    <w:tmpl w:val="017405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7B6053"/>
    <w:multiLevelType w:val="hybridMultilevel"/>
    <w:tmpl w:val="4560D0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6270242">
    <w:abstractNumId w:val="5"/>
  </w:num>
  <w:num w:numId="2" w16cid:durableId="849948552">
    <w:abstractNumId w:val="2"/>
  </w:num>
  <w:num w:numId="3" w16cid:durableId="1647320031">
    <w:abstractNumId w:val="15"/>
  </w:num>
  <w:num w:numId="4" w16cid:durableId="152528941">
    <w:abstractNumId w:val="34"/>
  </w:num>
  <w:num w:numId="5" w16cid:durableId="1402673183">
    <w:abstractNumId w:val="20"/>
  </w:num>
  <w:num w:numId="6" w16cid:durableId="1162281015">
    <w:abstractNumId w:val="18"/>
  </w:num>
  <w:num w:numId="7" w16cid:durableId="912466687">
    <w:abstractNumId w:val="23"/>
  </w:num>
  <w:num w:numId="8" w16cid:durableId="299848402">
    <w:abstractNumId w:val="4"/>
  </w:num>
  <w:num w:numId="9" w16cid:durableId="1627198469">
    <w:abstractNumId w:val="8"/>
  </w:num>
  <w:num w:numId="10" w16cid:durableId="1084644977">
    <w:abstractNumId w:val="28"/>
  </w:num>
  <w:num w:numId="11" w16cid:durableId="33778542">
    <w:abstractNumId w:val="13"/>
  </w:num>
  <w:num w:numId="12" w16cid:durableId="67075807">
    <w:abstractNumId w:val="24"/>
  </w:num>
  <w:num w:numId="13" w16cid:durableId="1730834581">
    <w:abstractNumId w:val="3"/>
  </w:num>
  <w:num w:numId="14" w16cid:durableId="12073077">
    <w:abstractNumId w:val="25"/>
  </w:num>
  <w:num w:numId="15" w16cid:durableId="1013921947">
    <w:abstractNumId w:val="1"/>
  </w:num>
  <w:num w:numId="16" w16cid:durableId="2038507190">
    <w:abstractNumId w:val="9"/>
  </w:num>
  <w:num w:numId="17" w16cid:durableId="737552018">
    <w:abstractNumId w:val="0"/>
  </w:num>
  <w:num w:numId="18" w16cid:durableId="1313413770">
    <w:abstractNumId w:val="19"/>
  </w:num>
  <w:num w:numId="19" w16cid:durableId="410078460">
    <w:abstractNumId w:val="21"/>
  </w:num>
  <w:num w:numId="20" w16cid:durableId="2065446567">
    <w:abstractNumId w:val="14"/>
  </w:num>
  <w:num w:numId="21" w16cid:durableId="1729769412">
    <w:abstractNumId w:val="12"/>
  </w:num>
  <w:num w:numId="22" w16cid:durableId="904221013">
    <w:abstractNumId w:val="11"/>
  </w:num>
  <w:num w:numId="23" w16cid:durableId="1897157402">
    <w:abstractNumId w:val="22"/>
  </w:num>
  <w:num w:numId="24" w16cid:durableId="945579914">
    <w:abstractNumId w:val="32"/>
  </w:num>
  <w:num w:numId="25" w16cid:durableId="641345103">
    <w:abstractNumId w:val="16"/>
  </w:num>
  <w:num w:numId="26" w16cid:durableId="569465513">
    <w:abstractNumId w:val="6"/>
  </w:num>
  <w:num w:numId="27" w16cid:durableId="1774476572">
    <w:abstractNumId w:val="10"/>
  </w:num>
  <w:num w:numId="28" w16cid:durableId="1284848048">
    <w:abstractNumId w:val="27"/>
  </w:num>
  <w:num w:numId="29" w16cid:durableId="100731798">
    <w:abstractNumId w:val="7"/>
  </w:num>
  <w:num w:numId="30" w16cid:durableId="1888955512">
    <w:abstractNumId w:val="29"/>
  </w:num>
  <w:num w:numId="31" w16cid:durableId="650014833">
    <w:abstractNumId w:val="33"/>
  </w:num>
  <w:num w:numId="32" w16cid:durableId="579752594">
    <w:abstractNumId w:val="30"/>
  </w:num>
  <w:num w:numId="33" w16cid:durableId="2025784839">
    <w:abstractNumId w:val="31"/>
  </w:num>
  <w:num w:numId="34" w16cid:durableId="1780562110">
    <w:abstractNumId w:val="26"/>
  </w:num>
  <w:num w:numId="35" w16cid:durableId="14575977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463AF"/>
    <w:rsid w:val="00050910"/>
    <w:rsid w:val="00051573"/>
    <w:rsid w:val="00052E7B"/>
    <w:rsid w:val="00053A5F"/>
    <w:rsid w:val="00055951"/>
    <w:rsid w:val="000576DF"/>
    <w:rsid w:val="000674C0"/>
    <w:rsid w:val="00071436"/>
    <w:rsid w:val="00073304"/>
    <w:rsid w:val="0008168B"/>
    <w:rsid w:val="00081FC0"/>
    <w:rsid w:val="000A2081"/>
    <w:rsid w:val="000A63B9"/>
    <w:rsid w:val="000B0F2B"/>
    <w:rsid w:val="000B3767"/>
    <w:rsid w:val="000B7D0C"/>
    <w:rsid w:val="000B7F44"/>
    <w:rsid w:val="000C1DCD"/>
    <w:rsid w:val="000D5843"/>
    <w:rsid w:val="000E2A8A"/>
    <w:rsid w:val="000E46E9"/>
    <w:rsid w:val="000E4CBE"/>
    <w:rsid w:val="000E5D52"/>
    <w:rsid w:val="000E5D83"/>
    <w:rsid w:val="000F0714"/>
    <w:rsid w:val="000F0B20"/>
    <w:rsid w:val="000F74AF"/>
    <w:rsid w:val="001004A8"/>
    <w:rsid w:val="00102763"/>
    <w:rsid w:val="00102D19"/>
    <w:rsid w:val="001040E4"/>
    <w:rsid w:val="00105063"/>
    <w:rsid w:val="0010768E"/>
    <w:rsid w:val="001163D7"/>
    <w:rsid w:val="00122CF0"/>
    <w:rsid w:val="001254E2"/>
    <w:rsid w:val="0013141E"/>
    <w:rsid w:val="00140E32"/>
    <w:rsid w:val="00147A35"/>
    <w:rsid w:val="00147B11"/>
    <w:rsid w:val="00152D7D"/>
    <w:rsid w:val="001537D5"/>
    <w:rsid w:val="00154760"/>
    <w:rsid w:val="00162972"/>
    <w:rsid w:val="001735D3"/>
    <w:rsid w:val="0017412E"/>
    <w:rsid w:val="00180115"/>
    <w:rsid w:val="00180673"/>
    <w:rsid w:val="00180A28"/>
    <w:rsid w:val="00181BF5"/>
    <w:rsid w:val="00187960"/>
    <w:rsid w:val="00192ACD"/>
    <w:rsid w:val="001957E9"/>
    <w:rsid w:val="001A0DF5"/>
    <w:rsid w:val="001A138A"/>
    <w:rsid w:val="001A1ABF"/>
    <w:rsid w:val="001A1ACE"/>
    <w:rsid w:val="001A1FEC"/>
    <w:rsid w:val="001B5AD6"/>
    <w:rsid w:val="001C1D4E"/>
    <w:rsid w:val="001D0C8A"/>
    <w:rsid w:val="001D0DB6"/>
    <w:rsid w:val="001D2660"/>
    <w:rsid w:val="001D5B64"/>
    <w:rsid w:val="001E6438"/>
    <w:rsid w:val="001F1341"/>
    <w:rsid w:val="002015FA"/>
    <w:rsid w:val="002043F8"/>
    <w:rsid w:val="002241DB"/>
    <w:rsid w:val="00224B0B"/>
    <w:rsid w:val="00231E7F"/>
    <w:rsid w:val="00242660"/>
    <w:rsid w:val="00246CB4"/>
    <w:rsid w:val="00250382"/>
    <w:rsid w:val="00257E43"/>
    <w:rsid w:val="002622BC"/>
    <w:rsid w:val="0027526D"/>
    <w:rsid w:val="0027646D"/>
    <w:rsid w:val="00292052"/>
    <w:rsid w:val="002A1DE8"/>
    <w:rsid w:val="002A78A0"/>
    <w:rsid w:val="002B02ED"/>
    <w:rsid w:val="002B100C"/>
    <w:rsid w:val="002B5AE6"/>
    <w:rsid w:val="002C4450"/>
    <w:rsid w:val="002D64A4"/>
    <w:rsid w:val="002E1C61"/>
    <w:rsid w:val="002E4FA8"/>
    <w:rsid w:val="002F13EA"/>
    <w:rsid w:val="002F5132"/>
    <w:rsid w:val="002F52A9"/>
    <w:rsid w:val="003045F8"/>
    <w:rsid w:val="00322FF9"/>
    <w:rsid w:val="00332215"/>
    <w:rsid w:val="00332EC1"/>
    <w:rsid w:val="00333B53"/>
    <w:rsid w:val="003504C4"/>
    <w:rsid w:val="00350CB0"/>
    <w:rsid w:val="00350DE3"/>
    <w:rsid w:val="00352033"/>
    <w:rsid w:val="003602D1"/>
    <w:rsid w:val="00363A85"/>
    <w:rsid w:val="003664F0"/>
    <w:rsid w:val="00370165"/>
    <w:rsid w:val="00370E3F"/>
    <w:rsid w:val="003757C4"/>
    <w:rsid w:val="0037658D"/>
    <w:rsid w:val="00376FB2"/>
    <w:rsid w:val="00382F39"/>
    <w:rsid w:val="00385F16"/>
    <w:rsid w:val="003873FF"/>
    <w:rsid w:val="003B0C9A"/>
    <w:rsid w:val="003B1D32"/>
    <w:rsid w:val="003C20B4"/>
    <w:rsid w:val="003C4CA3"/>
    <w:rsid w:val="003C786F"/>
    <w:rsid w:val="003D0FE4"/>
    <w:rsid w:val="003D418D"/>
    <w:rsid w:val="003D51F2"/>
    <w:rsid w:val="003D5267"/>
    <w:rsid w:val="003D57D1"/>
    <w:rsid w:val="003D5B12"/>
    <w:rsid w:val="003E0B6D"/>
    <w:rsid w:val="003E1E69"/>
    <w:rsid w:val="003E514B"/>
    <w:rsid w:val="003F2781"/>
    <w:rsid w:val="003F53B1"/>
    <w:rsid w:val="003F776C"/>
    <w:rsid w:val="004022DD"/>
    <w:rsid w:val="004127D7"/>
    <w:rsid w:val="00413A8A"/>
    <w:rsid w:val="004144E6"/>
    <w:rsid w:val="00414B79"/>
    <w:rsid w:val="00423383"/>
    <w:rsid w:val="00425B14"/>
    <w:rsid w:val="00441014"/>
    <w:rsid w:val="004415B7"/>
    <w:rsid w:val="004430BB"/>
    <w:rsid w:val="00447872"/>
    <w:rsid w:val="00452F4C"/>
    <w:rsid w:val="00457151"/>
    <w:rsid w:val="00463053"/>
    <w:rsid w:val="00464423"/>
    <w:rsid w:val="00470DC3"/>
    <w:rsid w:val="004723ED"/>
    <w:rsid w:val="00473800"/>
    <w:rsid w:val="00492069"/>
    <w:rsid w:val="004A0679"/>
    <w:rsid w:val="004A6E71"/>
    <w:rsid w:val="004B25E1"/>
    <w:rsid w:val="004B38E1"/>
    <w:rsid w:val="004C49E3"/>
    <w:rsid w:val="004D0EE6"/>
    <w:rsid w:val="004D2BE0"/>
    <w:rsid w:val="004D7998"/>
    <w:rsid w:val="004F039F"/>
    <w:rsid w:val="004F3E9A"/>
    <w:rsid w:val="00500023"/>
    <w:rsid w:val="0050415F"/>
    <w:rsid w:val="00505151"/>
    <w:rsid w:val="005104A1"/>
    <w:rsid w:val="00511137"/>
    <w:rsid w:val="00525C75"/>
    <w:rsid w:val="00541F5A"/>
    <w:rsid w:val="0054556E"/>
    <w:rsid w:val="00545FF8"/>
    <w:rsid w:val="00547ADF"/>
    <w:rsid w:val="00551301"/>
    <w:rsid w:val="00553B87"/>
    <w:rsid w:val="0055651E"/>
    <w:rsid w:val="00557E43"/>
    <w:rsid w:val="00560079"/>
    <w:rsid w:val="00564685"/>
    <w:rsid w:val="005649EC"/>
    <w:rsid w:val="005703AB"/>
    <w:rsid w:val="005738ED"/>
    <w:rsid w:val="00573A3D"/>
    <w:rsid w:val="005758D8"/>
    <w:rsid w:val="00575B66"/>
    <w:rsid w:val="00577FA9"/>
    <w:rsid w:val="005859FB"/>
    <w:rsid w:val="00590C60"/>
    <w:rsid w:val="0059138E"/>
    <w:rsid w:val="005A03C1"/>
    <w:rsid w:val="005A09EF"/>
    <w:rsid w:val="005A612B"/>
    <w:rsid w:val="005B5914"/>
    <w:rsid w:val="005B5C34"/>
    <w:rsid w:val="005C15C5"/>
    <w:rsid w:val="005C3DBA"/>
    <w:rsid w:val="005E2BCC"/>
    <w:rsid w:val="005E4006"/>
    <w:rsid w:val="00611E7C"/>
    <w:rsid w:val="00620C28"/>
    <w:rsid w:val="006341EA"/>
    <w:rsid w:val="006464C6"/>
    <w:rsid w:val="00647006"/>
    <w:rsid w:val="00650F00"/>
    <w:rsid w:val="0065542A"/>
    <w:rsid w:val="006616B3"/>
    <w:rsid w:val="006626D7"/>
    <w:rsid w:val="00667F05"/>
    <w:rsid w:val="00667F87"/>
    <w:rsid w:val="006724AD"/>
    <w:rsid w:val="00674AC7"/>
    <w:rsid w:val="00676E5C"/>
    <w:rsid w:val="00683E5F"/>
    <w:rsid w:val="00686AED"/>
    <w:rsid w:val="00696054"/>
    <w:rsid w:val="006A4F70"/>
    <w:rsid w:val="006B5D3A"/>
    <w:rsid w:val="006C182A"/>
    <w:rsid w:val="006C2418"/>
    <w:rsid w:val="006D1A97"/>
    <w:rsid w:val="006D2227"/>
    <w:rsid w:val="00701F3E"/>
    <w:rsid w:val="00702795"/>
    <w:rsid w:val="00704A2C"/>
    <w:rsid w:val="00707E82"/>
    <w:rsid w:val="0071121B"/>
    <w:rsid w:val="0071388E"/>
    <w:rsid w:val="007176E3"/>
    <w:rsid w:val="0072491E"/>
    <w:rsid w:val="00742899"/>
    <w:rsid w:val="00744E85"/>
    <w:rsid w:val="007527C8"/>
    <w:rsid w:val="00752F96"/>
    <w:rsid w:val="0075505C"/>
    <w:rsid w:val="0075730D"/>
    <w:rsid w:val="00761065"/>
    <w:rsid w:val="0076122F"/>
    <w:rsid w:val="007706AB"/>
    <w:rsid w:val="00771F35"/>
    <w:rsid w:val="0077331A"/>
    <w:rsid w:val="00773B30"/>
    <w:rsid w:val="0077631B"/>
    <w:rsid w:val="00776C5D"/>
    <w:rsid w:val="007837D8"/>
    <w:rsid w:val="00784315"/>
    <w:rsid w:val="007866BC"/>
    <w:rsid w:val="0078767D"/>
    <w:rsid w:val="0079386C"/>
    <w:rsid w:val="00797551"/>
    <w:rsid w:val="007A3046"/>
    <w:rsid w:val="007A578C"/>
    <w:rsid w:val="007A75C3"/>
    <w:rsid w:val="007B23FB"/>
    <w:rsid w:val="007B685A"/>
    <w:rsid w:val="007C00D0"/>
    <w:rsid w:val="007C744D"/>
    <w:rsid w:val="007D2C38"/>
    <w:rsid w:val="007E7482"/>
    <w:rsid w:val="007F1C81"/>
    <w:rsid w:val="00807345"/>
    <w:rsid w:val="008075B2"/>
    <w:rsid w:val="00813D87"/>
    <w:rsid w:val="00823301"/>
    <w:rsid w:val="00825110"/>
    <w:rsid w:val="008267C5"/>
    <w:rsid w:val="00830E02"/>
    <w:rsid w:val="00831703"/>
    <w:rsid w:val="0083220A"/>
    <w:rsid w:val="00834839"/>
    <w:rsid w:val="00843997"/>
    <w:rsid w:val="0084695A"/>
    <w:rsid w:val="008542C4"/>
    <w:rsid w:val="00854ED8"/>
    <w:rsid w:val="0086273D"/>
    <w:rsid w:val="00863385"/>
    <w:rsid w:val="00871013"/>
    <w:rsid w:val="008A5CCB"/>
    <w:rsid w:val="008B48A8"/>
    <w:rsid w:val="008B625E"/>
    <w:rsid w:val="008C56C6"/>
    <w:rsid w:val="008D14C7"/>
    <w:rsid w:val="008D5BD2"/>
    <w:rsid w:val="008D71DA"/>
    <w:rsid w:val="008E346F"/>
    <w:rsid w:val="008E4C9F"/>
    <w:rsid w:val="008E5D69"/>
    <w:rsid w:val="008E7228"/>
    <w:rsid w:val="008F42AC"/>
    <w:rsid w:val="008F592E"/>
    <w:rsid w:val="008F5D03"/>
    <w:rsid w:val="00902125"/>
    <w:rsid w:val="00911012"/>
    <w:rsid w:val="0091111B"/>
    <w:rsid w:val="00911B41"/>
    <w:rsid w:val="0091205A"/>
    <w:rsid w:val="00912993"/>
    <w:rsid w:val="00914F5A"/>
    <w:rsid w:val="00920336"/>
    <w:rsid w:val="009252DB"/>
    <w:rsid w:val="0092637C"/>
    <w:rsid w:val="00926581"/>
    <w:rsid w:val="00933D23"/>
    <w:rsid w:val="00936D5F"/>
    <w:rsid w:val="009459B4"/>
    <w:rsid w:val="00945B70"/>
    <w:rsid w:val="00946B2D"/>
    <w:rsid w:val="00954F24"/>
    <w:rsid w:val="00960E56"/>
    <w:rsid w:val="0096474B"/>
    <w:rsid w:val="00972EEA"/>
    <w:rsid w:val="0097437D"/>
    <w:rsid w:val="00974D58"/>
    <w:rsid w:val="00974E55"/>
    <w:rsid w:val="00980F8E"/>
    <w:rsid w:val="00983C8A"/>
    <w:rsid w:val="0098690D"/>
    <w:rsid w:val="0098747B"/>
    <w:rsid w:val="00990C3D"/>
    <w:rsid w:val="0099187B"/>
    <w:rsid w:val="009927D0"/>
    <w:rsid w:val="00996806"/>
    <w:rsid w:val="0099689E"/>
    <w:rsid w:val="00997D62"/>
    <w:rsid w:val="009A18F0"/>
    <w:rsid w:val="009B3179"/>
    <w:rsid w:val="009B7685"/>
    <w:rsid w:val="009C3D6A"/>
    <w:rsid w:val="009C4EFE"/>
    <w:rsid w:val="009E2F2F"/>
    <w:rsid w:val="009F15CB"/>
    <w:rsid w:val="009F2D14"/>
    <w:rsid w:val="009F313A"/>
    <w:rsid w:val="009F6603"/>
    <w:rsid w:val="009F66F7"/>
    <w:rsid w:val="00A04082"/>
    <w:rsid w:val="00A127BD"/>
    <w:rsid w:val="00A1311D"/>
    <w:rsid w:val="00A24E55"/>
    <w:rsid w:val="00A25AA1"/>
    <w:rsid w:val="00A40D57"/>
    <w:rsid w:val="00A50C42"/>
    <w:rsid w:val="00A50ED4"/>
    <w:rsid w:val="00A60321"/>
    <w:rsid w:val="00A63331"/>
    <w:rsid w:val="00A63937"/>
    <w:rsid w:val="00A64338"/>
    <w:rsid w:val="00A65908"/>
    <w:rsid w:val="00A7785F"/>
    <w:rsid w:val="00A80D14"/>
    <w:rsid w:val="00A84CEC"/>
    <w:rsid w:val="00A8677D"/>
    <w:rsid w:val="00A9544E"/>
    <w:rsid w:val="00A95F56"/>
    <w:rsid w:val="00A961AC"/>
    <w:rsid w:val="00AA227D"/>
    <w:rsid w:val="00AA4460"/>
    <w:rsid w:val="00AB30DD"/>
    <w:rsid w:val="00AB5659"/>
    <w:rsid w:val="00AB79FC"/>
    <w:rsid w:val="00AC25B5"/>
    <w:rsid w:val="00AD12FC"/>
    <w:rsid w:val="00AE4EA8"/>
    <w:rsid w:val="00AF3B1E"/>
    <w:rsid w:val="00AF4034"/>
    <w:rsid w:val="00AF5BF6"/>
    <w:rsid w:val="00B03A41"/>
    <w:rsid w:val="00B04BAA"/>
    <w:rsid w:val="00B12E6A"/>
    <w:rsid w:val="00B17881"/>
    <w:rsid w:val="00B25419"/>
    <w:rsid w:val="00B25692"/>
    <w:rsid w:val="00B25A19"/>
    <w:rsid w:val="00B268D5"/>
    <w:rsid w:val="00B306C2"/>
    <w:rsid w:val="00B30922"/>
    <w:rsid w:val="00B34AA7"/>
    <w:rsid w:val="00B4330B"/>
    <w:rsid w:val="00B43C60"/>
    <w:rsid w:val="00B45333"/>
    <w:rsid w:val="00B53615"/>
    <w:rsid w:val="00B544FE"/>
    <w:rsid w:val="00B66AB7"/>
    <w:rsid w:val="00B67268"/>
    <w:rsid w:val="00B81079"/>
    <w:rsid w:val="00B847D5"/>
    <w:rsid w:val="00B90033"/>
    <w:rsid w:val="00B93176"/>
    <w:rsid w:val="00B954C5"/>
    <w:rsid w:val="00BA5B5E"/>
    <w:rsid w:val="00BA729F"/>
    <w:rsid w:val="00BA7F01"/>
    <w:rsid w:val="00BB332B"/>
    <w:rsid w:val="00BB407A"/>
    <w:rsid w:val="00BB57EF"/>
    <w:rsid w:val="00BB66B5"/>
    <w:rsid w:val="00BC3ED3"/>
    <w:rsid w:val="00BC55CF"/>
    <w:rsid w:val="00BD083F"/>
    <w:rsid w:val="00BD1F1F"/>
    <w:rsid w:val="00BF01F5"/>
    <w:rsid w:val="00BF4C05"/>
    <w:rsid w:val="00BF6F31"/>
    <w:rsid w:val="00C16500"/>
    <w:rsid w:val="00C17019"/>
    <w:rsid w:val="00C27F61"/>
    <w:rsid w:val="00C311BE"/>
    <w:rsid w:val="00C31ECA"/>
    <w:rsid w:val="00C33CC5"/>
    <w:rsid w:val="00C40554"/>
    <w:rsid w:val="00C43588"/>
    <w:rsid w:val="00C44A1B"/>
    <w:rsid w:val="00C5755D"/>
    <w:rsid w:val="00C61357"/>
    <w:rsid w:val="00C64897"/>
    <w:rsid w:val="00C655EF"/>
    <w:rsid w:val="00C74FCB"/>
    <w:rsid w:val="00C8018E"/>
    <w:rsid w:val="00C80F2E"/>
    <w:rsid w:val="00C87FBA"/>
    <w:rsid w:val="00C91165"/>
    <w:rsid w:val="00C96814"/>
    <w:rsid w:val="00CA74F9"/>
    <w:rsid w:val="00CB102C"/>
    <w:rsid w:val="00CB5A81"/>
    <w:rsid w:val="00CC43B2"/>
    <w:rsid w:val="00CC69B4"/>
    <w:rsid w:val="00CD4DCE"/>
    <w:rsid w:val="00CD6D22"/>
    <w:rsid w:val="00CE0A50"/>
    <w:rsid w:val="00CE2478"/>
    <w:rsid w:val="00CE4484"/>
    <w:rsid w:val="00CF2EBA"/>
    <w:rsid w:val="00D20DE3"/>
    <w:rsid w:val="00D31975"/>
    <w:rsid w:val="00D33E0C"/>
    <w:rsid w:val="00D35A2C"/>
    <w:rsid w:val="00D44766"/>
    <w:rsid w:val="00D5114B"/>
    <w:rsid w:val="00D66192"/>
    <w:rsid w:val="00D6694E"/>
    <w:rsid w:val="00D66ECF"/>
    <w:rsid w:val="00D67F1F"/>
    <w:rsid w:val="00D725A0"/>
    <w:rsid w:val="00D855AA"/>
    <w:rsid w:val="00D86597"/>
    <w:rsid w:val="00D87683"/>
    <w:rsid w:val="00D87A3F"/>
    <w:rsid w:val="00D94F19"/>
    <w:rsid w:val="00D95767"/>
    <w:rsid w:val="00DA348D"/>
    <w:rsid w:val="00DA3C93"/>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40567"/>
    <w:rsid w:val="00E406BB"/>
    <w:rsid w:val="00E5631A"/>
    <w:rsid w:val="00E61154"/>
    <w:rsid w:val="00E84FFA"/>
    <w:rsid w:val="00E86FBC"/>
    <w:rsid w:val="00EA00C0"/>
    <w:rsid w:val="00EA268C"/>
    <w:rsid w:val="00EA6390"/>
    <w:rsid w:val="00EA6454"/>
    <w:rsid w:val="00EB44B7"/>
    <w:rsid w:val="00EB67EB"/>
    <w:rsid w:val="00EB789F"/>
    <w:rsid w:val="00EC0BCC"/>
    <w:rsid w:val="00EC76B1"/>
    <w:rsid w:val="00ED12B6"/>
    <w:rsid w:val="00ED158A"/>
    <w:rsid w:val="00EE02E1"/>
    <w:rsid w:val="00EE421A"/>
    <w:rsid w:val="00EE646E"/>
    <w:rsid w:val="00EF083E"/>
    <w:rsid w:val="00EF0FC1"/>
    <w:rsid w:val="00EF2D1C"/>
    <w:rsid w:val="00EF4F3F"/>
    <w:rsid w:val="00F014A2"/>
    <w:rsid w:val="00F02DBB"/>
    <w:rsid w:val="00F035C0"/>
    <w:rsid w:val="00F06B1A"/>
    <w:rsid w:val="00F0792C"/>
    <w:rsid w:val="00F13E06"/>
    <w:rsid w:val="00F14269"/>
    <w:rsid w:val="00F14687"/>
    <w:rsid w:val="00F3151F"/>
    <w:rsid w:val="00F41226"/>
    <w:rsid w:val="00F45E9C"/>
    <w:rsid w:val="00F53069"/>
    <w:rsid w:val="00F5679E"/>
    <w:rsid w:val="00F65E11"/>
    <w:rsid w:val="00F673C0"/>
    <w:rsid w:val="00F801FF"/>
    <w:rsid w:val="00F814A4"/>
    <w:rsid w:val="00F82838"/>
    <w:rsid w:val="00F85467"/>
    <w:rsid w:val="00F92F84"/>
    <w:rsid w:val="00F97A5A"/>
    <w:rsid w:val="00FA1219"/>
    <w:rsid w:val="00FA222C"/>
    <w:rsid w:val="00FA64E1"/>
    <w:rsid w:val="00FA776D"/>
    <w:rsid w:val="00FB04B3"/>
    <w:rsid w:val="00FB0914"/>
    <w:rsid w:val="00FB353A"/>
    <w:rsid w:val="00FB60AE"/>
    <w:rsid w:val="00FB6309"/>
    <w:rsid w:val="00FB7F8C"/>
    <w:rsid w:val="00FC11A6"/>
    <w:rsid w:val="00FC25DD"/>
    <w:rsid w:val="00FC4968"/>
    <w:rsid w:val="00FC4EBB"/>
    <w:rsid w:val="00FC5552"/>
    <w:rsid w:val="00FD308C"/>
    <w:rsid w:val="00FD4F36"/>
    <w:rsid w:val="00FD5A49"/>
    <w:rsid w:val="00FE0943"/>
    <w:rsid w:val="00FE28CF"/>
    <w:rsid w:val="00FE50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65614360">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harepointpubstor.blob.core.windows.net/policylibrary-prod/Cloud%20Hosting%20Policy.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Information%20Management%20Procedur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harepointpubstor.blob.core.windows.net/policylibrary-prod/Procurement%20and%20Supply%20Policy.pdf" TargetMode="External"/><Relationship Id="rId2" Type="http://schemas.openxmlformats.org/officeDocument/2006/relationships/customXml" Target="../customXml/item2.xml"/><Relationship Id="rId16" Type="http://schemas.openxmlformats.org/officeDocument/2006/relationships/hyperlink" Target="https://www.forgov.qld.gov.au/information-and-communication-technology/qgea-policies-standards-and-guidelines/software-asset-management-policy" TargetMode="External"/><Relationship Id="rId20" Type="http://schemas.openxmlformats.org/officeDocument/2006/relationships/hyperlink" Target="https://sharepointpubstor.blob.core.windows.net/policylibrary-prod/Enterprise%20Information%20Systems%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orgov.qld.gov.au/information-and-communication-technology/qgea-policies-standards-and-guidelines/procurement-and-disposal-of-ict-products-and-services-is13-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Assets%20Management%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2023-04-06T01:46:22+00:00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 xsi:nil="true"/>
    <PolicyCategory0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530</Value>
      <Value>116</Value>
      <Value>77</Value>
      <Value>546</Value>
    </TaxCatchAll>
    <PolicyCategoryParent xmlns="2f261a70-825f-4a37-b7b5-f6ecc2f4c5fa" xsi:nil="true"/>
    <LastPublished xmlns="2f261a70-825f-4a37-b7b5-f6ecc2f4c5fa" xsi:nil="true"/>
    <doccomments xmlns="2f261a70-825f-4a37-b7b5-f6ecc2f4c5fa" xsi:nil="true"/>
    <datedeclared xmlns="2f261a70-825f-4a37-b7b5-f6ecc2f4c5fa">2023-04-02T14:00:00+00:00</datedeclared>
    <PrivatePolicy xmlns="2f261a70-825f-4a37-b7b5-f6ecc2f4c5fa">false</PrivatePolicy>
    <policyadvisor xmlns="2f261a70-825f-4a37-b7b5-f6ecc2f4c5fa">
      <UserInfo>
        <DisplayName>Zoran Sugarevski</DisplayName>
        <AccountId>369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9" ma:contentTypeDescription="Create a new document." ma:contentTypeScope="" ma:versionID="2fd45f32103564abf55d5b96b5de187b">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a6925272c4d7d1b417c58b5a43e0945"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purl.org/dc/terms/"/>
    <ds:schemaRef ds:uri="b40c662e-0380-4817-843d-2c7e10d40c39"/>
    <ds:schemaRef ds:uri="http://purl.org/dc/dcmitype/"/>
    <ds:schemaRef ds:uri="http://schemas.microsoft.com/office/infopath/2007/PartnerControls"/>
    <ds:schemaRef ds:uri="http://schemas.openxmlformats.org/package/2006/metadata/core-properties"/>
    <ds:schemaRef ds:uri="2f261a70-825f-4a37-b7b5-f6ecc2f4c5f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B8B70660-5940-42DF-8693-F0F69F47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39</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Links>
    <vt:vector size="12" baseType="variant">
      <vt:variant>
        <vt:i4>524382</vt:i4>
      </vt:variant>
      <vt:variant>
        <vt:i4>18</vt:i4>
      </vt:variant>
      <vt:variant>
        <vt:i4>0</vt:i4>
      </vt:variant>
      <vt:variant>
        <vt:i4>5</vt:i4>
      </vt:variant>
      <vt:variant>
        <vt:lpwstr>https://policies.griffith.edu.au/pages/glossary.aspx?Letter=A</vt:lpwstr>
      </vt:variant>
      <vt:variant>
        <vt:lpwstr/>
      </vt:variant>
      <vt:variant>
        <vt:i4>1966161</vt:i4>
      </vt:variant>
      <vt:variant>
        <vt:i4>15</vt:i4>
      </vt:variant>
      <vt:variant>
        <vt:i4>0</vt:i4>
      </vt:variant>
      <vt:variant>
        <vt:i4>5</vt:i4>
      </vt:variant>
      <vt:variant>
        <vt:lpwstr>http://policies.griffith.edu.au/pdf/Approving Authorities for University 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Asset Management Policy</dc:title>
  <dc:subject/>
  <dc:creator/>
  <cp:keywords/>
  <dc:description/>
  <cp:lastModifiedBy>John Montgomery</cp:lastModifiedBy>
  <cp:revision>22</cp:revision>
  <cp:lastPrinted>2019-10-02T04:35:00Z</cp:lastPrinted>
  <dcterms:created xsi:type="dcterms:W3CDTF">2023-04-06T01:05:00Z</dcterms:created>
  <dcterms:modified xsi:type="dcterms:W3CDTF">2023-04-12T22:49:00Z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2023-03-09T00:40:22Z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35aaf3a0-c5a6-4744-8c06-b9bdcead621c</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546;#Chief Operating Officer|11706a4f-afb0-46bb-a734-c26b0b045f02</vt:lpwstr>
  </property>
  <property fmtid="{D5CDD505-2E9C-101B-9397-08002B2CF9AE}" pid="19" name="policycategory">
    <vt:lpwstr/>
  </property>
  <property fmtid="{D5CDD505-2E9C-101B-9397-08002B2CF9AE}" pid="20" name="officearea">
    <vt:lpwstr/>
  </property>
  <property fmtid="{D5CDD505-2E9C-101B-9397-08002B2CF9AE}" pid="21" name="Managed_Testing_Field">
    <vt:lpwstr/>
  </property>
  <property fmtid="{D5CDD505-2E9C-101B-9397-08002B2CF9AE}" pid="22" name="policy-category">
    <vt:lpwstr>530;#Information Management|f468d782-3aac-450e-b45e-a150693b9ac8</vt:lpwstr>
  </property>
  <property fmtid="{D5CDD505-2E9C-101B-9397-08002B2CF9AE}" pid="23" name="glossaryterms">
    <vt:lpwstr/>
  </property>
  <property fmtid="{D5CDD505-2E9C-101B-9397-08002B2CF9AE}" pid="24" name="policyreview">
    <vt:lpwstr>116;#2025|fa1cf741-e18b-4093-9127-a4b8f49df0e9</vt:lpwstr>
  </property>
  <property fmtid="{D5CDD505-2E9C-101B-9397-08002B2CF9AE}" pid="25" name="policyaudience">
    <vt:lpwstr>77;#Staff|45ee306d-49ae-43fa-a3ef-02f70754fd2d</vt:lpwstr>
  </property>
</Properties>
</file>