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06D94455" w14:textId="77777777">
      <w:pPr>
        <w:rPr>
          <w:sz w:val="20"/>
        </w:rPr>
      </w:pPr>
      <w:r>
        <w:rPr>
          <w:noProof/>
          <w:sz w:val="20"/>
        </w:rPr>
        <mc:AlternateContent>
          <mc:Choice Requires="wps">
            <w:drawing>
              <wp:anchor distT="0" distB="0" distL="114300" distR="114300" simplePos="0" relativeHeight="251658240" behindDoc="0" locked="0" layoutInCell="1" allowOverlap="1" wp14:anchorId="06D944A9" wp14:editId="06D944AA">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62" w:rsidP="00B66CBA" w:rsidRDefault="00234762" w14:paraId="06D944B4" w14:textId="77777777">
                            <w:pPr>
                              <w:ind w:left="426"/>
                            </w:pPr>
                            <w:r>
                              <w:rPr>
                                <w:noProof/>
                              </w:rPr>
                              <w:drawing>
                                <wp:inline distT="0" distB="0" distL="0" distR="0" wp14:anchorId="06D944B5" wp14:editId="06D944B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6D944A9">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">
                <v:textbox style="mso-fit-shape-to-text:t">
                  <w:txbxContent>
                    <w:p w:rsidR="00234762" w:rsidP="00B66CBA" w:rsidRDefault="00234762" w14:paraId="06D944B4" w14:textId="77777777">
                      <w:pPr>
                        <w:ind w:left="426"/>
                      </w:pPr>
                      <w:r>
                        <w:rPr>
                          <w:noProof/>
                        </w:rPr>
                        <w:drawing>
                          <wp:inline distT="0" distB="0" distL="0" distR="0" wp14:anchorId="06D944B5" wp14:editId="06D944B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C10B43" w14:paraId="06D94456" w14:textId="77777777">
      <w:pPr>
        <w:spacing w:before="360" w:after="240"/>
        <w:ind w:left="0"/>
        <w:jc w:val="left"/>
        <w:rPr>
          <w:rFonts w:cs="Arial"/>
          <w:sz w:val="32"/>
          <w:szCs w:val="32"/>
        </w:rPr>
      </w:pPr>
      <w:r>
        <w:rPr>
          <w:rFonts w:cs="Arial"/>
          <w:color w:val="333333"/>
          <w:sz w:val="32"/>
          <w:szCs w:val="32"/>
        </w:rPr>
        <w:t>Schedule of High Risk Biological Materials monitored by the University Biosafety Committee</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2CC1A081" w14:paraId="06D94459"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06D94457"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06D94458" w14:textId="77777777">
            <w:pPr>
              <w:spacing w:after="0"/>
              <w:ind w:left="159"/>
              <w:rPr>
                <w:rFonts w:cs="Arial"/>
                <w:sz w:val="12"/>
                <w:szCs w:val="12"/>
              </w:rPr>
            </w:pPr>
          </w:p>
        </w:tc>
      </w:tr>
      <w:tr w:rsidRPr="00D614DF" w:rsidR="00B86B55" w:rsidTr="2CC1A081" w14:paraId="06D9445C" w14:textId="77777777">
        <w:tc>
          <w:tcPr>
            <w:tcW w:w="2410" w:type="dxa"/>
            <w:tcBorders>
              <w:right w:val="single" w:color="D9D9D9" w:themeColor="background1" w:themeShade="D9" w:sz="12" w:space="0"/>
            </w:tcBorders>
            <w:tcMar/>
            <w:vAlign w:val="center"/>
          </w:tcPr>
          <w:p w:rsidRPr="00D614DF" w:rsidR="00B86B55" w:rsidP="002A6AA2" w:rsidRDefault="00B86B55" w14:paraId="06D9445A"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168E7EAC" w:rsidRDefault="00B44BC1" w14:paraId="06D9445B" w14:textId="4AF0001A">
            <w:pPr>
              <w:spacing w:before="60" w:after="60"/>
              <w:ind w:left="159"/>
              <w:rPr>
                <w:rFonts w:cs="Arial"/>
                <w:sz w:val="20"/>
              </w:rPr>
            </w:pPr>
            <w:r w:rsidRPr="168E7EAC">
              <w:rPr>
                <w:rFonts w:cs="Arial"/>
                <w:sz w:val="20"/>
              </w:rPr>
              <w:t>Deputy Vice Chancellor</w:t>
            </w:r>
            <w:r w:rsidRPr="168E7EAC" w:rsidR="00E22959">
              <w:rPr>
                <w:rFonts w:cs="Arial"/>
                <w:sz w:val="20"/>
              </w:rPr>
              <w:t xml:space="preserve"> (</w:t>
            </w:r>
            <w:r w:rsidRPr="168E7EAC" w:rsidR="51947934">
              <w:rPr>
                <w:rFonts w:cs="Arial"/>
                <w:sz w:val="20"/>
              </w:rPr>
              <w:t>Research</w:t>
            </w:r>
            <w:r w:rsidRPr="168E7EAC" w:rsidR="00E22959">
              <w:rPr>
                <w:rFonts w:cs="Arial"/>
                <w:sz w:val="20"/>
              </w:rPr>
              <w:t>)</w:t>
            </w:r>
          </w:p>
        </w:tc>
      </w:tr>
      <w:tr w:rsidRPr="00D614DF" w:rsidR="00B86B55" w:rsidTr="2CC1A081" w14:paraId="06D9445F" w14:textId="77777777">
        <w:tc>
          <w:tcPr>
            <w:tcW w:w="2410" w:type="dxa"/>
            <w:tcBorders>
              <w:right w:val="single" w:color="D9D9D9" w:themeColor="background1" w:themeShade="D9" w:sz="12" w:space="0"/>
            </w:tcBorders>
            <w:tcMar/>
            <w:vAlign w:val="center"/>
          </w:tcPr>
          <w:p w:rsidRPr="00D614DF" w:rsidR="00B86B55" w:rsidP="002A6AA2" w:rsidRDefault="00B86B55" w14:paraId="06D9445D"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A6AA2" w:rsidRDefault="00362053" w14:paraId="06D9445E" w14:textId="4B040574">
            <w:pPr>
              <w:spacing w:before="60" w:after="60"/>
              <w:ind w:left="159"/>
              <w:rPr>
                <w:rFonts w:cs="Arial"/>
                <w:sz w:val="20"/>
              </w:rPr>
            </w:pPr>
            <w:r w:rsidRPr="00362053">
              <w:rPr>
                <w:rFonts w:cs="Arial"/>
                <w:sz w:val="20"/>
              </w:rPr>
              <w:t>21 January 2019</w:t>
            </w:r>
          </w:p>
        </w:tc>
      </w:tr>
      <w:tr w:rsidRPr="00D614DF" w:rsidR="00B84CA3" w:rsidTr="2CC1A081" w14:paraId="4D9F8B6A" w14:textId="77777777">
        <w:tc>
          <w:tcPr>
            <w:tcW w:w="2410" w:type="dxa"/>
            <w:tcBorders>
              <w:right w:val="single" w:color="D9D9D9" w:themeColor="background1" w:themeShade="D9" w:sz="12" w:space="0"/>
            </w:tcBorders>
            <w:tcMar/>
          </w:tcPr>
          <w:p w:rsidR="00B84CA3" w:rsidP="002A6AA2" w:rsidRDefault="00B84CA3" w14:paraId="718F2700" w14:textId="74B5737B">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C10B43" w:rsidR="00B84CA3" w:rsidP="2AFD8177" w:rsidRDefault="1C1D3040" w14:paraId="1BD82210" w14:textId="0E1F73D0">
            <w:pPr>
              <w:spacing w:before="60" w:after="60"/>
              <w:ind w:left="159"/>
              <w:jc w:val="left"/>
              <w:rPr>
                <w:rFonts w:cs="Arial"/>
                <w:sz w:val="20"/>
              </w:rPr>
            </w:pPr>
            <w:r w:rsidRPr="2AFD8177">
              <w:rPr>
                <w:rFonts w:cs="Arial"/>
                <w:sz w:val="20"/>
              </w:rPr>
              <w:t>Deputy Director, Research Policy | Office for Research</w:t>
            </w:r>
            <w:r w:rsidR="00B84CA3">
              <w:br/>
            </w:r>
            <w:hyperlink r:id="rId12">
              <w:r w:rsidRPr="2AFD8177">
                <w:rPr>
                  <w:rStyle w:val="Hyperlink"/>
                  <w:rFonts w:cs="Arial"/>
                  <w:sz w:val="20"/>
                </w:rPr>
                <w:t>ubc@griffith.edu.au</w:t>
              </w:r>
            </w:hyperlink>
            <w:r w:rsidRPr="2AFD8177">
              <w:rPr>
                <w:rFonts w:cs="Arial"/>
                <w:sz w:val="20"/>
              </w:rPr>
              <w:t xml:space="preserve"> </w:t>
            </w:r>
            <w:r w:rsidRPr="2AFD8177" w:rsidR="00B44BC1">
              <w:rPr>
                <w:rFonts w:cs="Arial"/>
                <w:sz w:val="20"/>
              </w:rPr>
              <w:t>| (07) 373 5</w:t>
            </w:r>
            <w:r w:rsidRPr="2AFD8177" w:rsidR="3D59CF03">
              <w:rPr>
                <w:rFonts w:cs="Arial"/>
                <w:sz w:val="20"/>
              </w:rPr>
              <w:t>4110</w:t>
            </w:r>
          </w:p>
        </w:tc>
      </w:tr>
      <w:tr w:rsidRPr="00D614DF" w:rsidR="00B84CA3" w:rsidTr="2CC1A081" w14:paraId="06D94465" w14:textId="77777777">
        <w:tc>
          <w:tcPr>
            <w:tcW w:w="2410" w:type="dxa"/>
            <w:tcBorders>
              <w:bottom w:val="nil"/>
              <w:right w:val="single" w:color="D9D9D9" w:themeColor="background1" w:themeShade="D9" w:sz="12" w:space="0"/>
            </w:tcBorders>
            <w:tcMar/>
            <w:vAlign w:val="center"/>
          </w:tcPr>
          <w:p w:rsidR="00B84CA3" w:rsidP="00506BF1" w:rsidRDefault="00B84CA3" w14:paraId="06D94463" w14:textId="1D0BB374">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B84CA3" w:rsidP="2CC1A081" w:rsidRDefault="00B84CA3" w14:paraId="06D94464" w14:textId="0EDA1393">
            <w:pPr>
              <w:spacing w:after="60"/>
              <w:ind w:left="159"/>
              <w:jc w:val="left"/>
              <w:rPr>
                <w:rFonts w:cs="Arial"/>
                <w:sz w:val="20"/>
                <w:szCs w:val="20"/>
              </w:rPr>
            </w:pPr>
            <w:r w:rsidRPr="2CC1A081" w:rsidR="00B84CA3">
              <w:rPr>
                <w:rFonts w:cs="Arial"/>
                <w:sz w:val="20"/>
                <w:szCs w:val="20"/>
              </w:rPr>
              <w:t>20</w:t>
            </w:r>
            <w:r w:rsidRPr="2CC1A081" w:rsidR="0010246B">
              <w:rPr>
                <w:rFonts w:cs="Arial"/>
                <w:sz w:val="20"/>
                <w:szCs w:val="20"/>
              </w:rPr>
              <w:t>24</w:t>
            </w:r>
            <w:r w:rsidRPr="2CC1A081" w:rsidR="220C5232">
              <w:rPr>
                <w:rFonts w:cs="Arial"/>
                <w:sz w:val="20"/>
                <w:szCs w:val="20"/>
              </w:rPr>
              <w:t xml:space="preserve"> (Currently under review)</w:t>
            </w:r>
          </w:p>
        </w:tc>
      </w:tr>
      <w:tr w:rsidRPr="00D614DF" w:rsidR="00B86B55" w:rsidTr="2CC1A081" w14:paraId="06D94468" w14:textId="77777777">
        <w:tc>
          <w:tcPr>
            <w:tcW w:w="2410" w:type="dxa"/>
            <w:tcBorders>
              <w:bottom w:val="nil"/>
              <w:right w:val="single" w:color="D9D9D9" w:themeColor="background1" w:themeShade="D9" w:sz="12" w:space="0"/>
            </w:tcBorders>
            <w:tcMar/>
          </w:tcPr>
          <w:p w:rsidRPr="00D614DF" w:rsidR="00B86B55" w:rsidP="00B84CA3" w:rsidRDefault="00B84CA3" w14:paraId="06D94466" w14:textId="522A392D">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B84CA3" w:rsidRDefault="00B84CA3" w14:paraId="06D94467" w14:textId="59477233">
            <w:pPr>
              <w:spacing w:before="60" w:after="60"/>
              <w:ind w:left="159"/>
              <w:jc w:val="left"/>
              <w:rPr>
                <w:rFonts w:cs="Arial"/>
                <w:sz w:val="20"/>
              </w:rPr>
            </w:pPr>
            <w:r w:rsidRPr="00F32F5F">
              <w:rPr>
                <w:rFonts w:cs="Arial"/>
                <w:sz w:val="20"/>
              </w:rPr>
              <w:t>http://policies.griffith.edu.au/pdf/</w:t>
            </w:r>
            <w:r w:rsidRPr="00234762">
              <w:rPr>
                <w:rFonts w:cs="Arial"/>
                <w:sz w:val="20"/>
              </w:rPr>
              <w:t>Schedule of High Risk Biological Materials</w:t>
            </w:r>
            <w:r w:rsidRPr="00F32F5F">
              <w:rPr>
                <w:rFonts w:cs="Arial"/>
                <w:sz w:val="20"/>
              </w:rPr>
              <w:t>.pdf</w:t>
            </w:r>
          </w:p>
        </w:tc>
      </w:tr>
      <w:tr w:rsidRPr="00D614DF" w:rsidR="00B86B55" w:rsidTr="2CC1A081" w14:paraId="06D9446B"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06D94469"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D43BD5" w:rsidRDefault="00F8321B" w14:paraId="06D9446A" w14:textId="268CE5EC">
            <w:pPr>
              <w:spacing w:before="60" w:after="60"/>
              <w:ind w:left="159"/>
              <w:rPr>
                <w:rFonts w:cs="Arial"/>
                <w:sz w:val="20"/>
              </w:rPr>
            </w:pPr>
            <w:r w:rsidRPr="00F8321B">
              <w:rPr>
                <w:rFonts w:cs="Arial"/>
                <w:sz w:val="20"/>
              </w:rPr>
              <w:t>2019/0000002</w:t>
            </w:r>
          </w:p>
        </w:tc>
      </w:tr>
      <w:tr w:rsidRPr="00D614DF" w:rsidR="00E31309" w:rsidTr="2CC1A081" w14:paraId="06D9446E"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C6409F" w:rsidRDefault="00B84CA3" w14:paraId="06D9446C" w14:textId="4290DB93">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D43BD5" w:rsidRDefault="00B84CA3" w14:paraId="06D9446D" w14:textId="43FB3531">
            <w:pPr>
              <w:spacing w:before="60" w:after="60"/>
              <w:ind w:left="159"/>
              <w:rPr>
                <w:rFonts w:cs="Arial"/>
                <w:sz w:val="20"/>
              </w:rPr>
            </w:pPr>
            <w:r w:rsidRPr="00C10B43">
              <w:rPr>
                <w:rFonts w:cs="Arial"/>
                <w:sz w:val="20"/>
              </w:rPr>
              <w:t xml:space="preserve">This schedule outlines the </w:t>
            </w:r>
            <w:r w:rsidRPr="00C10B43" w:rsidR="00F8321B">
              <w:rPr>
                <w:rFonts w:cs="Arial"/>
                <w:sz w:val="20"/>
              </w:rPr>
              <w:t>high-risk</w:t>
            </w:r>
            <w:r w:rsidRPr="00C10B43">
              <w:rPr>
                <w:rFonts w:cs="Arial"/>
                <w:sz w:val="20"/>
              </w:rPr>
              <w:t xml:space="preserve"> biological materials, other than genetically modified organisms, and materials regulated by </w:t>
            </w:r>
            <w:r w:rsidR="009A2722">
              <w:rPr>
                <w:rFonts w:cs="Arial"/>
                <w:sz w:val="20"/>
              </w:rPr>
              <w:t>biosecurity</w:t>
            </w:r>
            <w:r w:rsidR="00312301">
              <w:rPr>
                <w:rFonts w:cs="Arial"/>
                <w:sz w:val="20"/>
              </w:rPr>
              <w:t xml:space="preserve"> </w:t>
            </w:r>
            <w:r w:rsidRPr="00C10B43">
              <w:rPr>
                <w:rFonts w:cs="Arial"/>
                <w:sz w:val="20"/>
              </w:rPr>
              <w:t>legislation, that are monitored by the University Biosafety Committee. This schedule should be read in conjunction with the constitution of the University Biosafety Committee.</w:t>
            </w:r>
          </w:p>
        </w:tc>
      </w:tr>
      <w:tr w:rsidRPr="00D614DF" w:rsidR="00B86B55" w:rsidTr="2CC1A081" w14:paraId="06D94471"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06D9446F"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06D94470" w14:textId="77777777">
            <w:pPr>
              <w:spacing w:before="60" w:after="60"/>
              <w:ind w:left="159"/>
              <w:rPr>
                <w:rFonts w:cs="Arial"/>
                <w:sz w:val="20"/>
              </w:rPr>
            </w:pPr>
          </w:p>
        </w:tc>
      </w:tr>
      <w:tr w:rsidRPr="00474FF5" w:rsidR="00B86B55" w:rsidTr="2CC1A081" w14:paraId="06D94474" w14:textId="77777777">
        <w:tc>
          <w:tcPr>
            <w:tcW w:w="9639" w:type="dxa"/>
            <w:gridSpan w:val="2"/>
            <w:tcBorders>
              <w:top w:val="single" w:color="D9D9D9" w:themeColor="background1" w:themeShade="D9" w:sz="12" w:space="0"/>
              <w:bottom w:val="single" w:color="D9D9D9" w:themeColor="background1" w:themeShade="D9" w:sz="12" w:space="0"/>
            </w:tcBorders>
            <w:tcMar/>
          </w:tcPr>
          <w:p w:rsidR="00234762" w:rsidP="168E7EAC" w:rsidRDefault="004626A6" w14:paraId="06D94472" w14:textId="5277D6E3">
            <w:pPr>
              <w:spacing w:before="60" w:after="60"/>
              <w:ind w:left="0"/>
              <w:jc w:val="left"/>
              <w:rPr>
                <w:rFonts w:cs="Arial"/>
                <w:sz w:val="20"/>
              </w:rPr>
            </w:pPr>
            <w:hyperlink r:id="rId13">
              <w:r w:rsidRPr="168E7EAC" w:rsidR="00D43BD5">
                <w:rPr>
                  <w:rStyle w:val="Hyperlink"/>
                  <w:rFonts w:cs="Arial"/>
                  <w:sz w:val="20"/>
                </w:rPr>
                <w:t>University Biosafety Committee C</w:t>
              </w:r>
              <w:r w:rsidRPr="168E7EAC" w:rsidR="00234762">
                <w:rPr>
                  <w:rStyle w:val="Hyperlink"/>
                  <w:rFonts w:cs="Arial"/>
                  <w:sz w:val="20"/>
                </w:rPr>
                <w:t>onstitution</w:t>
              </w:r>
            </w:hyperlink>
          </w:p>
          <w:p w:rsidRPr="00897FE2" w:rsidR="00D43BD5" w:rsidP="00234762" w:rsidRDefault="00D43BD5" w14:paraId="1111A597" w14:textId="77777777">
            <w:pPr>
              <w:spacing w:before="60" w:after="60"/>
              <w:ind w:left="0"/>
              <w:jc w:val="left"/>
              <w:rPr>
                <w:rFonts w:cs="Arial"/>
                <w:b/>
                <w:sz w:val="16"/>
                <w:szCs w:val="16"/>
              </w:rPr>
            </w:pPr>
          </w:p>
          <w:p w:rsidRPr="00D43BD5" w:rsidR="00D43BD5" w:rsidP="00234762" w:rsidRDefault="00D43BD5" w14:paraId="6B328F2E" w14:textId="0DABC0D7">
            <w:pPr>
              <w:spacing w:before="60" w:after="60"/>
              <w:ind w:left="0"/>
              <w:jc w:val="left"/>
              <w:rPr>
                <w:rFonts w:cs="Arial"/>
                <w:b/>
                <w:sz w:val="20"/>
              </w:rPr>
            </w:pPr>
            <w:r w:rsidRPr="00D43BD5">
              <w:rPr>
                <w:rFonts w:cs="Arial"/>
                <w:b/>
                <w:sz w:val="20"/>
              </w:rPr>
              <w:t>External Links:</w:t>
            </w:r>
          </w:p>
          <w:p w:rsidRPr="00A66DEF" w:rsidR="00B86B55" w:rsidP="00234762" w:rsidRDefault="00A66DEF" w14:paraId="3DA8247A" w14:textId="74F430F8">
            <w:pPr>
              <w:spacing w:before="60" w:after="60"/>
              <w:ind w:left="0"/>
              <w:rPr>
                <w:rStyle w:val="Hyperlink"/>
                <w:rFonts w:cs="Arial"/>
                <w:sz w:val="20"/>
              </w:rPr>
            </w:pPr>
            <w:r>
              <w:rPr>
                <w:rFonts w:cs="Arial"/>
                <w:sz w:val="20"/>
              </w:rPr>
              <w:fldChar w:fldCharType="begin"/>
            </w:r>
            <w:r w:rsidR="00AB5DE9">
              <w:rPr>
                <w:rFonts w:cs="Arial"/>
                <w:sz w:val="20"/>
              </w:rPr>
              <w:instrText>HYPERLINK "https://www.standards.org.au/standards-catalogue/sa-snz/publicsafety/ch-026/as-slash-nzs--2243-dot-3-2010"</w:instrText>
            </w:r>
            <w:r>
              <w:rPr>
                <w:rFonts w:cs="Arial"/>
                <w:sz w:val="20"/>
              </w:rPr>
            </w:r>
            <w:r>
              <w:rPr>
                <w:rFonts w:cs="Arial"/>
                <w:sz w:val="20"/>
              </w:rPr>
              <w:fldChar w:fldCharType="separate"/>
            </w:r>
            <w:r w:rsidRPr="00A66DEF" w:rsidR="00234762">
              <w:rPr>
                <w:rStyle w:val="Hyperlink"/>
                <w:rFonts w:cs="Arial"/>
                <w:sz w:val="20"/>
              </w:rPr>
              <w:t>Australian/New Zealand Standard AS/NZS 2243.3:2010 Safety in laboratories – Microbiological safety and containment</w:t>
            </w:r>
          </w:p>
          <w:p w:rsidRPr="009A2722" w:rsidR="00D43BD5" w:rsidP="00234762" w:rsidRDefault="00A66DEF" w14:paraId="768C4418" w14:textId="438AB9BB">
            <w:pPr>
              <w:spacing w:before="60" w:after="60"/>
              <w:ind w:left="0"/>
              <w:rPr>
                <w:rStyle w:val="Hyperlink"/>
                <w:rFonts w:cs="Arial"/>
                <w:sz w:val="20"/>
              </w:rPr>
            </w:pPr>
            <w:r>
              <w:rPr>
                <w:rFonts w:cs="Arial"/>
                <w:sz w:val="20"/>
              </w:rPr>
              <w:fldChar w:fldCharType="end"/>
            </w:r>
            <w:r w:rsidRPr="168E7EAC" w:rsidR="009A2722">
              <w:rPr>
                <w:rFonts w:cs="Arial"/>
                <w:sz w:val="20"/>
              </w:rPr>
              <w:fldChar w:fldCharType="begin"/>
            </w:r>
            <w:r w:rsidR="009A2722">
              <w:rPr>
                <w:rFonts w:cs="Arial"/>
                <w:sz w:val="20"/>
              </w:rPr>
              <w:instrText xml:space="preserve"> HYPERLINK "https://www.legislation.gov.au/Details/F2018C00287" </w:instrText>
            </w:r>
            <w:r w:rsidRPr="168E7EAC" w:rsidR="009A2722">
              <w:rPr>
                <w:rFonts w:cs="Arial"/>
                <w:sz w:val="20"/>
              </w:rPr>
            </w:r>
            <w:r w:rsidRPr="168E7EAC" w:rsidR="009A2722">
              <w:rPr>
                <w:rFonts w:cs="Arial"/>
                <w:sz w:val="20"/>
              </w:rPr>
              <w:fldChar w:fldCharType="separate"/>
            </w:r>
            <w:r w:rsidRPr="009A2722" w:rsidR="00D43BD5">
              <w:rPr>
                <w:rStyle w:val="Hyperlink"/>
                <w:rFonts w:cs="Arial"/>
                <w:sz w:val="20"/>
              </w:rPr>
              <w:t xml:space="preserve">Defence and Strategic Goods List </w:t>
            </w:r>
            <w:r w:rsidR="00312301">
              <w:rPr>
                <w:rStyle w:val="Hyperlink"/>
                <w:rFonts w:cs="Arial"/>
                <w:sz w:val="20"/>
              </w:rPr>
              <w:t>(Compilation No.8, 2018)</w:t>
            </w:r>
          </w:p>
          <w:p w:rsidRPr="00F358E0" w:rsidR="00D43BD5" w:rsidP="168E7EAC" w:rsidRDefault="009A2722" w14:paraId="42A747BB" w14:textId="1B598B1B">
            <w:pPr>
              <w:spacing w:before="60" w:after="60"/>
              <w:ind w:left="0"/>
              <w:rPr>
                <w:rStyle w:val="Hyperlink"/>
                <w:rFonts w:cs="Arial"/>
                <w:sz w:val="20"/>
              </w:rPr>
            </w:pPr>
            <w:r w:rsidRPr="168E7EAC">
              <w:rPr>
                <w:rFonts w:cs="Arial"/>
                <w:sz w:val="20"/>
              </w:rPr>
              <w:fldChar w:fldCharType="end"/>
            </w:r>
            <w:hyperlink r:id="rId14">
              <w:r w:rsidRPr="168E7EAC" w:rsidR="00D43BD5">
                <w:rPr>
                  <w:rStyle w:val="Hyperlink"/>
                  <w:rFonts w:cs="Arial"/>
                  <w:sz w:val="20"/>
                </w:rPr>
                <w:t>National Health Security Act 2007</w:t>
              </w:r>
            </w:hyperlink>
          </w:p>
          <w:p w:rsidRPr="00474FF5" w:rsidR="00C7743A" w:rsidP="00161422" w:rsidRDefault="004626A6" w14:paraId="06D94473" w14:textId="7B53B54D">
            <w:pPr>
              <w:spacing w:before="60" w:after="60"/>
              <w:ind w:left="0"/>
              <w:rPr>
                <w:rFonts w:cs="Arial"/>
                <w:sz w:val="20"/>
              </w:rPr>
            </w:pPr>
            <w:hyperlink w:history="1" r:id="rId15">
              <w:r w:rsidRPr="00F358E0" w:rsidR="00787E3E">
                <w:rPr>
                  <w:rStyle w:val="Hyperlink"/>
                  <w:rFonts w:cs="Arial"/>
                  <w:sz w:val="20"/>
                </w:rPr>
                <w:t>National Health Security Regulations 2018</w:t>
              </w:r>
            </w:hyperlink>
          </w:p>
        </w:tc>
      </w:tr>
    </w:tbl>
    <w:p w:rsidR="00E31309" w:rsidP="00521B7D" w:rsidRDefault="00E31309" w14:paraId="06D94475" w14:textId="77777777">
      <w:pPr>
        <w:tabs>
          <w:tab w:val="left" w:pos="567"/>
        </w:tabs>
        <w:ind w:left="0"/>
        <w:rPr>
          <w:rFonts w:cs="Arial"/>
          <w:sz w:val="20"/>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000" w:firstRow="0" w:lastRow="0" w:firstColumn="0" w:lastColumn="0" w:noHBand="0" w:noVBand="0"/>
      </w:tblPr>
      <w:tblGrid>
        <w:gridCol w:w="9515"/>
      </w:tblGrid>
      <w:tr w:rsidRPr="00234762" w:rsidR="00234762" w:rsidTr="168E7EAC" w14:paraId="06D94477" w14:textId="77777777">
        <w:tc>
          <w:tcPr>
            <w:tcW w:w="9741" w:type="dxa"/>
          </w:tcPr>
          <w:p w:rsidRPr="00234762" w:rsidR="00234762" w:rsidP="00521B7D" w:rsidRDefault="00234762" w14:paraId="06D94476" w14:textId="1B2BF388">
            <w:pPr>
              <w:tabs>
                <w:tab w:val="left" w:pos="567"/>
              </w:tabs>
              <w:spacing w:before="60" w:after="60"/>
              <w:ind w:left="0"/>
              <w:rPr>
                <w:rFonts w:cs="Arial"/>
                <w:sz w:val="20"/>
              </w:rPr>
            </w:pPr>
            <w:r w:rsidRPr="00521B7D">
              <w:rPr>
                <w:rFonts w:cs="Arial"/>
                <w:b/>
                <w:sz w:val="20"/>
              </w:rPr>
              <w:t>Risk Group 4</w:t>
            </w:r>
            <w:r w:rsidRPr="00234762">
              <w:rPr>
                <w:rFonts w:cs="Arial"/>
                <w:sz w:val="20"/>
              </w:rPr>
              <w:t xml:space="preserve"> microorganisms</w:t>
            </w:r>
            <w:r w:rsidR="009A61ED">
              <w:rPr>
                <w:rFonts w:cs="Arial"/>
                <w:sz w:val="20"/>
              </w:rPr>
              <w:t>,</w:t>
            </w:r>
            <w:r w:rsidR="00F3097B">
              <w:rPr>
                <w:rFonts w:cs="Arial"/>
                <w:sz w:val="20"/>
              </w:rPr>
              <w:t xml:space="preserve"> that </w:t>
            </w:r>
            <w:r w:rsidR="00C13843">
              <w:rPr>
                <w:rFonts w:cs="Arial"/>
                <w:sz w:val="20"/>
              </w:rPr>
              <w:t>may</w:t>
            </w:r>
            <w:r w:rsidR="00F3097B">
              <w:rPr>
                <w:rFonts w:cs="Arial"/>
                <w:sz w:val="20"/>
              </w:rPr>
              <w:t xml:space="preserve"> produce life-threatening human or animal disease, </w:t>
            </w:r>
            <w:r w:rsidR="009A61ED">
              <w:rPr>
                <w:rFonts w:cs="Arial"/>
                <w:sz w:val="20"/>
              </w:rPr>
              <w:t>represent significant</w:t>
            </w:r>
            <w:r w:rsidR="00F3097B">
              <w:rPr>
                <w:rFonts w:cs="Arial"/>
                <w:sz w:val="20"/>
              </w:rPr>
              <w:t xml:space="preserve"> risk </w:t>
            </w:r>
            <w:r w:rsidR="009A61ED">
              <w:rPr>
                <w:rFonts w:cs="Arial"/>
                <w:sz w:val="20"/>
              </w:rPr>
              <w:t xml:space="preserve">to </w:t>
            </w:r>
            <w:r w:rsidR="00F3097B">
              <w:rPr>
                <w:rFonts w:cs="Arial"/>
                <w:sz w:val="20"/>
              </w:rPr>
              <w:t>laboratory work</w:t>
            </w:r>
            <w:r w:rsidR="009A61ED">
              <w:rPr>
                <w:rFonts w:cs="Arial"/>
                <w:sz w:val="20"/>
              </w:rPr>
              <w:t>ers</w:t>
            </w:r>
            <w:r w:rsidR="00F3097B">
              <w:rPr>
                <w:rFonts w:cs="Arial"/>
                <w:sz w:val="20"/>
              </w:rPr>
              <w:t xml:space="preserve"> and may be </w:t>
            </w:r>
            <w:r w:rsidR="009A61ED">
              <w:rPr>
                <w:rFonts w:cs="Arial"/>
                <w:sz w:val="20"/>
              </w:rPr>
              <w:t>readily</w:t>
            </w:r>
            <w:r w:rsidR="00F3097B">
              <w:rPr>
                <w:rFonts w:cs="Arial"/>
                <w:sz w:val="20"/>
              </w:rPr>
              <w:t xml:space="preserve"> </w:t>
            </w:r>
            <w:r w:rsidR="009A61ED">
              <w:rPr>
                <w:rFonts w:cs="Arial"/>
                <w:sz w:val="20"/>
              </w:rPr>
              <w:t>transmissible</w:t>
            </w:r>
            <w:r w:rsidR="00F3097B">
              <w:rPr>
                <w:rFonts w:cs="Arial"/>
                <w:sz w:val="20"/>
              </w:rPr>
              <w:t xml:space="preserve"> from one individual to another. Effective treatment and prevent</w:t>
            </w:r>
            <w:r w:rsidR="009A61ED">
              <w:rPr>
                <w:rFonts w:cs="Arial"/>
                <w:sz w:val="20"/>
              </w:rPr>
              <w:t xml:space="preserve">ive measures are not usually available. Risk Group 4 species </w:t>
            </w:r>
            <w:r w:rsidRPr="00234762">
              <w:rPr>
                <w:rFonts w:cs="Arial"/>
                <w:sz w:val="20"/>
              </w:rPr>
              <w:t>a</w:t>
            </w:r>
            <w:r w:rsidR="009A61ED">
              <w:rPr>
                <w:rFonts w:cs="Arial"/>
                <w:sz w:val="20"/>
              </w:rPr>
              <w:t>re</w:t>
            </w:r>
            <w:r w:rsidRPr="00234762">
              <w:rPr>
                <w:rFonts w:cs="Arial"/>
                <w:sz w:val="20"/>
              </w:rPr>
              <w:t xml:space="preserve"> defined by the Australian/New Zealand Standard AS/NZS 2243.3:2010 Safety in laboratories – Microbiological safety and containment</w:t>
            </w:r>
            <w:r w:rsidR="009A61ED">
              <w:rPr>
                <w:rFonts w:cs="Arial"/>
                <w:sz w:val="20"/>
              </w:rPr>
              <w:t>.</w:t>
            </w:r>
          </w:p>
        </w:tc>
      </w:tr>
      <w:tr w:rsidRPr="00234762" w:rsidR="00234762" w:rsidTr="168E7EAC" w14:paraId="06D94479" w14:textId="77777777">
        <w:tc>
          <w:tcPr>
            <w:tcW w:w="9741" w:type="dxa"/>
          </w:tcPr>
          <w:p w:rsidRPr="00234762" w:rsidR="00234762" w:rsidP="00521B7D" w:rsidRDefault="00234762" w14:paraId="06D94478" w14:textId="002A6C98">
            <w:pPr>
              <w:tabs>
                <w:tab w:val="left" w:pos="567"/>
              </w:tabs>
              <w:spacing w:before="60" w:after="60"/>
              <w:ind w:left="0"/>
              <w:rPr>
                <w:rFonts w:cs="Arial"/>
                <w:sz w:val="20"/>
              </w:rPr>
            </w:pPr>
            <w:r w:rsidRPr="00521B7D">
              <w:rPr>
                <w:rFonts w:cs="Arial"/>
                <w:b/>
                <w:sz w:val="20"/>
              </w:rPr>
              <w:t>Risk Group 3</w:t>
            </w:r>
            <w:r w:rsidRPr="00234762">
              <w:rPr>
                <w:rFonts w:cs="Arial"/>
                <w:sz w:val="20"/>
              </w:rPr>
              <w:t xml:space="preserve"> microorganisms, </w:t>
            </w:r>
            <w:r w:rsidR="009A61ED">
              <w:rPr>
                <w:rFonts w:cs="Arial"/>
                <w:sz w:val="20"/>
              </w:rPr>
              <w:t xml:space="preserve">that </w:t>
            </w:r>
            <w:r w:rsidR="00C13843">
              <w:rPr>
                <w:rFonts w:cs="Arial"/>
                <w:sz w:val="20"/>
              </w:rPr>
              <w:t>may</w:t>
            </w:r>
            <w:r w:rsidR="009A61ED">
              <w:rPr>
                <w:rFonts w:cs="Arial"/>
                <w:sz w:val="20"/>
              </w:rPr>
              <w:t xml:space="preserve"> produce life-threatening human or animal disease, represent a significant risk to laboratory workers and may be readily transmissible from one individual to another. </w:t>
            </w:r>
            <w:r w:rsidR="00C13843">
              <w:rPr>
                <w:rFonts w:cs="Arial"/>
                <w:sz w:val="20"/>
              </w:rPr>
              <w:t>It could present a limited to moderate risk if spread in the community or environment, but there are usually effective preventative measures or treatment available.</w:t>
            </w:r>
            <w:r w:rsidR="009A61ED">
              <w:rPr>
                <w:rFonts w:cs="Arial"/>
                <w:sz w:val="20"/>
              </w:rPr>
              <w:t xml:space="preserve"> Risk Group </w:t>
            </w:r>
            <w:r w:rsidR="00C13843">
              <w:rPr>
                <w:rFonts w:cs="Arial"/>
                <w:sz w:val="20"/>
              </w:rPr>
              <w:t>3</w:t>
            </w:r>
            <w:r w:rsidR="009A61ED">
              <w:rPr>
                <w:rFonts w:cs="Arial"/>
                <w:sz w:val="20"/>
              </w:rPr>
              <w:t xml:space="preserve"> species </w:t>
            </w:r>
            <w:r w:rsidRPr="00234762">
              <w:rPr>
                <w:rFonts w:cs="Arial"/>
                <w:sz w:val="20"/>
              </w:rPr>
              <w:t>a</w:t>
            </w:r>
            <w:r w:rsidR="009A61ED">
              <w:rPr>
                <w:rFonts w:cs="Arial"/>
                <w:sz w:val="20"/>
              </w:rPr>
              <w:t>re</w:t>
            </w:r>
            <w:r w:rsidRPr="00234762">
              <w:rPr>
                <w:rFonts w:cs="Arial"/>
                <w:sz w:val="20"/>
              </w:rPr>
              <w:t xml:space="preserve"> defined by the Australian/New Zealand Standard AS/NZS 2243.3:2010 Safety in laboratories – Microbiological safety and containment</w:t>
            </w:r>
            <w:r w:rsidR="00C13843">
              <w:rPr>
                <w:rFonts w:cs="Arial"/>
                <w:sz w:val="20"/>
              </w:rPr>
              <w:t>.</w:t>
            </w:r>
          </w:p>
        </w:tc>
      </w:tr>
      <w:tr w:rsidRPr="00234762" w:rsidR="00D43BD5" w:rsidTr="168E7EAC" w14:paraId="2A301718" w14:textId="77777777">
        <w:tc>
          <w:tcPr>
            <w:tcW w:w="9741" w:type="dxa"/>
          </w:tcPr>
          <w:p w:rsidRPr="00D43BD5" w:rsidR="00D43BD5" w:rsidP="00521B7D" w:rsidRDefault="00D43BD5" w14:paraId="438A42C3" w14:textId="7694C1EE">
            <w:pPr>
              <w:tabs>
                <w:tab w:val="left" w:pos="567"/>
              </w:tabs>
              <w:spacing w:before="60" w:after="60"/>
              <w:ind w:left="0"/>
              <w:rPr>
                <w:rFonts w:cs="Arial"/>
                <w:b/>
                <w:sz w:val="20"/>
              </w:rPr>
            </w:pPr>
            <w:r>
              <w:rPr>
                <w:rFonts w:cs="Arial"/>
                <w:b/>
                <w:sz w:val="20"/>
              </w:rPr>
              <w:t xml:space="preserve">Prions, </w:t>
            </w:r>
            <w:r>
              <w:rPr>
                <w:rFonts w:cs="Arial"/>
                <w:sz w:val="20"/>
              </w:rPr>
              <w:t>as indicated in (but not limited to) the Australian/New Zealand Standard A</w:t>
            </w:r>
            <w:r w:rsidR="009A61ED">
              <w:rPr>
                <w:rFonts w:cs="Arial"/>
                <w:sz w:val="20"/>
              </w:rPr>
              <w:t>S</w:t>
            </w:r>
            <w:r>
              <w:rPr>
                <w:rFonts w:cs="Arial"/>
                <w:sz w:val="20"/>
              </w:rPr>
              <w:t xml:space="preserve">/NZS 2243.3:2010 Safety in laboratories </w:t>
            </w:r>
            <w:r w:rsidRPr="00234762">
              <w:rPr>
                <w:rFonts w:cs="Arial"/>
                <w:sz w:val="20"/>
              </w:rPr>
              <w:t>– Microbiological safety and containment</w:t>
            </w:r>
            <w:r w:rsidR="00C13843">
              <w:rPr>
                <w:rFonts w:cs="Arial"/>
                <w:sz w:val="20"/>
              </w:rPr>
              <w:t>.</w:t>
            </w:r>
          </w:p>
        </w:tc>
      </w:tr>
      <w:tr w:rsidRPr="00234762" w:rsidR="00D43BD5" w:rsidTr="168E7EAC" w14:paraId="136DDBB9" w14:textId="77777777">
        <w:tc>
          <w:tcPr>
            <w:tcW w:w="9741" w:type="dxa"/>
          </w:tcPr>
          <w:p w:rsidRPr="00D43BD5" w:rsidR="00D43BD5" w:rsidP="168E7EAC" w:rsidRDefault="00D43BD5" w14:paraId="35E453C1" w14:textId="149FF2C7">
            <w:pPr>
              <w:tabs>
                <w:tab w:val="left" w:pos="567"/>
              </w:tabs>
              <w:spacing w:before="60" w:after="60"/>
              <w:ind w:left="0"/>
              <w:rPr>
                <w:rFonts w:cs="Arial"/>
                <w:sz w:val="20"/>
              </w:rPr>
            </w:pPr>
            <w:r w:rsidRPr="168E7EAC">
              <w:rPr>
                <w:rFonts w:cs="Arial"/>
                <w:b/>
                <w:bCs/>
                <w:sz w:val="20"/>
              </w:rPr>
              <w:t>Risk Group 2</w:t>
            </w:r>
            <w:r w:rsidRPr="168E7EAC">
              <w:rPr>
                <w:rFonts w:cs="Arial"/>
                <w:sz w:val="20"/>
              </w:rPr>
              <w:t xml:space="preserve"> </w:t>
            </w:r>
            <w:r w:rsidRPr="168E7EAC">
              <w:rPr>
                <w:rFonts w:cs="Arial"/>
                <w:b/>
                <w:bCs/>
                <w:sz w:val="20"/>
              </w:rPr>
              <w:t>microorganisms requiring special precautions</w:t>
            </w:r>
            <w:r w:rsidRPr="168E7EAC" w:rsidR="00C13843">
              <w:rPr>
                <w:rFonts w:cs="Arial"/>
                <w:b/>
                <w:bCs/>
                <w:sz w:val="20"/>
              </w:rPr>
              <w:t xml:space="preserve">, </w:t>
            </w:r>
            <w:r w:rsidRPr="168E7EAC" w:rsidR="00C13843">
              <w:rPr>
                <w:rFonts w:cs="Arial"/>
                <w:sz w:val="20"/>
              </w:rPr>
              <w:t>are risk group 2 microorganisms</w:t>
            </w:r>
            <w:r w:rsidRPr="168E7EAC">
              <w:rPr>
                <w:rFonts w:cs="Arial"/>
                <w:sz w:val="20"/>
              </w:rPr>
              <w:t xml:space="preserve"> </w:t>
            </w:r>
            <w:r w:rsidRPr="168E7EAC" w:rsidR="00C13843">
              <w:rPr>
                <w:rFonts w:cs="Arial"/>
                <w:sz w:val="20"/>
              </w:rPr>
              <w:t>that</w:t>
            </w:r>
            <w:r w:rsidRPr="168E7EAC" w:rsidR="6A95372A">
              <w:rPr>
                <w:rFonts w:cs="Arial"/>
                <w:sz w:val="20"/>
              </w:rPr>
              <w:t xml:space="preserve"> </w:t>
            </w:r>
            <w:r w:rsidRPr="168E7EAC">
              <w:rPr>
                <w:rFonts w:cs="Arial"/>
                <w:sz w:val="20"/>
              </w:rPr>
              <w:t xml:space="preserve">are transmissible by respiratory </w:t>
            </w:r>
            <w:r w:rsidRPr="168E7EAC" w:rsidR="00C13843">
              <w:rPr>
                <w:rFonts w:cs="Arial"/>
                <w:sz w:val="20"/>
              </w:rPr>
              <w:t>route</w:t>
            </w:r>
            <w:r w:rsidRPr="168E7EAC" w:rsidR="2DA9612B">
              <w:rPr>
                <w:rFonts w:cs="Arial"/>
                <w:sz w:val="20"/>
              </w:rPr>
              <w:t xml:space="preserve"> </w:t>
            </w:r>
            <w:r w:rsidRPr="168E7EAC" w:rsidR="00C13843">
              <w:rPr>
                <w:rFonts w:cs="Arial"/>
                <w:sz w:val="20"/>
              </w:rPr>
              <w:t xml:space="preserve">or require special handling precautions. As </w:t>
            </w:r>
            <w:r w:rsidRPr="168E7EAC">
              <w:rPr>
                <w:rFonts w:cs="Arial"/>
                <w:sz w:val="20"/>
              </w:rPr>
              <w:t>indicated in the Australian/New Zealand Standard AS/NZS 2243.3:2010 Safety in laboratories – Microbiological safety and containment</w:t>
            </w:r>
            <w:r w:rsidRPr="168E7EAC" w:rsidR="00C13843">
              <w:rPr>
                <w:rFonts w:cs="Arial"/>
                <w:sz w:val="20"/>
              </w:rPr>
              <w:t>.</w:t>
            </w:r>
          </w:p>
        </w:tc>
      </w:tr>
      <w:tr w:rsidRPr="00234762" w:rsidR="00D43BD5" w:rsidTr="168E7EAC" w14:paraId="37DE7749" w14:textId="77777777">
        <w:tc>
          <w:tcPr>
            <w:tcW w:w="9741" w:type="dxa"/>
          </w:tcPr>
          <w:p w:rsidRPr="00D43BD5" w:rsidR="00D43BD5" w:rsidP="168E7EAC" w:rsidRDefault="00D43BD5" w14:paraId="029F647B" w14:textId="755B7FCA">
            <w:pPr>
              <w:tabs>
                <w:tab w:val="left" w:pos="567"/>
              </w:tabs>
              <w:spacing w:before="60" w:after="60"/>
              <w:ind w:left="0"/>
              <w:rPr>
                <w:rFonts w:cs="Arial"/>
                <w:sz w:val="20"/>
              </w:rPr>
            </w:pPr>
            <w:r w:rsidRPr="168E7EAC">
              <w:rPr>
                <w:rFonts w:cs="Arial"/>
                <w:b/>
                <w:bCs/>
                <w:sz w:val="20"/>
              </w:rPr>
              <w:t>Unscreened specimens</w:t>
            </w:r>
            <w:r w:rsidRPr="168E7EAC">
              <w:rPr>
                <w:rFonts w:cs="Arial"/>
                <w:sz w:val="20"/>
              </w:rPr>
              <w:t xml:space="preserve"> including human tissue known to contain microorganisms from risk group 2, 3 or 4, or have not been screened for infectious disease; animal tissue or body fluids that could contain zoonosis or have not been screened for </w:t>
            </w:r>
            <w:r w:rsidRPr="168E7EAC" w:rsidR="35F34A48">
              <w:rPr>
                <w:rFonts w:cs="Arial"/>
                <w:sz w:val="20"/>
              </w:rPr>
              <w:t>such.</w:t>
            </w:r>
          </w:p>
        </w:tc>
      </w:tr>
      <w:tr w:rsidRPr="00234762" w:rsidR="00D43BD5" w:rsidTr="168E7EAC" w14:paraId="1C40BB0E" w14:textId="77777777">
        <w:tc>
          <w:tcPr>
            <w:tcW w:w="9741" w:type="dxa"/>
          </w:tcPr>
          <w:p w:rsidRPr="00D43BD5" w:rsidR="00D43BD5" w:rsidP="00521B7D" w:rsidRDefault="00D43BD5" w14:paraId="4EBBF8B3" w14:textId="6FAE6382">
            <w:pPr>
              <w:tabs>
                <w:tab w:val="left" w:pos="567"/>
              </w:tabs>
              <w:spacing w:before="60" w:after="60"/>
              <w:ind w:left="0"/>
              <w:rPr>
                <w:rFonts w:cs="Arial"/>
                <w:sz w:val="20"/>
              </w:rPr>
            </w:pPr>
            <w:r>
              <w:rPr>
                <w:rFonts w:cs="Arial"/>
                <w:b/>
                <w:sz w:val="20"/>
              </w:rPr>
              <w:t>Infectious or potentially infectious animals, tissues or fluids</w:t>
            </w:r>
            <w:r>
              <w:rPr>
                <w:rFonts w:cs="Arial"/>
                <w:sz w:val="20"/>
              </w:rPr>
              <w:t xml:space="preserve"> involving microorganisms from risk group 2, 3 or 4</w:t>
            </w:r>
            <w:r w:rsidR="00C13843">
              <w:rPr>
                <w:rFonts w:cs="Arial"/>
                <w:sz w:val="20"/>
              </w:rPr>
              <w:t>.</w:t>
            </w:r>
          </w:p>
        </w:tc>
      </w:tr>
      <w:tr w:rsidRPr="00234762" w:rsidR="00D43BD5" w:rsidTr="168E7EAC" w14:paraId="1301D5B8" w14:textId="77777777">
        <w:tc>
          <w:tcPr>
            <w:tcW w:w="9741" w:type="dxa"/>
          </w:tcPr>
          <w:p w:rsidRPr="00D43BD5" w:rsidR="00D43BD5" w:rsidP="00521B7D" w:rsidRDefault="00D43BD5" w14:paraId="36E1E458" w14:textId="102C5DC0">
            <w:pPr>
              <w:tabs>
                <w:tab w:val="left" w:pos="567"/>
              </w:tabs>
              <w:spacing w:before="60" w:after="60"/>
              <w:ind w:left="0"/>
              <w:rPr>
                <w:rFonts w:cs="Arial"/>
                <w:sz w:val="20"/>
              </w:rPr>
            </w:pPr>
            <w:r>
              <w:rPr>
                <w:rFonts w:cs="Arial"/>
                <w:b/>
                <w:sz w:val="20"/>
              </w:rPr>
              <w:t>Biological Toxins</w:t>
            </w:r>
            <w:r>
              <w:rPr>
                <w:rFonts w:cs="Arial"/>
                <w:sz w:val="20"/>
              </w:rPr>
              <w:t xml:space="preserve"> such as venoms and other toxic substances produced by microorganisms, animals or plan</w:t>
            </w:r>
            <w:r w:rsidR="00AE5CBA">
              <w:rPr>
                <w:rFonts w:cs="Arial"/>
                <w:sz w:val="20"/>
              </w:rPr>
              <w:t>t</w:t>
            </w:r>
            <w:r>
              <w:rPr>
                <w:rFonts w:cs="Arial"/>
                <w:sz w:val="20"/>
              </w:rPr>
              <w:t>s (excluding toxoids).  Includes poisonous or venomous animals such as snakes, spiders and cone shells</w:t>
            </w:r>
            <w:r w:rsidR="00C13843">
              <w:rPr>
                <w:rFonts w:cs="Arial"/>
                <w:sz w:val="20"/>
              </w:rPr>
              <w:t>.</w:t>
            </w:r>
          </w:p>
        </w:tc>
      </w:tr>
      <w:tr w:rsidRPr="00234762" w:rsidR="00D43BD5" w:rsidTr="168E7EAC" w14:paraId="1B8817C0" w14:textId="77777777">
        <w:tc>
          <w:tcPr>
            <w:tcW w:w="9741" w:type="dxa"/>
          </w:tcPr>
          <w:p w:rsidRPr="00897FE2" w:rsidR="00D43BD5" w:rsidP="00521B7D" w:rsidRDefault="00D43BD5" w14:paraId="229DD1D8" w14:textId="11155B68">
            <w:pPr>
              <w:tabs>
                <w:tab w:val="left" w:pos="567"/>
              </w:tabs>
              <w:spacing w:before="60" w:after="60"/>
              <w:ind w:left="0"/>
              <w:rPr>
                <w:rFonts w:cs="Arial"/>
                <w:sz w:val="20"/>
              </w:rPr>
            </w:pPr>
            <w:r>
              <w:rPr>
                <w:rFonts w:cs="Arial"/>
                <w:b/>
                <w:sz w:val="20"/>
              </w:rPr>
              <w:t>Security</w:t>
            </w:r>
            <w:r w:rsidR="00897FE2">
              <w:rPr>
                <w:rFonts w:cs="Arial"/>
                <w:b/>
                <w:sz w:val="20"/>
              </w:rPr>
              <w:t xml:space="preserve"> Sensitive Biological Materials (SSBA’s)</w:t>
            </w:r>
            <w:r w:rsidR="00897FE2">
              <w:rPr>
                <w:rFonts w:cs="Arial"/>
                <w:sz w:val="20"/>
              </w:rPr>
              <w:t xml:space="preserve"> Tier 1 and Tier 2 agents as listed under part 3 of the </w:t>
            </w:r>
            <w:r w:rsidRPr="00897FE2" w:rsidR="00897FE2">
              <w:rPr>
                <w:rFonts w:cs="Arial"/>
                <w:i/>
                <w:sz w:val="20"/>
              </w:rPr>
              <w:t>National Health Security Act 2007</w:t>
            </w:r>
            <w:r w:rsidR="00C13843">
              <w:rPr>
                <w:rFonts w:cs="Arial"/>
                <w:i/>
                <w:sz w:val="20"/>
              </w:rPr>
              <w:t>.</w:t>
            </w:r>
          </w:p>
        </w:tc>
      </w:tr>
      <w:tr w:rsidRPr="00234762" w:rsidR="00897FE2" w:rsidTr="168E7EAC" w14:paraId="4CEECB71" w14:textId="77777777">
        <w:tc>
          <w:tcPr>
            <w:tcW w:w="9741" w:type="dxa"/>
          </w:tcPr>
          <w:p w:rsidR="00897FE2" w:rsidP="00521B7D" w:rsidRDefault="00897FE2" w14:paraId="55AC4563" w14:textId="7B605149">
            <w:pPr>
              <w:tabs>
                <w:tab w:val="left" w:pos="567"/>
              </w:tabs>
              <w:spacing w:before="60" w:after="60"/>
              <w:ind w:left="0"/>
              <w:rPr>
                <w:rFonts w:cs="Arial"/>
                <w:b/>
                <w:sz w:val="20"/>
              </w:rPr>
            </w:pPr>
            <w:r>
              <w:rPr>
                <w:rFonts w:cs="Arial"/>
                <w:b/>
                <w:sz w:val="20"/>
              </w:rPr>
              <w:t>Biological Materials on the Defence Strategic Goods List (DSGL)</w:t>
            </w:r>
            <w:r w:rsidR="00C13843">
              <w:rPr>
                <w:rFonts w:cs="Arial"/>
                <w:b/>
                <w:sz w:val="20"/>
              </w:rPr>
              <w:t>.</w:t>
            </w:r>
          </w:p>
        </w:tc>
      </w:tr>
      <w:tr w:rsidRPr="00234762" w:rsidR="00234762" w:rsidTr="168E7EAC" w14:paraId="06D944A7" w14:textId="77777777">
        <w:tc>
          <w:tcPr>
            <w:tcW w:w="9741" w:type="dxa"/>
          </w:tcPr>
          <w:p w:rsidRPr="00234762" w:rsidR="00234762" w:rsidP="00234762" w:rsidRDefault="00234762" w14:paraId="06D944A6" w14:textId="0C62C118">
            <w:pPr>
              <w:tabs>
                <w:tab w:val="left" w:pos="567"/>
              </w:tabs>
              <w:spacing w:before="60" w:after="60"/>
              <w:ind w:left="0"/>
              <w:rPr>
                <w:rFonts w:cs="Arial"/>
                <w:sz w:val="20"/>
              </w:rPr>
            </w:pPr>
            <w:r w:rsidRPr="00521B7D">
              <w:rPr>
                <w:rFonts w:cs="Arial"/>
                <w:b/>
                <w:sz w:val="20"/>
              </w:rPr>
              <w:t>Other Risk Group 2</w:t>
            </w:r>
            <w:r w:rsidRPr="00234762">
              <w:rPr>
                <w:rFonts w:cs="Arial"/>
                <w:sz w:val="20"/>
              </w:rPr>
              <w:t xml:space="preserve"> microorganisms deemed by a risk assessment to be high risk may also be referred to the University Biosafety Committee by the relevant Academic Group</w:t>
            </w:r>
            <w:r w:rsidR="00897FE2">
              <w:rPr>
                <w:rFonts w:cs="Arial"/>
                <w:sz w:val="20"/>
              </w:rPr>
              <w:t>.</w:t>
            </w:r>
          </w:p>
        </w:tc>
      </w:tr>
    </w:tbl>
    <w:p w:rsidRPr="00A62490" w:rsidR="00234762" w:rsidP="00234762" w:rsidRDefault="00234762" w14:paraId="06D944A8" w14:textId="77777777">
      <w:pPr>
        <w:tabs>
          <w:tab w:val="left" w:pos="567"/>
        </w:tabs>
        <w:spacing w:before="100" w:beforeAutospacing="1" w:after="240"/>
        <w:ind w:left="0"/>
        <w:rPr>
          <w:rFonts w:cs="Arial"/>
          <w:sz w:val="20"/>
        </w:rPr>
      </w:pPr>
    </w:p>
    <w:sectPr w:rsidRPr="00A62490" w:rsidR="00234762" w:rsidSect="00147712">
      <w:headerReference w:type="default" r:id="rId16"/>
      <w:footerReference w:type="default" r:id="rId17"/>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3C1" w:rsidRDefault="00A613C1" w14:paraId="4FEAF6D1" w14:textId="77777777">
      <w:r>
        <w:separator/>
      </w:r>
    </w:p>
  </w:endnote>
  <w:endnote w:type="continuationSeparator" w:id="0">
    <w:p w:rsidR="00A613C1" w:rsidRDefault="00A613C1" w14:paraId="4A1591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234762" w:rsidTr="00C245CA" w14:paraId="06D944B2" w14:textId="77777777">
      <w:tc>
        <w:tcPr>
          <w:tcW w:w="918" w:type="dxa"/>
          <w:vAlign w:val="bottom"/>
        </w:tcPr>
        <w:p w:rsidRPr="0089097B" w:rsidR="00234762" w:rsidP="00C245CA" w:rsidRDefault="00234762" w14:paraId="06D944B0"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897FE2" w:rsidR="00897FE2">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234762" w:rsidP="00E00460" w:rsidRDefault="00234762" w14:paraId="06D944B1" w14:textId="77777777">
          <w:pPr>
            <w:pStyle w:val="Footer"/>
            <w:spacing w:before="20" w:after="20"/>
            <w:ind w:left="0"/>
            <w:rPr>
              <w:color w:val="BFBFBF" w:themeColor="background1" w:themeShade="BF"/>
              <w:sz w:val="16"/>
              <w:szCs w:val="16"/>
            </w:rPr>
          </w:pPr>
          <w:r w:rsidRPr="00C10B43">
            <w:rPr>
              <w:color w:val="BFBFBF" w:themeColor="background1" w:themeShade="BF"/>
              <w:sz w:val="16"/>
              <w:szCs w:val="16"/>
            </w:rPr>
            <w:t>Schedule of High Risk Biological Materials monitored by the University Biosafety Committee</w:t>
          </w:r>
        </w:p>
      </w:tc>
    </w:tr>
  </w:tbl>
  <w:p w:rsidRPr="0084456D" w:rsidR="00234762" w:rsidP="0084456D" w:rsidRDefault="00234762" w14:paraId="06D944B3"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3C1" w:rsidRDefault="00A613C1" w14:paraId="78A727B1" w14:textId="77777777">
      <w:r>
        <w:separator/>
      </w:r>
    </w:p>
  </w:footnote>
  <w:footnote w:type="continuationSeparator" w:id="0">
    <w:p w:rsidR="00A613C1" w:rsidRDefault="00A613C1" w14:paraId="119F3C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762" w:rsidRDefault="00234762" w14:paraId="06D944AF"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BC475E2"/>
    <w:multiLevelType w:val="hybridMultilevel"/>
    <w:tmpl w:val="59AA31D4"/>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594440C7"/>
    <w:multiLevelType w:val="hybridMultilevel"/>
    <w:tmpl w:val="CC8E13CC"/>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957716346">
    <w:abstractNumId w:val="0"/>
  </w:num>
  <w:num w:numId="2" w16cid:durableId="631636945">
    <w:abstractNumId w:val="2"/>
  </w:num>
  <w:num w:numId="3" w16cid:durableId="504637565">
    <w:abstractNumId w:val="1"/>
  </w:num>
  <w:num w:numId="4" w16cid:durableId="9786563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0"/>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2ED7"/>
    <w:rsid w:val="00095765"/>
    <w:rsid w:val="00095B6A"/>
    <w:rsid w:val="000A32A8"/>
    <w:rsid w:val="000B2A3C"/>
    <w:rsid w:val="000B4093"/>
    <w:rsid w:val="000B5F39"/>
    <w:rsid w:val="000D02B0"/>
    <w:rsid w:val="000E0FBD"/>
    <w:rsid w:val="000F0F40"/>
    <w:rsid w:val="0010246B"/>
    <w:rsid w:val="00111C62"/>
    <w:rsid w:val="00113FE9"/>
    <w:rsid w:val="001161F5"/>
    <w:rsid w:val="00122286"/>
    <w:rsid w:val="00125B7C"/>
    <w:rsid w:val="00126B3F"/>
    <w:rsid w:val="0013508A"/>
    <w:rsid w:val="0014494F"/>
    <w:rsid w:val="001457DC"/>
    <w:rsid w:val="00147712"/>
    <w:rsid w:val="0016142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233B0"/>
    <w:rsid w:val="002235B6"/>
    <w:rsid w:val="0022366D"/>
    <w:rsid w:val="00234762"/>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2301"/>
    <w:rsid w:val="003134C8"/>
    <w:rsid w:val="003218C3"/>
    <w:rsid w:val="00326B6D"/>
    <w:rsid w:val="0034016D"/>
    <w:rsid w:val="0034135C"/>
    <w:rsid w:val="003458F5"/>
    <w:rsid w:val="00347F8E"/>
    <w:rsid w:val="003578D8"/>
    <w:rsid w:val="00362053"/>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500E1A"/>
    <w:rsid w:val="00506BF1"/>
    <w:rsid w:val="005076BB"/>
    <w:rsid w:val="00515ADA"/>
    <w:rsid w:val="00516A82"/>
    <w:rsid w:val="00517F6E"/>
    <w:rsid w:val="00521797"/>
    <w:rsid w:val="00521B7D"/>
    <w:rsid w:val="00524CFB"/>
    <w:rsid w:val="0053062E"/>
    <w:rsid w:val="00536047"/>
    <w:rsid w:val="00537826"/>
    <w:rsid w:val="00540C27"/>
    <w:rsid w:val="005410F9"/>
    <w:rsid w:val="00546452"/>
    <w:rsid w:val="00547101"/>
    <w:rsid w:val="00560908"/>
    <w:rsid w:val="00570E6F"/>
    <w:rsid w:val="005740C1"/>
    <w:rsid w:val="00581324"/>
    <w:rsid w:val="005845E9"/>
    <w:rsid w:val="00596AB8"/>
    <w:rsid w:val="005A481D"/>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5EF9"/>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445"/>
    <w:rsid w:val="006F28D2"/>
    <w:rsid w:val="006F5216"/>
    <w:rsid w:val="006F53AE"/>
    <w:rsid w:val="00702232"/>
    <w:rsid w:val="00705462"/>
    <w:rsid w:val="00706C0E"/>
    <w:rsid w:val="007148A0"/>
    <w:rsid w:val="00714A75"/>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87E3E"/>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56D"/>
    <w:rsid w:val="00893854"/>
    <w:rsid w:val="008977CE"/>
    <w:rsid w:val="00897FE2"/>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A2722"/>
    <w:rsid w:val="009A61ED"/>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3C1"/>
    <w:rsid w:val="00A619C7"/>
    <w:rsid w:val="00A62490"/>
    <w:rsid w:val="00A6489A"/>
    <w:rsid w:val="00A66DEF"/>
    <w:rsid w:val="00A77C04"/>
    <w:rsid w:val="00A848F4"/>
    <w:rsid w:val="00A85022"/>
    <w:rsid w:val="00A869E6"/>
    <w:rsid w:val="00A9050A"/>
    <w:rsid w:val="00AB0069"/>
    <w:rsid w:val="00AB13FC"/>
    <w:rsid w:val="00AB5DE9"/>
    <w:rsid w:val="00AB6C4F"/>
    <w:rsid w:val="00AB784B"/>
    <w:rsid w:val="00AD07D2"/>
    <w:rsid w:val="00AE5CBA"/>
    <w:rsid w:val="00AF37D5"/>
    <w:rsid w:val="00AF4189"/>
    <w:rsid w:val="00AF62A9"/>
    <w:rsid w:val="00AF723D"/>
    <w:rsid w:val="00B0238C"/>
    <w:rsid w:val="00B27EEB"/>
    <w:rsid w:val="00B34D13"/>
    <w:rsid w:val="00B35FB8"/>
    <w:rsid w:val="00B41E1C"/>
    <w:rsid w:val="00B44BC1"/>
    <w:rsid w:val="00B472A5"/>
    <w:rsid w:val="00B64C7B"/>
    <w:rsid w:val="00B66CBA"/>
    <w:rsid w:val="00B84CA3"/>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0B43"/>
    <w:rsid w:val="00C115E1"/>
    <w:rsid w:val="00C13843"/>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7743A"/>
    <w:rsid w:val="00C8484F"/>
    <w:rsid w:val="00C86B98"/>
    <w:rsid w:val="00CA3E2C"/>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43BD5"/>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22959"/>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44B1"/>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07CEC"/>
    <w:rsid w:val="00F147C2"/>
    <w:rsid w:val="00F3097B"/>
    <w:rsid w:val="00F32F5F"/>
    <w:rsid w:val="00F33C08"/>
    <w:rsid w:val="00F358E0"/>
    <w:rsid w:val="00F37A4E"/>
    <w:rsid w:val="00F61824"/>
    <w:rsid w:val="00F62D80"/>
    <w:rsid w:val="00F63503"/>
    <w:rsid w:val="00F63B24"/>
    <w:rsid w:val="00F660A5"/>
    <w:rsid w:val="00F8321B"/>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168E7EAC"/>
    <w:rsid w:val="1C1D3040"/>
    <w:rsid w:val="220C5232"/>
    <w:rsid w:val="2AFD8177"/>
    <w:rsid w:val="2CC1A081"/>
    <w:rsid w:val="2DA9612B"/>
    <w:rsid w:val="2DFDC129"/>
    <w:rsid w:val="35F34A48"/>
    <w:rsid w:val="36B8CE02"/>
    <w:rsid w:val="3D59CF03"/>
    <w:rsid w:val="45C9F402"/>
    <w:rsid w:val="51947934"/>
    <w:rsid w:val="6A9537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94455"/>
  <w15:docId w15:val="{0E65011E-00FF-48A7-87AB-35853DF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2"/>
      </w:numPr>
    </w:pPr>
  </w:style>
  <w:style w:type="character" w:styleId="FollowedHyperlink">
    <w:name w:val="FollowedHyperlink"/>
    <w:basedOn w:val="DefaultParagraphFont"/>
    <w:uiPriority w:val="99"/>
    <w:semiHidden/>
    <w:unhideWhenUsed/>
    <w:rsid w:val="009A2722"/>
    <w:rPr>
      <w:color w:val="800080" w:themeColor="followedHyperlink"/>
      <w:u w:val="single"/>
    </w:rPr>
  </w:style>
  <w:style w:type="character" w:styleId="UnresolvedMention">
    <w:name w:val="Unresolved Mention"/>
    <w:basedOn w:val="DefaultParagraphFont"/>
    <w:uiPriority w:val="99"/>
    <w:semiHidden/>
    <w:unhideWhenUsed/>
    <w:rsid w:val="009A2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riffith.edu.au/__data/assets/pdf_file/0024/1234473/university-biosafety-committee-constitution.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ubc@griffith.edu.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hyperlink" Target="https://www.legislation.gov.au/Details/F2018L01247"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gov.au/Details/C2016C00847"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schedule outlines the high risk biological materials, other than genetically modified organisms, and materials regulated by quarantine, that are monitored by the University Biosafety Committee. This schedule should be read in conjunction with the constitution of the University Biosafety Committee. </policysummary>
    <TaxCatchAll xmlns="b40c662e-0380-4817-843d-2c7e10d40c39">
      <Value>203</Value>
      <Value>29</Value>
      <Value>543</Value>
      <Value>520</Value>
      <Value>91</Value>
      <Value>70</Value>
      <Value>69</Value>
    </TaxCatchAll>
    <docsort xmlns="2f261a70-825f-4a37-b7b5-f6ecc2f4c5fa">10</docsort>
    <datedeclared xmlns="2f261a70-825f-4a37-b7b5-f6ecc2f4c5fa">2019-01-20T14:00:00+00:00</datedeclared>
    <policyadvisor xmlns="2f261a70-825f-4a37-b7b5-f6ecc2f4c5fa">
      <UserInfo>
        <DisplayName>Claudia Arango</DisplayName>
        <AccountId>117</AccountId>
        <AccountType/>
      </UserInfo>
    </policyadvisor>
    <extlink xmlns="2f261a70-825f-4a37-b7b5-f6ecc2f4c5fa">
      <Url xsi:nil="true"/>
      <Description xsi:nil="true"/>
    </extlink>
    <doccomments xmlns="2f261a70-825f-4a37-b7b5-f6ecc2f4c5fa">Standing COO Approval for editorial changes - SDVC to DVC(E) + new Deputy Director - 27 April 2021.
Standing COO Approval for editorial changes - Approving Authority should be DVC(Research) - 21 June 2021.
</doccomments>
    <PublishOn xmlns="2f261a70-825f-4a37-b7b5-f6ecc2f4c5fa">2021-02-05T10:59:56+00:00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OR</TermName>
          <TermId xmlns="http://schemas.microsoft.com/office/infopath/2007/PartnerControls">2e837d4f-50f6-4f1e-b18b-e6baf32929f1</TermId>
        </TermInfo>
      </Terms>
    </l92b321e1c6d4932b3b7fc50f551e57a>
    <PDFBlobURL xmlns="2f261a70-825f-4a37-b7b5-f6ecc2f4c5fa" xsi:nil="true"/>
    <PolicyCategoryPath xmlns="2f261a70-825f-4a37-b7b5-f6ecc2f4c5fa">Academic:Research</PolicyCategoryPath>
    <PolicyCategory0 xmlns="2f261a70-825f-4a37-b7b5-f6ecc2f4c5fa">Research</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Biotechnology Compliance</TermName>
          <TermId xmlns="http://schemas.microsoft.com/office/infopath/2007/PartnerControls">88e664a3-e5e5-44f9-b753-582c207cefbc</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15799856-9300-4588-80F3-CFACB1C24068}">
  <ds:schemaRefs>
    <ds:schemaRef ds:uri="http://schemas.microsoft.com/sharepoint/v3/contenttype/forms"/>
  </ds:schemaRefs>
</ds:datastoreItem>
</file>

<file path=customXml/itemProps2.xml><?xml version="1.0" encoding="utf-8"?>
<ds:datastoreItem xmlns:ds="http://schemas.openxmlformats.org/officeDocument/2006/customXml" ds:itemID="{13446481-129C-4401-9C90-DD7D5C329C0E}"/>
</file>

<file path=customXml/itemProps3.xml><?xml version="1.0" encoding="utf-8"?>
<ds:datastoreItem xmlns:ds="http://schemas.openxmlformats.org/officeDocument/2006/customXml" ds:itemID="{B68E4AEF-DB3A-4FBB-9AE0-9B29C55E6B03}">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High Risk Biological Materials monitored by the University Biosafety Committee</dc:title>
  <dc:creator>Gabrielle Ingram</dc:creator>
  <cp:keywords>biosafety, biochemical, high risk materials, biosafety committee</cp:keywords>
  <cp:lastModifiedBy>Chelsea Finlayson</cp:lastModifiedBy>
  <cp:revision>11</cp:revision>
  <cp:lastPrinted>2019-01-20T23:56:00Z</cp:lastPrinted>
  <dcterms:created xsi:type="dcterms:W3CDTF">2023-04-14T02:57:00Z</dcterms:created>
  <dcterms:modified xsi:type="dcterms:W3CDTF">2024-04-30T00:25:44Z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Audience1">
    <vt:lpwstr>20;#Student|673d669b-181a-4d1f-be71-de306a3dff5f;#19;#Staff|234b4c02-4f11-4558-b1da-d19b9b209556;#18;#Public|2e32f779-957b-4e5f-8f16-2a5213d3cb23</vt:lpwstr>
  </property>
  <property fmtid="{D5CDD505-2E9C-101B-9397-08002B2CF9AE}" pid="4" name="policysection">
    <vt:lpwstr>29;#Biotechnology Compliance|88e664a3-e5e5-44f9-b753-582c207cefbc</vt:lpwstr>
  </property>
  <property fmtid="{D5CDD505-2E9C-101B-9397-08002B2CF9AE}" pid="5" name="_dlc_policyId">
    <vt:lpwstr>0x010100CCB10AA9A57F62429EA6968F7587FFF2|1453938073</vt:lpwstr>
  </property>
  <property fmtid="{D5CDD505-2E9C-101B-9397-08002B2CF9AE}" pid="6" name="HTML Link">
    <vt:lpwstr>https://policies-admin.griffith.edu.au/pdf/Schedule%20of%20High%20Risk%20Biological%20Materials.pdf, View PDF Version</vt:lpwstr>
  </property>
  <property fmtid="{D5CDD505-2E9C-101B-9397-08002B2CF9AE}" pid="7" name="xd_Signature">
    <vt:bool>false</vt:bool>
  </property>
  <property fmtid="{D5CDD505-2E9C-101B-9397-08002B2CF9AE}" pid="8" name="xd_ProgID">
    <vt:lpwstr/>
  </property>
  <property fmtid="{D5CDD505-2E9C-101B-9397-08002B2CF9AE}" pid="9" name="policycategory">
    <vt:lpwstr>69;#Policy|9279309a-7669-47c5-bf96-cc165d8b3ede</vt:lpwstr>
  </property>
  <property fmtid="{D5CDD505-2E9C-101B-9397-08002B2CF9AE}" pid="10" name="ContentTypeId">
    <vt:lpwstr>0x010100D8585E08B4909F4CA72F2CA699ABA3ED</vt:lpwstr>
  </property>
  <property fmtid="{D5CDD505-2E9C-101B-9397-08002B2CF9AE}" pid="11" name="TemplateUrl">
    <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DocOrder">
    <vt:r8>30</vt:r8>
  </property>
  <property fmtid="{D5CDD505-2E9C-101B-9397-08002B2CF9AE}" pid="14" name="_dlc_DocIdItemGuid">
    <vt:lpwstr>d4d347f6-1599-48f4-ba37-fe34576e563e</vt:lpwstr>
  </property>
  <property fmtid="{D5CDD505-2E9C-101B-9397-08002B2CF9AE}" pid="15" name="policyreview">
    <vt:lpwstr>91;#2024|4006b601-77d0-4e08-aa8b-4003839fc9be</vt:lpwstr>
  </property>
  <property fmtid="{D5CDD505-2E9C-101B-9397-08002B2CF9AE}" pid="16" name="policyaudience">
    <vt:lpwstr>70;#Student|ee8ed24e-bfab-45f3-a2fa-94abe1e7357a</vt:lpwstr>
  </property>
  <property fmtid="{D5CDD505-2E9C-101B-9397-08002B2CF9AE}" pid="17" name="Summary">
    <vt:lpwstr>This is the approved template for Policy Library policies or procedures. It should be used in conjunction with the Policy Library Authors User Guide.</vt:lpwstr>
  </property>
  <property fmtid="{D5CDD505-2E9C-101B-9397-08002B2CF9AE}" pid="18" name="Category Type">
    <vt:lpwstr>22;#Policy|6ea67854-4618-4b05-bd31-1dfafb0e2b14</vt:lpwstr>
  </property>
  <property fmtid="{D5CDD505-2E9C-101B-9397-08002B2CF9AE}" pid="19" name="appauthority">
    <vt:lpwstr>543;#DVC (Research)|43b40559-8059-4e74-80b6-439260334b1b</vt:lpwstr>
  </property>
  <property fmtid="{D5CDD505-2E9C-101B-9397-08002B2CF9AE}" pid="20" name="glossaryterms">
    <vt:lpwstr/>
  </property>
  <property fmtid="{D5CDD505-2E9C-101B-9397-08002B2CF9AE}" pid="21" name="officearea">
    <vt:lpwstr>203;#OR|2e837d4f-50f6-4f1e-b18b-e6baf32929f1</vt:lpwstr>
  </property>
  <property fmtid="{D5CDD505-2E9C-101B-9397-08002B2CF9AE}" pid="22" name="doccomments">
    <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ies>
</file>