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34A1" w14:textId="414B3704" w:rsidR="00E864AF" w:rsidRDefault="00D128F4" w:rsidP="008F077C">
      <w:pPr>
        <w:jc w:val="both"/>
        <w:rPr>
          <w:sz w:val="20"/>
        </w:rPr>
      </w:pPr>
      <w:r>
        <w:rPr>
          <w:noProof/>
          <w:sz w:val="20"/>
        </w:rPr>
        <mc:AlternateContent>
          <mc:Choice Requires="wps">
            <w:drawing>
              <wp:anchor distT="0" distB="0" distL="114300" distR="114300" simplePos="0" relativeHeight="251660288" behindDoc="0" locked="0" layoutInCell="1" allowOverlap="1" wp14:anchorId="012134FC" wp14:editId="6A39AA68">
                <wp:simplePos x="0" y="0"/>
                <wp:positionH relativeFrom="column">
                  <wp:posOffset>1994535</wp:posOffset>
                </wp:positionH>
                <wp:positionV relativeFrom="paragraph">
                  <wp:posOffset>-385445</wp:posOffset>
                </wp:positionV>
                <wp:extent cx="4118610"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861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3507" w14:textId="77777777" w:rsidR="00C84F53" w:rsidRPr="005A6846" w:rsidRDefault="00C84F53" w:rsidP="00D97B4D">
                            <w:pPr>
                              <w:jc w:val="right"/>
                              <w:rPr>
                                <w:sz w:val="36"/>
                                <w:szCs w:val="36"/>
                              </w:rPr>
                            </w:pPr>
                            <w:r>
                              <w:rPr>
                                <w:sz w:val="36"/>
                                <w:szCs w:val="36"/>
                              </w:rPr>
                              <w:t>Role</w:t>
                            </w:r>
                            <w:r w:rsidRPr="005A6846">
                              <w:rPr>
                                <w:sz w:val="36"/>
                                <w:szCs w:val="36"/>
                              </w:rPr>
                              <w:t xml:space="preserve"> Statement</w:t>
                            </w:r>
                          </w:p>
                          <w:p w14:paraId="01213508" w14:textId="77777777" w:rsidR="00C84F53" w:rsidRPr="005A6846" w:rsidRDefault="00C84F53" w:rsidP="00D97B4D">
                            <w:pPr>
                              <w:spacing w:after="60"/>
                              <w:jc w:val="right"/>
                              <w:rPr>
                                <w:sz w:val="24"/>
                                <w:szCs w:val="24"/>
                              </w:rPr>
                            </w:pPr>
                            <w:r>
                              <w:rPr>
                                <w:sz w:val="24"/>
                                <w:szCs w:val="24"/>
                              </w:rPr>
                              <w:t>Higher Degree Research Convenor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012134FC">
                <v:stroke joinstyle="miter"/>
                <v:path gradientshapeok="t" o:connecttype="rect"/>
              </v:shapetype>
              <v:shape id="Text Box 2" style="position:absolute;left:0;text-align:left;margin-left:157.05pt;margin-top:-30.35pt;width:324.3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">
                <v:textbox inset="0,0,0,0">
                  <w:txbxContent>
                    <w:p w:rsidRPr="005A6846" w:rsidR="00C84F53" w:rsidP="00D97B4D" w:rsidRDefault="00C84F53" w14:paraId="01213507" w14:textId="77777777">
                      <w:pPr>
                        <w:jc w:val="right"/>
                        <w:rPr>
                          <w:sz w:val="36"/>
                          <w:szCs w:val="36"/>
                        </w:rPr>
                      </w:pPr>
                      <w:r>
                        <w:rPr>
                          <w:sz w:val="36"/>
                          <w:szCs w:val="36"/>
                        </w:rPr>
                        <w:t>Role</w:t>
                      </w:r>
                      <w:r w:rsidRPr="005A6846">
                        <w:rPr>
                          <w:sz w:val="36"/>
                          <w:szCs w:val="36"/>
                        </w:rPr>
                        <w:t xml:space="preserve"> Statement</w:t>
                      </w:r>
                    </w:p>
                    <w:p w:rsidRPr="005A6846" w:rsidR="00C84F53" w:rsidP="00D97B4D" w:rsidRDefault="00C84F53" w14:paraId="01213508" w14:textId="77777777">
                      <w:pPr>
                        <w:spacing w:after="60"/>
                        <w:jc w:val="right"/>
                        <w:rPr>
                          <w:sz w:val="24"/>
                          <w:szCs w:val="24"/>
                        </w:rPr>
                      </w:pPr>
                      <w:r>
                        <w:rPr>
                          <w:sz w:val="24"/>
                          <w:szCs w:val="24"/>
                        </w:rPr>
                        <w:t>Higher Degree Research Convenor</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2134FD" wp14:editId="2FB87D37">
                <wp:simplePos x="0" y="0"/>
                <wp:positionH relativeFrom="column">
                  <wp:posOffset>-371475</wp:posOffset>
                </wp:positionH>
                <wp:positionV relativeFrom="paragraph">
                  <wp:posOffset>-381000</wp:posOffset>
                </wp:positionV>
                <wp:extent cx="2244725" cy="6057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13509" w14:textId="77777777" w:rsidR="00C84F53" w:rsidRDefault="00C84F53" w:rsidP="00B66CBA">
                            <w:pPr>
                              <w:ind w:left="426"/>
                            </w:pPr>
                            <w:r>
                              <w:rPr>
                                <w:noProof/>
                              </w:rPr>
                              <w:drawing>
                                <wp:inline distT="0" distB="0" distL="0" distR="0" wp14:anchorId="0121350A" wp14:editId="0121350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Text Box 3" style="position:absolute;left:0;text-align:left;margin-left:-29.25pt;margin-top:-30pt;width:176.75pt;height:4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" w14:anchorId="012134FD">
                <v:textbox style="mso-fit-shape-to-text:t">
                  <w:txbxContent>
                    <w:p w:rsidR="00C84F53" w:rsidP="00B66CBA" w:rsidRDefault="00C84F53" w14:paraId="01213509" w14:textId="77777777">
                      <w:pPr>
                        <w:ind w:left="426"/>
                      </w:pPr>
                      <w:r>
                        <w:rPr>
                          <w:noProof/>
                        </w:rPr>
                        <w:drawing>
                          <wp:inline distT="0" distB="0" distL="0" distR="0" wp14:anchorId="0121350A" wp14:editId="0121350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012134A2" w14:textId="77777777" w:rsidR="00C0705D" w:rsidRPr="004E5957" w:rsidRDefault="00C0705D" w:rsidP="008F077C">
      <w:pPr>
        <w:spacing w:before="240"/>
        <w:jc w:val="both"/>
        <w:rPr>
          <w:rFonts w:cs="Arial"/>
          <w:sz w:val="28"/>
          <w:szCs w:val="28"/>
        </w:rPr>
      </w:pPr>
    </w:p>
    <w:p w14:paraId="012134A3" w14:textId="77777777" w:rsidR="00C0705D" w:rsidRPr="00C72D5F" w:rsidRDefault="00C0705D" w:rsidP="008F077C">
      <w:pPr>
        <w:jc w:val="both"/>
        <w:rPr>
          <w:sz w:val="8"/>
        </w:rPr>
      </w:pP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104692" w:rsidRPr="00423A1D" w14:paraId="012134A6" w14:textId="77777777" w:rsidTr="37A82AFA">
        <w:tc>
          <w:tcPr>
            <w:tcW w:w="2410" w:type="dxa"/>
            <w:tcBorders>
              <w:top w:val="single" w:sz="12" w:space="0" w:color="D9D9D9" w:themeColor="background1" w:themeShade="D9"/>
              <w:right w:val="single" w:sz="12" w:space="0" w:color="D9D9D9" w:themeColor="background1" w:themeShade="D9"/>
            </w:tcBorders>
          </w:tcPr>
          <w:p w14:paraId="012134A4" w14:textId="77777777" w:rsidR="00104692" w:rsidRPr="00423A1D" w:rsidRDefault="00104692" w:rsidP="008F077C">
            <w:pPr>
              <w:jc w:val="both"/>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012134A5" w14:textId="77777777" w:rsidR="00104692" w:rsidRPr="00423A1D" w:rsidRDefault="00104692" w:rsidP="008F077C">
            <w:pPr>
              <w:ind w:left="159"/>
              <w:jc w:val="both"/>
              <w:rPr>
                <w:rFonts w:cs="Arial"/>
                <w:sz w:val="12"/>
                <w:szCs w:val="12"/>
              </w:rPr>
            </w:pPr>
          </w:p>
        </w:tc>
      </w:tr>
      <w:tr w:rsidR="00104692" w:rsidRPr="00D614DF" w14:paraId="012134A9" w14:textId="77777777" w:rsidTr="37A82AFA">
        <w:tc>
          <w:tcPr>
            <w:tcW w:w="2410" w:type="dxa"/>
            <w:tcBorders>
              <w:right w:val="single" w:sz="12" w:space="0" w:color="D9D9D9" w:themeColor="background1" w:themeShade="D9"/>
            </w:tcBorders>
            <w:vAlign w:val="center"/>
          </w:tcPr>
          <w:p w14:paraId="012134A7" w14:textId="77777777" w:rsidR="00104692" w:rsidRPr="00D614DF" w:rsidRDefault="00104692" w:rsidP="008F077C">
            <w:pPr>
              <w:spacing w:before="60" w:after="60"/>
              <w:jc w:val="both"/>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012134A8" w14:textId="55DAA382" w:rsidR="00104692" w:rsidRPr="00D614DF" w:rsidRDefault="471AC1C3" w:rsidP="29BA6E72">
            <w:pPr>
              <w:spacing w:before="60" w:after="60" w:line="259" w:lineRule="auto"/>
              <w:ind w:left="159"/>
            </w:pPr>
            <w:r w:rsidRPr="29BA6E72">
              <w:rPr>
                <w:rFonts w:cs="Arial"/>
                <w:sz w:val="20"/>
              </w:rPr>
              <w:t>Deputy Vice Chancellor (Education)</w:t>
            </w:r>
          </w:p>
        </w:tc>
      </w:tr>
      <w:tr w:rsidR="00104692" w:rsidRPr="00D614DF" w14:paraId="012134AC" w14:textId="77777777" w:rsidTr="37A82AFA">
        <w:tc>
          <w:tcPr>
            <w:tcW w:w="2410" w:type="dxa"/>
            <w:tcBorders>
              <w:right w:val="single" w:sz="12" w:space="0" w:color="D9D9D9" w:themeColor="background1" w:themeShade="D9"/>
            </w:tcBorders>
            <w:vAlign w:val="center"/>
          </w:tcPr>
          <w:p w14:paraId="012134AA" w14:textId="77777777" w:rsidR="00104692" w:rsidRPr="00D614DF" w:rsidRDefault="00104692" w:rsidP="008F077C">
            <w:pPr>
              <w:spacing w:before="60" w:after="60"/>
              <w:jc w:val="both"/>
              <w:rPr>
                <w:rFonts w:cs="Arial"/>
                <w:b/>
                <w:sz w:val="20"/>
              </w:rPr>
            </w:pPr>
            <w:r>
              <w:rPr>
                <w:rFonts w:cs="Arial"/>
                <w:b/>
                <w:sz w:val="20"/>
              </w:rPr>
              <w:t>Approval date</w:t>
            </w:r>
          </w:p>
        </w:tc>
        <w:tc>
          <w:tcPr>
            <w:tcW w:w="7229" w:type="dxa"/>
            <w:tcBorders>
              <w:left w:val="single" w:sz="12" w:space="0" w:color="D9D9D9" w:themeColor="background1" w:themeShade="D9"/>
            </w:tcBorders>
          </w:tcPr>
          <w:p w14:paraId="012134AB" w14:textId="13E538C8" w:rsidR="00104692" w:rsidRPr="00D614DF" w:rsidRDefault="0006587F" w:rsidP="0006587F">
            <w:pPr>
              <w:spacing w:before="60" w:after="60"/>
              <w:ind w:left="159"/>
              <w:rPr>
                <w:rFonts w:cs="Arial"/>
                <w:sz w:val="20"/>
              </w:rPr>
            </w:pPr>
            <w:r>
              <w:rPr>
                <w:rFonts w:cs="Arial"/>
                <w:sz w:val="20"/>
              </w:rPr>
              <w:t>18 July 2013</w:t>
            </w:r>
            <w:r w:rsidR="007267FE">
              <w:rPr>
                <w:rFonts w:cs="Arial"/>
                <w:sz w:val="20"/>
              </w:rPr>
              <w:t xml:space="preserve"> (4/20</w:t>
            </w:r>
            <w:r>
              <w:rPr>
                <w:rFonts w:cs="Arial"/>
                <w:sz w:val="20"/>
              </w:rPr>
              <w:t>13</w:t>
            </w:r>
            <w:r w:rsidR="007267FE">
              <w:rPr>
                <w:rFonts w:cs="Arial"/>
                <w:sz w:val="20"/>
              </w:rPr>
              <w:t xml:space="preserve"> meeting)</w:t>
            </w:r>
            <w:r w:rsidR="00705A85">
              <w:rPr>
                <w:rFonts w:cs="Arial"/>
                <w:sz w:val="20"/>
              </w:rPr>
              <w:t xml:space="preserve"> (revised)</w:t>
            </w:r>
          </w:p>
        </w:tc>
      </w:tr>
      <w:tr w:rsidR="00113CCB" w:rsidRPr="00D614DF" w14:paraId="6AA8E565" w14:textId="77777777" w:rsidTr="37A82AFA">
        <w:tc>
          <w:tcPr>
            <w:tcW w:w="2410" w:type="dxa"/>
            <w:tcBorders>
              <w:right w:val="single" w:sz="12" w:space="0" w:color="D9D9D9" w:themeColor="background1" w:themeShade="D9"/>
            </w:tcBorders>
          </w:tcPr>
          <w:p w14:paraId="76EB46A8" w14:textId="44B4E53F" w:rsidR="00113CCB" w:rsidRDefault="00113CCB" w:rsidP="008F077C">
            <w:pPr>
              <w:spacing w:before="60" w:after="60"/>
              <w:jc w:val="both"/>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3B0284AE" w14:textId="1906080E" w:rsidR="00113CCB" w:rsidRPr="008C366F" w:rsidRDefault="0006587F" w:rsidP="29BA6E72">
            <w:pPr>
              <w:spacing w:before="60" w:after="60"/>
              <w:ind w:left="159"/>
              <w:rPr>
                <w:rFonts w:cs="Arial"/>
                <w:sz w:val="20"/>
              </w:rPr>
            </w:pPr>
            <w:r w:rsidRPr="29BA6E72">
              <w:rPr>
                <w:rFonts w:cs="Arial"/>
                <w:sz w:val="20"/>
              </w:rPr>
              <w:t>Dean</w:t>
            </w:r>
            <w:r w:rsidR="5C848548" w:rsidRPr="29BA6E72">
              <w:rPr>
                <w:rFonts w:cs="Arial"/>
                <w:sz w:val="20"/>
              </w:rPr>
              <w:t>,</w:t>
            </w:r>
            <w:r w:rsidR="00113CCB" w:rsidRPr="29BA6E72">
              <w:rPr>
                <w:rFonts w:cs="Arial"/>
                <w:sz w:val="20"/>
              </w:rPr>
              <w:t xml:space="preserve"> Griffith Graduate Research School | </w:t>
            </w:r>
            <w:hyperlink r:id="rId12">
              <w:r w:rsidRPr="29BA6E72">
                <w:rPr>
                  <w:rStyle w:val="Hyperlink"/>
                  <w:rFonts w:cs="Arial"/>
                  <w:sz w:val="20"/>
                </w:rPr>
                <w:t>ggrs-dean@griffith.edu.au</w:t>
              </w:r>
            </w:hyperlink>
          </w:p>
        </w:tc>
      </w:tr>
      <w:tr w:rsidR="00113CCB" w:rsidRPr="00D614DF" w14:paraId="012134B2" w14:textId="77777777" w:rsidTr="37A82AFA">
        <w:tc>
          <w:tcPr>
            <w:tcW w:w="2410" w:type="dxa"/>
            <w:tcBorders>
              <w:bottom w:val="nil"/>
              <w:right w:val="single" w:sz="12" w:space="0" w:color="D9D9D9" w:themeColor="background1" w:themeShade="D9"/>
            </w:tcBorders>
            <w:vAlign w:val="center"/>
          </w:tcPr>
          <w:p w14:paraId="012134B0" w14:textId="32527B3A" w:rsidR="00113CCB" w:rsidRDefault="00113CCB" w:rsidP="008F077C">
            <w:pPr>
              <w:spacing w:before="60" w:after="60"/>
              <w:jc w:val="both"/>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012134B1" w14:textId="6B4D5234" w:rsidR="00113CCB" w:rsidRPr="006D5CAF" w:rsidRDefault="00601351" w:rsidP="00113CCB">
            <w:pPr>
              <w:spacing w:after="60"/>
              <w:ind w:left="159"/>
              <w:rPr>
                <w:rFonts w:cs="Arial"/>
                <w:sz w:val="20"/>
              </w:rPr>
            </w:pPr>
            <w:r>
              <w:rPr>
                <w:rFonts w:cs="Arial"/>
                <w:sz w:val="20"/>
              </w:rPr>
              <w:t>201</w:t>
            </w:r>
            <w:r w:rsidR="0006587F">
              <w:rPr>
                <w:rFonts w:cs="Arial"/>
                <w:sz w:val="20"/>
              </w:rPr>
              <w:t>4</w:t>
            </w:r>
          </w:p>
        </w:tc>
      </w:tr>
      <w:tr w:rsidR="0091203B" w:rsidRPr="00D614DF" w14:paraId="012134B5" w14:textId="77777777" w:rsidTr="37A82AFA">
        <w:tc>
          <w:tcPr>
            <w:tcW w:w="2410" w:type="dxa"/>
            <w:tcBorders>
              <w:bottom w:val="nil"/>
              <w:right w:val="single" w:sz="12" w:space="0" w:color="D9D9D9" w:themeColor="background1" w:themeShade="D9"/>
            </w:tcBorders>
            <w:vAlign w:val="center"/>
          </w:tcPr>
          <w:p w14:paraId="012134B3" w14:textId="2A876BA4" w:rsidR="0091203B" w:rsidRPr="00D614DF" w:rsidRDefault="00113CCB" w:rsidP="008F077C">
            <w:pPr>
              <w:spacing w:before="60" w:after="60"/>
              <w:jc w:val="both"/>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012134B4" w14:textId="60AF720F" w:rsidR="0091203B" w:rsidRPr="00D614DF" w:rsidRDefault="00113CCB" w:rsidP="00113CCB">
            <w:pPr>
              <w:spacing w:before="60" w:after="60"/>
              <w:ind w:left="159"/>
              <w:rPr>
                <w:rFonts w:cs="Arial"/>
                <w:sz w:val="20"/>
              </w:rPr>
            </w:pPr>
            <w:r w:rsidRPr="00FF5366">
              <w:rPr>
                <w:rFonts w:cs="Arial"/>
                <w:sz w:val="20"/>
              </w:rPr>
              <w:t>http://policies.griffith.edu.au/pdf/Role Statement HDR Convenor.pdf</w:t>
            </w:r>
          </w:p>
        </w:tc>
      </w:tr>
      <w:tr w:rsidR="007267FE" w:rsidRPr="00D614DF" w14:paraId="3FE72BAB" w14:textId="77777777" w:rsidTr="37A82AFA">
        <w:tc>
          <w:tcPr>
            <w:tcW w:w="2410" w:type="dxa"/>
            <w:tcBorders>
              <w:bottom w:val="single" w:sz="12" w:space="0" w:color="D9D9D9" w:themeColor="background1" w:themeShade="D9"/>
              <w:right w:val="single" w:sz="12" w:space="0" w:color="D9D9D9" w:themeColor="background1" w:themeShade="D9"/>
            </w:tcBorders>
            <w:vAlign w:val="center"/>
          </w:tcPr>
          <w:p w14:paraId="5BE9A749" w14:textId="280F339C" w:rsidR="007267FE" w:rsidRDefault="007267FE" w:rsidP="008F077C">
            <w:pPr>
              <w:spacing w:before="60" w:after="60"/>
              <w:jc w:val="both"/>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2DC37EE0" w14:textId="5B918E5C" w:rsidR="007267FE" w:rsidRDefault="06AD4C93" w:rsidP="29BA6E72">
            <w:pPr>
              <w:spacing w:before="60" w:after="60"/>
              <w:ind w:left="159"/>
              <w:rPr>
                <w:rFonts w:cs="Arial"/>
                <w:sz w:val="20"/>
              </w:rPr>
            </w:pPr>
            <w:r w:rsidRPr="29BA6E72">
              <w:rPr>
                <w:rFonts w:cs="Arial"/>
                <w:sz w:val="20"/>
              </w:rPr>
              <w:t>2023/0000476</w:t>
            </w:r>
          </w:p>
        </w:tc>
      </w:tr>
      <w:tr w:rsidR="0091203B" w:rsidRPr="00D614DF" w14:paraId="012134BC" w14:textId="77777777" w:rsidTr="37A82AFA">
        <w:tc>
          <w:tcPr>
            <w:tcW w:w="2410" w:type="dxa"/>
            <w:tcBorders>
              <w:top w:val="single" w:sz="12" w:space="0" w:color="D9D9D9" w:themeColor="background1" w:themeShade="D9"/>
              <w:bottom w:val="single" w:sz="12" w:space="0" w:color="D9D9D9" w:themeColor="background1" w:themeShade="D9"/>
              <w:right w:val="single" w:sz="12" w:space="0" w:color="D9D9D9" w:themeColor="background1" w:themeShade="D9"/>
            </w:tcBorders>
          </w:tcPr>
          <w:p w14:paraId="012134B7" w14:textId="702B172D" w:rsidR="00FF5366" w:rsidRPr="00474FF5" w:rsidRDefault="00113CCB" w:rsidP="00113CCB">
            <w:pPr>
              <w:spacing w:before="60" w:after="60"/>
              <w:rPr>
                <w:rFonts w:cs="Arial"/>
                <w:b/>
                <w:sz w:val="20"/>
              </w:rPr>
            </w:pPr>
            <w:r>
              <w:rPr>
                <w:rFonts w:cs="Arial"/>
                <w:b/>
                <w:sz w:val="20"/>
              </w:rPr>
              <w:t>D</w:t>
            </w:r>
            <w:r w:rsidRPr="00D614DF">
              <w:rPr>
                <w:rFonts w:cs="Arial"/>
                <w:b/>
                <w:sz w:val="20"/>
              </w:rPr>
              <w:t>escription</w:t>
            </w:r>
          </w:p>
        </w:tc>
        <w:tc>
          <w:tcPr>
            <w:tcW w:w="7229" w:type="dxa"/>
            <w:tcBorders>
              <w:top w:val="single" w:sz="12" w:space="0" w:color="D9D9D9" w:themeColor="background1" w:themeShade="D9"/>
              <w:left w:val="single" w:sz="12" w:space="0" w:color="D9D9D9" w:themeColor="background1" w:themeShade="D9"/>
              <w:bottom w:val="single" w:sz="12" w:space="0" w:color="D9D9D9" w:themeColor="background1" w:themeShade="D9"/>
            </w:tcBorders>
            <w:vAlign w:val="center"/>
          </w:tcPr>
          <w:p w14:paraId="012134BB" w14:textId="174FFC37" w:rsidR="00FF5366" w:rsidRPr="00D614DF" w:rsidRDefault="00113CCB" w:rsidP="007267FE">
            <w:pPr>
              <w:spacing w:before="60" w:after="60"/>
              <w:ind w:left="159"/>
              <w:jc w:val="both"/>
              <w:rPr>
                <w:rFonts w:cs="Arial"/>
                <w:sz w:val="20"/>
              </w:rPr>
            </w:pPr>
            <w:r w:rsidRPr="008C366F">
              <w:rPr>
                <w:rFonts w:cs="Arial"/>
                <w:sz w:val="20"/>
              </w:rPr>
              <w:t>This policy describes the appointment of the HDR Convenor, and the role and responsibilities of that position.</w:t>
            </w:r>
          </w:p>
        </w:tc>
      </w:tr>
      <w:tr w:rsidR="00104692" w:rsidRPr="00D614DF" w14:paraId="012134BF" w14:textId="77777777" w:rsidTr="37A82AFA">
        <w:tc>
          <w:tcPr>
            <w:tcW w:w="2410" w:type="dxa"/>
            <w:tcBorders>
              <w:top w:val="single" w:sz="12" w:space="0" w:color="D9D9D9" w:themeColor="background1" w:themeShade="D9"/>
              <w:bottom w:val="single" w:sz="12" w:space="0" w:color="D9D9D9" w:themeColor="background1" w:themeShade="D9"/>
              <w:right w:val="nil"/>
            </w:tcBorders>
            <w:vAlign w:val="center"/>
          </w:tcPr>
          <w:p w14:paraId="012134BD" w14:textId="77777777" w:rsidR="00104692" w:rsidRPr="00D614DF" w:rsidRDefault="00104692" w:rsidP="008F077C">
            <w:pPr>
              <w:spacing w:before="60" w:after="60"/>
              <w:jc w:val="both"/>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012134BE" w14:textId="77777777" w:rsidR="00104692" w:rsidRPr="00D614DF" w:rsidRDefault="00104692" w:rsidP="008F077C">
            <w:pPr>
              <w:spacing w:before="60" w:after="60"/>
              <w:ind w:left="159"/>
              <w:jc w:val="both"/>
              <w:rPr>
                <w:rFonts w:cs="Arial"/>
                <w:sz w:val="20"/>
              </w:rPr>
            </w:pPr>
          </w:p>
        </w:tc>
      </w:tr>
      <w:tr w:rsidR="00104692" w:rsidRPr="007267FE" w14:paraId="012134C7" w14:textId="77777777" w:rsidTr="37A82AFA">
        <w:tc>
          <w:tcPr>
            <w:tcW w:w="9639" w:type="dxa"/>
            <w:gridSpan w:val="2"/>
            <w:tcBorders>
              <w:top w:val="single" w:sz="12" w:space="0" w:color="D9D9D9" w:themeColor="background1" w:themeShade="D9"/>
              <w:bottom w:val="nil"/>
            </w:tcBorders>
          </w:tcPr>
          <w:p w14:paraId="6B9A51EC" w14:textId="1E045FA2" w:rsidR="00765CB1" w:rsidRDefault="00231A4D" w:rsidP="37A82AFA">
            <w:pPr>
              <w:spacing w:before="60" w:after="60"/>
              <w:jc w:val="both"/>
              <w:rPr>
                <w:rFonts w:cs="Arial"/>
                <w:sz w:val="20"/>
              </w:rPr>
            </w:pPr>
            <w:hyperlink r:id="rId13">
              <w:r w:rsidR="004554A8" w:rsidRPr="37A82AFA">
                <w:rPr>
                  <w:rStyle w:val="Hyperlink"/>
                  <w:rFonts w:cs="Arial"/>
                  <w:sz w:val="20"/>
                </w:rPr>
                <w:t>R</w:t>
              </w:r>
              <w:r w:rsidR="00765CB1" w:rsidRPr="37A82AFA">
                <w:rPr>
                  <w:rStyle w:val="Hyperlink"/>
                  <w:rFonts w:cs="Arial"/>
                  <w:sz w:val="20"/>
                </w:rPr>
                <w:t>esponsible Conduct of Research</w:t>
              </w:r>
            </w:hyperlink>
          </w:p>
          <w:p w14:paraId="012134C0" w14:textId="6F8565AB" w:rsidR="00297BDF" w:rsidRPr="00467207" w:rsidRDefault="00467207" w:rsidP="008F077C">
            <w:pPr>
              <w:spacing w:before="60" w:after="60"/>
              <w:jc w:val="both"/>
              <w:rPr>
                <w:rStyle w:val="Hyperlink"/>
                <w:rFonts w:cs="Arial"/>
                <w:sz w:val="20"/>
              </w:rPr>
            </w:pPr>
            <w:r>
              <w:rPr>
                <w:rFonts w:cs="Arial"/>
                <w:sz w:val="20"/>
              </w:rPr>
              <w:fldChar w:fldCharType="begin"/>
            </w:r>
            <w:r>
              <w:rPr>
                <w:rFonts w:cs="Arial"/>
                <w:sz w:val="20"/>
              </w:rPr>
              <w:instrText xml:space="preserve"> HYPERLINK "http://policies.griffith.edu.au/pdf/Code%20of%20Practice%20for%20the%20Supervision%20of%20HDR%20Candidates.pdf" </w:instrText>
            </w:r>
            <w:r>
              <w:rPr>
                <w:rFonts w:cs="Arial"/>
                <w:sz w:val="20"/>
              </w:rPr>
            </w:r>
            <w:r>
              <w:rPr>
                <w:rFonts w:cs="Arial"/>
                <w:sz w:val="20"/>
              </w:rPr>
              <w:fldChar w:fldCharType="separate"/>
            </w:r>
            <w:r w:rsidR="00297BDF" w:rsidRPr="00467207">
              <w:rPr>
                <w:rStyle w:val="Hyperlink"/>
                <w:rFonts w:cs="Arial"/>
                <w:sz w:val="20"/>
              </w:rPr>
              <w:t>Code of Practice for the Supervision of Higher Degree Research Students</w:t>
            </w:r>
          </w:p>
          <w:p w14:paraId="012134C1" w14:textId="08FDE721" w:rsidR="00297BDF" w:rsidRPr="007267FE" w:rsidRDefault="00467207" w:rsidP="008F077C">
            <w:pPr>
              <w:spacing w:before="60" w:after="60"/>
              <w:jc w:val="both"/>
              <w:rPr>
                <w:rFonts w:cs="Arial"/>
                <w:sz w:val="20"/>
              </w:rPr>
            </w:pPr>
            <w:r>
              <w:rPr>
                <w:rFonts w:cs="Arial"/>
                <w:sz w:val="20"/>
              </w:rPr>
              <w:fldChar w:fldCharType="end"/>
            </w:r>
            <w:r w:rsidR="00231A4D">
              <w:rPr>
                <w:rFonts w:cs="Arial"/>
                <w:sz w:val="20"/>
              </w:rPr>
              <w:fldChar w:fldCharType="begin"/>
            </w:r>
            <w:r w:rsidR="00231A4D">
              <w:rPr>
                <w:rFonts w:cs="Arial"/>
                <w:sz w:val="20"/>
              </w:rPr>
              <w:instrText>HYPERLINK "https://sharepointpubstor.blob.core.windows.net/policylibrary-prod/Higher%20Degree%20by%20Research%20Academic%20Progress%20Procedure.pdf"</w:instrText>
            </w:r>
            <w:r w:rsidR="00231A4D">
              <w:rPr>
                <w:rFonts w:cs="Arial"/>
                <w:sz w:val="20"/>
              </w:rPr>
            </w:r>
            <w:r w:rsidR="00231A4D">
              <w:rPr>
                <w:rFonts w:cs="Arial"/>
                <w:sz w:val="20"/>
              </w:rPr>
              <w:fldChar w:fldCharType="separate"/>
            </w:r>
            <w:r w:rsidR="009465E8" w:rsidRPr="00231A4D">
              <w:rPr>
                <w:rStyle w:val="Hyperlink"/>
                <w:rFonts w:cs="Arial"/>
                <w:sz w:val="20"/>
              </w:rPr>
              <w:t>Higher Degree by Research Academic Progress Procedure</w:t>
            </w:r>
            <w:r w:rsidR="00231A4D">
              <w:rPr>
                <w:rFonts w:cs="Arial"/>
                <w:sz w:val="20"/>
              </w:rPr>
              <w:fldChar w:fldCharType="end"/>
            </w:r>
            <w:r w:rsidR="009465E8" w:rsidRPr="007267FE">
              <w:rPr>
                <w:rFonts w:cs="Arial"/>
                <w:sz w:val="20"/>
              </w:rPr>
              <w:t xml:space="preserve"> </w:t>
            </w:r>
          </w:p>
          <w:p w14:paraId="012134C2" w14:textId="5A68EBE4" w:rsidR="00297BDF" w:rsidRPr="004C35C1" w:rsidRDefault="004C35C1" w:rsidP="008F077C">
            <w:pPr>
              <w:spacing w:before="60" w:after="60"/>
              <w:jc w:val="both"/>
              <w:rPr>
                <w:rStyle w:val="Hyperlink"/>
                <w:rFonts w:cs="Arial"/>
                <w:sz w:val="20"/>
              </w:rPr>
            </w:pPr>
            <w:r>
              <w:rPr>
                <w:rFonts w:cs="Arial"/>
                <w:sz w:val="20"/>
              </w:rPr>
              <w:fldChar w:fldCharType="begin"/>
            </w:r>
            <w:r>
              <w:rPr>
                <w:rFonts w:cs="Arial"/>
                <w:sz w:val="20"/>
              </w:rPr>
              <w:instrText xml:space="preserve"> HYPERLINK "http://policies.griffith.edu.au/pdf/Student%20Review%20and%20Appeals%20Policy.pdf" </w:instrText>
            </w:r>
            <w:r>
              <w:rPr>
                <w:rFonts w:cs="Arial"/>
                <w:sz w:val="20"/>
              </w:rPr>
            </w:r>
            <w:r>
              <w:rPr>
                <w:rFonts w:cs="Arial"/>
                <w:sz w:val="20"/>
              </w:rPr>
              <w:fldChar w:fldCharType="separate"/>
            </w:r>
            <w:r w:rsidR="00297BDF" w:rsidRPr="004C35C1">
              <w:rPr>
                <w:rStyle w:val="Hyperlink"/>
                <w:rFonts w:cs="Arial"/>
                <w:sz w:val="20"/>
              </w:rPr>
              <w:t xml:space="preserve">Student </w:t>
            </w:r>
            <w:r w:rsidRPr="004C35C1">
              <w:rPr>
                <w:rStyle w:val="Hyperlink"/>
                <w:rFonts w:cs="Arial"/>
                <w:sz w:val="20"/>
              </w:rPr>
              <w:t>Review</w:t>
            </w:r>
            <w:r w:rsidR="00297BDF" w:rsidRPr="004C35C1">
              <w:rPr>
                <w:rStyle w:val="Hyperlink"/>
                <w:rFonts w:cs="Arial"/>
                <w:sz w:val="20"/>
              </w:rPr>
              <w:t xml:space="preserve"> and Appeals Policy</w:t>
            </w:r>
          </w:p>
          <w:p w14:paraId="11C511A8" w14:textId="386DBADE" w:rsidR="004C35C1" w:rsidRDefault="004C35C1" w:rsidP="008F077C">
            <w:pPr>
              <w:spacing w:before="60" w:after="60"/>
              <w:jc w:val="both"/>
              <w:rPr>
                <w:rFonts w:cs="Arial"/>
                <w:sz w:val="20"/>
              </w:rPr>
            </w:pPr>
            <w:r>
              <w:rPr>
                <w:rFonts w:cs="Arial"/>
                <w:sz w:val="20"/>
              </w:rPr>
              <w:fldChar w:fldCharType="end"/>
            </w:r>
            <w:hyperlink r:id="rId14" w:history="1">
              <w:r w:rsidRPr="004C35C1">
                <w:rPr>
                  <w:rStyle w:val="Hyperlink"/>
                  <w:rFonts w:cs="Arial"/>
                  <w:sz w:val="20"/>
                </w:rPr>
                <w:t>Student Review and Appeals Procedures</w:t>
              </w:r>
            </w:hyperlink>
          </w:p>
          <w:p w14:paraId="062E6E63" w14:textId="617D3381" w:rsidR="004C35C1" w:rsidRDefault="00231A4D" w:rsidP="008F077C">
            <w:pPr>
              <w:spacing w:before="60" w:after="60"/>
              <w:jc w:val="both"/>
              <w:rPr>
                <w:rFonts w:cs="Arial"/>
                <w:sz w:val="20"/>
              </w:rPr>
            </w:pPr>
            <w:hyperlink r:id="rId15" w:history="1">
              <w:r w:rsidR="004C35C1" w:rsidRPr="004C35C1">
                <w:rPr>
                  <w:rStyle w:val="Hyperlink"/>
                  <w:rFonts w:cs="Arial"/>
                  <w:sz w:val="20"/>
                </w:rPr>
                <w:t>Student Complaints Policy</w:t>
              </w:r>
            </w:hyperlink>
          </w:p>
          <w:p w14:paraId="3CC03380" w14:textId="5B45B7F2" w:rsidR="004C35C1" w:rsidRDefault="00231A4D" w:rsidP="008F077C">
            <w:pPr>
              <w:spacing w:before="60" w:after="60"/>
              <w:jc w:val="both"/>
              <w:rPr>
                <w:rStyle w:val="Hyperlink"/>
                <w:rFonts w:cs="Arial"/>
                <w:sz w:val="20"/>
              </w:rPr>
            </w:pPr>
            <w:hyperlink r:id="rId16" w:history="1">
              <w:r w:rsidR="004C35C1" w:rsidRPr="004C35C1">
                <w:rPr>
                  <w:rStyle w:val="Hyperlink"/>
                  <w:rFonts w:cs="Arial"/>
                  <w:sz w:val="20"/>
                </w:rPr>
                <w:t>Student Complaints Procedures</w:t>
              </w:r>
            </w:hyperlink>
          </w:p>
          <w:p w14:paraId="012134C4" w14:textId="77777777" w:rsidR="00297BDF" w:rsidRPr="007267FE" w:rsidRDefault="00231A4D" w:rsidP="008F077C">
            <w:pPr>
              <w:spacing w:before="60" w:after="60"/>
              <w:jc w:val="both"/>
              <w:rPr>
                <w:rFonts w:cs="Arial"/>
                <w:sz w:val="20"/>
              </w:rPr>
            </w:pPr>
            <w:hyperlink r:id="rId17" w:history="1">
              <w:r w:rsidR="00297BDF" w:rsidRPr="007267FE">
                <w:rPr>
                  <w:rStyle w:val="Hyperlink"/>
                  <w:rFonts w:cs="Arial"/>
                  <w:sz w:val="20"/>
                </w:rPr>
                <w:t>Higher Degree Research Policy</w:t>
              </w:r>
            </w:hyperlink>
          </w:p>
          <w:p w14:paraId="012134C5" w14:textId="1B9B4248" w:rsidR="00297BDF" w:rsidRPr="007267FE" w:rsidRDefault="00231A4D" w:rsidP="008F077C">
            <w:pPr>
              <w:spacing w:before="60" w:after="60"/>
              <w:jc w:val="both"/>
              <w:rPr>
                <w:rFonts w:cs="Arial"/>
                <w:sz w:val="20"/>
              </w:rPr>
            </w:pPr>
            <w:hyperlink r:id="rId18">
              <w:r w:rsidR="00297BDF" w:rsidRPr="37A82AFA">
                <w:rPr>
                  <w:rStyle w:val="Hyperlink"/>
                  <w:rFonts w:cs="Arial"/>
                  <w:sz w:val="20"/>
                </w:rPr>
                <w:t>H</w:t>
              </w:r>
              <w:r w:rsidR="002503A8" w:rsidRPr="37A82AFA">
                <w:rPr>
                  <w:rStyle w:val="Hyperlink"/>
                  <w:rFonts w:cs="Arial"/>
                  <w:sz w:val="20"/>
                </w:rPr>
                <w:t>DR Supervision Procedure</w:t>
              </w:r>
            </w:hyperlink>
          </w:p>
          <w:p w14:paraId="65420AE6" w14:textId="167327C3" w:rsidR="4D052EBA" w:rsidRDefault="00231A4D" w:rsidP="37A82AFA">
            <w:pPr>
              <w:spacing w:before="60" w:after="60" w:line="259" w:lineRule="auto"/>
              <w:jc w:val="both"/>
              <w:rPr>
                <w:rFonts w:cs="Arial"/>
                <w:sz w:val="20"/>
              </w:rPr>
            </w:pPr>
            <w:hyperlink r:id="rId19">
              <w:r w:rsidR="4D052EBA" w:rsidRPr="37A82AFA">
                <w:rPr>
                  <w:rStyle w:val="Hyperlink"/>
                  <w:sz w:val="20"/>
                </w:rPr>
                <w:t>Program and Course Policy</w:t>
              </w:r>
            </w:hyperlink>
          </w:p>
          <w:p w14:paraId="42018195" w14:textId="74673E37" w:rsidR="4D052EBA" w:rsidRDefault="00231A4D" w:rsidP="37A82AFA">
            <w:pPr>
              <w:spacing w:before="60" w:after="60" w:line="259" w:lineRule="auto"/>
              <w:jc w:val="both"/>
              <w:rPr>
                <w:rFonts w:cs="Arial"/>
                <w:sz w:val="20"/>
              </w:rPr>
            </w:pPr>
            <w:hyperlink r:id="rId20">
              <w:r w:rsidR="4D052EBA" w:rsidRPr="37A82AFA">
                <w:rPr>
                  <w:rStyle w:val="Hyperlink"/>
                  <w:sz w:val="20"/>
                </w:rPr>
                <w:t>Academic Awards Procedure</w:t>
              </w:r>
            </w:hyperlink>
          </w:p>
          <w:p w14:paraId="64AE2443" w14:textId="44476DCF" w:rsidR="00D128F4" w:rsidRPr="00D128F4" w:rsidRDefault="00231A4D" w:rsidP="004C35C1">
            <w:pPr>
              <w:spacing w:before="60" w:after="60"/>
              <w:jc w:val="both"/>
              <w:rPr>
                <w:rStyle w:val="Hyperlink"/>
                <w:rFonts w:cs="Arial"/>
                <w:sz w:val="20"/>
              </w:rPr>
            </w:pPr>
            <w:hyperlink r:id="rId21" w:history="1">
              <w:r w:rsidR="00D128F4" w:rsidRPr="00D128F4">
                <w:rPr>
                  <w:rStyle w:val="Hyperlink"/>
                  <w:sz w:val="20"/>
                </w:rPr>
                <w:t>Minimum Standard of Resources, Facilities and Other Support</w:t>
              </w:r>
            </w:hyperlink>
            <w:r w:rsidR="00D128F4" w:rsidRPr="00D128F4">
              <w:rPr>
                <w:rStyle w:val="Hyperlink"/>
                <w:sz w:val="20"/>
              </w:rPr>
              <w:t xml:space="preserve"> </w:t>
            </w:r>
          </w:p>
          <w:p w14:paraId="012134C6" w14:textId="2CF414FB" w:rsidR="00D128F4" w:rsidRPr="007267FE" w:rsidRDefault="00231A4D" w:rsidP="004C35C1">
            <w:pPr>
              <w:spacing w:before="60" w:after="60"/>
              <w:jc w:val="both"/>
              <w:rPr>
                <w:rFonts w:cs="Arial"/>
                <w:sz w:val="20"/>
              </w:rPr>
            </w:pPr>
            <w:hyperlink r:id="rId22" w:history="1">
              <w:r w:rsidR="00D128F4" w:rsidRPr="00D128F4">
                <w:rPr>
                  <w:rStyle w:val="Hyperlink"/>
                  <w:rFonts w:cs="Arial"/>
                  <w:sz w:val="20"/>
                </w:rPr>
                <w:t>Australian Code for the Responsible Conduct of Research (2018)</w:t>
              </w:r>
            </w:hyperlink>
          </w:p>
        </w:tc>
      </w:tr>
      <w:tr w:rsidR="00104692" w:rsidRPr="00474FF5" w14:paraId="012134C9" w14:textId="77777777" w:rsidTr="37A82AFA">
        <w:tc>
          <w:tcPr>
            <w:tcW w:w="9639" w:type="dxa"/>
            <w:gridSpan w:val="2"/>
            <w:tcBorders>
              <w:top w:val="single" w:sz="12" w:space="0" w:color="D9D9D9" w:themeColor="background1" w:themeShade="D9"/>
              <w:bottom w:val="single" w:sz="12" w:space="0" w:color="D9D9D9" w:themeColor="background1" w:themeShade="D9"/>
            </w:tcBorders>
          </w:tcPr>
          <w:p w14:paraId="012134C8" w14:textId="77777777" w:rsidR="00104692" w:rsidRPr="00474FF5" w:rsidRDefault="00297BDF" w:rsidP="008F077C">
            <w:pPr>
              <w:spacing w:before="60" w:after="60"/>
              <w:jc w:val="both"/>
              <w:rPr>
                <w:rFonts w:cs="Arial"/>
                <w:sz w:val="20"/>
              </w:rPr>
            </w:pPr>
            <w:r w:rsidRPr="00297BDF">
              <w:rPr>
                <w:sz w:val="20"/>
              </w:rPr>
              <w:t>[</w:t>
            </w:r>
            <w:hyperlink w:anchor="introduction" w:history="1">
              <w:r w:rsidRPr="006B4D54">
                <w:rPr>
                  <w:rStyle w:val="Hyperlink"/>
                  <w:sz w:val="20"/>
                </w:rPr>
                <w:t>Introduction</w:t>
              </w:r>
            </w:hyperlink>
            <w:r w:rsidRPr="00297BDF">
              <w:rPr>
                <w:sz w:val="20"/>
              </w:rPr>
              <w:t>] [</w:t>
            </w:r>
            <w:hyperlink w:anchor="appointment" w:history="1">
              <w:r w:rsidRPr="006B4D54">
                <w:rPr>
                  <w:rStyle w:val="Hyperlink"/>
                  <w:sz w:val="20"/>
                </w:rPr>
                <w:t>Appointment</w:t>
              </w:r>
            </w:hyperlink>
            <w:r w:rsidRPr="00297BDF">
              <w:rPr>
                <w:sz w:val="20"/>
              </w:rPr>
              <w:t>] [</w:t>
            </w:r>
            <w:hyperlink w:anchor="broadrole" w:history="1">
              <w:r w:rsidRPr="006B4D54">
                <w:rPr>
                  <w:rStyle w:val="Hyperlink"/>
                  <w:sz w:val="20"/>
                </w:rPr>
                <w:t>Broad Role</w:t>
              </w:r>
            </w:hyperlink>
            <w:r w:rsidRPr="00297BDF">
              <w:rPr>
                <w:sz w:val="20"/>
              </w:rPr>
              <w:t>] [</w:t>
            </w:r>
            <w:hyperlink w:anchor="detailedresponsibilities" w:history="1">
              <w:r w:rsidRPr="006B4D54">
                <w:rPr>
                  <w:rStyle w:val="Hyperlink"/>
                  <w:sz w:val="20"/>
                </w:rPr>
                <w:t>Detailed Responsibilities</w:t>
              </w:r>
            </w:hyperlink>
            <w:r w:rsidRPr="00297BDF">
              <w:rPr>
                <w:sz w:val="20"/>
              </w:rPr>
              <w:t>]</w:t>
            </w:r>
          </w:p>
        </w:tc>
      </w:tr>
    </w:tbl>
    <w:p w14:paraId="012134CA" w14:textId="77777777" w:rsidR="00046B8A" w:rsidRPr="00046B8A" w:rsidRDefault="008F077C" w:rsidP="008F077C">
      <w:pPr>
        <w:numPr>
          <w:ilvl w:val="0"/>
          <w:numId w:val="10"/>
        </w:numPr>
        <w:tabs>
          <w:tab w:val="clear" w:pos="570"/>
          <w:tab w:val="left" w:pos="567"/>
        </w:tabs>
        <w:spacing w:before="100" w:beforeAutospacing="1" w:after="240"/>
        <w:jc w:val="both"/>
        <w:rPr>
          <w:rFonts w:cs="Arial"/>
          <w:b/>
          <w:caps/>
          <w:sz w:val="24"/>
          <w:szCs w:val="24"/>
        </w:rPr>
      </w:pPr>
      <w:bookmarkStart w:id="0" w:name="introduction"/>
      <w:bookmarkEnd w:id="0"/>
      <w:r w:rsidRPr="008F077C">
        <w:rPr>
          <w:b/>
          <w:caps/>
          <w:sz w:val="24"/>
          <w:szCs w:val="24"/>
        </w:rPr>
        <w:t>Introduction</w:t>
      </w:r>
    </w:p>
    <w:p w14:paraId="3BAA93D3" w14:textId="77777777" w:rsidR="007267FE" w:rsidRDefault="008F077C" w:rsidP="008F077C">
      <w:pPr>
        <w:spacing w:after="120"/>
        <w:ind w:left="567"/>
        <w:jc w:val="both"/>
        <w:rPr>
          <w:rFonts w:cs="Arial"/>
          <w:sz w:val="20"/>
        </w:rPr>
      </w:pPr>
      <w:r w:rsidRPr="008F077C">
        <w:rPr>
          <w:rFonts w:cs="Arial"/>
          <w:sz w:val="20"/>
        </w:rPr>
        <w:t>Each Element is required to have a duly appointed Higher Degree Research (HDR) Convenor who shall be responsible for managing and supporting research education and training within the element as delegated by the Head of Element.</w:t>
      </w:r>
    </w:p>
    <w:p w14:paraId="012134CB" w14:textId="5F711027" w:rsidR="00046B8A" w:rsidRPr="00046B8A" w:rsidRDefault="00231A4D" w:rsidP="007267FE">
      <w:pPr>
        <w:spacing w:after="120"/>
        <w:jc w:val="both"/>
        <w:rPr>
          <w:rFonts w:cs="Arial"/>
          <w:sz w:val="20"/>
        </w:rPr>
      </w:pPr>
      <w:r>
        <w:rPr>
          <w:rFonts w:cs="Arial"/>
          <w:sz w:val="20"/>
        </w:rPr>
        <w:pict w14:anchorId="05559B70">
          <v:rect id="_x0000_i1025" style="width:447.9pt;height:1pt" o:hralign="center" o:hrstd="t" o:hrnoshade="t" o:hr="t" fillcolor="#d8d8d8 [2732]" stroked="f"/>
        </w:pict>
      </w:r>
    </w:p>
    <w:p w14:paraId="012134CC" w14:textId="77777777" w:rsidR="00046B8A" w:rsidRPr="00046B8A" w:rsidRDefault="008F077C" w:rsidP="008F077C">
      <w:pPr>
        <w:numPr>
          <w:ilvl w:val="0"/>
          <w:numId w:val="10"/>
        </w:numPr>
        <w:spacing w:before="100" w:beforeAutospacing="1" w:after="240"/>
        <w:jc w:val="both"/>
        <w:rPr>
          <w:rFonts w:cs="Arial"/>
          <w:b/>
          <w:caps/>
          <w:sz w:val="24"/>
          <w:szCs w:val="24"/>
        </w:rPr>
      </w:pPr>
      <w:bookmarkStart w:id="1" w:name="appointment"/>
      <w:bookmarkEnd w:id="1"/>
      <w:r w:rsidRPr="008F077C">
        <w:rPr>
          <w:b/>
          <w:caps/>
          <w:sz w:val="24"/>
          <w:szCs w:val="24"/>
        </w:rPr>
        <w:t>Appointment</w:t>
      </w:r>
    </w:p>
    <w:p w14:paraId="7F9A676C" w14:textId="04627721" w:rsidR="007267FE" w:rsidRDefault="008F077C" w:rsidP="008F077C">
      <w:pPr>
        <w:spacing w:after="120"/>
        <w:ind w:left="567"/>
        <w:jc w:val="both"/>
        <w:rPr>
          <w:rFonts w:cs="Arial"/>
          <w:sz w:val="20"/>
        </w:rPr>
      </w:pPr>
      <w:r w:rsidRPr="008F077C">
        <w:rPr>
          <w:rFonts w:cs="Arial"/>
          <w:sz w:val="20"/>
        </w:rPr>
        <w:t xml:space="preserve">The HDR Convenor is nominated by the Head of Element and appointed by the Dean (Research). The HDR Convenor will be a senior academic staff member with a successful track record of supervision. Whenever there is a period of absence, the Head of Element will retain responsibility for the work covered by the HDR Convenor. Where an element is across </w:t>
      </w:r>
      <w:proofErr w:type="gramStart"/>
      <w:r w:rsidRPr="008F077C">
        <w:rPr>
          <w:rFonts w:cs="Arial"/>
          <w:sz w:val="20"/>
        </w:rPr>
        <w:t>a number of</w:t>
      </w:r>
      <w:proofErr w:type="gramEnd"/>
      <w:r w:rsidRPr="008F077C">
        <w:rPr>
          <w:rFonts w:cs="Arial"/>
          <w:sz w:val="20"/>
        </w:rPr>
        <w:t xml:space="preserve"> campuses one HDR Convenor may oversee all campuses or a HDR Convenor may be appointed to oversee a specific campus. Some elements may appoint a HDR Convenor to specific discipline areas within the element.</w:t>
      </w:r>
    </w:p>
    <w:p w14:paraId="012134CD" w14:textId="2A10F446" w:rsidR="00046B8A" w:rsidRPr="00046B8A" w:rsidRDefault="00231A4D" w:rsidP="007267FE">
      <w:pPr>
        <w:spacing w:after="120"/>
        <w:jc w:val="both"/>
        <w:rPr>
          <w:rFonts w:cs="Arial"/>
          <w:sz w:val="20"/>
        </w:rPr>
      </w:pPr>
      <w:r>
        <w:rPr>
          <w:rFonts w:cs="Arial"/>
          <w:sz w:val="20"/>
        </w:rPr>
        <w:pict w14:anchorId="7549C4D4">
          <v:rect id="_x0000_i1026" style="width:447.9pt;height:1pt" o:hralign="center" o:hrstd="t" o:hrnoshade="t" o:hr="t" fillcolor="#d8d8d8 [2732]" stroked="f"/>
        </w:pict>
      </w:r>
    </w:p>
    <w:p w14:paraId="012134CE" w14:textId="77777777" w:rsidR="00046B8A" w:rsidRPr="00046B8A" w:rsidRDefault="008F077C" w:rsidP="008F077C">
      <w:pPr>
        <w:numPr>
          <w:ilvl w:val="0"/>
          <w:numId w:val="10"/>
        </w:numPr>
        <w:spacing w:before="100" w:beforeAutospacing="1" w:after="240"/>
        <w:jc w:val="both"/>
        <w:rPr>
          <w:rFonts w:cs="Arial"/>
          <w:b/>
          <w:caps/>
          <w:sz w:val="24"/>
          <w:szCs w:val="24"/>
        </w:rPr>
      </w:pPr>
      <w:bookmarkStart w:id="2" w:name="broadrole"/>
      <w:bookmarkEnd w:id="2"/>
      <w:r w:rsidRPr="008F077C">
        <w:rPr>
          <w:b/>
          <w:caps/>
          <w:sz w:val="24"/>
          <w:szCs w:val="24"/>
        </w:rPr>
        <w:t>Broad Role</w:t>
      </w:r>
    </w:p>
    <w:p w14:paraId="012134CF" w14:textId="77777777" w:rsidR="008F077C" w:rsidRPr="008F077C" w:rsidRDefault="008F077C" w:rsidP="008F077C">
      <w:pPr>
        <w:spacing w:after="120"/>
        <w:ind w:left="567"/>
        <w:jc w:val="both"/>
        <w:rPr>
          <w:rFonts w:cs="Arial"/>
          <w:sz w:val="20"/>
        </w:rPr>
      </w:pPr>
      <w:r w:rsidRPr="008F077C">
        <w:rPr>
          <w:rFonts w:cs="Arial"/>
          <w:sz w:val="20"/>
        </w:rPr>
        <w:t xml:space="preserve">The Head of Element will ensure that the duties and responsibilities of the HDR Convenor are defined in response to local issues and needs. It is intended that adequate resources are provided to assist in </w:t>
      </w:r>
      <w:r w:rsidRPr="008F077C">
        <w:rPr>
          <w:rFonts w:cs="Arial"/>
          <w:sz w:val="20"/>
        </w:rPr>
        <w:lastRenderedPageBreak/>
        <w:t>the performance of those duties and that proper recognition is given to the workload that these duties entail.  Whatever duties are delegated, the Head of Element remains responsible for overseeing the responsibilities of the host element with respect to HDR students.  The role of the HDR Convenor is seen primarily as an education and training mentoring role for HDR students and supervisors and may be delegated substantial administrative decision-making authority by the Head of Element. This decision-making may include administration of HDR processes at the points of admission, confirmation, progress reporting and examination.</w:t>
      </w:r>
    </w:p>
    <w:p w14:paraId="012134D0" w14:textId="77777777" w:rsidR="008F077C" w:rsidRPr="008F077C" w:rsidRDefault="008F077C" w:rsidP="008F077C">
      <w:pPr>
        <w:spacing w:after="120"/>
        <w:ind w:left="567"/>
        <w:jc w:val="both"/>
        <w:rPr>
          <w:rFonts w:cs="Arial"/>
          <w:sz w:val="20"/>
        </w:rPr>
      </w:pPr>
      <w:r w:rsidRPr="008F077C">
        <w:rPr>
          <w:rFonts w:cs="Arial"/>
          <w:sz w:val="20"/>
        </w:rPr>
        <w:t xml:space="preserve">The HDR Convenor has a leadership role to play in assuring the quality of research education and training and assisting HDR students and supervisors to meet the requirements relating to HDR students' admission, </w:t>
      </w:r>
      <w:proofErr w:type="gramStart"/>
      <w:r w:rsidRPr="008F077C">
        <w:rPr>
          <w:rFonts w:cs="Arial"/>
          <w:sz w:val="20"/>
        </w:rPr>
        <w:t>progression</w:t>
      </w:r>
      <w:proofErr w:type="gramEnd"/>
      <w:r w:rsidRPr="008F077C">
        <w:rPr>
          <w:rFonts w:cs="Arial"/>
          <w:sz w:val="20"/>
        </w:rPr>
        <w:t xml:space="preserve"> and completion.</w:t>
      </w:r>
    </w:p>
    <w:p w14:paraId="012134D1" w14:textId="77777777" w:rsidR="008F077C" w:rsidRPr="008F077C" w:rsidRDefault="008F077C" w:rsidP="008F077C">
      <w:pPr>
        <w:pStyle w:val="ListParagraph"/>
        <w:numPr>
          <w:ilvl w:val="0"/>
          <w:numId w:val="11"/>
        </w:numPr>
        <w:spacing w:after="120"/>
        <w:jc w:val="both"/>
        <w:rPr>
          <w:rFonts w:cs="Arial"/>
          <w:sz w:val="20"/>
        </w:rPr>
      </w:pPr>
      <w:r w:rsidRPr="008F077C">
        <w:rPr>
          <w:rFonts w:cs="Arial"/>
          <w:sz w:val="20"/>
        </w:rPr>
        <w:t xml:space="preserve">by providing a supportive environment for students, including the development and maintenance of resources to support students and </w:t>
      </w:r>
      <w:proofErr w:type="gramStart"/>
      <w:r w:rsidRPr="008F077C">
        <w:rPr>
          <w:rFonts w:cs="Arial"/>
          <w:sz w:val="20"/>
        </w:rPr>
        <w:t>supervisors;</w:t>
      </w:r>
      <w:proofErr w:type="gramEnd"/>
    </w:p>
    <w:p w14:paraId="012134D2" w14:textId="77777777" w:rsidR="008F077C" w:rsidRPr="008F077C" w:rsidRDefault="008F077C" w:rsidP="008F077C">
      <w:pPr>
        <w:pStyle w:val="ListParagraph"/>
        <w:numPr>
          <w:ilvl w:val="0"/>
          <w:numId w:val="11"/>
        </w:numPr>
        <w:spacing w:after="120"/>
        <w:jc w:val="both"/>
        <w:rPr>
          <w:rFonts w:cs="Arial"/>
          <w:sz w:val="20"/>
        </w:rPr>
      </w:pPr>
      <w:r w:rsidRPr="008F077C">
        <w:rPr>
          <w:rFonts w:cs="Arial"/>
          <w:sz w:val="20"/>
        </w:rPr>
        <w:t>by providing opportunities for supervisors to contribute in a meaningful way to the organisation and management of higher degrees by research; and</w:t>
      </w:r>
    </w:p>
    <w:p w14:paraId="012134D3" w14:textId="460537FD" w:rsidR="008F077C" w:rsidRPr="008F077C" w:rsidRDefault="008F077C" w:rsidP="008F077C">
      <w:pPr>
        <w:pStyle w:val="ListParagraph"/>
        <w:numPr>
          <w:ilvl w:val="0"/>
          <w:numId w:val="11"/>
        </w:numPr>
        <w:spacing w:after="120"/>
        <w:jc w:val="both"/>
        <w:rPr>
          <w:rFonts w:cs="Arial"/>
          <w:sz w:val="20"/>
        </w:rPr>
      </w:pPr>
      <w:r w:rsidRPr="008F077C">
        <w:rPr>
          <w:rFonts w:cs="Arial"/>
          <w:sz w:val="20"/>
        </w:rPr>
        <w:t>by generating an intellectual</w:t>
      </w:r>
      <w:r w:rsidR="0006587F">
        <w:rPr>
          <w:rFonts w:cs="Arial"/>
          <w:sz w:val="20"/>
        </w:rPr>
        <w:t xml:space="preserve"> and supportive</w:t>
      </w:r>
      <w:r w:rsidRPr="008F077C">
        <w:rPr>
          <w:rFonts w:cs="Arial"/>
          <w:sz w:val="20"/>
        </w:rPr>
        <w:t xml:space="preserve"> climate conducive </w:t>
      </w:r>
      <w:proofErr w:type="gramStart"/>
      <w:r w:rsidRPr="008F077C">
        <w:rPr>
          <w:rFonts w:cs="Arial"/>
          <w:sz w:val="20"/>
        </w:rPr>
        <w:t>to:</w:t>
      </w:r>
      <w:proofErr w:type="gramEnd"/>
      <w:r w:rsidRPr="008F077C">
        <w:rPr>
          <w:rFonts w:cs="Arial"/>
          <w:sz w:val="20"/>
        </w:rPr>
        <w:t xml:space="preserve"> attracting high quality HDR students, establishing progression milestones and peer review of HDR work, ensuring timely completions of theses, and </w:t>
      </w:r>
      <w:r w:rsidR="0006587F">
        <w:rPr>
          <w:rFonts w:cs="Arial"/>
          <w:sz w:val="20"/>
        </w:rPr>
        <w:t>generating</w:t>
      </w:r>
      <w:r w:rsidRPr="008F077C">
        <w:rPr>
          <w:rFonts w:cs="Arial"/>
          <w:sz w:val="20"/>
        </w:rPr>
        <w:t xml:space="preserve"> HDR publications.</w:t>
      </w:r>
    </w:p>
    <w:p w14:paraId="012134D4" w14:textId="77777777" w:rsidR="008F077C" w:rsidRPr="008F077C" w:rsidRDefault="008F077C" w:rsidP="008F077C">
      <w:pPr>
        <w:spacing w:after="120"/>
        <w:ind w:left="567"/>
        <w:jc w:val="both"/>
        <w:rPr>
          <w:rFonts w:cs="Arial"/>
          <w:sz w:val="20"/>
        </w:rPr>
      </w:pPr>
      <w:r w:rsidRPr="008F077C">
        <w:rPr>
          <w:rFonts w:cs="Arial"/>
          <w:sz w:val="20"/>
        </w:rPr>
        <w:t>The HDR Convenor should assist in responding to and monitoring the demand for higher degrees by research, the quality of the students admitted to the program, and the extent to which the program is achieving its stated outcomes in terms of graduate satisfaction and employment.  The HDR Convenor should bring to the attention of the Head of Element and Dean/Deputy Dean (Research) any problems in the achievement of outcomes and facilitate actions to resolve such problems.</w:t>
      </w:r>
    </w:p>
    <w:p w14:paraId="012134D5" w14:textId="77777777" w:rsidR="008F077C" w:rsidRPr="008F077C" w:rsidRDefault="008F077C" w:rsidP="008F077C">
      <w:pPr>
        <w:spacing w:after="120"/>
        <w:ind w:left="567"/>
        <w:jc w:val="both"/>
        <w:rPr>
          <w:rFonts w:cs="Arial"/>
          <w:sz w:val="20"/>
        </w:rPr>
      </w:pPr>
      <w:r w:rsidRPr="008F077C">
        <w:rPr>
          <w:rFonts w:cs="Arial"/>
          <w:sz w:val="20"/>
        </w:rPr>
        <w:t>The HDR Convenor is a critical communication link between the element and the central administrative functions concerning higher degrees by research. The HDR Convenor should be available to respond to requests for information and to facilitate decision making that assists students to resolve issues of concern.</w:t>
      </w:r>
    </w:p>
    <w:p w14:paraId="7FCA24ED" w14:textId="5141CE1C" w:rsidR="007267FE" w:rsidRDefault="008F077C" w:rsidP="008F077C">
      <w:pPr>
        <w:spacing w:after="120"/>
        <w:ind w:left="567"/>
        <w:jc w:val="both"/>
        <w:rPr>
          <w:rFonts w:cs="Arial"/>
          <w:sz w:val="20"/>
        </w:rPr>
      </w:pPr>
      <w:r w:rsidRPr="008F077C">
        <w:rPr>
          <w:rFonts w:cs="Arial"/>
          <w:sz w:val="20"/>
        </w:rPr>
        <w:t xml:space="preserve">The time commitment involved in the role will be considered as contributing to service and </w:t>
      </w:r>
      <w:proofErr w:type="gramStart"/>
      <w:r w:rsidRPr="008F077C">
        <w:rPr>
          <w:rFonts w:cs="Arial"/>
          <w:sz w:val="20"/>
        </w:rPr>
        <w:t>taken into account</w:t>
      </w:r>
      <w:proofErr w:type="gramEnd"/>
      <w:r w:rsidRPr="008F077C">
        <w:rPr>
          <w:rFonts w:cs="Arial"/>
          <w:sz w:val="20"/>
        </w:rPr>
        <w:t xml:space="preserve"> by the Head of School in determining the staff member's academic workload. The extent of the role will vary across schools depending upon the size of the HDR cohort.</w:t>
      </w:r>
    </w:p>
    <w:p w14:paraId="012134D6" w14:textId="4293626F" w:rsidR="00046B8A" w:rsidRPr="00046B8A" w:rsidRDefault="00231A4D" w:rsidP="007267FE">
      <w:pPr>
        <w:spacing w:after="120"/>
        <w:jc w:val="both"/>
        <w:rPr>
          <w:rFonts w:cs="Arial"/>
          <w:sz w:val="20"/>
        </w:rPr>
      </w:pPr>
      <w:r>
        <w:rPr>
          <w:rFonts w:cs="Arial"/>
          <w:sz w:val="20"/>
        </w:rPr>
        <w:pict w14:anchorId="27640152">
          <v:rect id="_x0000_i1027" style="width:447.9pt;height:1pt" o:hralign="center" o:hrstd="t" o:hrnoshade="t" o:hr="t" fillcolor="#d8d8d8 [2732]" stroked="f"/>
        </w:pict>
      </w:r>
    </w:p>
    <w:p w14:paraId="012134D7" w14:textId="77777777" w:rsidR="00046B8A" w:rsidRPr="00046B8A" w:rsidRDefault="008F077C" w:rsidP="008F077C">
      <w:pPr>
        <w:numPr>
          <w:ilvl w:val="0"/>
          <w:numId w:val="10"/>
        </w:numPr>
        <w:spacing w:before="100" w:beforeAutospacing="1" w:after="240"/>
        <w:jc w:val="both"/>
        <w:rPr>
          <w:rFonts w:cs="Arial"/>
          <w:b/>
          <w:caps/>
          <w:sz w:val="24"/>
          <w:szCs w:val="24"/>
        </w:rPr>
      </w:pPr>
      <w:bookmarkStart w:id="3" w:name="detailedresponsibilities"/>
      <w:bookmarkEnd w:id="3"/>
      <w:r w:rsidRPr="008F077C">
        <w:rPr>
          <w:b/>
          <w:caps/>
          <w:sz w:val="24"/>
          <w:szCs w:val="24"/>
        </w:rPr>
        <w:t>Detailed Responsibilities</w:t>
      </w:r>
    </w:p>
    <w:p w14:paraId="012134D8" w14:textId="77777777" w:rsidR="00046B8A" w:rsidRPr="00046B8A" w:rsidRDefault="008F077C" w:rsidP="008F077C">
      <w:pPr>
        <w:spacing w:after="120"/>
        <w:ind w:left="567"/>
        <w:jc w:val="both"/>
        <w:rPr>
          <w:rFonts w:cs="Arial"/>
          <w:sz w:val="20"/>
        </w:rPr>
      </w:pPr>
      <w:r w:rsidRPr="008F077C">
        <w:rPr>
          <w:rFonts w:cs="Arial"/>
          <w:sz w:val="20"/>
        </w:rPr>
        <w:t>The HDR Convenor is responsible for:</w:t>
      </w:r>
    </w:p>
    <w:p w14:paraId="012134D9" w14:textId="77777777" w:rsidR="008F077C" w:rsidRPr="008F077C" w:rsidRDefault="008F077C" w:rsidP="008F077C">
      <w:pPr>
        <w:numPr>
          <w:ilvl w:val="1"/>
          <w:numId w:val="10"/>
        </w:numPr>
        <w:tabs>
          <w:tab w:val="clear" w:pos="1146"/>
          <w:tab w:val="left" w:pos="1134"/>
        </w:tabs>
        <w:spacing w:after="120"/>
        <w:jc w:val="both"/>
        <w:rPr>
          <w:rFonts w:cs="Arial"/>
          <w:b/>
          <w:sz w:val="20"/>
        </w:rPr>
      </w:pPr>
      <w:r w:rsidRPr="008F077C">
        <w:rPr>
          <w:rFonts w:cs="Arial"/>
          <w:b/>
          <w:sz w:val="20"/>
        </w:rPr>
        <w:t xml:space="preserve">With respect to HDR students' </w:t>
      </w:r>
      <w:proofErr w:type="gramStart"/>
      <w:r w:rsidRPr="008F077C">
        <w:rPr>
          <w:rFonts w:cs="Arial"/>
          <w:b/>
          <w:sz w:val="20"/>
        </w:rPr>
        <w:t>enquiries:-</w:t>
      </w:r>
      <w:proofErr w:type="gramEnd"/>
    </w:p>
    <w:p w14:paraId="012134DA" w14:textId="77777777" w:rsidR="008F077C" w:rsidRPr="00BC0B27" w:rsidRDefault="008F077C" w:rsidP="00BC0B27">
      <w:pPr>
        <w:pStyle w:val="ListParagraph"/>
        <w:numPr>
          <w:ilvl w:val="0"/>
          <w:numId w:val="13"/>
        </w:numPr>
        <w:tabs>
          <w:tab w:val="left" w:pos="1134"/>
        </w:tabs>
        <w:spacing w:after="120"/>
        <w:jc w:val="both"/>
        <w:rPr>
          <w:rFonts w:cs="Arial"/>
          <w:sz w:val="20"/>
        </w:rPr>
      </w:pPr>
      <w:r w:rsidRPr="00BC0B27">
        <w:rPr>
          <w:rFonts w:cs="Arial"/>
          <w:sz w:val="20"/>
        </w:rPr>
        <w:t xml:space="preserve">promoting higher degrees by research by ensuring that the element has profiled the supervisory expertise of its staff through the research experts </w:t>
      </w:r>
      <w:proofErr w:type="gramStart"/>
      <w:r w:rsidRPr="00BC0B27">
        <w:rPr>
          <w:rFonts w:cs="Arial"/>
          <w:sz w:val="20"/>
        </w:rPr>
        <w:t>database</w:t>
      </w:r>
      <w:proofErr w:type="gramEnd"/>
    </w:p>
    <w:p w14:paraId="012134DB" w14:textId="77777777" w:rsidR="008F077C" w:rsidRPr="00BC0B27" w:rsidRDefault="008F077C" w:rsidP="00BC0B27">
      <w:pPr>
        <w:pStyle w:val="ListParagraph"/>
        <w:numPr>
          <w:ilvl w:val="0"/>
          <w:numId w:val="13"/>
        </w:numPr>
        <w:tabs>
          <w:tab w:val="left" w:pos="1134"/>
        </w:tabs>
        <w:spacing w:after="120"/>
        <w:jc w:val="both"/>
        <w:rPr>
          <w:rFonts w:cs="Arial"/>
          <w:sz w:val="20"/>
        </w:rPr>
      </w:pPr>
      <w:r w:rsidRPr="00BC0B27">
        <w:rPr>
          <w:rFonts w:cs="Arial"/>
          <w:sz w:val="20"/>
        </w:rPr>
        <w:t xml:space="preserve">linking potential students with potential supervisors through knowledge of the capacity and expertise of staff </w:t>
      </w:r>
      <w:proofErr w:type="gramStart"/>
      <w:r w:rsidRPr="00BC0B27">
        <w:rPr>
          <w:rFonts w:cs="Arial"/>
          <w:sz w:val="20"/>
        </w:rPr>
        <w:t>in regard to</w:t>
      </w:r>
      <w:proofErr w:type="gramEnd"/>
      <w:r w:rsidRPr="00BC0B27">
        <w:rPr>
          <w:rFonts w:cs="Arial"/>
          <w:sz w:val="20"/>
        </w:rPr>
        <w:t xml:space="preserve"> HDR supervision</w:t>
      </w:r>
    </w:p>
    <w:p w14:paraId="012134DC" w14:textId="77777777" w:rsidR="008F077C" w:rsidRPr="00BC0B27" w:rsidRDefault="008F077C" w:rsidP="00BC0B27">
      <w:pPr>
        <w:pStyle w:val="ListParagraph"/>
        <w:numPr>
          <w:ilvl w:val="0"/>
          <w:numId w:val="13"/>
        </w:numPr>
        <w:tabs>
          <w:tab w:val="left" w:pos="1134"/>
        </w:tabs>
        <w:spacing w:after="120"/>
        <w:jc w:val="both"/>
        <w:rPr>
          <w:rFonts w:cs="Arial"/>
          <w:sz w:val="20"/>
        </w:rPr>
      </w:pPr>
      <w:r w:rsidRPr="00BC0B27">
        <w:rPr>
          <w:rFonts w:cs="Arial"/>
          <w:sz w:val="20"/>
        </w:rPr>
        <w:t xml:space="preserve">referring the enquirer appropriately to access the administrative procedures associated with applying for admission and </w:t>
      </w:r>
      <w:proofErr w:type="gramStart"/>
      <w:r w:rsidRPr="00BC0B27">
        <w:rPr>
          <w:rFonts w:cs="Arial"/>
          <w:sz w:val="20"/>
        </w:rPr>
        <w:t>scholarships</w:t>
      </w:r>
      <w:proofErr w:type="gramEnd"/>
    </w:p>
    <w:p w14:paraId="012134DD" w14:textId="77777777" w:rsidR="008F077C" w:rsidRPr="008F077C" w:rsidRDefault="008F077C" w:rsidP="008F077C">
      <w:pPr>
        <w:numPr>
          <w:ilvl w:val="1"/>
          <w:numId w:val="10"/>
        </w:numPr>
        <w:tabs>
          <w:tab w:val="clear" w:pos="1146"/>
          <w:tab w:val="left" w:pos="1134"/>
        </w:tabs>
        <w:spacing w:after="120"/>
        <w:jc w:val="both"/>
        <w:rPr>
          <w:rFonts w:cs="Arial"/>
          <w:b/>
          <w:sz w:val="20"/>
        </w:rPr>
      </w:pPr>
      <w:r w:rsidRPr="008F077C">
        <w:rPr>
          <w:rFonts w:cs="Arial"/>
          <w:b/>
          <w:sz w:val="20"/>
        </w:rPr>
        <w:t xml:space="preserve">With respect to HDR students' </w:t>
      </w:r>
      <w:proofErr w:type="gramStart"/>
      <w:r w:rsidRPr="008F077C">
        <w:rPr>
          <w:rFonts w:cs="Arial"/>
          <w:b/>
          <w:sz w:val="20"/>
        </w:rPr>
        <w:t>admission:-</w:t>
      </w:r>
      <w:proofErr w:type="gramEnd"/>
    </w:p>
    <w:p w14:paraId="012134DE" w14:textId="77777777" w:rsidR="008F077C" w:rsidRPr="00BC0B27" w:rsidRDefault="008F077C" w:rsidP="00BC0B27">
      <w:pPr>
        <w:pStyle w:val="ListParagraph"/>
        <w:numPr>
          <w:ilvl w:val="0"/>
          <w:numId w:val="14"/>
        </w:numPr>
        <w:tabs>
          <w:tab w:val="left" w:pos="1134"/>
        </w:tabs>
        <w:spacing w:after="120"/>
        <w:jc w:val="both"/>
        <w:rPr>
          <w:rFonts w:cs="Arial"/>
          <w:sz w:val="20"/>
        </w:rPr>
      </w:pPr>
      <w:r w:rsidRPr="00BC0B27">
        <w:rPr>
          <w:rFonts w:cs="Arial"/>
          <w:sz w:val="20"/>
        </w:rPr>
        <w:t>assisting with the selection process for higher degrees by research and scholarships by:</w:t>
      </w:r>
    </w:p>
    <w:p w14:paraId="012134DF" w14:textId="77777777" w:rsidR="008F077C" w:rsidRPr="00BC0B27" w:rsidRDefault="008F077C" w:rsidP="00BC0B27">
      <w:pPr>
        <w:pStyle w:val="ListParagraph"/>
        <w:numPr>
          <w:ilvl w:val="0"/>
          <w:numId w:val="14"/>
        </w:numPr>
        <w:tabs>
          <w:tab w:val="left" w:pos="1134"/>
        </w:tabs>
        <w:spacing w:after="120"/>
        <w:jc w:val="both"/>
        <w:rPr>
          <w:rFonts w:cs="Arial"/>
          <w:sz w:val="20"/>
        </w:rPr>
      </w:pPr>
      <w:r w:rsidRPr="00BC0B27">
        <w:rPr>
          <w:rFonts w:cs="Arial"/>
          <w:sz w:val="20"/>
        </w:rPr>
        <w:t>monitoring entry requirements for HDR programs</w:t>
      </w:r>
    </w:p>
    <w:p w14:paraId="012134E0" w14:textId="77777777" w:rsidR="008F077C" w:rsidRDefault="008F077C" w:rsidP="00BC0B27">
      <w:pPr>
        <w:pStyle w:val="ListParagraph"/>
        <w:numPr>
          <w:ilvl w:val="0"/>
          <w:numId w:val="14"/>
        </w:numPr>
        <w:tabs>
          <w:tab w:val="left" w:pos="1134"/>
        </w:tabs>
        <w:spacing w:after="120"/>
        <w:jc w:val="both"/>
        <w:rPr>
          <w:rFonts w:cs="Arial"/>
          <w:sz w:val="20"/>
        </w:rPr>
      </w:pPr>
      <w:r w:rsidRPr="00BC0B27">
        <w:rPr>
          <w:rFonts w:cs="Arial"/>
          <w:sz w:val="20"/>
        </w:rPr>
        <w:t xml:space="preserve">advising if the proposed project is </w:t>
      </w:r>
      <w:proofErr w:type="gramStart"/>
      <w:r w:rsidRPr="00BC0B27">
        <w:rPr>
          <w:rFonts w:cs="Arial"/>
          <w:sz w:val="20"/>
        </w:rPr>
        <w:t>appropriate</w:t>
      </w:r>
      <w:proofErr w:type="gramEnd"/>
      <w:r w:rsidRPr="00BC0B27">
        <w:rPr>
          <w:rFonts w:cs="Arial"/>
          <w:sz w:val="20"/>
        </w:rPr>
        <w:t xml:space="preserve"> </w:t>
      </w:r>
    </w:p>
    <w:p w14:paraId="648CE2E8" w14:textId="0BE9DD37" w:rsidR="0006587F" w:rsidRPr="00BC0B27" w:rsidRDefault="0006587F" w:rsidP="00BC0B27">
      <w:pPr>
        <w:pStyle w:val="ListParagraph"/>
        <w:numPr>
          <w:ilvl w:val="0"/>
          <w:numId w:val="14"/>
        </w:numPr>
        <w:tabs>
          <w:tab w:val="left" w:pos="1134"/>
        </w:tabs>
        <w:spacing w:after="120"/>
        <w:jc w:val="both"/>
        <w:rPr>
          <w:rFonts w:cs="Arial"/>
          <w:sz w:val="20"/>
        </w:rPr>
      </w:pPr>
      <w:r>
        <w:rPr>
          <w:rFonts w:cs="Arial"/>
          <w:sz w:val="20"/>
        </w:rPr>
        <w:t xml:space="preserve">advising the Head of Element on whether an appropriate supervisor is available and has capacity for </w:t>
      </w:r>
      <w:proofErr w:type="gramStart"/>
      <w:r>
        <w:rPr>
          <w:rFonts w:cs="Arial"/>
          <w:sz w:val="20"/>
        </w:rPr>
        <w:t>supervision</w:t>
      </w:r>
      <w:proofErr w:type="gramEnd"/>
    </w:p>
    <w:p w14:paraId="012134E1" w14:textId="77777777" w:rsidR="008F077C" w:rsidRPr="00BC0B27" w:rsidRDefault="008F077C" w:rsidP="00BC0B27">
      <w:pPr>
        <w:pStyle w:val="ListParagraph"/>
        <w:numPr>
          <w:ilvl w:val="0"/>
          <w:numId w:val="14"/>
        </w:numPr>
        <w:tabs>
          <w:tab w:val="left" w:pos="1134"/>
        </w:tabs>
        <w:spacing w:after="120"/>
        <w:jc w:val="both"/>
        <w:rPr>
          <w:rFonts w:cs="Arial"/>
          <w:sz w:val="20"/>
        </w:rPr>
      </w:pPr>
      <w:r w:rsidRPr="00BC0B27">
        <w:rPr>
          <w:rFonts w:cs="Arial"/>
          <w:sz w:val="20"/>
        </w:rPr>
        <w:t xml:space="preserve">ensuring potential projects can be resourced and supported </w:t>
      </w:r>
      <w:proofErr w:type="gramStart"/>
      <w:r w:rsidRPr="00BC0B27">
        <w:rPr>
          <w:rFonts w:cs="Arial"/>
          <w:sz w:val="20"/>
        </w:rPr>
        <w:t>financially</w:t>
      </w:r>
      <w:proofErr w:type="gramEnd"/>
    </w:p>
    <w:p w14:paraId="012134E2" w14:textId="77777777" w:rsidR="008F077C" w:rsidRPr="00BC0B27" w:rsidRDefault="008F077C" w:rsidP="00BC0B27">
      <w:pPr>
        <w:pStyle w:val="ListParagraph"/>
        <w:numPr>
          <w:ilvl w:val="0"/>
          <w:numId w:val="14"/>
        </w:numPr>
        <w:tabs>
          <w:tab w:val="left" w:pos="1134"/>
        </w:tabs>
        <w:spacing w:after="120"/>
        <w:jc w:val="both"/>
        <w:rPr>
          <w:rFonts w:cs="Arial"/>
          <w:sz w:val="20"/>
        </w:rPr>
      </w:pPr>
      <w:r w:rsidRPr="00BC0B27">
        <w:rPr>
          <w:rFonts w:cs="Arial"/>
          <w:sz w:val="20"/>
        </w:rPr>
        <w:t xml:space="preserve">advising on aspects that might affect intellectual </w:t>
      </w:r>
      <w:proofErr w:type="gramStart"/>
      <w:r w:rsidRPr="00BC0B27">
        <w:rPr>
          <w:rFonts w:cs="Arial"/>
          <w:sz w:val="20"/>
        </w:rPr>
        <w:t>property</w:t>
      </w:r>
      <w:proofErr w:type="gramEnd"/>
    </w:p>
    <w:p w14:paraId="012134E3" w14:textId="77777777" w:rsidR="008F077C" w:rsidRPr="00BC0B27" w:rsidRDefault="008F077C" w:rsidP="00BC0B27">
      <w:pPr>
        <w:pStyle w:val="ListParagraph"/>
        <w:numPr>
          <w:ilvl w:val="0"/>
          <w:numId w:val="14"/>
        </w:numPr>
        <w:tabs>
          <w:tab w:val="left" w:pos="1134"/>
        </w:tabs>
        <w:spacing w:after="120"/>
        <w:jc w:val="both"/>
        <w:rPr>
          <w:rFonts w:cs="Arial"/>
          <w:sz w:val="20"/>
        </w:rPr>
      </w:pPr>
      <w:r w:rsidRPr="00BC0B27">
        <w:rPr>
          <w:rFonts w:cs="Arial"/>
          <w:sz w:val="20"/>
        </w:rPr>
        <w:t>liaising with Research Ethics Advisors about aspects of ethical approval</w:t>
      </w:r>
    </w:p>
    <w:p w14:paraId="012134E4" w14:textId="77777777" w:rsidR="008F077C" w:rsidRPr="008F077C" w:rsidRDefault="008F077C" w:rsidP="008F077C">
      <w:pPr>
        <w:numPr>
          <w:ilvl w:val="1"/>
          <w:numId w:val="10"/>
        </w:numPr>
        <w:tabs>
          <w:tab w:val="clear" w:pos="1146"/>
          <w:tab w:val="left" w:pos="1134"/>
        </w:tabs>
        <w:spacing w:after="120"/>
        <w:jc w:val="both"/>
        <w:rPr>
          <w:rFonts w:cs="Arial"/>
          <w:b/>
          <w:sz w:val="20"/>
        </w:rPr>
      </w:pPr>
      <w:r w:rsidRPr="008F077C">
        <w:rPr>
          <w:rFonts w:cs="Arial"/>
          <w:b/>
          <w:sz w:val="20"/>
        </w:rPr>
        <w:lastRenderedPageBreak/>
        <w:t xml:space="preserve">With respect to HDR students' </w:t>
      </w:r>
      <w:proofErr w:type="gramStart"/>
      <w:r w:rsidRPr="008F077C">
        <w:rPr>
          <w:rFonts w:cs="Arial"/>
          <w:b/>
          <w:sz w:val="20"/>
        </w:rPr>
        <w:t>progression:-</w:t>
      </w:r>
      <w:proofErr w:type="gramEnd"/>
    </w:p>
    <w:p w14:paraId="012134E5"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advising students and supervisors of the resources, </w:t>
      </w:r>
      <w:proofErr w:type="gramStart"/>
      <w:r w:rsidRPr="00BC0B27">
        <w:rPr>
          <w:rFonts w:cs="Arial"/>
          <w:sz w:val="20"/>
        </w:rPr>
        <w:t>facilities</w:t>
      </w:r>
      <w:proofErr w:type="gramEnd"/>
      <w:r w:rsidRPr="00BC0B27">
        <w:rPr>
          <w:rFonts w:cs="Arial"/>
          <w:sz w:val="20"/>
        </w:rPr>
        <w:t xml:space="preserve"> and other support available from the element</w:t>
      </w:r>
    </w:p>
    <w:p w14:paraId="012134E6"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ensuring students are provided with procedures for seeking assistance with any issues of concern including resolution of conflict that may arise with </w:t>
      </w:r>
      <w:proofErr w:type="gramStart"/>
      <w:r w:rsidRPr="00BC0B27">
        <w:rPr>
          <w:rFonts w:cs="Arial"/>
          <w:sz w:val="20"/>
        </w:rPr>
        <w:t>supervisors</w:t>
      </w:r>
      <w:proofErr w:type="gramEnd"/>
    </w:p>
    <w:p w14:paraId="012134E7"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encouraging students to participate in the research culture of the element by providing opportunities for students to present their work and network with academic staff and other </w:t>
      </w:r>
      <w:proofErr w:type="gramStart"/>
      <w:r w:rsidRPr="00BC0B27">
        <w:rPr>
          <w:rFonts w:cs="Arial"/>
          <w:sz w:val="20"/>
        </w:rPr>
        <w:t>students</w:t>
      </w:r>
      <w:proofErr w:type="gramEnd"/>
    </w:p>
    <w:p w14:paraId="012134E8"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encourage association with research centres and access to training and workshops provided by GGRS and other administrative </w:t>
      </w:r>
      <w:proofErr w:type="gramStart"/>
      <w:r w:rsidRPr="00BC0B27">
        <w:rPr>
          <w:rFonts w:cs="Arial"/>
          <w:sz w:val="20"/>
        </w:rPr>
        <w:t>elements</w:t>
      </w:r>
      <w:proofErr w:type="gramEnd"/>
    </w:p>
    <w:p w14:paraId="012134E9" w14:textId="77777777" w:rsidR="008F077C" w:rsidRDefault="008F077C" w:rsidP="00BC0B27">
      <w:pPr>
        <w:pStyle w:val="ListParagraph"/>
        <w:numPr>
          <w:ilvl w:val="0"/>
          <w:numId w:val="15"/>
        </w:numPr>
        <w:tabs>
          <w:tab w:val="left" w:pos="1134"/>
        </w:tabs>
        <w:spacing w:after="120"/>
        <w:jc w:val="both"/>
        <w:rPr>
          <w:rFonts w:cs="Arial"/>
          <w:sz w:val="20"/>
        </w:rPr>
      </w:pPr>
      <w:r w:rsidRPr="00BC0B27">
        <w:rPr>
          <w:rFonts w:cs="Arial"/>
          <w:sz w:val="20"/>
        </w:rPr>
        <w:t>providing students with written information on ethical procedures and health and safety procedures</w:t>
      </w:r>
    </w:p>
    <w:p w14:paraId="25D82EEB" w14:textId="3FB22093" w:rsidR="0006587F" w:rsidRPr="00BC0B27" w:rsidRDefault="0006587F" w:rsidP="00BC0B27">
      <w:pPr>
        <w:pStyle w:val="ListParagraph"/>
        <w:numPr>
          <w:ilvl w:val="0"/>
          <w:numId w:val="15"/>
        </w:numPr>
        <w:tabs>
          <w:tab w:val="left" w:pos="1134"/>
        </w:tabs>
        <w:spacing w:after="120"/>
        <w:jc w:val="both"/>
        <w:rPr>
          <w:rFonts w:cs="Arial"/>
          <w:sz w:val="20"/>
        </w:rPr>
      </w:pPr>
      <w:r>
        <w:rPr>
          <w:rFonts w:cs="Arial"/>
          <w:sz w:val="20"/>
        </w:rPr>
        <w:t xml:space="preserve">ensure that students adhere to current policy relating to employment </w:t>
      </w:r>
      <w:proofErr w:type="gramStart"/>
      <w:r>
        <w:rPr>
          <w:rFonts w:cs="Arial"/>
          <w:sz w:val="20"/>
        </w:rPr>
        <w:t>conditions</w:t>
      </w:r>
      <w:proofErr w:type="gramEnd"/>
    </w:p>
    <w:p w14:paraId="012134EA"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advising supervisors on the process of supervisor accreditation and assisting supervisors to gain experience or professional development in order to become </w:t>
      </w:r>
      <w:proofErr w:type="gramStart"/>
      <w:r w:rsidRPr="00BC0B27">
        <w:rPr>
          <w:rFonts w:cs="Arial"/>
          <w:sz w:val="20"/>
        </w:rPr>
        <w:t>accredited</w:t>
      </w:r>
      <w:proofErr w:type="gramEnd"/>
    </w:p>
    <w:p w14:paraId="012134EB" w14:textId="02C029A0"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assist the Head of Element to </w:t>
      </w:r>
      <w:r w:rsidR="0006587F">
        <w:rPr>
          <w:rFonts w:cs="Arial"/>
          <w:sz w:val="20"/>
        </w:rPr>
        <w:t>coordinate</w:t>
      </w:r>
      <w:r w:rsidRPr="00BC0B27">
        <w:rPr>
          <w:rFonts w:cs="Arial"/>
          <w:sz w:val="20"/>
        </w:rPr>
        <w:t xml:space="preserve"> supervisor workloads to ensure that they can engage in regular contact with their </w:t>
      </w:r>
      <w:proofErr w:type="gramStart"/>
      <w:r w:rsidRPr="00BC0B27">
        <w:rPr>
          <w:rFonts w:cs="Arial"/>
          <w:sz w:val="20"/>
        </w:rPr>
        <w:t>students</w:t>
      </w:r>
      <w:proofErr w:type="gramEnd"/>
    </w:p>
    <w:p w14:paraId="012134EC"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ensuring supervision continuity should a supervisor be absent for a long period of time or leave the </w:t>
      </w:r>
      <w:proofErr w:type="gramStart"/>
      <w:r w:rsidRPr="00BC0B27">
        <w:rPr>
          <w:rFonts w:cs="Arial"/>
          <w:sz w:val="20"/>
        </w:rPr>
        <w:t>university</w:t>
      </w:r>
      <w:proofErr w:type="gramEnd"/>
    </w:p>
    <w:p w14:paraId="012134ED"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ensuring students maintain two supervisors for the duration of their </w:t>
      </w:r>
      <w:proofErr w:type="gramStart"/>
      <w:r w:rsidRPr="00BC0B27">
        <w:rPr>
          <w:rFonts w:cs="Arial"/>
          <w:sz w:val="20"/>
        </w:rPr>
        <w:t>candidature</w:t>
      </w:r>
      <w:proofErr w:type="gramEnd"/>
    </w:p>
    <w:p w14:paraId="012134EE"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maintaining links with external supervisors and part-time and remote students</w:t>
      </w:r>
    </w:p>
    <w:p w14:paraId="012134EF"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assisting students and supervisors with administrative procedures associated with candidature requirements (annual progress, confirmation) and candidature variations (change supervision, leave of absence, transfer between elements, withdrawal)</w:t>
      </w:r>
    </w:p>
    <w:p w14:paraId="012134F0"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overseeing student progress at a local level including: </w:t>
      </w:r>
    </w:p>
    <w:p w14:paraId="012134F1" w14:textId="21098617" w:rsidR="008F077C" w:rsidRPr="00BC0B27" w:rsidRDefault="008F077C" w:rsidP="006B4D54">
      <w:pPr>
        <w:pStyle w:val="ListParagraph"/>
        <w:numPr>
          <w:ilvl w:val="0"/>
          <w:numId w:val="17"/>
        </w:numPr>
        <w:tabs>
          <w:tab w:val="left" w:pos="1134"/>
        </w:tabs>
        <w:spacing w:after="120"/>
        <w:jc w:val="both"/>
        <w:rPr>
          <w:rFonts w:cs="Arial"/>
          <w:sz w:val="20"/>
        </w:rPr>
      </w:pPr>
      <w:r w:rsidRPr="00BC0B27">
        <w:rPr>
          <w:rFonts w:cs="Arial"/>
          <w:sz w:val="20"/>
        </w:rPr>
        <w:t>reporting to the Dean (Research) those students whose HDR candidature is at risk and the steps taken to minimise that risk. Steps taken to minimise risk are to be recorded on the student's file.; and</w:t>
      </w:r>
    </w:p>
    <w:p w14:paraId="012134F2" w14:textId="0569E539" w:rsidR="008F077C" w:rsidRPr="00BC0B27" w:rsidRDefault="008F077C" w:rsidP="006B4D54">
      <w:pPr>
        <w:pStyle w:val="ListParagraph"/>
        <w:numPr>
          <w:ilvl w:val="0"/>
          <w:numId w:val="17"/>
        </w:numPr>
        <w:tabs>
          <w:tab w:val="left" w:pos="1134"/>
        </w:tabs>
        <w:spacing w:after="120"/>
        <w:jc w:val="both"/>
        <w:rPr>
          <w:rFonts w:cs="Arial"/>
          <w:sz w:val="20"/>
        </w:rPr>
      </w:pPr>
      <w:r w:rsidRPr="00BC0B27">
        <w:rPr>
          <w:rFonts w:cs="Arial"/>
          <w:sz w:val="20"/>
        </w:rPr>
        <w:t>during the annual review of progress recommending student progress as satisfactory or unsatisfactory to the Dean (Research)</w:t>
      </w:r>
    </w:p>
    <w:p w14:paraId="012134F3"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facilitating the candidature confirmation process within the element by:</w:t>
      </w:r>
    </w:p>
    <w:p w14:paraId="012134F4" w14:textId="77777777" w:rsidR="008F077C" w:rsidRPr="00BC0B27" w:rsidRDefault="008F077C" w:rsidP="006B4D54">
      <w:pPr>
        <w:pStyle w:val="ListParagraph"/>
        <w:numPr>
          <w:ilvl w:val="0"/>
          <w:numId w:val="18"/>
        </w:numPr>
        <w:tabs>
          <w:tab w:val="left" w:pos="1134"/>
        </w:tabs>
        <w:spacing w:after="120"/>
        <w:jc w:val="both"/>
        <w:rPr>
          <w:rFonts w:cs="Arial"/>
          <w:sz w:val="20"/>
        </w:rPr>
      </w:pPr>
      <w:r w:rsidRPr="00BC0B27">
        <w:rPr>
          <w:rFonts w:cs="Arial"/>
          <w:sz w:val="20"/>
        </w:rPr>
        <w:t xml:space="preserve">attending all confirmation seminars where possible including arrangements for a debrief with the student immediately following the </w:t>
      </w:r>
      <w:proofErr w:type="gramStart"/>
      <w:r w:rsidRPr="00BC0B27">
        <w:rPr>
          <w:rFonts w:cs="Arial"/>
          <w:sz w:val="20"/>
        </w:rPr>
        <w:t>seminar</w:t>
      </w:r>
      <w:proofErr w:type="gramEnd"/>
    </w:p>
    <w:p w14:paraId="012134F5" w14:textId="77777777" w:rsidR="008F077C" w:rsidRPr="00BC0B27" w:rsidRDefault="008F077C" w:rsidP="006B4D54">
      <w:pPr>
        <w:pStyle w:val="ListParagraph"/>
        <w:numPr>
          <w:ilvl w:val="0"/>
          <w:numId w:val="18"/>
        </w:numPr>
        <w:tabs>
          <w:tab w:val="left" w:pos="1134"/>
        </w:tabs>
        <w:spacing w:after="120"/>
        <w:jc w:val="both"/>
        <w:rPr>
          <w:rFonts w:cs="Arial"/>
          <w:sz w:val="20"/>
        </w:rPr>
      </w:pPr>
      <w:r w:rsidRPr="00BC0B27">
        <w:rPr>
          <w:rFonts w:cs="Arial"/>
          <w:sz w:val="20"/>
        </w:rPr>
        <w:t xml:space="preserve">ensuring all paperwork is finalised including assessors' </w:t>
      </w:r>
      <w:proofErr w:type="gramStart"/>
      <w:r w:rsidRPr="00BC0B27">
        <w:rPr>
          <w:rFonts w:cs="Arial"/>
          <w:sz w:val="20"/>
        </w:rPr>
        <w:t>reports</w:t>
      </w:r>
      <w:proofErr w:type="gramEnd"/>
    </w:p>
    <w:p w14:paraId="012134F6" w14:textId="4A8B5D0D" w:rsidR="008F077C" w:rsidRPr="00BC0B27" w:rsidRDefault="008F077C" w:rsidP="006B4D54">
      <w:pPr>
        <w:pStyle w:val="ListParagraph"/>
        <w:numPr>
          <w:ilvl w:val="0"/>
          <w:numId w:val="18"/>
        </w:numPr>
        <w:tabs>
          <w:tab w:val="left" w:pos="1134"/>
        </w:tabs>
        <w:spacing w:after="120"/>
        <w:jc w:val="both"/>
        <w:rPr>
          <w:rFonts w:cs="Arial"/>
          <w:sz w:val="20"/>
        </w:rPr>
      </w:pPr>
      <w:r w:rsidRPr="00BC0B27">
        <w:rPr>
          <w:rFonts w:cs="Arial"/>
          <w:sz w:val="20"/>
        </w:rPr>
        <w:t>making recommendations to the Dean (Research)</w:t>
      </w:r>
    </w:p>
    <w:p w14:paraId="012134F7" w14:textId="77777777" w:rsidR="008F077C" w:rsidRPr="00BC0B27" w:rsidRDefault="008F077C" w:rsidP="00BC0B27">
      <w:pPr>
        <w:pStyle w:val="ListParagraph"/>
        <w:numPr>
          <w:ilvl w:val="0"/>
          <w:numId w:val="15"/>
        </w:numPr>
        <w:tabs>
          <w:tab w:val="left" w:pos="1134"/>
        </w:tabs>
        <w:spacing w:after="120"/>
        <w:jc w:val="both"/>
        <w:rPr>
          <w:rFonts w:cs="Arial"/>
          <w:sz w:val="20"/>
        </w:rPr>
      </w:pPr>
      <w:r w:rsidRPr="00BC0B27">
        <w:rPr>
          <w:rFonts w:cs="Arial"/>
          <w:sz w:val="20"/>
        </w:rPr>
        <w:t xml:space="preserve">approving requests for leave of absence up to a period of six </w:t>
      </w:r>
      <w:proofErr w:type="gramStart"/>
      <w:r w:rsidRPr="00BC0B27">
        <w:rPr>
          <w:rFonts w:cs="Arial"/>
          <w:sz w:val="20"/>
        </w:rPr>
        <w:t>months</w:t>
      </w:r>
      <w:proofErr w:type="gramEnd"/>
    </w:p>
    <w:p w14:paraId="012134F8" w14:textId="77777777" w:rsidR="008F077C" w:rsidRPr="008F077C" w:rsidRDefault="008F077C" w:rsidP="008F077C">
      <w:pPr>
        <w:numPr>
          <w:ilvl w:val="1"/>
          <w:numId w:val="10"/>
        </w:numPr>
        <w:tabs>
          <w:tab w:val="clear" w:pos="1146"/>
          <w:tab w:val="left" w:pos="1134"/>
        </w:tabs>
        <w:spacing w:after="120"/>
        <w:jc w:val="both"/>
        <w:rPr>
          <w:rFonts w:cs="Arial"/>
          <w:b/>
          <w:sz w:val="20"/>
        </w:rPr>
      </w:pPr>
      <w:r w:rsidRPr="008F077C">
        <w:rPr>
          <w:rFonts w:cs="Arial"/>
          <w:b/>
          <w:sz w:val="20"/>
        </w:rPr>
        <w:t xml:space="preserve">With respect to HDR students' </w:t>
      </w:r>
      <w:proofErr w:type="gramStart"/>
      <w:r w:rsidRPr="008F077C">
        <w:rPr>
          <w:rFonts w:cs="Arial"/>
          <w:b/>
          <w:sz w:val="20"/>
        </w:rPr>
        <w:t>completion:-</w:t>
      </w:r>
      <w:proofErr w:type="gramEnd"/>
    </w:p>
    <w:p w14:paraId="012134F9" w14:textId="77777777" w:rsidR="008F077C" w:rsidRPr="00BC0B27" w:rsidRDefault="008F077C" w:rsidP="00BC0B27">
      <w:pPr>
        <w:pStyle w:val="ListParagraph"/>
        <w:numPr>
          <w:ilvl w:val="0"/>
          <w:numId w:val="12"/>
        </w:numPr>
        <w:tabs>
          <w:tab w:val="left" w:pos="1134"/>
        </w:tabs>
        <w:spacing w:after="120"/>
        <w:jc w:val="both"/>
        <w:rPr>
          <w:rFonts w:cs="Arial"/>
          <w:sz w:val="20"/>
        </w:rPr>
      </w:pPr>
      <w:r w:rsidRPr="00BC0B27">
        <w:rPr>
          <w:rFonts w:cs="Arial"/>
          <w:sz w:val="20"/>
        </w:rPr>
        <w:t>assisting students with the procedures for preparation and submission of the thesis</w:t>
      </w:r>
    </w:p>
    <w:p w14:paraId="012134FA" w14:textId="37A4FD78" w:rsidR="00046B8A" w:rsidRPr="00BC0B27" w:rsidRDefault="008F077C" w:rsidP="00BC0B27">
      <w:pPr>
        <w:pStyle w:val="ListParagraph"/>
        <w:numPr>
          <w:ilvl w:val="0"/>
          <w:numId w:val="12"/>
        </w:numPr>
        <w:tabs>
          <w:tab w:val="left" w:pos="1134"/>
        </w:tabs>
        <w:spacing w:after="120"/>
        <w:jc w:val="both"/>
        <w:rPr>
          <w:rFonts w:cs="Arial"/>
          <w:sz w:val="20"/>
        </w:rPr>
      </w:pPr>
      <w:r w:rsidRPr="00BC0B27">
        <w:rPr>
          <w:rFonts w:cs="Arial"/>
          <w:sz w:val="20"/>
        </w:rPr>
        <w:t>ensuring students retain access to element resources and facilities as required in the period following thesis submission and prior to conferral</w:t>
      </w:r>
      <w:r w:rsidR="004554A8">
        <w:rPr>
          <w:rFonts w:cs="Arial"/>
          <w:sz w:val="20"/>
        </w:rPr>
        <w:t>.</w:t>
      </w:r>
    </w:p>
    <w:sectPr w:rsidR="00046B8A" w:rsidRPr="00BC0B27" w:rsidSect="00147712">
      <w:headerReference w:type="default" r:id="rId23"/>
      <w:footerReference w:type="default" r:id="rId24"/>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3500" w14:textId="77777777" w:rsidR="00C84F53" w:rsidRDefault="00C84F53">
      <w:r>
        <w:separator/>
      </w:r>
    </w:p>
  </w:endnote>
  <w:endnote w:type="continuationSeparator" w:id="0">
    <w:p w14:paraId="01213501" w14:textId="77777777" w:rsidR="00C84F53" w:rsidRDefault="00C8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C84F53" w:rsidRPr="00D96726" w14:paraId="01213505" w14:textId="77777777" w:rsidTr="6189CEA0">
      <w:tc>
        <w:tcPr>
          <w:tcW w:w="918" w:type="dxa"/>
          <w:vAlign w:val="bottom"/>
        </w:tcPr>
        <w:p w14:paraId="01213503" w14:textId="0E04E1F5" w:rsidR="00C84F53" w:rsidRPr="0089097B" w:rsidRDefault="00C84F53"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601351" w:rsidRPr="00601351">
            <w:rPr>
              <w:bCs/>
              <w:noProof/>
              <w:color w:val="BFBFBF" w:themeColor="background1" w:themeShade="BF"/>
              <w:sz w:val="16"/>
              <w:szCs w:val="16"/>
            </w:rPr>
            <w:t>2</w:t>
          </w:r>
          <w:r w:rsidRPr="0089097B">
            <w:rPr>
              <w:bCs/>
              <w:noProof/>
              <w:color w:val="BFBFBF" w:themeColor="background1" w:themeShade="BF"/>
              <w:sz w:val="16"/>
              <w:szCs w:val="16"/>
            </w:rPr>
            <w:fldChar w:fldCharType="end"/>
          </w:r>
        </w:p>
      </w:tc>
      <w:tc>
        <w:tcPr>
          <w:tcW w:w="7938" w:type="dxa"/>
          <w:vAlign w:val="bottom"/>
        </w:tcPr>
        <w:p w14:paraId="01213504" w14:textId="38834D66" w:rsidR="00C84F53" w:rsidRPr="0089097B" w:rsidRDefault="6189CEA0" w:rsidP="009458B6">
          <w:pPr>
            <w:pStyle w:val="Footer"/>
            <w:spacing w:before="20" w:after="20"/>
            <w:rPr>
              <w:color w:val="BFBFBF" w:themeColor="background1" w:themeShade="BF"/>
              <w:sz w:val="16"/>
              <w:szCs w:val="16"/>
            </w:rPr>
          </w:pPr>
          <w:r w:rsidRPr="6189CEA0">
            <w:rPr>
              <w:color w:val="BFBFBF" w:themeColor="background1" w:themeShade="BF"/>
              <w:sz w:val="16"/>
              <w:szCs w:val="16"/>
            </w:rPr>
            <w:t>Role Statement - Higher Degree Research Convenor                                             Document number:  2023/0000476</w:t>
          </w:r>
        </w:p>
      </w:tc>
    </w:tr>
  </w:tbl>
  <w:p w14:paraId="01213506" w14:textId="77777777" w:rsidR="00C84F53" w:rsidRPr="0084456D" w:rsidRDefault="00C84F53"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34FE" w14:textId="77777777" w:rsidR="00C84F53" w:rsidRDefault="00C84F53">
      <w:r>
        <w:separator/>
      </w:r>
    </w:p>
  </w:footnote>
  <w:footnote w:type="continuationSeparator" w:id="0">
    <w:p w14:paraId="012134FF" w14:textId="77777777" w:rsidR="00C84F53" w:rsidRDefault="00C8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3502" w14:textId="77777777" w:rsidR="00C84F53" w:rsidRDefault="00C84F53">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20481B73"/>
    <w:multiLevelType w:val="hybridMultilevel"/>
    <w:tmpl w:val="858CE15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 w15:restartNumberingAfterBreak="0">
    <w:nsid w:val="27313891"/>
    <w:multiLevelType w:val="hybridMultilevel"/>
    <w:tmpl w:val="B0F63BA6"/>
    <w:lvl w:ilvl="0" w:tplc="9FE48578">
      <w:numFmt w:val="bullet"/>
      <w:lvlText w:val="-"/>
      <w:lvlJc w:val="left"/>
      <w:pPr>
        <w:ind w:left="1866" w:hanging="360"/>
      </w:pPr>
      <w:rPr>
        <w:rFonts w:ascii="Arial" w:eastAsia="Times New Roman" w:hAnsi="Arial" w:cs="Arial" w:hint="default"/>
      </w:rPr>
    </w:lvl>
    <w:lvl w:ilvl="1" w:tplc="9FE48578">
      <w:numFmt w:val="bullet"/>
      <w:lvlText w:val="-"/>
      <w:lvlJc w:val="left"/>
      <w:pPr>
        <w:ind w:left="2586" w:hanging="360"/>
      </w:pPr>
      <w:rPr>
        <w:rFonts w:ascii="Arial" w:eastAsia="Times New Roman" w:hAnsi="Arial" w:cs="Arial"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 w15:restartNumberingAfterBreak="0">
    <w:nsid w:val="2A471E93"/>
    <w:multiLevelType w:val="hybridMultilevel"/>
    <w:tmpl w:val="34FAC0F2"/>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BF74FCF"/>
    <w:multiLevelType w:val="hybridMultilevel"/>
    <w:tmpl w:val="FB4ADAE2"/>
    <w:lvl w:ilvl="0" w:tplc="9FE48578">
      <w:numFmt w:val="bullet"/>
      <w:lvlText w:val="-"/>
      <w:lvlJc w:val="left"/>
      <w:pPr>
        <w:ind w:left="1866" w:hanging="360"/>
      </w:pPr>
      <w:rPr>
        <w:rFonts w:ascii="Arial" w:eastAsia="Times New Roman" w:hAnsi="Arial" w:cs="Arial" w:hint="default"/>
      </w:rPr>
    </w:lvl>
    <w:lvl w:ilvl="1" w:tplc="266C72B4">
      <w:start w:val="1"/>
      <w:numFmt w:val="bullet"/>
      <w:lvlText w:val=""/>
      <w:lvlJc w:val="left"/>
      <w:pPr>
        <w:ind w:left="2586" w:hanging="360"/>
      </w:pPr>
      <w:rPr>
        <w:rFonts w:ascii="Symbol" w:eastAsia="Times New Roman" w:hAnsi="Symbol" w:cs="Arial"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6" w15:restartNumberingAfterBreak="0">
    <w:nsid w:val="2E3A245A"/>
    <w:multiLevelType w:val="hybridMultilevel"/>
    <w:tmpl w:val="945644B0"/>
    <w:lvl w:ilvl="0" w:tplc="0C090005">
      <w:start w:val="1"/>
      <w:numFmt w:val="bullet"/>
      <w:lvlText w:val=""/>
      <w:lvlJc w:val="left"/>
      <w:pPr>
        <w:ind w:left="1854" w:hanging="360"/>
      </w:pPr>
      <w:rPr>
        <w:rFonts w:ascii="Wingdings" w:hAnsi="Wingdings"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15:restartNumberingAfterBreak="0">
    <w:nsid w:val="32E53A67"/>
    <w:multiLevelType w:val="hybridMultilevel"/>
    <w:tmpl w:val="77BA8D06"/>
    <w:lvl w:ilvl="0" w:tplc="0C090005">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15:restartNumberingAfterBreak="0">
    <w:nsid w:val="3D9A0A8B"/>
    <w:multiLevelType w:val="hybridMultilevel"/>
    <w:tmpl w:val="488CB07A"/>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44E718F8"/>
    <w:multiLevelType w:val="hybridMultilevel"/>
    <w:tmpl w:val="458686AC"/>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47216D78"/>
    <w:multiLevelType w:val="hybridMultilevel"/>
    <w:tmpl w:val="AAE6B0FC"/>
    <w:lvl w:ilvl="0" w:tplc="0C090005">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4D63061E"/>
    <w:multiLevelType w:val="multilevel"/>
    <w:tmpl w:val="B7EECA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6"/>
        </w:tabs>
        <w:ind w:left="858"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6252088"/>
    <w:multiLevelType w:val="hybridMultilevel"/>
    <w:tmpl w:val="A97EAFF6"/>
    <w:lvl w:ilvl="0" w:tplc="0C090005">
      <w:start w:val="1"/>
      <w:numFmt w:val="bullet"/>
      <w:lvlText w:val=""/>
      <w:lvlJc w:val="left"/>
      <w:pPr>
        <w:ind w:left="1506" w:hanging="360"/>
      </w:pPr>
      <w:rPr>
        <w:rFonts w:ascii="Wingdings" w:hAnsi="Wingdings" w:hint="default"/>
      </w:rPr>
    </w:lvl>
    <w:lvl w:ilvl="1" w:tplc="266C72B4">
      <w:start w:val="1"/>
      <w:numFmt w:val="bullet"/>
      <w:lvlText w:val=""/>
      <w:lvlJc w:val="left"/>
      <w:pPr>
        <w:ind w:left="2226" w:hanging="360"/>
      </w:pPr>
      <w:rPr>
        <w:rFonts w:ascii="Symbol" w:eastAsia="Times New Roman" w:hAnsi="Symbo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3" w15:restartNumberingAfterBreak="0">
    <w:nsid w:val="6F20002A"/>
    <w:multiLevelType w:val="hybridMultilevel"/>
    <w:tmpl w:val="DEDAE694"/>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4" w15:restartNumberingAfterBreak="0">
    <w:nsid w:val="704E3B8A"/>
    <w:multiLevelType w:val="hybridMultilevel"/>
    <w:tmpl w:val="C688CAD6"/>
    <w:lvl w:ilvl="0" w:tplc="0C090005">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707043C9"/>
    <w:multiLevelType w:val="hybridMultilevel"/>
    <w:tmpl w:val="593A9C8A"/>
    <w:lvl w:ilvl="0" w:tplc="0C090005">
      <w:start w:val="1"/>
      <w:numFmt w:val="bullet"/>
      <w:lvlText w:val=""/>
      <w:lvlJc w:val="left"/>
      <w:pPr>
        <w:ind w:left="1506" w:hanging="360"/>
      </w:pPr>
      <w:rPr>
        <w:rFonts w:ascii="Wingdings" w:hAnsi="Wingdings" w:hint="default"/>
      </w:rPr>
    </w:lvl>
    <w:lvl w:ilvl="1" w:tplc="9FE48578">
      <w:numFmt w:val="bullet"/>
      <w:lvlText w:val="-"/>
      <w:lvlJc w:val="left"/>
      <w:pPr>
        <w:ind w:left="2226" w:hanging="360"/>
      </w:pPr>
      <w:rPr>
        <w:rFonts w:ascii="Arial" w:eastAsia="Times New Roman" w:hAnsi="Arial" w:cs="Arial"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6" w15:restartNumberingAfterBreak="0">
    <w:nsid w:val="718F5902"/>
    <w:multiLevelType w:val="hybridMultilevel"/>
    <w:tmpl w:val="B6AEC84E"/>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7" w15:restartNumberingAfterBreak="0">
    <w:nsid w:val="767C49ED"/>
    <w:multiLevelType w:val="hybridMultilevel"/>
    <w:tmpl w:val="911C7598"/>
    <w:lvl w:ilvl="0" w:tplc="0C090005">
      <w:start w:val="1"/>
      <w:numFmt w:val="bullet"/>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207378483">
    <w:abstractNumId w:val="11"/>
  </w:num>
  <w:num w:numId="2" w16cid:durableId="1206409578">
    <w:abstractNumId w:val="0"/>
  </w:num>
  <w:num w:numId="3" w16cid:durableId="278417166">
    <w:abstractNumId w:val="10"/>
  </w:num>
  <w:num w:numId="4" w16cid:durableId="2096513530">
    <w:abstractNumId w:val="16"/>
  </w:num>
  <w:num w:numId="5" w16cid:durableId="2029912922">
    <w:abstractNumId w:val="6"/>
  </w:num>
  <w:num w:numId="6" w16cid:durableId="2090342937">
    <w:abstractNumId w:val="17"/>
  </w:num>
  <w:num w:numId="7" w16cid:durableId="1120804161">
    <w:abstractNumId w:val="7"/>
  </w:num>
  <w:num w:numId="8" w16cid:durableId="1094203840">
    <w:abstractNumId w:val="8"/>
  </w:num>
  <w:num w:numId="9" w16cid:durableId="1867477773">
    <w:abstractNumId w:val="9"/>
  </w:num>
  <w:num w:numId="10" w16cid:durableId="1810438643">
    <w:abstractNumId w:val="1"/>
  </w:num>
  <w:num w:numId="11" w16cid:durableId="277831431">
    <w:abstractNumId w:val="4"/>
  </w:num>
  <w:num w:numId="12" w16cid:durableId="255411070">
    <w:abstractNumId w:val="14"/>
  </w:num>
  <w:num w:numId="13" w16cid:durableId="1192691191">
    <w:abstractNumId w:val="13"/>
  </w:num>
  <w:num w:numId="14" w16cid:durableId="538250357">
    <w:abstractNumId w:val="2"/>
  </w:num>
  <w:num w:numId="15" w16cid:durableId="1308513197">
    <w:abstractNumId w:val="12"/>
  </w:num>
  <w:num w:numId="16" w16cid:durableId="281424702">
    <w:abstractNumId w:val="15"/>
  </w:num>
  <w:num w:numId="17" w16cid:durableId="691538927">
    <w:abstractNumId w:val="3"/>
  </w:num>
  <w:num w:numId="18" w16cid:durableId="154077847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6F"/>
    <w:rsid w:val="0001326A"/>
    <w:rsid w:val="000168FD"/>
    <w:rsid w:val="00020317"/>
    <w:rsid w:val="0002197A"/>
    <w:rsid w:val="00021D3F"/>
    <w:rsid w:val="00041B9F"/>
    <w:rsid w:val="00043A00"/>
    <w:rsid w:val="00046B8A"/>
    <w:rsid w:val="000574B5"/>
    <w:rsid w:val="000623C6"/>
    <w:rsid w:val="00063F62"/>
    <w:rsid w:val="00064C50"/>
    <w:rsid w:val="0006587F"/>
    <w:rsid w:val="000667F4"/>
    <w:rsid w:val="00070815"/>
    <w:rsid w:val="0007378A"/>
    <w:rsid w:val="000843E7"/>
    <w:rsid w:val="00085C96"/>
    <w:rsid w:val="0008782B"/>
    <w:rsid w:val="00090B14"/>
    <w:rsid w:val="00095765"/>
    <w:rsid w:val="00095B6A"/>
    <w:rsid w:val="000A32A8"/>
    <w:rsid w:val="000B2A3C"/>
    <w:rsid w:val="000B4093"/>
    <w:rsid w:val="000B5F39"/>
    <w:rsid w:val="000D02B0"/>
    <w:rsid w:val="000D2C00"/>
    <w:rsid w:val="000D7AF0"/>
    <w:rsid w:val="000F0F40"/>
    <w:rsid w:val="00104692"/>
    <w:rsid w:val="00111C62"/>
    <w:rsid w:val="00113CCB"/>
    <w:rsid w:val="00113FE9"/>
    <w:rsid w:val="001161F5"/>
    <w:rsid w:val="00116EFE"/>
    <w:rsid w:val="00122286"/>
    <w:rsid w:val="00125B7C"/>
    <w:rsid w:val="00126B3F"/>
    <w:rsid w:val="001315A5"/>
    <w:rsid w:val="0013508A"/>
    <w:rsid w:val="001457DC"/>
    <w:rsid w:val="00147712"/>
    <w:rsid w:val="00161FE6"/>
    <w:rsid w:val="001650D4"/>
    <w:rsid w:val="00166645"/>
    <w:rsid w:val="00170334"/>
    <w:rsid w:val="00170EFB"/>
    <w:rsid w:val="001831DA"/>
    <w:rsid w:val="00194712"/>
    <w:rsid w:val="00195922"/>
    <w:rsid w:val="001979D9"/>
    <w:rsid w:val="001A383A"/>
    <w:rsid w:val="001A43F5"/>
    <w:rsid w:val="001A4A0B"/>
    <w:rsid w:val="001A762E"/>
    <w:rsid w:val="001B2DB3"/>
    <w:rsid w:val="001C0A6C"/>
    <w:rsid w:val="001C1128"/>
    <w:rsid w:val="001C2CA3"/>
    <w:rsid w:val="001E6124"/>
    <w:rsid w:val="001F66C9"/>
    <w:rsid w:val="00201B73"/>
    <w:rsid w:val="00207C48"/>
    <w:rsid w:val="00211341"/>
    <w:rsid w:val="002233B0"/>
    <w:rsid w:val="002235B6"/>
    <w:rsid w:val="0022366D"/>
    <w:rsid w:val="00231810"/>
    <w:rsid w:val="00231A4D"/>
    <w:rsid w:val="002418DB"/>
    <w:rsid w:val="00243FB3"/>
    <w:rsid w:val="002449C6"/>
    <w:rsid w:val="0024690C"/>
    <w:rsid w:val="00246C8E"/>
    <w:rsid w:val="002503A8"/>
    <w:rsid w:val="00251A5A"/>
    <w:rsid w:val="00261CAC"/>
    <w:rsid w:val="00272C53"/>
    <w:rsid w:val="00272CE4"/>
    <w:rsid w:val="0027687D"/>
    <w:rsid w:val="00280472"/>
    <w:rsid w:val="00284A3D"/>
    <w:rsid w:val="00287DE4"/>
    <w:rsid w:val="00297BDF"/>
    <w:rsid w:val="002A2874"/>
    <w:rsid w:val="002A5651"/>
    <w:rsid w:val="002B053D"/>
    <w:rsid w:val="002B1AF8"/>
    <w:rsid w:val="002B756C"/>
    <w:rsid w:val="002B7EB5"/>
    <w:rsid w:val="002D1072"/>
    <w:rsid w:val="002D1B78"/>
    <w:rsid w:val="002D294E"/>
    <w:rsid w:val="002D3D07"/>
    <w:rsid w:val="002D7B77"/>
    <w:rsid w:val="002F0496"/>
    <w:rsid w:val="002F224E"/>
    <w:rsid w:val="002F507E"/>
    <w:rsid w:val="002F5EE9"/>
    <w:rsid w:val="00310DB8"/>
    <w:rsid w:val="003134C8"/>
    <w:rsid w:val="00320356"/>
    <w:rsid w:val="003218C3"/>
    <w:rsid w:val="0034016D"/>
    <w:rsid w:val="003458F5"/>
    <w:rsid w:val="00347F8E"/>
    <w:rsid w:val="003578D8"/>
    <w:rsid w:val="00381013"/>
    <w:rsid w:val="00394264"/>
    <w:rsid w:val="00396DFB"/>
    <w:rsid w:val="003A2BEA"/>
    <w:rsid w:val="003C67F5"/>
    <w:rsid w:val="003C682E"/>
    <w:rsid w:val="003E558A"/>
    <w:rsid w:val="003E5D96"/>
    <w:rsid w:val="004000E1"/>
    <w:rsid w:val="0040407D"/>
    <w:rsid w:val="00404687"/>
    <w:rsid w:val="00411665"/>
    <w:rsid w:val="0041440C"/>
    <w:rsid w:val="00416FF5"/>
    <w:rsid w:val="00423A1D"/>
    <w:rsid w:val="00425CCD"/>
    <w:rsid w:val="004275CB"/>
    <w:rsid w:val="0043193E"/>
    <w:rsid w:val="004367FD"/>
    <w:rsid w:val="004379AA"/>
    <w:rsid w:val="0044443B"/>
    <w:rsid w:val="004539FC"/>
    <w:rsid w:val="004554A8"/>
    <w:rsid w:val="004604B9"/>
    <w:rsid w:val="00461BB9"/>
    <w:rsid w:val="004657B6"/>
    <w:rsid w:val="00467207"/>
    <w:rsid w:val="00474A46"/>
    <w:rsid w:val="00474FF5"/>
    <w:rsid w:val="00484CEA"/>
    <w:rsid w:val="0049394F"/>
    <w:rsid w:val="00495C41"/>
    <w:rsid w:val="00497B78"/>
    <w:rsid w:val="004A3DF6"/>
    <w:rsid w:val="004B0D61"/>
    <w:rsid w:val="004B5AF2"/>
    <w:rsid w:val="004B6B77"/>
    <w:rsid w:val="004C35C1"/>
    <w:rsid w:val="004D5632"/>
    <w:rsid w:val="004E1C8C"/>
    <w:rsid w:val="004E5957"/>
    <w:rsid w:val="00500E1A"/>
    <w:rsid w:val="005076BB"/>
    <w:rsid w:val="00515ADA"/>
    <w:rsid w:val="00516A82"/>
    <w:rsid w:val="00521797"/>
    <w:rsid w:val="00524CFB"/>
    <w:rsid w:val="0053062E"/>
    <w:rsid w:val="00537826"/>
    <w:rsid w:val="00540C27"/>
    <w:rsid w:val="00546452"/>
    <w:rsid w:val="00547101"/>
    <w:rsid w:val="00560908"/>
    <w:rsid w:val="00570E6F"/>
    <w:rsid w:val="005740C1"/>
    <w:rsid w:val="005845E9"/>
    <w:rsid w:val="00596AB8"/>
    <w:rsid w:val="005A61EC"/>
    <w:rsid w:val="005B2DF0"/>
    <w:rsid w:val="005B50CF"/>
    <w:rsid w:val="005B786F"/>
    <w:rsid w:val="005C36E1"/>
    <w:rsid w:val="005E791A"/>
    <w:rsid w:val="005F2476"/>
    <w:rsid w:val="005F3A85"/>
    <w:rsid w:val="005F5B15"/>
    <w:rsid w:val="00601351"/>
    <w:rsid w:val="00626982"/>
    <w:rsid w:val="00633B37"/>
    <w:rsid w:val="006349E4"/>
    <w:rsid w:val="00636862"/>
    <w:rsid w:val="00643FE0"/>
    <w:rsid w:val="0064519D"/>
    <w:rsid w:val="00652678"/>
    <w:rsid w:val="00653543"/>
    <w:rsid w:val="00657977"/>
    <w:rsid w:val="0066306D"/>
    <w:rsid w:val="0066357B"/>
    <w:rsid w:val="006762A7"/>
    <w:rsid w:val="006766F3"/>
    <w:rsid w:val="0068028D"/>
    <w:rsid w:val="0069546E"/>
    <w:rsid w:val="006A1820"/>
    <w:rsid w:val="006A478C"/>
    <w:rsid w:val="006B1774"/>
    <w:rsid w:val="006B32D6"/>
    <w:rsid w:val="006B4D54"/>
    <w:rsid w:val="006B679C"/>
    <w:rsid w:val="006C013C"/>
    <w:rsid w:val="006D23C2"/>
    <w:rsid w:val="006D2573"/>
    <w:rsid w:val="006D26FA"/>
    <w:rsid w:val="006E3DA4"/>
    <w:rsid w:val="006E5BD3"/>
    <w:rsid w:val="006F15BE"/>
    <w:rsid w:val="006F28D2"/>
    <w:rsid w:val="006F5216"/>
    <w:rsid w:val="006F53AE"/>
    <w:rsid w:val="00702232"/>
    <w:rsid w:val="007051F9"/>
    <w:rsid w:val="00705462"/>
    <w:rsid w:val="00705A85"/>
    <w:rsid w:val="00706C0E"/>
    <w:rsid w:val="00714A75"/>
    <w:rsid w:val="00715AF5"/>
    <w:rsid w:val="00720192"/>
    <w:rsid w:val="00723FB3"/>
    <w:rsid w:val="007267FE"/>
    <w:rsid w:val="00740BDF"/>
    <w:rsid w:val="00741E3C"/>
    <w:rsid w:val="0074600E"/>
    <w:rsid w:val="00747D25"/>
    <w:rsid w:val="00753867"/>
    <w:rsid w:val="00754458"/>
    <w:rsid w:val="00755120"/>
    <w:rsid w:val="00757917"/>
    <w:rsid w:val="00765CB1"/>
    <w:rsid w:val="00766B60"/>
    <w:rsid w:val="00767320"/>
    <w:rsid w:val="00775885"/>
    <w:rsid w:val="00780B46"/>
    <w:rsid w:val="00780D74"/>
    <w:rsid w:val="00791AA3"/>
    <w:rsid w:val="00792D75"/>
    <w:rsid w:val="00794D97"/>
    <w:rsid w:val="007978D7"/>
    <w:rsid w:val="007A76B5"/>
    <w:rsid w:val="007B1A9B"/>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325F"/>
    <w:rsid w:val="00863D60"/>
    <w:rsid w:val="0086705D"/>
    <w:rsid w:val="00873851"/>
    <w:rsid w:val="00881BAA"/>
    <w:rsid w:val="00883C6F"/>
    <w:rsid w:val="00885A9D"/>
    <w:rsid w:val="0089097B"/>
    <w:rsid w:val="008977CE"/>
    <w:rsid w:val="008A40EA"/>
    <w:rsid w:val="008A585E"/>
    <w:rsid w:val="008B1AD3"/>
    <w:rsid w:val="008B701D"/>
    <w:rsid w:val="008C0D58"/>
    <w:rsid w:val="008C366F"/>
    <w:rsid w:val="008C4D51"/>
    <w:rsid w:val="008C59A5"/>
    <w:rsid w:val="008D4244"/>
    <w:rsid w:val="008D4EAF"/>
    <w:rsid w:val="008D5BB7"/>
    <w:rsid w:val="008E3426"/>
    <w:rsid w:val="008E623C"/>
    <w:rsid w:val="008F077C"/>
    <w:rsid w:val="008F1284"/>
    <w:rsid w:val="008F54A8"/>
    <w:rsid w:val="008F6339"/>
    <w:rsid w:val="008F6C5D"/>
    <w:rsid w:val="00902A40"/>
    <w:rsid w:val="0091203B"/>
    <w:rsid w:val="009148CE"/>
    <w:rsid w:val="00915B87"/>
    <w:rsid w:val="0092301A"/>
    <w:rsid w:val="00927957"/>
    <w:rsid w:val="009458B6"/>
    <w:rsid w:val="00945C2A"/>
    <w:rsid w:val="009465E8"/>
    <w:rsid w:val="00963ACF"/>
    <w:rsid w:val="00967B3F"/>
    <w:rsid w:val="0097386D"/>
    <w:rsid w:val="009826CE"/>
    <w:rsid w:val="009830C6"/>
    <w:rsid w:val="0099409C"/>
    <w:rsid w:val="009C57CF"/>
    <w:rsid w:val="009C63BA"/>
    <w:rsid w:val="009C750A"/>
    <w:rsid w:val="009C7BF1"/>
    <w:rsid w:val="009D19FC"/>
    <w:rsid w:val="009D31AA"/>
    <w:rsid w:val="009D4604"/>
    <w:rsid w:val="009F0FF1"/>
    <w:rsid w:val="00A03E63"/>
    <w:rsid w:val="00A03FF8"/>
    <w:rsid w:val="00A04CCC"/>
    <w:rsid w:val="00A04CE6"/>
    <w:rsid w:val="00A0504A"/>
    <w:rsid w:val="00A06904"/>
    <w:rsid w:val="00A177FC"/>
    <w:rsid w:val="00A20280"/>
    <w:rsid w:val="00A20A97"/>
    <w:rsid w:val="00A279BD"/>
    <w:rsid w:val="00A32B05"/>
    <w:rsid w:val="00A34635"/>
    <w:rsid w:val="00A42824"/>
    <w:rsid w:val="00A44D6A"/>
    <w:rsid w:val="00A5182E"/>
    <w:rsid w:val="00A557BD"/>
    <w:rsid w:val="00A57685"/>
    <w:rsid w:val="00A60AB8"/>
    <w:rsid w:val="00A619C7"/>
    <w:rsid w:val="00A62EAE"/>
    <w:rsid w:val="00A6489A"/>
    <w:rsid w:val="00A77C04"/>
    <w:rsid w:val="00A848F4"/>
    <w:rsid w:val="00A85022"/>
    <w:rsid w:val="00A869E6"/>
    <w:rsid w:val="00A9050A"/>
    <w:rsid w:val="00AB0069"/>
    <w:rsid w:val="00AB13FC"/>
    <w:rsid w:val="00AB6C4F"/>
    <w:rsid w:val="00AB784B"/>
    <w:rsid w:val="00AD07D2"/>
    <w:rsid w:val="00AF37D5"/>
    <w:rsid w:val="00AF4189"/>
    <w:rsid w:val="00AF50AE"/>
    <w:rsid w:val="00AF62A9"/>
    <w:rsid w:val="00AF723D"/>
    <w:rsid w:val="00B0238C"/>
    <w:rsid w:val="00B27EEB"/>
    <w:rsid w:val="00B41E1C"/>
    <w:rsid w:val="00B472A5"/>
    <w:rsid w:val="00B64C7B"/>
    <w:rsid w:val="00B66CBA"/>
    <w:rsid w:val="00B80510"/>
    <w:rsid w:val="00B84DB5"/>
    <w:rsid w:val="00B85A91"/>
    <w:rsid w:val="00B8613F"/>
    <w:rsid w:val="00BA24BE"/>
    <w:rsid w:val="00BB416E"/>
    <w:rsid w:val="00BB5BAF"/>
    <w:rsid w:val="00BB7175"/>
    <w:rsid w:val="00BC0B27"/>
    <w:rsid w:val="00BC0F6D"/>
    <w:rsid w:val="00BC50C1"/>
    <w:rsid w:val="00BC7428"/>
    <w:rsid w:val="00BC7A77"/>
    <w:rsid w:val="00BD070F"/>
    <w:rsid w:val="00BE314E"/>
    <w:rsid w:val="00BF01F1"/>
    <w:rsid w:val="00BF0C20"/>
    <w:rsid w:val="00BF1299"/>
    <w:rsid w:val="00BF4B96"/>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56F16"/>
    <w:rsid w:val="00C6259E"/>
    <w:rsid w:val="00C738F3"/>
    <w:rsid w:val="00C762CF"/>
    <w:rsid w:val="00C77E5B"/>
    <w:rsid w:val="00C8484F"/>
    <w:rsid w:val="00C84F53"/>
    <w:rsid w:val="00C86B98"/>
    <w:rsid w:val="00CA3E2C"/>
    <w:rsid w:val="00CB185A"/>
    <w:rsid w:val="00CC31E3"/>
    <w:rsid w:val="00CD3138"/>
    <w:rsid w:val="00CE42A9"/>
    <w:rsid w:val="00CF0319"/>
    <w:rsid w:val="00CF3462"/>
    <w:rsid w:val="00D0248C"/>
    <w:rsid w:val="00D047CD"/>
    <w:rsid w:val="00D05D2C"/>
    <w:rsid w:val="00D06CB7"/>
    <w:rsid w:val="00D06D25"/>
    <w:rsid w:val="00D10D24"/>
    <w:rsid w:val="00D128F4"/>
    <w:rsid w:val="00D220D0"/>
    <w:rsid w:val="00D2236E"/>
    <w:rsid w:val="00D231E0"/>
    <w:rsid w:val="00D2648D"/>
    <w:rsid w:val="00D3247B"/>
    <w:rsid w:val="00D46886"/>
    <w:rsid w:val="00D5253F"/>
    <w:rsid w:val="00D52CAC"/>
    <w:rsid w:val="00D555F9"/>
    <w:rsid w:val="00D55BC3"/>
    <w:rsid w:val="00D614DF"/>
    <w:rsid w:val="00D85F00"/>
    <w:rsid w:val="00D9114F"/>
    <w:rsid w:val="00D920FB"/>
    <w:rsid w:val="00D96309"/>
    <w:rsid w:val="00D96726"/>
    <w:rsid w:val="00D97B4D"/>
    <w:rsid w:val="00DB0479"/>
    <w:rsid w:val="00DB16B9"/>
    <w:rsid w:val="00DB4612"/>
    <w:rsid w:val="00DC2DFC"/>
    <w:rsid w:val="00DC7EE4"/>
    <w:rsid w:val="00DD6705"/>
    <w:rsid w:val="00DD6C36"/>
    <w:rsid w:val="00DD7120"/>
    <w:rsid w:val="00E15427"/>
    <w:rsid w:val="00E222F1"/>
    <w:rsid w:val="00E34B2B"/>
    <w:rsid w:val="00E36743"/>
    <w:rsid w:val="00E368A1"/>
    <w:rsid w:val="00E443E4"/>
    <w:rsid w:val="00E52DA6"/>
    <w:rsid w:val="00E52F57"/>
    <w:rsid w:val="00E53105"/>
    <w:rsid w:val="00E56164"/>
    <w:rsid w:val="00E63649"/>
    <w:rsid w:val="00E747CD"/>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F7145"/>
    <w:rsid w:val="00EF730A"/>
    <w:rsid w:val="00F147C2"/>
    <w:rsid w:val="00F33C08"/>
    <w:rsid w:val="00F61824"/>
    <w:rsid w:val="00F62D80"/>
    <w:rsid w:val="00F63503"/>
    <w:rsid w:val="00F63B24"/>
    <w:rsid w:val="00F660A5"/>
    <w:rsid w:val="00F74DA4"/>
    <w:rsid w:val="00F87704"/>
    <w:rsid w:val="00F87E30"/>
    <w:rsid w:val="00F97B27"/>
    <w:rsid w:val="00FA1843"/>
    <w:rsid w:val="00FA2299"/>
    <w:rsid w:val="00FB4A72"/>
    <w:rsid w:val="00FB58A1"/>
    <w:rsid w:val="00FC4B0A"/>
    <w:rsid w:val="00FC4C59"/>
    <w:rsid w:val="00FD2EE6"/>
    <w:rsid w:val="00FD382F"/>
    <w:rsid w:val="00FD77A2"/>
    <w:rsid w:val="00FE12B1"/>
    <w:rsid w:val="00FE4F0C"/>
    <w:rsid w:val="00FF118B"/>
    <w:rsid w:val="00FF45F2"/>
    <w:rsid w:val="00FF5366"/>
    <w:rsid w:val="00FF72DC"/>
    <w:rsid w:val="06AD4C93"/>
    <w:rsid w:val="29BA6E72"/>
    <w:rsid w:val="33C08F44"/>
    <w:rsid w:val="37A82AFA"/>
    <w:rsid w:val="3943FB5B"/>
    <w:rsid w:val="471AC1C3"/>
    <w:rsid w:val="4D052EBA"/>
    <w:rsid w:val="5C848548"/>
    <w:rsid w:val="6189C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12134A1"/>
  <w15:docId w15:val="{AA3932B0-0D3D-482E-8CA1-06EF8A6F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2"/>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jc w:val="both"/>
    </w:pPr>
    <w:rPr>
      <w:rFonts w:ascii="Times" w:hAnsi="Times"/>
      <w:sz w:val="20"/>
    </w:rPr>
  </w:style>
  <w:style w:type="character" w:customStyle="1" w:styleId="FooterChar">
    <w:name w:val="Footer Char"/>
    <w:link w:val="Footer"/>
    <w:uiPriority w:val="99"/>
    <w:rsid w:val="00D96726"/>
    <w:rPr>
      <w:rFonts w:ascii="Arial" w:hAnsi="Arial"/>
      <w:sz w:val="22"/>
    </w:rPr>
  </w:style>
  <w:style w:type="character" w:styleId="FollowedHyperlink">
    <w:name w:val="FollowedHyperlink"/>
    <w:basedOn w:val="DefaultParagraphFont"/>
    <w:uiPriority w:val="99"/>
    <w:semiHidden/>
    <w:unhideWhenUsed/>
    <w:rsid w:val="004C35C1"/>
    <w:rPr>
      <w:color w:val="800080" w:themeColor="followedHyperlink"/>
      <w:u w:val="single"/>
    </w:rPr>
  </w:style>
  <w:style w:type="character" w:customStyle="1" w:styleId="UnresolvedMention1">
    <w:name w:val="Unresolved Mention1"/>
    <w:basedOn w:val="DefaultParagraphFont"/>
    <w:uiPriority w:val="99"/>
    <w:semiHidden/>
    <w:unhideWhenUsed/>
    <w:rsid w:val="00D128F4"/>
    <w:rPr>
      <w:color w:val="605E5C"/>
      <w:shd w:val="clear" w:color="auto" w:fill="E1DFDD"/>
    </w:rPr>
  </w:style>
  <w:style w:type="paragraph" w:styleId="Revision">
    <w:name w:val="Revision"/>
    <w:hidden/>
    <w:uiPriority w:val="99"/>
    <w:semiHidden/>
    <w:rsid w:val="002503A8"/>
    <w:rPr>
      <w:rFonts w:ascii="Arial" w:hAnsi="Arial"/>
      <w:sz w:val="22"/>
    </w:rPr>
  </w:style>
  <w:style w:type="character" w:styleId="UnresolvedMention">
    <w:name w:val="Unresolved Mention"/>
    <w:basedOn w:val="DefaultParagraphFont"/>
    <w:uiPriority w:val="99"/>
    <w:semiHidden/>
    <w:unhideWhenUsed/>
    <w:rsid w:val="00250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55838556">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griffith.edu.au/pdf/The%20Responsible%20Conduct%20of%20Research.pdf" TargetMode="External"/><Relationship Id="rId18" Type="http://schemas.openxmlformats.org/officeDocument/2006/relationships/hyperlink" Target="https://sharepointpubstor.blob.core.windows.net/policylibrary-prod/Higher%20Degree%20by%20Research%20(HDR)%20Supervision%20Procedur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ecure.griffith.edu.au/research/griffith-graduate-research-school/resources/facilities-support" TargetMode="External"/><Relationship Id="rId7" Type="http://schemas.openxmlformats.org/officeDocument/2006/relationships/webSettings" Target="webSettings.xml"/><Relationship Id="rId12" Type="http://schemas.openxmlformats.org/officeDocument/2006/relationships/hyperlink" Target="mailto:ggrs-dean@griffith.edu.au" TargetMode="External"/><Relationship Id="rId17" Type="http://schemas.openxmlformats.org/officeDocument/2006/relationships/hyperlink" Target="http://policies.griffith.edu.au/pdf/Higher%20Degree%20Research%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licies.griffith.edu.au/pdf/Student%20Complaints%20Procedures.pdf" TargetMode="External"/><Relationship Id="rId20" Type="http://schemas.openxmlformats.org/officeDocument/2006/relationships/hyperlink" Target="https://sharepointpubstor.blob.core.windows.net/policylibrary-prod/Academic%20Awards%20Procedur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olicies.griffith.edu.au/pdf/Student%20Complaints%20Policy.pdf"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sharepointpubstor.blob.core.windows.net/policylibrary-prod/Program%20and%20Course%20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ies.griffith.edu.au/pdf/Student%20Review%20and%20Appeals%20Procedures.pdf" TargetMode="External"/><Relationship Id="rId22" Type="http://schemas.openxmlformats.org/officeDocument/2006/relationships/hyperlink" Target="https://nhmrc.gov.au/about-us/publications/australian-code-responsible-conduct-rese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tlink xmlns="2f261a70-825f-4a37-b7b5-f6ecc2f4c5fa">
      <Url xsi:nil="true"/>
      <Description xsi:nil="true"/>
    </extlink>
    <TaxCatchAll xmlns="b40c662e-0380-4817-843d-2c7e10d40c39">
      <Value>218</Value>
      <Value>26</Value>
      <Value>164</Value>
      <Value>520</Value>
      <Value>77</Value>
      <Value>159</Value>
      <Value>162</Value>
      <Value>545</Value>
    </TaxCatchAll>
    <docsort xmlns="2f261a70-825f-4a37-b7b5-f6ecc2f4c5fa">100</docsort>
    <datedeclared xmlns="2f261a70-825f-4a37-b7b5-f6ecc2f4c5fa">2009-08-12T14:00:00+00:00</datedeclared>
    <policyadvisor xmlns="2f261a70-825f-4a37-b7b5-f6ecc2f4c5fa">
      <UserInfo>
        <DisplayName>Rebecca Ford</DisplayName>
        <AccountId>308</AccountId>
        <AccountType/>
      </UserInfo>
    </policyadvisor>
    <policysummary xmlns="2f261a70-825f-4a37-b7b5-f6ecc2f4c5fa">This policy describes the appointment of the HDR Convenor, and the role and responsibilities of that position.</policysummary>
    <doccomments xmlns="2f261a70-825f-4a37-b7b5-f6ecc2f4c5fa">Correction of 'Next Review' reference only.
Reverted back to 2014
(in place of inadvertent update to 2024).
11/09/2023 – Standing COO administrative updates advised by Senior Policy and Analytics Officer, GGRS (via email) - links to rescinded policies have been updated.
16/11/2023 -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PublishOn xmlns="2f261a70-825f-4a37-b7b5-f6ecc2f4c5fa">2021-02-05T10:58:18+00:00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Role Statement</TermName>
          <TermId xmlns="http://schemas.microsoft.com/office/infopath/2007/PartnerControls">fd86b8c0-3c66-4d02-8bcb-b68fb22ecd84</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GGRS</TermName>
          <TermId xmlns="http://schemas.microsoft.com/office/infopath/2007/PartnerControls">9998683f-6a66-407c-9d64-f95cccd304fa</TermId>
        </TermInfo>
      </Terms>
    </l92b321e1c6d4932b3b7fc50f551e57a>
    <PDFBlobURL xmlns="2f261a70-825f-4a37-b7b5-f6ecc2f4c5fa" xsi:nil="true"/>
    <PolicyCategoryPath xmlns="2f261a70-825f-4a37-b7b5-f6ecc2f4c5fa">Academic:Research</PolicyCategoryPath>
    <PolicyCategory0 xmlns="2f261a70-825f-4a37-b7b5-f6ecc2f4c5fa">Research</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Curriculum Management, Supervision and Scholarships</TermName>
          <TermId xmlns="http://schemas.microsoft.com/office/infopath/2007/PartnerControls">c392c9b5-bd13-498a-8296-0221b1881bb9</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2023-11-15T14:00:00+00:00</LastPublished>
    <PrivatePolicy xmlns="2f261a70-825f-4a37-b7b5-f6ecc2f4c5fa">false</PrivatePolicy>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Program Director</TermName>
          <TermId xmlns="http://schemas.microsoft.com/office/infopath/2007/PartnerControls">85707bd8-c805-45c3-92a2-a3e8aa8fbf40</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fcddc5b2-7820-4eeb-aa0d-6e6ccb155e00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a7555971-2eed-4196-bdc8-562c943d5f2d</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0ADD-9C78-4CB4-A703-8F98F154ED28}">
  <ds:schemaRefs>
    <ds:schemaRef ds:uri="http://schemas.microsoft.com/sharepoint/v3/contenttype/forms"/>
  </ds:schemaRefs>
</ds:datastoreItem>
</file>

<file path=customXml/itemProps2.xml><?xml version="1.0" encoding="utf-8"?>
<ds:datastoreItem xmlns:ds="http://schemas.openxmlformats.org/officeDocument/2006/customXml" ds:itemID="{8065FC79-2246-46E8-AE7E-02AC5E974BD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f261a70-825f-4a37-b7b5-f6ecc2f4c5fa"/>
    <ds:schemaRef ds:uri="http://purl.org/dc/terms/"/>
    <ds:schemaRef ds:uri="http://purl.org/dc/dcmitype/"/>
    <ds:schemaRef ds:uri="http://schemas.openxmlformats.org/package/2006/metadata/core-properties"/>
    <ds:schemaRef ds:uri="b40c662e-0380-4817-843d-2c7e10d40c39"/>
    <ds:schemaRef ds:uri="http://www.w3.org/XML/1998/namespace"/>
  </ds:schemaRefs>
</ds:datastoreItem>
</file>

<file path=customXml/itemProps3.xml><?xml version="1.0" encoding="utf-8"?>
<ds:datastoreItem xmlns:ds="http://schemas.openxmlformats.org/officeDocument/2006/customXml" ds:itemID="{F3606F21-9C66-47B6-833D-54A7005CF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8752</Characters>
  <Application>Microsoft Office Word</Application>
  <DocSecurity>0</DocSecurity>
  <Lines>72</Lines>
  <Paragraphs>19</Paragraphs>
  <ScaleCrop>false</ScaleCrop>
  <Company>Griffith University</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Statement HDR Convenor</dc:title>
  <dc:subject>Position Statement -</dc:subject>
  <dc:creator>Gabrielle Ingram</dc:creator>
  <cp:keywords>position statement, role statement, position description</cp:keywords>
  <cp:lastModifiedBy>Donna Kalaentzis</cp:lastModifiedBy>
  <cp:revision>7</cp:revision>
  <dcterms:created xsi:type="dcterms:W3CDTF">2023-09-12T23:17:00Z</dcterms:created>
  <dcterms:modified xsi:type="dcterms:W3CDTF">2024-03-26T02:58:00Z</dcterms:modified>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19;#Staff|234b4c02-4f11-4558-b1da-d19b9b209556</vt:lpwstr>
  </property>
  <property fmtid="{D5CDD505-2E9C-101B-9397-08002B2CF9AE}" pid="3" name="policysection">
    <vt:lpwstr>26;#Curriculum Management, Supervision and Scholarships|c392c9b5-bd13-498a-8296-0221b1881bb9</vt:lpwstr>
  </property>
  <property fmtid="{D5CDD505-2E9C-101B-9397-08002B2CF9AE}" pid="4" name="_dlc_policyId">
    <vt:lpwstr>0x010100CCB10AA9A57F62429EA6968F7587FFF2|1453938073</vt:lpwstr>
  </property>
  <property fmtid="{D5CDD505-2E9C-101B-9397-08002B2CF9AE}" pid="5" name="HTML Link">
    <vt:lpwstr>https://policies-admin.griffith.edu.au/pdf/Role%20Statement%20HDR%20Convenor.pdf, View PDF Version</vt:lpwstr>
  </property>
  <property fmtid="{D5CDD505-2E9C-101B-9397-08002B2CF9AE}" pid="6" name="xd_Signature">
    <vt:bool>false</vt:bool>
  </property>
  <property fmtid="{D5CDD505-2E9C-101B-9397-08002B2CF9AE}" pid="7" name="xd_ProgID">
    <vt:lpwstr/>
  </property>
  <property fmtid="{D5CDD505-2E9C-101B-9397-08002B2CF9AE}" pid="8" name="appauthority">
    <vt:lpwstr>545;#Deputy Vice Chancellor (Education)|23c2c4b8-0ed3-4e55-bcd6-d9c665ec4c83</vt:lpwstr>
  </property>
  <property fmtid="{D5CDD505-2E9C-101B-9397-08002B2CF9AE}" pid="9" name="ContentTypeId">
    <vt:lpwstr>0x010100D8585E08B4909F4CA72F2CA699ABA3ED</vt:lpwstr>
  </property>
  <property fmtid="{D5CDD505-2E9C-101B-9397-08002B2CF9AE}" pid="10" name="policycategory">
    <vt:lpwstr>218;#Role Statement|fd86b8c0-3c66-4d02-8bcb-b68fb22ecd84</vt:lpwstr>
  </property>
  <property fmtid="{D5CDD505-2E9C-101B-9397-08002B2CF9AE}" pid="11" name="ItemRetentionFormula">
    <vt:lpwstr>&lt;formula offset="18" unit="months" /&gt;</vt:lpwstr>
  </property>
  <property fmtid="{D5CDD505-2E9C-101B-9397-08002B2CF9AE}" pid="12" name="TemplateUrl">
    <vt:lpwstr/>
  </property>
  <property fmtid="{D5CDD505-2E9C-101B-9397-08002B2CF9AE}" pid="13" name="glossaryterms">
    <vt:lpwstr>159;#Program Director|85707bd8-c805-45c3-92a2-a3e8aa8fbf40</vt:lpwstr>
  </property>
  <property fmtid="{D5CDD505-2E9C-101B-9397-08002B2CF9AE}" pid="14" name="_dlc_LastRun">
    <vt:lpwstr>07/28/2012 23:00:28</vt:lpwstr>
  </property>
  <property fmtid="{D5CDD505-2E9C-101B-9397-08002B2CF9AE}" pid="15" name="_dlc_DocIdItemGuid">
    <vt:lpwstr>9b51b975-9100-4a25-bf14-b89012b1baf1</vt:lpwstr>
  </property>
  <property fmtid="{D5CDD505-2E9C-101B-9397-08002B2CF9AE}" pid="16" name="_dlc_ItemStageId">
    <vt:lpwstr>1</vt:lpwstr>
  </property>
  <property fmtid="{D5CDD505-2E9C-101B-9397-08002B2CF9AE}" pid="17" name="officearea">
    <vt:lpwstr>162;#GGRS|9998683f-6a66-407c-9d64-f95cccd304fa</vt:lpwstr>
  </property>
  <property fmtid="{D5CDD505-2E9C-101B-9397-08002B2CF9AE}" pid="18" name="policyreview">
    <vt:lpwstr>164;#2014|a7555971-2eed-4196-bdc8-562c943d5f2d</vt:lpwstr>
  </property>
  <property fmtid="{D5CDD505-2E9C-101B-9397-08002B2CF9AE}" pid="19" name="policyaudience">
    <vt:lpwstr>77;#Staff|45ee306d-49ae-43fa-a3ef-02f70754fd2d</vt:lpwstr>
  </property>
  <property fmtid="{D5CDD505-2E9C-101B-9397-08002B2CF9AE}" pid="20" name="Category Type">
    <vt:lpwstr>23;#Role Statement|3321edb4-0817-4e3f-babd-8a64b72dc1a4</vt:lpwstr>
  </property>
  <property fmtid="{D5CDD505-2E9C-101B-9397-08002B2CF9AE}" pid="21" name="source_item_id">
    <vt:lpwstr>150</vt:lpwstr>
  </property>
  <property fmtid="{D5CDD505-2E9C-101B-9397-08002B2CF9AE}" pid="22" name="Order">
    <vt:r8>15000</vt:r8>
  </property>
  <property fmtid="{D5CDD505-2E9C-101B-9397-08002B2CF9AE}" pid="23" name="doccomments">
    <vt:lpwstr/>
  </property>
  <property fmtid="{D5CDD505-2E9C-101B-9397-08002B2CF9AE}" pid="24" name="policy-category">
    <vt:lpwstr/>
  </property>
  <property fmtid="{D5CDD505-2E9C-101B-9397-08002B2CF9AE}" pid="25" name="policy_x002d_category">
    <vt:lpwstr/>
  </property>
  <property fmtid="{D5CDD505-2E9C-101B-9397-08002B2CF9AE}" pid="26" name="MSIP_Label_adaa4be3-f650-4692-881a-64ae220cbceb_SiteId">
    <vt:lpwstr>5a7cc8ab-a4dc-4f9b-bf60-66714049ad62</vt:lpwstr>
  </property>
  <property fmtid="{D5CDD505-2E9C-101B-9397-08002B2CF9AE}" pid="27" name="MSIP_Label_adaa4be3-f650-4692-881a-64ae220cbceb_Name">
    <vt:lpwstr>OFFICIAL  Internal (External sharing)</vt:lpwstr>
  </property>
  <property fmtid="{D5CDD505-2E9C-101B-9397-08002B2CF9AE}" pid="28" name="MSIP_Label_adaa4be3-f650-4692-881a-64ae220cbceb_Method">
    <vt:lpwstr>Standard</vt:lpwstr>
  </property>
  <property fmtid="{D5CDD505-2E9C-101B-9397-08002B2CF9AE}" pid="29" name="MSIP_Label_adaa4be3-f650-4692-881a-64ae220cbceb_ActionId">
    <vt:lpwstr>83000b77-0b4b-47d6-96c9-74c73d58292a</vt:lpwstr>
  </property>
  <property fmtid="{D5CDD505-2E9C-101B-9397-08002B2CF9AE}" pid="30" name="MSIP_Label_adaa4be3-f650-4692-881a-64ae220cbceb_Enabled">
    <vt:lpwstr>true</vt:lpwstr>
  </property>
  <property fmtid="{D5CDD505-2E9C-101B-9397-08002B2CF9AE}" pid="31" name="MSIP_Label_adaa4be3-f650-4692-881a-64ae220cbceb_ContentBits">
    <vt:lpwstr>0</vt:lpwstr>
  </property>
  <property fmtid="{D5CDD505-2E9C-101B-9397-08002B2CF9AE}" pid="32" name="DelayPublish">
    <vt:lpwstr>No</vt:lpwstr>
  </property>
  <property fmtid="{D5CDD505-2E9C-101B-9397-08002B2CF9AE}" pid="33" name="MSIP_Label_adaa4be3-f650-4692-881a-64ae220cbceb_SetDate">
    <vt:lpwstr>2023-01-25T00:37:38Z</vt:lpwstr>
  </property>
  <property fmtid="{D5CDD505-2E9C-101B-9397-08002B2CF9AE}" pid="34" name="Managed_Testing_Field">
    <vt:lpwstr/>
  </property>
</Properties>
</file>