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AB932" w14:textId="54932210" w:rsidR="00ED6047" w:rsidRPr="00A34427" w:rsidRDefault="00A34427" w:rsidP="00A144B2">
      <w:pPr>
        <w:pStyle w:val="Heading1"/>
        <w:spacing w:before="0" w:after="240"/>
        <w:rPr>
          <w:rFonts w:ascii="Arial" w:hAnsi="Arial" w:cs="Arial"/>
          <w:sz w:val="52"/>
          <w:szCs w:val="32"/>
        </w:rPr>
      </w:pPr>
      <w:r w:rsidRPr="00A34427">
        <w:rPr>
          <w:rFonts w:ascii="Arial" w:hAnsi="Arial" w:cs="Arial"/>
          <w:sz w:val="52"/>
          <w:szCs w:val="32"/>
        </w:rPr>
        <w:t>Risk Assessing Chemicals</w:t>
      </w:r>
    </w:p>
    <w:p w14:paraId="4B56D564" w14:textId="33010313" w:rsidR="00A144B2" w:rsidRPr="00C81103" w:rsidRDefault="00AD5BD7" w:rsidP="00E166E0">
      <w:pPr>
        <w:pStyle w:val="Heading2"/>
        <w:spacing w:before="0" w:after="0" w:line="240" w:lineRule="auto"/>
        <w:rPr>
          <w:rStyle w:val="Hyperlink"/>
          <w:rFonts w:ascii="Griffith Sans Text" w:hAnsi="Griffith Sans Text"/>
          <w:b w:val="0"/>
          <w:bCs w:val="0"/>
          <w:sz w:val="24"/>
          <w:szCs w:val="24"/>
        </w:rPr>
      </w:pPr>
      <w:hyperlink w:anchor="_1.0_Purpose" w:history="1">
        <w:r w:rsidR="00A144B2" w:rsidRPr="00C81103">
          <w:rPr>
            <w:rStyle w:val="Hyperlink"/>
            <w:rFonts w:ascii="Griffith Sans Text" w:hAnsi="Griffith Sans Text"/>
            <w:b w:val="0"/>
            <w:bCs w:val="0"/>
            <w:sz w:val="24"/>
            <w:szCs w:val="24"/>
          </w:rPr>
          <w:t>1.0 Purpose</w:t>
        </w:r>
      </w:hyperlink>
    </w:p>
    <w:p w14:paraId="1240B968" w14:textId="4A74855E" w:rsidR="00732202" w:rsidRPr="00C81103" w:rsidRDefault="00AD5BD7" w:rsidP="00E166E0">
      <w:pPr>
        <w:pStyle w:val="Heading2"/>
        <w:spacing w:before="0" w:after="0" w:line="240" w:lineRule="auto"/>
        <w:rPr>
          <w:rStyle w:val="Hyperlink"/>
          <w:rFonts w:ascii="Griffith Sans Text" w:hAnsi="Griffith Sans Text"/>
          <w:b w:val="0"/>
          <w:bCs w:val="0"/>
          <w:sz w:val="24"/>
          <w:szCs w:val="24"/>
        </w:rPr>
      </w:pPr>
      <w:hyperlink w:anchor="_2.0_Scope" w:history="1">
        <w:r w:rsidR="00732202" w:rsidRPr="00C81103">
          <w:rPr>
            <w:rStyle w:val="Hyperlink"/>
            <w:rFonts w:ascii="Griffith Sans Text" w:hAnsi="Griffith Sans Text"/>
            <w:b w:val="0"/>
            <w:bCs w:val="0"/>
            <w:sz w:val="24"/>
            <w:szCs w:val="24"/>
          </w:rPr>
          <w:t>2.0 Scope</w:t>
        </w:r>
      </w:hyperlink>
    </w:p>
    <w:p w14:paraId="636BA11E" w14:textId="040CCB8A" w:rsidR="00732202" w:rsidRPr="00C81103" w:rsidRDefault="00FF586B" w:rsidP="00E166E0">
      <w:pPr>
        <w:pStyle w:val="Heading2"/>
        <w:spacing w:before="0" w:after="0" w:line="240" w:lineRule="auto"/>
        <w:rPr>
          <w:rStyle w:val="Hyperlink"/>
          <w:rFonts w:ascii="Griffith Sans Text" w:hAnsi="Griffith Sans Text"/>
          <w:b w:val="0"/>
          <w:bCs w:val="0"/>
          <w:sz w:val="24"/>
          <w:szCs w:val="24"/>
        </w:rPr>
      </w:pPr>
      <w:r w:rsidRPr="00C81103">
        <w:rPr>
          <w:rStyle w:val="Hyperlink"/>
          <w:rFonts w:ascii="Griffith Sans Text" w:hAnsi="Griffith Sans Text"/>
          <w:b w:val="0"/>
          <w:bCs w:val="0"/>
          <w:sz w:val="24"/>
          <w:szCs w:val="24"/>
        </w:rPr>
        <w:fldChar w:fldCharType="begin"/>
      </w:r>
      <w:r w:rsidR="0065502D" w:rsidRPr="00C81103">
        <w:rPr>
          <w:rStyle w:val="Hyperlink"/>
          <w:rFonts w:ascii="Griffith Sans Text" w:hAnsi="Griffith Sans Text"/>
          <w:b w:val="0"/>
          <w:bCs w:val="0"/>
          <w:sz w:val="24"/>
          <w:szCs w:val="24"/>
        </w:rPr>
        <w:instrText>HYPERLINK  \l "_3.0_Policy_statement"</w:instrText>
      </w:r>
      <w:r w:rsidRPr="00C81103">
        <w:rPr>
          <w:rStyle w:val="Hyperlink"/>
          <w:rFonts w:ascii="Griffith Sans Text" w:hAnsi="Griffith Sans Text"/>
          <w:b w:val="0"/>
          <w:bCs w:val="0"/>
          <w:sz w:val="24"/>
          <w:szCs w:val="24"/>
        </w:rPr>
      </w:r>
      <w:r w:rsidRPr="00C81103">
        <w:rPr>
          <w:rStyle w:val="Hyperlink"/>
          <w:rFonts w:ascii="Griffith Sans Text" w:hAnsi="Griffith Sans Text"/>
          <w:b w:val="0"/>
          <w:bCs w:val="0"/>
          <w:sz w:val="24"/>
          <w:szCs w:val="24"/>
        </w:rPr>
        <w:fldChar w:fldCharType="separate"/>
      </w:r>
      <w:r w:rsidR="00732202" w:rsidRPr="00C81103">
        <w:rPr>
          <w:rStyle w:val="Hyperlink"/>
          <w:rFonts w:ascii="Griffith Sans Text" w:hAnsi="Griffith Sans Text"/>
          <w:b w:val="0"/>
          <w:bCs w:val="0"/>
          <w:sz w:val="24"/>
          <w:szCs w:val="24"/>
        </w:rPr>
        <w:t>3.0 P</w:t>
      </w:r>
      <w:r w:rsidR="005632E8" w:rsidRPr="00C81103">
        <w:rPr>
          <w:rStyle w:val="Hyperlink"/>
          <w:rFonts w:ascii="Griffith Sans Text" w:hAnsi="Griffith Sans Text"/>
          <w:b w:val="0"/>
          <w:bCs w:val="0"/>
          <w:sz w:val="24"/>
          <w:szCs w:val="24"/>
        </w:rPr>
        <w:t>rocedure</w:t>
      </w:r>
      <w:r w:rsidR="00C76573" w:rsidRPr="00C81103">
        <w:rPr>
          <w:rStyle w:val="Hyperlink"/>
          <w:rFonts w:ascii="Griffith Sans Text" w:hAnsi="Griffith Sans Text"/>
          <w:b w:val="0"/>
          <w:bCs w:val="0"/>
          <w:sz w:val="24"/>
          <w:szCs w:val="24"/>
        </w:rPr>
        <w:t xml:space="preserve"> </w:t>
      </w:r>
    </w:p>
    <w:p w14:paraId="2655DE31" w14:textId="79006278" w:rsidR="00C76573" w:rsidRPr="00C81103" w:rsidRDefault="00FF586B" w:rsidP="0065502D">
      <w:pPr>
        <w:pStyle w:val="Heading2"/>
        <w:spacing w:before="0" w:after="0" w:line="240" w:lineRule="auto"/>
        <w:ind w:left="284"/>
        <w:rPr>
          <w:rStyle w:val="Hyperlink"/>
          <w:rFonts w:ascii="Griffith Sans Text" w:hAnsi="Griffith Sans Text"/>
          <w:b w:val="0"/>
          <w:bCs w:val="0"/>
          <w:sz w:val="24"/>
          <w:szCs w:val="24"/>
        </w:rPr>
      </w:pPr>
      <w:r w:rsidRPr="00C81103">
        <w:rPr>
          <w:rStyle w:val="Hyperlink"/>
          <w:rFonts w:ascii="Griffith Sans Text" w:hAnsi="Griffith Sans Text"/>
          <w:b w:val="0"/>
          <w:bCs w:val="0"/>
          <w:sz w:val="24"/>
          <w:szCs w:val="24"/>
        </w:rPr>
        <w:fldChar w:fldCharType="end"/>
      </w:r>
      <w:hyperlink w:anchor="_3.1_Determining_when" w:history="1">
        <w:r w:rsidR="00C76573" w:rsidRPr="00C81103">
          <w:rPr>
            <w:rStyle w:val="Hyperlink"/>
            <w:rFonts w:ascii="Griffith Sans Text" w:hAnsi="Griffith Sans Text"/>
            <w:b w:val="0"/>
            <w:bCs w:val="0"/>
            <w:sz w:val="24"/>
            <w:szCs w:val="24"/>
          </w:rPr>
          <w:t xml:space="preserve">3.1 </w:t>
        </w:r>
        <w:r w:rsidR="006C3C57" w:rsidRPr="00C81103">
          <w:rPr>
            <w:rStyle w:val="Hyperlink"/>
            <w:rFonts w:ascii="Griffith Sans Text" w:hAnsi="Griffith Sans Text"/>
            <w:b w:val="0"/>
            <w:bCs w:val="0"/>
            <w:sz w:val="24"/>
            <w:szCs w:val="24"/>
          </w:rPr>
          <w:t>Determining when a Risk Assessment is Required</w:t>
        </w:r>
      </w:hyperlink>
      <w:r w:rsidR="00904689" w:rsidRPr="00C81103">
        <w:rPr>
          <w:rStyle w:val="Hyperlink"/>
          <w:rFonts w:ascii="Griffith Sans Text" w:hAnsi="Griffith Sans Text"/>
          <w:b w:val="0"/>
          <w:bCs w:val="0"/>
          <w:sz w:val="24"/>
          <w:szCs w:val="24"/>
        </w:rPr>
        <w:t xml:space="preserve"> | </w:t>
      </w:r>
      <w:hyperlink w:anchor="_3.2_Identifying_the" w:history="1">
        <w:r w:rsidR="00904689" w:rsidRPr="00C81103">
          <w:rPr>
            <w:rStyle w:val="Hyperlink"/>
            <w:rFonts w:ascii="Griffith Sans Text" w:hAnsi="Griffith Sans Text"/>
            <w:b w:val="0"/>
            <w:bCs w:val="0"/>
            <w:sz w:val="24"/>
            <w:szCs w:val="24"/>
          </w:rPr>
          <w:t xml:space="preserve">3.2 </w:t>
        </w:r>
        <w:r w:rsidR="006C3C57" w:rsidRPr="00C81103">
          <w:rPr>
            <w:rStyle w:val="Hyperlink"/>
            <w:rFonts w:ascii="Griffith Sans Text" w:hAnsi="Griffith Sans Text"/>
            <w:b w:val="0"/>
            <w:bCs w:val="0"/>
            <w:sz w:val="24"/>
            <w:szCs w:val="24"/>
          </w:rPr>
          <w:t>Identifying the Chemical Classification and Categorisation</w:t>
        </w:r>
      </w:hyperlink>
      <w:r w:rsidR="006C3C57" w:rsidRPr="00C81103">
        <w:rPr>
          <w:rStyle w:val="Hyperlink"/>
          <w:rFonts w:ascii="Griffith Sans Text" w:hAnsi="Griffith Sans Text"/>
          <w:b w:val="0"/>
          <w:bCs w:val="0"/>
          <w:sz w:val="24"/>
          <w:szCs w:val="24"/>
        </w:rPr>
        <w:t xml:space="preserve"> | </w:t>
      </w:r>
      <w:hyperlink w:anchor="_3.3_Defining_the" w:history="1">
        <w:r w:rsidR="006C3C57" w:rsidRPr="00C81103">
          <w:rPr>
            <w:rStyle w:val="Hyperlink"/>
            <w:rFonts w:ascii="Griffith Sans Text" w:hAnsi="Griffith Sans Text"/>
            <w:b w:val="0"/>
            <w:bCs w:val="0"/>
            <w:sz w:val="24"/>
            <w:szCs w:val="24"/>
          </w:rPr>
          <w:t>3.3 Defining the Context, Scope and Criteria</w:t>
        </w:r>
      </w:hyperlink>
      <w:r w:rsidR="006C3C57" w:rsidRPr="00C81103">
        <w:rPr>
          <w:rStyle w:val="Hyperlink"/>
          <w:rFonts w:ascii="Griffith Sans Text" w:hAnsi="Griffith Sans Text"/>
          <w:b w:val="0"/>
          <w:bCs w:val="0"/>
          <w:sz w:val="24"/>
          <w:szCs w:val="24"/>
        </w:rPr>
        <w:t xml:space="preserve"> | </w:t>
      </w:r>
      <w:hyperlink w:anchor="_3.4_Identifying_Risks" w:history="1">
        <w:r w:rsidR="006C3C57" w:rsidRPr="00C81103">
          <w:rPr>
            <w:rStyle w:val="Hyperlink"/>
            <w:rFonts w:ascii="Griffith Sans Text" w:hAnsi="Griffith Sans Text"/>
            <w:b w:val="0"/>
            <w:bCs w:val="0"/>
            <w:sz w:val="24"/>
            <w:szCs w:val="24"/>
          </w:rPr>
          <w:t>3.4 Identifying Risks</w:t>
        </w:r>
      </w:hyperlink>
      <w:r w:rsidR="006C3C57" w:rsidRPr="00C81103">
        <w:rPr>
          <w:rStyle w:val="Hyperlink"/>
          <w:rFonts w:ascii="Griffith Sans Text" w:hAnsi="Griffith Sans Text"/>
          <w:b w:val="0"/>
          <w:bCs w:val="0"/>
          <w:sz w:val="24"/>
          <w:szCs w:val="24"/>
        </w:rPr>
        <w:t xml:space="preserve"> | </w:t>
      </w:r>
      <w:hyperlink w:anchor="_3.5_Analysing_and" w:history="1">
        <w:r w:rsidR="006C3C57" w:rsidRPr="00C81103">
          <w:rPr>
            <w:rStyle w:val="Hyperlink"/>
            <w:rFonts w:ascii="Griffith Sans Text" w:hAnsi="Griffith Sans Text"/>
            <w:b w:val="0"/>
            <w:bCs w:val="0"/>
            <w:sz w:val="24"/>
            <w:szCs w:val="24"/>
          </w:rPr>
          <w:t>3.5 Analysing and Evaluating Risks</w:t>
        </w:r>
      </w:hyperlink>
      <w:r w:rsidR="006C3C57" w:rsidRPr="00C81103">
        <w:rPr>
          <w:rStyle w:val="Hyperlink"/>
          <w:rFonts w:ascii="Griffith Sans Text" w:hAnsi="Griffith Sans Text"/>
          <w:b w:val="0"/>
          <w:bCs w:val="0"/>
          <w:sz w:val="24"/>
          <w:szCs w:val="24"/>
        </w:rPr>
        <w:t xml:space="preserve"> | </w:t>
      </w:r>
      <w:hyperlink w:anchor="_3.6_Treating_the" w:history="1">
        <w:r w:rsidR="006C3C57" w:rsidRPr="00C81103">
          <w:rPr>
            <w:rStyle w:val="Hyperlink"/>
            <w:rFonts w:ascii="Griffith Sans Text" w:hAnsi="Griffith Sans Text"/>
            <w:b w:val="0"/>
            <w:bCs w:val="0"/>
            <w:sz w:val="24"/>
            <w:szCs w:val="24"/>
          </w:rPr>
          <w:t>3.6 Treating the Risk</w:t>
        </w:r>
      </w:hyperlink>
    </w:p>
    <w:p w14:paraId="574A747E" w14:textId="5B26E8C5" w:rsidR="00A144B2" w:rsidRPr="00C81103" w:rsidRDefault="00FF586B" w:rsidP="00E166E0">
      <w:pPr>
        <w:pStyle w:val="Heading2"/>
        <w:spacing w:before="0" w:after="0" w:line="240" w:lineRule="auto"/>
        <w:rPr>
          <w:rStyle w:val="Hyperlink"/>
          <w:rFonts w:ascii="Griffith Sans Text" w:hAnsi="Griffith Sans Text"/>
          <w:b w:val="0"/>
          <w:bCs w:val="0"/>
          <w:sz w:val="24"/>
          <w:szCs w:val="24"/>
        </w:rPr>
      </w:pPr>
      <w:r w:rsidRPr="00C81103">
        <w:rPr>
          <w:rStyle w:val="Hyperlink"/>
          <w:rFonts w:ascii="Griffith Sans Text" w:hAnsi="Griffith Sans Text"/>
          <w:b w:val="0"/>
          <w:bCs w:val="0"/>
          <w:sz w:val="24"/>
          <w:szCs w:val="24"/>
        </w:rPr>
        <w:fldChar w:fldCharType="begin"/>
      </w:r>
      <w:r w:rsidR="0065502D" w:rsidRPr="00C81103">
        <w:rPr>
          <w:rStyle w:val="Hyperlink"/>
          <w:rFonts w:ascii="Griffith Sans Text" w:hAnsi="Griffith Sans Text"/>
          <w:b w:val="0"/>
          <w:bCs w:val="0"/>
          <w:sz w:val="24"/>
          <w:szCs w:val="24"/>
        </w:rPr>
        <w:instrText>HYPERLINK  \l "_4.0_Roles,_responsibilities"</w:instrText>
      </w:r>
      <w:r w:rsidRPr="00C81103">
        <w:rPr>
          <w:rStyle w:val="Hyperlink"/>
          <w:rFonts w:ascii="Griffith Sans Text" w:hAnsi="Griffith Sans Text"/>
          <w:b w:val="0"/>
          <w:bCs w:val="0"/>
          <w:sz w:val="24"/>
          <w:szCs w:val="24"/>
        </w:rPr>
      </w:r>
      <w:r w:rsidRPr="00C81103">
        <w:rPr>
          <w:rStyle w:val="Hyperlink"/>
          <w:rFonts w:ascii="Griffith Sans Text" w:hAnsi="Griffith Sans Text"/>
          <w:b w:val="0"/>
          <w:bCs w:val="0"/>
          <w:sz w:val="24"/>
          <w:szCs w:val="24"/>
        </w:rPr>
        <w:fldChar w:fldCharType="separate"/>
      </w:r>
      <w:r w:rsidR="007418A5" w:rsidRPr="00C81103">
        <w:rPr>
          <w:rStyle w:val="Hyperlink"/>
          <w:rFonts w:ascii="Griffith Sans Text" w:hAnsi="Griffith Sans Text"/>
          <w:b w:val="0"/>
          <w:bCs w:val="0"/>
          <w:sz w:val="24"/>
          <w:szCs w:val="24"/>
        </w:rPr>
        <w:t>4</w:t>
      </w:r>
      <w:r w:rsidR="00732202" w:rsidRPr="00C81103">
        <w:rPr>
          <w:rStyle w:val="Hyperlink"/>
          <w:rFonts w:ascii="Griffith Sans Text" w:hAnsi="Griffith Sans Text"/>
          <w:b w:val="0"/>
          <w:bCs w:val="0"/>
          <w:sz w:val="24"/>
          <w:szCs w:val="24"/>
        </w:rPr>
        <w:t>.0 Definitions</w:t>
      </w:r>
    </w:p>
    <w:p w14:paraId="55C75591" w14:textId="5E684B7A" w:rsidR="00FC349F" w:rsidRPr="00C81103" w:rsidRDefault="00FF586B" w:rsidP="00E166E0">
      <w:pPr>
        <w:pStyle w:val="Heading2"/>
        <w:spacing w:before="0" w:after="0" w:line="240" w:lineRule="auto"/>
        <w:rPr>
          <w:rStyle w:val="Hyperlink"/>
          <w:rFonts w:ascii="Griffith Sans Text" w:hAnsi="Griffith Sans Text"/>
          <w:b w:val="0"/>
          <w:bCs w:val="0"/>
          <w:sz w:val="24"/>
          <w:szCs w:val="24"/>
        </w:rPr>
      </w:pPr>
      <w:r w:rsidRPr="00C81103">
        <w:rPr>
          <w:rStyle w:val="Hyperlink"/>
          <w:rFonts w:ascii="Griffith Sans Text" w:hAnsi="Griffith Sans Text"/>
          <w:b w:val="0"/>
          <w:bCs w:val="0"/>
          <w:sz w:val="24"/>
          <w:szCs w:val="24"/>
        </w:rPr>
        <w:fldChar w:fldCharType="end"/>
      </w:r>
      <w:r w:rsidR="0065502D" w:rsidRPr="00C81103">
        <w:rPr>
          <w:rStyle w:val="Hyperlink"/>
          <w:rFonts w:ascii="Griffith Sans Text" w:hAnsi="Griffith Sans Text"/>
          <w:b w:val="0"/>
          <w:bCs w:val="0"/>
          <w:sz w:val="24"/>
          <w:szCs w:val="24"/>
        </w:rPr>
        <w:fldChar w:fldCharType="begin"/>
      </w:r>
      <w:r w:rsidR="0065502D" w:rsidRPr="00C81103">
        <w:rPr>
          <w:rStyle w:val="Hyperlink"/>
          <w:rFonts w:ascii="Griffith Sans Text" w:hAnsi="Griffith Sans Text"/>
          <w:b w:val="0"/>
          <w:bCs w:val="0"/>
          <w:sz w:val="24"/>
          <w:szCs w:val="24"/>
        </w:rPr>
        <w:instrText>HYPERLINK  \l "_6.0_Information"</w:instrText>
      </w:r>
      <w:r w:rsidR="0065502D" w:rsidRPr="00C81103">
        <w:rPr>
          <w:rStyle w:val="Hyperlink"/>
          <w:rFonts w:ascii="Griffith Sans Text" w:hAnsi="Griffith Sans Text"/>
          <w:b w:val="0"/>
          <w:bCs w:val="0"/>
          <w:sz w:val="24"/>
          <w:szCs w:val="24"/>
        </w:rPr>
      </w:r>
      <w:r w:rsidR="0065502D" w:rsidRPr="00C81103">
        <w:rPr>
          <w:rStyle w:val="Hyperlink"/>
          <w:rFonts w:ascii="Griffith Sans Text" w:hAnsi="Griffith Sans Text"/>
          <w:b w:val="0"/>
          <w:bCs w:val="0"/>
          <w:sz w:val="24"/>
          <w:szCs w:val="24"/>
        </w:rPr>
        <w:fldChar w:fldCharType="separate"/>
      </w:r>
      <w:r w:rsidR="007418A5" w:rsidRPr="00C81103">
        <w:rPr>
          <w:rStyle w:val="Hyperlink"/>
          <w:rFonts w:ascii="Griffith Sans Text" w:hAnsi="Griffith Sans Text"/>
          <w:b w:val="0"/>
          <w:bCs w:val="0"/>
          <w:sz w:val="24"/>
          <w:szCs w:val="24"/>
        </w:rPr>
        <w:t>5</w:t>
      </w:r>
      <w:r w:rsidR="00FC349F" w:rsidRPr="00C81103">
        <w:rPr>
          <w:rStyle w:val="Hyperlink"/>
          <w:rFonts w:ascii="Griffith Sans Text" w:hAnsi="Griffith Sans Text"/>
          <w:b w:val="0"/>
          <w:bCs w:val="0"/>
          <w:sz w:val="24"/>
          <w:szCs w:val="24"/>
        </w:rPr>
        <w:t>.0</w:t>
      </w:r>
      <w:r w:rsidR="00274580" w:rsidRPr="00C81103">
        <w:rPr>
          <w:rStyle w:val="Hyperlink"/>
          <w:rFonts w:ascii="Griffith Sans Text" w:hAnsi="Griffith Sans Text"/>
          <w:b w:val="0"/>
          <w:bCs w:val="0"/>
          <w:sz w:val="24"/>
          <w:szCs w:val="24"/>
        </w:rPr>
        <w:t xml:space="preserve"> Information</w:t>
      </w:r>
    </w:p>
    <w:p w14:paraId="3005F60D" w14:textId="6D0134BD" w:rsidR="00D434E9" w:rsidRPr="00C81103" w:rsidRDefault="0065502D" w:rsidP="00E166E0">
      <w:pPr>
        <w:pStyle w:val="Heading2"/>
        <w:spacing w:before="0" w:after="0" w:line="240" w:lineRule="auto"/>
        <w:rPr>
          <w:rStyle w:val="Hyperlink"/>
          <w:rFonts w:ascii="Griffith Sans Text" w:hAnsi="Griffith Sans Text"/>
          <w:b w:val="0"/>
          <w:bCs w:val="0"/>
          <w:sz w:val="24"/>
          <w:szCs w:val="24"/>
        </w:rPr>
      </w:pPr>
      <w:r w:rsidRPr="00C81103">
        <w:rPr>
          <w:rStyle w:val="Hyperlink"/>
          <w:rFonts w:ascii="Griffith Sans Text" w:hAnsi="Griffith Sans Text"/>
          <w:b w:val="0"/>
          <w:bCs w:val="0"/>
          <w:sz w:val="24"/>
          <w:szCs w:val="24"/>
        </w:rPr>
        <w:fldChar w:fldCharType="end"/>
      </w:r>
      <w:hyperlink w:anchor="_7.0_Related_Policy" w:history="1">
        <w:r w:rsidR="007418A5" w:rsidRPr="00C81103">
          <w:rPr>
            <w:rStyle w:val="Hyperlink"/>
            <w:rFonts w:ascii="Griffith Sans Text" w:hAnsi="Griffith Sans Text"/>
            <w:b w:val="0"/>
            <w:bCs w:val="0"/>
            <w:sz w:val="24"/>
            <w:szCs w:val="24"/>
          </w:rPr>
          <w:t>6</w:t>
        </w:r>
        <w:r w:rsidR="00274580" w:rsidRPr="00C81103">
          <w:rPr>
            <w:rStyle w:val="Hyperlink"/>
            <w:rFonts w:ascii="Griffith Sans Text" w:hAnsi="Griffith Sans Text"/>
            <w:b w:val="0"/>
            <w:bCs w:val="0"/>
            <w:sz w:val="24"/>
            <w:szCs w:val="24"/>
          </w:rPr>
          <w:t xml:space="preserve">.0 Related </w:t>
        </w:r>
        <w:r w:rsidR="00456A0E" w:rsidRPr="00C81103">
          <w:rPr>
            <w:rStyle w:val="Hyperlink"/>
            <w:rFonts w:ascii="Griffith Sans Text" w:hAnsi="Griffith Sans Text"/>
            <w:b w:val="0"/>
            <w:bCs w:val="0"/>
            <w:sz w:val="24"/>
            <w:szCs w:val="24"/>
          </w:rPr>
          <w:t>policy documents and supporting documents</w:t>
        </w:r>
      </w:hyperlink>
      <w:r w:rsidR="00613014" w:rsidRPr="00C81103">
        <w:rPr>
          <w:rStyle w:val="Hyperlink"/>
          <w:rFonts w:ascii="Griffith Sans Text" w:hAnsi="Griffith Sans Text"/>
          <w:b w:val="0"/>
          <w:bCs w:val="0"/>
          <w:sz w:val="24"/>
          <w:szCs w:val="24"/>
        </w:rPr>
        <w:t xml:space="preserve"> </w:t>
      </w:r>
    </w:p>
    <w:p w14:paraId="2DF7559D" w14:textId="403D7944" w:rsidR="00A144B2" w:rsidRPr="00A34427" w:rsidRDefault="00A144B2" w:rsidP="00CA6AC5">
      <w:pPr>
        <w:pStyle w:val="Heading2"/>
        <w:rPr>
          <w:rFonts w:ascii="Arial" w:hAnsi="Arial" w:cs="Arial"/>
        </w:rPr>
      </w:pPr>
      <w:bookmarkStart w:id="0" w:name="_1.0_Purpose"/>
      <w:bookmarkEnd w:id="0"/>
      <w:r w:rsidRPr="00A34427">
        <w:rPr>
          <w:rFonts w:ascii="Arial" w:hAnsi="Arial" w:cs="Arial"/>
        </w:rPr>
        <w:t>1.0 Purpose</w:t>
      </w:r>
    </w:p>
    <w:p w14:paraId="5841146F" w14:textId="779A5806" w:rsidR="00820F73" w:rsidRPr="00A34427" w:rsidRDefault="00A34427" w:rsidP="004922AF">
      <w:pPr>
        <w:spacing w:before="120" w:after="120" w:line="240" w:lineRule="auto"/>
        <w:rPr>
          <w:rFonts w:ascii="Arial" w:hAnsi="Arial" w:cs="Arial"/>
          <w:sz w:val="22"/>
        </w:rPr>
      </w:pPr>
      <w:r w:rsidRPr="00A34427">
        <w:rPr>
          <w:rFonts w:ascii="Arial" w:hAnsi="Arial" w:cs="Arial"/>
          <w:sz w:val="22"/>
        </w:rPr>
        <w:t>This procedure outlines the requirements for risk assessing the work processes associated with chemicals at Griffith University. The procedure aims to minimise risks to personnel and property and ensure continuing legislative compliance.</w:t>
      </w:r>
    </w:p>
    <w:p w14:paraId="7F0EA822" w14:textId="07CBBBFC" w:rsidR="00A144B2" w:rsidRPr="00A34427" w:rsidRDefault="00A144B2" w:rsidP="00CA6AC5">
      <w:pPr>
        <w:pStyle w:val="Heading2"/>
        <w:rPr>
          <w:rFonts w:ascii="Arial" w:hAnsi="Arial" w:cs="Arial"/>
        </w:rPr>
      </w:pPr>
      <w:bookmarkStart w:id="1" w:name="_2.0_Scope"/>
      <w:bookmarkEnd w:id="1"/>
      <w:r w:rsidRPr="00A34427">
        <w:rPr>
          <w:rFonts w:ascii="Arial" w:hAnsi="Arial" w:cs="Arial"/>
        </w:rPr>
        <w:t>2.0 Scope</w:t>
      </w:r>
    </w:p>
    <w:p w14:paraId="277D8F4C" w14:textId="44B0DDA1" w:rsidR="00A144B2" w:rsidRPr="00A34427" w:rsidRDefault="00A34427" w:rsidP="004922AF">
      <w:pPr>
        <w:spacing w:before="120" w:after="120" w:line="240" w:lineRule="auto"/>
        <w:rPr>
          <w:rFonts w:ascii="Arial" w:eastAsia="Calibri" w:hAnsi="Arial" w:cs="Arial"/>
          <w:sz w:val="22"/>
        </w:rPr>
      </w:pPr>
      <w:r w:rsidRPr="00A34427">
        <w:rPr>
          <w:rFonts w:ascii="Arial" w:hAnsi="Arial" w:cs="Arial"/>
          <w:sz w:val="22"/>
        </w:rPr>
        <w:t>This procedure applies to all staff, students, contractors, and other relevant persons engaged by Griffith University that procure, use, store and dispose of chemicals as part of their work, research, or study. It encompasses all aspects of chemicals management, except for managing asbestos, biological or radioactive materials (refer to specific procedures for these hazards).</w:t>
      </w:r>
    </w:p>
    <w:p w14:paraId="738A9BC3" w14:textId="48FE5F59" w:rsidR="00A144B2" w:rsidRPr="00A34427" w:rsidRDefault="00A144B2" w:rsidP="00CA6AC5">
      <w:pPr>
        <w:pStyle w:val="Heading2"/>
        <w:rPr>
          <w:rFonts w:ascii="Arial" w:hAnsi="Arial" w:cs="Arial"/>
        </w:rPr>
      </w:pPr>
      <w:bookmarkStart w:id="2" w:name="_3.0_Policy_statement"/>
      <w:bookmarkStart w:id="3" w:name="_3.0_Procedure"/>
      <w:bookmarkEnd w:id="2"/>
      <w:bookmarkEnd w:id="3"/>
      <w:r w:rsidRPr="00A34427">
        <w:rPr>
          <w:rFonts w:ascii="Arial" w:hAnsi="Arial" w:cs="Arial"/>
        </w:rPr>
        <w:t xml:space="preserve">3.0 </w:t>
      </w:r>
      <w:r w:rsidR="007418A5" w:rsidRPr="00A34427">
        <w:rPr>
          <w:rFonts w:ascii="Arial" w:hAnsi="Arial" w:cs="Arial"/>
        </w:rPr>
        <w:t>Procedure</w:t>
      </w:r>
    </w:p>
    <w:p w14:paraId="7E68C795" w14:textId="77777777" w:rsidR="00A34427" w:rsidRPr="00A34427" w:rsidRDefault="00A34427" w:rsidP="00A34427">
      <w:pPr>
        <w:pStyle w:val="Heading3"/>
        <w:ind w:left="567"/>
        <w:rPr>
          <w:rFonts w:ascii="Arial" w:hAnsi="Arial" w:cs="Arial"/>
        </w:rPr>
      </w:pPr>
      <w:bookmarkStart w:id="4" w:name="_3.1_Determining_when"/>
      <w:bookmarkEnd w:id="4"/>
      <w:r w:rsidRPr="00A34427">
        <w:rPr>
          <w:rFonts w:ascii="Arial" w:hAnsi="Arial" w:cs="Arial"/>
        </w:rPr>
        <w:t xml:space="preserve">3.1 Determining when a Risk Assessment is Required </w:t>
      </w:r>
    </w:p>
    <w:p w14:paraId="14BD985E" w14:textId="77777777" w:rsidR="00A34427" w:rsidRPr="00C81103" w:rsidRDefault="00A34427" w:rsidP="008B6584">
      <w:pPr>
        <w:spacing w:before="120" w:after="120" w:line="240" w:lineRule="auto"/>
        <w:ind w:left="567"/>
        <w:rPr>
          <w:rFonts w:ascii="Arial" w:hAnsi="Arial" w:cs="Arial"/>
          <w:i/>
          <w:iCs/>
          <w:color w:val="E5071F"/>
          <w:sz w:val="22"/>
        </w:rPr>
      </w:pPr>
      <w:r w:rsidRPr="00C81103">
        <w:rPr>
          <w:rFonts w:ascii="Arial" w:hAnsi="Arial" w:cs="Arial"/>
          <w:i/>
          <w:iCs/>
          <w:color w:val="E5071F"/>
          <w:sz w:val="22"/>
        </w:rPr>
        <w:t>Accountability: Chemical Custodians</w:t>
      </w:r>
    </w:p>
    <w:p w14:paraId="488AFDBA"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Before use, conduct a risk assessment for work to be undertaken involving chemicals.</w:t>
      </w:r>
    </w:p>
    <w:p w14:paraId="1734AF86"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The risk assessment includes assessing the risks associated with:</w:t>
      </w:r>
    </w:p>
    <w:p w14:paraId="5B3E712F" w14:textId="3299BC64" w:rsidR="00A34427" w:rsidRPr="008B6584" w:rsidRDefault="00C81103" w:rsidP="008B6584">
      <w:pPr>
        <w:pStyle w:val="NormalWhite"/>
        <w:numPr>
          <w:ilvl w:val="0"/>
          <w:numId w:val="9"/>
        </w:numPr>
        <w:spacing w:before="120" w:after="120" w:line="240" w:lineRule="auto"/>
        <w:ind w:left="924" w:hanging="357"/>
        <w:jc w:val="left"/>
        <w:rPr>
          <w:rFonts w:cs="Arial"/>
          <w:color w:val="auto"/>
          <w:sz w:val="22"/>
        </w:rPr>
      </w:pPr>
      <w:r>
        <w:rPr>
          <w:rFonts w:cs="Arial"/>
          <w:color w:val="auto"/>
          <w:sz w:val="22"/>
        </w:rPr>
        <w:t>u</w:t>
      </w:r>
      <w:r w:rsidR="00A34427" w:rsidRPr="008B6584">
        <w:rPr>
          <w:rFonts w:cs="Arial"/>
          <w:color w:val="auto"/>
          <w:sz w:val="22"/>
        </w:rPr>
        <w:t xml:space="preserve">se </w:t>
      </w:r>
    </w:p>
    <w:p w14:paraId="0588F92F" w14:textId="2637F004" w:rsidR="00A34427" w:rsidRPr="008B6584" w:rsidRDefault="00C81103" w:rsidP="008B6584">
      <w:pPr>
        <w:pStyle w:val="NormalWhite"/>
        <w:numPr>
          <w:ilvl w:val="0"/>
          <w:numId w:val="9"/>
        </w:numPr>
        <w:spacing w:before="120" w:after="120" w:line="240" w:lineRule="auto"/>
        <w:ind w:left="924" w:hanging="357"/>
        <w:jc w:val="left"/>
        <w:rPr>
          <w:rFonts w:cs="Arial"/>
          <w:color w:val="auto"/>
          <w:sz w:val="22"/>
        </w:rPr>
      </w:pPr>
      <w:r>
        <w:rPr>
          <w:rFonts w:cs="Arial"/>
          <w:color w:val="auto"/>
          <w:sz w:val="22"/>
        </w:rPr>
        <w:t>s</w:t>
      </w:r>
      <w:r w:rsidR="00A34427" w:rsidRPr="008B6584">
        <w:rPr>
          <w:rFonts w:cs="Arial"/>
          <w:color w:val="auto"/>
          <w:sz w:val="22"/>
        </w:rPr>
        <w:t xml:space="preserve">torage </w:t>
      </w:r>
    </w:p>
    <w:p w14:paraId="72CC4322" w14:textId="4E11D83B" w:rsidR="00A34427" w:rsidRPr="008B6584" w:rsidRDefault="00C81103" w:rsidP="008B6584">
      <w:pPr>
        <w:pStyle w:val="NormalWhite"/>
        <w:numPr>
          <w:ilvl w:val="0"/>
          <w:numId w:val="9"/>
        </w:numPr>
        <w:spacing w:before="120" w:after="120" w:line="240" w:lineRule="auto"/>
        <w:ind w:left="924" w:hanging="357"/>
        <w:jc w:val="left"/>
        <w:rPr>
          <w:rFonts w:cs="Arial"/>
          <w:color w:val="auto"/>
          <w:sz w:val="22"/>
        </w:rPr>
      </w:pPr>
      <w:r>
        <w:rPr>
          <w:rFonts w:cs="Arial"/>
          <w:color w:val="auto"/>
          <w:sz w:val="22"/>
        </w:rPr>
        <w:t>d</w:t>
      </w:r>
      <w:r w:rsidR="00A34427" w:rsidRPr="008B6584">
        <w:rPr>
          <w:rFonts w:cs="Arial"/>
          <w:color w:val="auto"/>
          <w:sz w:val="22"/>
        </w:rPr>
        <w:t>isposal</w:t>
      </w:r>
    </w:p>
    <w:p w14:paraId="21385EFF" w14:textId="4A85766E" w:rsidR="00A34427" w:rsidRPr="008B6584" w:rsidRDefault="00C81103" w:rsidP="008B6584">
      <w:pPr>
        <w:pStyle w:val="NormalWhite"/>
        <w:numPr>
          <w:ilvl w:val="0"/>
          <w:numId w:val="9"/>
        </w:numPr>
        <w:spacing w:before="120" w:after="120" w:line="240" w:lineRule="auto"/>
        <w:ind w:left="924" w:hanging="357"/>
        <w:jc w:val="left"/>
        <w:rPr>
          <w:rFonts w:cs="Arial"/>
          <w:color w:val="auto"/>
          <w:sz w:val="22"/>
        </w:rPr>
      </w:pPr>
      <w:r>
        <w:rPr>
          <w:rFonts w:cs="Arial"/>
          <w:color w:val="auto"/>
          <w:sz w:val="22"/>
        </w:rPr>
        <w:t>e</w:t>
      </w:r>
      <w:r w:rsidR="00A34427" w:rsidRPr="008B6584">
        <w:rPr>
          <w:rFonts w:cs="Arial"/>
          <w:color w:val="auto"/>
          <w:sz w:val="22"/>
        </w:rPr>
        <w:t>mergency response, and where applicable</w:t>
      </w:r>
    </w:p>
    <w:p w14:paraId="0AA128FE" w14:textId="63E61651" w:rsidR="00A34427" w:rsidRPr="008B6584" w:rsidRDefault="00C81103" w:rsidP="008B6584">
      <w:pPr>
        <w:pStyle w:val="NormalWhite"/>
        <w:numPr>
          <w:ilvl w:val="0"/>
          <w:numId w:val="9"/>
        </w:numPr>
        <w:spacing w:before="120" w:after="120" w:line="240" w:lineRule="auto"/>
        <w:ind w:left="924" w:hanging="357"/>
        <w:jc w:val="left"/>
        <w:rPr>
          <w:rFonts w:cs="Arial"/>
          <w:color w:val="auto"/>
          <w:sz w:val="22"/>
        </w:rPr>
      </w:pPr>
      <w:r>
        <w:rPr>
          <w:rFonts w:cs="Arial"/>
          <w:color w:val="auto"/>
          <w:sz w:val="22"/>
        </w:rPr>
        <w:t>s</w:t>
      </w:r>
      <w:r w:rsidR="00A34427" w:rsidRPr="008B6584">
        <w:rPr>
          <w:rFonts w:cs="Arial"/>
          <w:color w:val="auto"/>
          <w:sz w:val="22"/>
        </w:rPr>
        <w:t xml:space="preserve">ecurity, and </w:t>
      </w:r>
    </w:p>
    <w:p w14:paraId="63AE4F45" w14:textId="62479E3C" w:rsidR="00A34427" w:rsidRPr="008B6584" w:rsidRDefault="00C81103" w:rsidP="008B6584">
      <w:pPr>
        <w:pStyle w:val="NormalWhite"/>
        <w:numPr>
          <w:ilvl w:val="0"/>
          <w:numId w:val="9"/>
        </w:numPr>
        <w:spacing w:before="120" w:after="120" w:line="240" w:lineRule="auto"/>
        <w:ind w:left="924" w:hanging="357"/>
        <w:jc w:val="left"/>
        <w:rPr>
          <w:rFonts w:cs="Arial"/>
          <w:color w:val="auto"/>
          <w:sz w:val="22"/>
        </w:rPr>
      </w:pPr>
      <w:r>
        <w:rPr>
          <w:rFonts w:cs="Arial"/>
          <w:color w:val="auto"/>
          <w:sz w:val="22"/>
        </w:rPr>
        <w:t>t</w:t>
      </w:r>
      <w:r w:rsidR="00A34427" w:rsidRPr="008B6584">
        <w:rPr>
          <w:rFonts w:cs="Arial"/>
          <w:color w:val="auto"/>
          <w:sz w:val="22"/>
        </w:rPr>
        <w:t xml:space="preserve">ransport. </w:t>
      </w:r>
    </w:p>
    <w:p w14:paraId="3123F058"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Before conducting the risk assessment:</w:t>
      </w:r>
    </w:p>
    <w:p w14:paraId="4AC8377C" w14:textId="77777777" w:rsidR="00A34427" w:rsidRPr="00A34427" w:rsidRDefault="00A34427" w:rsidP="008B6584">
      <w:pPr>
        <w:pStyle w:val="ListParagraph"/>
        <w:numPr>
          <w:ilvl w:val="0"/>
          <w:numId w:val="10"/>
        </w:numPr>
        <w:contextualSpacing/>
        <w:rPr>
          <w:rFonts w:ascii="Arial" w:hAnsi="Arial" w:cs="Arial"/>
          <w:sz w:val="22"/>
        </w:rPr>
      </w:pPr>
      <w:r w:rsidRPr="00A34427">
        <w:rPr>
          <w:rFonts w:ascii="Arial" w:hAnsi="Arial" w:cs="Arial"/>
          <w:sz w:val="22"/>
        </w:rPr>
        <w:t>Assess whether the chemical is required by reviewing the work activity or current practice,</w:t>
      </w:r>
    </w:p>
    <w:p w14:paraId="7E056FE0" w14:textId="77777777" w:rsidR="00A34427" w:rsidRPr="00A34427" w:rsidRDefault="00A34427" w:rsidP="008B6584">
      <w:pPr>
        <w:pStyle w:val="ListParagraph"/>
        <w:numPr>
          <w:ilvl w:val="0"/>
          <w:numId w:val="10"/>
        </w:numPr>
        <w:contextualSpacing/>
        <w:rPr>
          <w:rFonts w:ascii="Arial" w:hAnsi="Arial" w:cs="Arial"/>
          <w:sz w:val="22"/>
        </w:rPr>
      </w:pPr>
      <w:r w:rsidRPr="00A34427">
        <w:rPr>
          <w:rFonts w:ascii="Arial" w:hAnsi="Arial" w:cs="Arial"/>
          <w:sz w:val="22"/>
        </w:rPr>
        <w:t>If elimination is impossible, evaluate the possibility of substituting the chemical with another less hazardous chemical, and</w:t>
      </w:r>
    </w:p>
    <w:p w14:paraId="31A1F0CB" w14:textId="77777777" w:rsidR="00A34427" w:rsidRPr="00A34427" w:rsidRDefault="00A34427" w:rsidP="008B6584">
      <w:pPr>
        <w:pStyle w:val="ListParagraph"/>
        <w:numPr>
          <w:ilvl w:val="0"/>
          <w:numId w:val="10"/>
        </w:numPr>
        <w:contextualSpacing/>
        <w:rPr>
          <w:rFonts w:ascii="Arial" w:hAnsi="Arial" w:cs="Arial"/>
          <w:sz w:val="22"/>
        </w:rPr>
      </w:pPr>
      <w:r w:rsidRPr="00A34427">
        <w:rPr>
          <w:rFonts w:ascii="Arial" w:hAnsi="Arial" w:cs="Arial"/>
          <w:sz w:val="22"/>
        </w:rPr>
        <w:t>If neither is achievable, continue with undertaking a formal risk assessment. </w:t>
      </w:r>
    </w:p>
    <w:p w14:paraId="2C9F5E82"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lastRenderedPageBreak/>
        <w:t>Where limited information is available for the accurate risk assessment of a chemical, such as nanomaterials, a precautionary approach should be taken to manage the chemical.</w:t>
      </w:r>
    </w:p>
    <w:p w14:paraId="78F974FE"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Where possible, consult with any workers that may have their health affected by a chemical during a chemical risk assessment.</w:t>
      </w:r>
    </w:p>
    <w:p w14:paraId="150A3753"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 xml:space="preserve">Review the Risk Assessment:  </w:t>
      </w:r>
    </w:p>
    <w:p w14:paraId="43F93927" w14:textId="20AF975B" w:rsidR="00A34427" w:rsidRPr="008B6584" w:rsidRDefault="003D421F" w:rsidP="003D421F">
      <w:pPr>
        <w:pStyle w:val="NormalWhite"/>
        <w:numPr>
          <w:ilvl w:val="0"/>
          <w:numId w:val="9"/>
        </w:numPr>
        <w:spacing w:before="120" w:after="120"/>
        <w:ind w:left="924" w:hanging="357"/>
        <w:jc w:val="left"/>
        <w:rPr>
          <w:rFonts w:cs="Arial"/>
          <w:color w:val="auto"/>
          <w:sz w:val="22"/>
        </w:rPr>
      </w:pPr>
      <w:r>
        <w:rPr>
          <w:rFonts w:cs="Arial"/>
          <w:color w:val="auto"/>
          <w:sz w:val="22"/>
        </w:rPr>
        <w:t>e</w:t>
      </w:r>
      <w:r w:rsidR="00A34427" w:rsidRPr="008B6584">
        <w:rPr>
          <w:rFonts w:cs="Arial"/>
          <w:color w:val="auto"/>
          <w:sz w:val="22"/>
        </w:rPr>
        <w:t>very 2 years at a minimum</w:t>
      </w:r>
    </w:p>
    <w:p w14:paraId="4B126A61" w14:textId="02AC7D8A" w:rsidR="00A34427" w:rsidRPr="008B6584" w:rsidRDefault="003D421F" w:rsidP="003D421F">
      <w:pPr>
        <w:pStyle w:val="NormalWhite"/>
        <w:numPr>
          <w:ilvl w:val="0"/>
          <w:numId w:val="9"/>
        </w:numPr>
        <w:spacing w:before="120" w:after="120"/>
        <w:ind w:left="924" w:hanging="357"/>
        <w:jc w:val="left"/>
        <w:rPr>
          <w:rFonts w:cs="Arial"/>
          <w:color w:val="auto"/>
          <w:sz w:val="22"/>
        </w:rPr>
      </w:pPr>
      <w:r>
        <w:rPr>
          <w:rFonts w:cs="Arial"/>
          <w:color w:val="auto"/>
          <w:sz w:val="22"/>
        </w:rPr>
        <w:t>w</w:t>
      </w:r>
      <w:r w:rsidR="00A34427" w:rsidRPr="008B6584">
        <w:rPr>
          <w:rFonts w:cs="Arial"/>
          <w:color w:val="auto"/>
          <w:sz w:val="22"/>
        </w:rPr>
        <w:t>hen new information on the risks is obtained</w:t>
      </w:r>
    </w:p>
    <w:p w14:paraId="1C87E395" w14:textId="6F04F983" w:rsidR="00A34427" w:rsidRPr="008B6584" w:rsidRDefault="003D421F" w:rsidP="003D421F">
      <w:pPr>
        <w:pStyle w:val="NormalWhite"/>
        <w:numPr>
          <w:ilvl w:val="0"/>
          <w:numId w:val="9"/>
        </w:numPr>
        <w:spacing w:before="120" w:after="120"/>
        <w:ind w:left="924" w:hanging="357"/>
        <w:jc w:val="left"/>
        <w:rPr>
          <w:rFonts w:cs="Arial"/>
          <w:color w:val="auto"/>
          <w:sz w:val="22"/>
        </w:rPr>
      </w:pPr>
      <w:r>
        <w:rPr>
          <w:rFonts w:cs="Arial"/>
          <w:color w:val="auto"/>
          <w:sz w:val="22"/>
        </w:rPr>
        <w:t>w</w:t>
      </w:r>
      <w:r w:rsidR="00A34427" w:rsidRPr="008B6584">
        <w:rPr>
          <w:rFonts w:cs="Arial"/>
          <w:color w:val="auto"/>
          <w:sz w:val="22"/>
        </w:rPr>
        <w:t xml:space="preserve">hen the results from an individual’s health monitoring activity identifies that a person has elevated metabolites from exposure to a hazardous chemical, or has contracted a disease, </w:t>
      </w:r>
      <w:proofErr w:type="gramStart"/>
      <w:r w:rsidR="00A34427" w:rsidRPr="008B6584">
        <w:rPr>
          <w:rFonts w:cs="Arial"/>
          <w:color w:val="auto"/>
          <w:sz w:val="22"/>
        </w:rPr>
        <w:t>injury</w:t>
      </w:r>
      <w:proofErr w:type="gramEnd"/>
      <w:r w:rsidR="00A34427" w:rsidRPr="008B6584">
        <w:rPr>
          <w:rFonts w:cs="Arial"/>
          <w:color w:val="auto"/>
          <w:sz w:val="22"/>
        </w:rPr>
        <w:t xml:space="preserve"> or illness from exposure to a hazardous chemical</w:t>
      </w:r>
    </w:p>
    <w:p w14:paraId="24328487" w14:textId="42500C1D" w:rsidR="00A34427" w:rsidRPr="008B6584" w:rsidRDefault="003D421F" w:rsidP="003D421F">
      <w:pPr>
        <w:pStyle w:val="NormalWhite"/>
        <w:numPr>
          <w:ilvl w:val="0"/>
          <w:numId w:val="9"/>
        </w:numPr>
        <w:spacing w:before="120" w:after="120"/>
        <w:ind w:left="924" w:hanging="357"/>
        <w:jc w:val="left"/>
        <w:rPr>
          <w:rFonts w:cs="Arial"/>
          <w:color w:val="auto"/>
          <w:sz w:val="22"/>
        </w:rPr>
      </w:pPr>
      <w:r>
        <w:rPr>
          <w:rFonts w:cs="Arial"/>
          <w:color w:val="auto"/>
          <w:sz w:val="22"/>
        </w:rPr>
        <w:t>w</w:t>
      </w:r>
      <w:r w:rsidR="00A34427" w:rsidRPr="008B6584">
        <w:rPr>
          <w:rFonts w:cs="Arial"/>
          <w:color w:val="auto"/>
          <w:sz w:val="22"/>
        </w:rPr>
        <w:t>hen air monitoring indicate</w:t>
      </w:r>
      <w:r>
        <w:rPr>
          <w:rFonts w:cs="Arial"/>
          <w:color w:val="auto"/>
          <w:sz w:val="22"/>
        </w:rPr>
        <w:t>s</w:t>
      </w:r>
      <w:r w:rsidR="00A34427" w:rsidRPr="008B6584">
        <w:rPr>
          <w:rFonts w:cs="Arial"/>
          <w:color w:val="auto"/>
          <w:sz w:val="22"/>
        </w:rPr>
        <w:t xml:space="preserve"> that the relevant workplace exposure standard has been exceeded </w:t>
      </w:r>
    </w:p>
    <w:p w14:paraId="4112E7C4" w14:textId="1D02B8F6" w:rsidR="00A34427" w:rsidRPr="008B6584" w:rsidRDefault="003D421F" w:rsidP="003D421F">
      <w:pPr>
        <w:pStyle w:val="NormalWhite"/>
        <w:numPr>
          <w:ilvl w:val="0"/>
          <w:numId w:val="9"/>
        </w:numPr>
        <w:spacing w:before="120" w:after="120"/>
        <w:ind w:left="924" w:hanging="357"/>
        <w:jc w:val="left"/>
        <w:rPr>
          <w:rFonts w:cs="Arial"/>
          <w:color w:val="auto"/>
          <w:sz w:val="22"/>
        </w:rPr>
      </w:pPr>
      <w:r>
        <w:rPr>
          <w:rFonts w:cs="Arial"/>
          <w:color w:val="auto"/>
          <w:sz w:val="22"/>
        </w:rPr>
        <w:t>w</w:t>
      </w:r>
      <w:r w:rsidR="00A34427" w:rsidRPr="008B6584">
        <w:rPr>
          <w:rFonts w:cs="Arial"/>
          <w:color w:val="auto"/>
          <w:sz w:val="22"/>
        </w:rPr>
        <w:t>hen the risk assessment team identifies a shorter frequency.</w:t>
      </w:r>
    </w:p>
    <w:p w14:paraId="20608CA6" w14:textId="77777777" w:rsidR="00A34427" w:rsidRPr="00A34427" w:rsidRDefault="00A34427" w:rsidP="00A34427">
      <w:pPr>
        <w:pStyle w:val="Heading3"/>
        <w:ind w:left="567"/>
        <w:rPr>
          <w:rFonts w:ascii="Arial" w:hAnsi="Arial" w:cs="Arial"/>
        </w:rPr>
      </w:pPr>
      <w:bookmarkStart w:id="5" w:name="_3.2_Identifying_the"/>
      <w:bookmarkEnd w:id="5"/>
      <w:r w:rsidRPr="00A34427">
        <w:rPr>
          <w:rFonts w:ascii="Arial" w:hAnsi="Arial" w:cs="Arial"/>
        </w:rPr>
        <w:t>3.2 Identifying the Chemical Classification and Categorisation</w:t>
      </w:r>
    </w:p>
    <w:p w14:paraId="33007E64" w14:textId="77777777" w:rsidR="00A34427" w:rsidRPr="003D421F" w:rsidRDefault="00A34427" w:rsidP="008B6584">
      <w:pPr>
        <w:spacing w:before="120" w:after="120" w:line="240" w:lineRule="auto"/>
        <w:ind w:left="567"/>
        <w:rPr>
          <w:rFonts w:ascii="Arial" w:hAnsi="Arial" w:cs="Arial"/>
          <w:i/>
          <w:iCs/>
          <w:color w:val="E5071F"/>
          <w:sz w:val="22"/>
        </w:rPr>
      </w:pPr>
      <w:r w:rsidRPr="003D421F">
        <w:rPr>
          <w:rFonts w:ascii="Arial" w:hAnsi="Arial" w:cs="Arial"/>
          <w:i/>
          <w:iCs/>
          <w:color w:val="E5071F"/>
          <w:sz w:val="22"/>
        </w:rPr>
        <w:t>Accountability: Chemical Custodians</w:t>
      </w:r>
    </w:p>
    <w:p w14:paraId="34FDA41C" w14:textId="23BEE572"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Refer to the</w:t>
      </w:r>
      <w:r w:rsidRPr="008B6584">
        <w:rPr>
          <w:rFonts w:ascii="Arial" w:hAnsi="Arial" w:cs="Arial"/>
          <w:sz w:val="22"/>
        </w:rPr>
        <w:t xml:space="preserve"> Acquiring and Transferring in Chemicals</w:t>
      </w:r>
      <w:r w:rsidRPr="00A34427">
        <w:rPr>
          <w:rFonts w:ascii="Arial" w:hAnsi="Arial" w:cs="Arial"/>
          <w:sz w:val="22"/>
        </w:rPr>
        <w:t xml:space="preserve"> </w:t>
      </w:r>
      <w:r w:rsidR="003D421F">
        <w:rPr>
          <w:rFonts w:ascii="Arial" w:hAnsi="Arial" w:cs="Arial"/>
          <w:sz w:val="22"/>
        </w:rPr>
        <w:t>P</w:t>
      </w:r>
      <w:r w:rsidRPr="00A34427">
        <w:rPr>
          <w:rFonts w:ascii="Arial" w:hAnsi="Arial" w:cs="Arial"/>
          <w:sz w:val="22"/>
        </w:rPr>
        <w:t>rocedure for instruction on identifying the chemical class and category. This activity will assist with determining which of the following controls are appropriate.</w:t>
      </w:r>
    </w:p>
    <w:p w14:paraId="317CC20C" w14:textId="77777777" w:rsidR="00A34427" w:rsidRPr="00A34427" w:rsidRDefault="00A34427" w:rsidP="00A34427">
      <w:pPr>
        <w:pStyle w:val="Heading3"/>
        <w:ind w:left="567"/>
        <w:rPr>
          <w:rFonts w:ascii="Arial" w:hAnsi="Arial" w:cs="Arial"/>
        </w:rPr>
      </w:pPr>
      <w:bookmarkStart w:id="6" w:name="_3.3_Defining_the"/>
      <w:bookmarkEnd w:id="6"/>
      <w:r w:rsidRPr="00A34427">
        <w:rPr>
          <w:rFonts w:ascii="Arial" w:hAnsi="Arial" w:cs="Arial"/>
        </w:rPr>
        <w:t>3.3 Defining the Context, Scope and Criteria</w:t>
      </w:r>
    </w:p>
    <w:p w14:paraId="1A2D15F0" w14:textId="77777777" w:rsidR="00A34427" w:rsidRPr="00046068" w:rsidRDefault="00A34427" w:rsidP="008B6584">
      <w:pPr>
        <w:spacing w:before="120" w:after="120" w:line="240" w:lineRule="auto"/>
        <w:ind w:left="567"/>
        <w:rPr>
          <w:rFonts w:ascii="Arial" w:hAnsi="Arial" w:cs="Arial"/>
          <w:i/>
          <w:iCs/>
          <w:color w:val="E5071F"/>
          <w:sz w:val="22"/>
        </w:rPr>
      </w:pPr>
      <w:r w:rsidRPr="00046068">
        <w:rPr>
          <w:rFonts w:ascii="Arial" w:hAnsi="Arial" w:cs="Arial"/>
          <w:i/>
          <w:iCs/>
          <w:color w:val="E5071F"/>
          <w:sz w:val="22"/>
        </w:rPr>
        <w:t>Accountability: Chemical Custodians</w:t>
      </w:r>
    </w:p>
    <w:p w14:paraId="4EAF536B"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When describing the task to define the context scope and criteria, include the following information:</w:t>
      </w:r>
    </w:p>
    <w:p w14:paraId="37200D0C" w14:textId="428D749B"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the n</w:t>
      </w:r>
      <w:r w:rsidR="00A34427" w:rsidRPr="008B6584">
        <w:rPr>
          <w:rFonts w:cs="Arial"/>
          <w:color w:val="auto"/>
          <w:sz w:val="22"/>
        </w:rPr>
        <w:t>ature of work to be carried out as well as the experience of the participants with handling this chemical</w:t>
      </w:r>
    </w:p>
    <w:p w14:paraId="63A146FF" w14:textId="47BF403D"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c</w:t>
      </w:r>
      <w:r w:rsidR="00A34427" w:rsidRPr="008B6584">
        <w:rPr>
          <w:rFonts w:cs="Arial"/>
          <w:color w:val="auto"/>
          <w:sz w:val="22"/>
        </w:rPr>
        <w:t xml:space="preserve">oncentration and the hazardous properties of all chemicals to be used in the process  </w:t>
      </w:r>
    </w:p>
    <w:p w14:paraId="3D2D82F9" w14:textId="144ADA3E"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i</w:t>
      </w:r>
      <w:r w:rsidR="00A34427" w:rsidRPr="008B6584">
        <w:rPr>
          <w:rFonts w:cs="Arial"/>
          <w:color w:val="auto"/>
          <w:sz w:val="22"/>
        </w:rPr>
        <w:t>f an exposure standard for the chemical exist</w:t>
      </w:r>
      <w:r>
        <w:rPr>
          <w:rFonts w:cs="Arial"/>
          <w:color w:val="auto"/>
          <w:sz w:val="22"/>
        </w:rPr>
        <w:t>s</w:t>
      </w:r>
    </w:p>
    <w:p w14:paraId="1606583C" w14:textId="6B9D74A3"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p</w:t>
      </w:r>
      <w:r w:rsidR="00A34427" w:rsidRPr="008B6584">
        <w:rPr>
          <w:rFonts w:cs="Arial"/>
          <w:color w:val="auto"/>
          <w:sz w:val="22"/>
        </w:rPr>
        <w:t>otential exposure to workers including routes of exposure, frequency, and duration</w:t>
      </w:r>
    </w:p>
    <w:p w14:paraId="0C73BE1B" w14:textId="3C42B3B4"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p</w:t>
      </w:r>
      <w:r w:rsidR="00A34427" w:rsidRPr="008B6584">
        <w:rPr>
          <w:rFonts w:cs="Arial"/>
          <w:color w:val="auto"/>
          <w:sz w:val="22"/>
        </w:rPr>
        <w:t>ermits or licence requirements</w:t>
      </w:r>
    </w:p>
    <w:p w14:paraId="4F50D026" w14:textId="7B6811FE"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a</w:t>
      </w:r>
      <w:r w:rsidR="00A34427" w:rsidRPr="008B6584">
        <w:rPr>
          <w:rFonts w:cs="Arial"/>
          <w:color w:val="auto"/>
          <w:sz w:val="22"/>
        </w:rPr>
        <w:t>ny importation requirements and ongoing conditions.</w:t>
      </w:r>
    </w:p>
    <w:p w14:paraId="3E8E1B05" w14:textId="77777777" w:rsidR="00A34427" w:rsidRPr="00A34427" w:rsidRDefault="00A34427" w:rsidP="00A34427">
      <w:pPr>
        <w:pStyle w:val="Heading3"/>
        <w:ind w:left="567"/>
        <w:rPr>
          <w:rFonts w:ascii="Arial" w:hAnsi="Arial" w:cs="Arial"/>
        </w:rPr>
      </w:pPr>
      <w:bookmarkStart w:id="7" w:name="_3.4_Identifying_Risks"/>
      <w:bookmarkEnd w:id="7"/>
      <w:r w:rsidRPr="00A34427">
        <w:rPr>
          <w:rFonts w:ascii="Arial" w:hAnsi="Arial" w:cs="Arial"/>
        </w:rPr>
        <w:t xml:space="preserve">3.4 Identifying Risks </w:t>
      </w:r>
    </w:p>
    <w:p w14:paraId="6CAF72C5" w14:textId="77777777" w:rsidR="00A34427" w:rsidRPr="00046068" w:rsidRDefault="00A34427" w:rsidP="008B6584">
      <w:pPr>
        <w:spacing w:before="120" w:after="120" w:line="240" w:lineRule="auto"/>
        <w:ind w:left="567"/>
        <w:rPr>
          <w:rFonts w:ascii="Arial" w:hAnsi="Arial" w:cs="Arial"/>
          <w:i/>
          <w:iCs/>
          <w:color w:val="E5071F"/>
          <w:sz w:val="22"/>
        </w:rPr>
      </w:pPr>
      <w:r w:rsidRPr="00046068">
        <w:rPr>
          <w:rFonts w:ascii="Arial" w:hAnsi="Arial" w:cs="Arial"/>
          <w:i/>
          <w:iCs/>
          <w:color w:val="E5071F"/>
          <w:sz w:val="22"/>
        </w:rPr>
        <w:t>Accountability: Chemical Custodians</w:t>
      </w:r>
    </w:p>
    <w:p w14:paraId="21D2D53F"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When conducting the risk assessment, the following hazards must be included when applicable:</w:t>
      </w:r>
    </w:p>
    <w:p w14:paraId="304B9819" w14:textId="449DDE7F"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s</w:t>
      </w:r>
      <w:r w:rsidR="00A34427" w:rsidRPr="008B6584">
        <w:rPr>
          <w:rFonts w:cs="Arial"/>
          <w:color w:val="auto"/>
          <w:sz w:val="22"/>
        </w:rPr>
        <w:t xml:space="preserve">pecific hazards of the chemical including time sensitivity </w:t>
      </w:r>
    </w:p>
    <w:p w14:paraId="5F16B220" w14:textId="55A8B7BE"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o</w:t>
      </w:r>
      <w:r w:rsidR="00A34427" w:rsidRPr="008B6584">
        <w:rPr>
          <w:rFonts w:cs="Arial"/>
          <w:color w:val="auto"/>
          <w:sz w:val="22"/>
        </w:rPr>
        <w:t>ther chemicals that are incompatible</w:t>
      </w:r>
    </w:p>
    <w:p w14:paraId="04BC5490" w14:textId="09FD4E12"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i</w:t>
      </w:r>
      <w:r w:rsidR="00A34427" w:rsidRPr="008B6584">
        <w:rPr>
          <w:rFonts w:cs="Arial"/>
          <w:color w:val="auto"/>
          <w:sz w:val="22"/>
        </w:rPr>
        <w:t>gnition sources</w:t>
      </w:r>
    </w:p>
    <w:p w14:paraId="4804D11C" w14:textId="59F43E0D"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h</w:t>
      </w:r>
      <w:r w:rsidR="00A34427" w:rsidRPr="008B6584">
        <w:rPr>
          <w:rFonts w:cs="Arial"/>
          <w:color w:val="auto"/>
          <w:sz w:val="22"/>
        </w:rPr>
        <w:t>azardous atmospheres</w:t>
      </w:r>
    </w:p>
    <w:p w14:paraId="15E0F566" w14:textId="77777777" w:rsidR="00046068"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lastRenderedPageBreak/>
        <w:t>a</w:t>
      </w:r>
      <w:r w:rsidR="00A34427" w:rsidRPr="008B6584">
        <w:rPr>
          <w:rFonts w:cs="Arial"/>
          <w:color w:val="auto"/>
          <w:sz w:val="22"/>
        </w:rPr>
        <w:t>ny structure, plant, system of work that could interact with a chemical</w:t>
      </w:r>
    </w:p>
    <w:p w14:paraId="7F4A0EB5" w14:textId="470D60F8" w:rsidR="00A34427" w:rsidRPr="00046068"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e</w:t>
      </w:r>
      <w:r w:rsidR="00A34427" w:rsidRPr="00046068">
        <w:rPr>
          <w:rFonts w:cs="Arial"/>
          <w:color w:val="auto"/>
          <w:sz w:val="22"/>
        </w:rPr>
        <w:t>nvironmental impacts</w:t>
      </w:r>
    </w:p>
    <w:p w14:paraId="572344F1" w14:textId="32115ACA"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a</w:t>
      </w:r>
      <w:r w:rsidR="00A34427" w:rsidRPr="008B6584">
        <w:rPr>
          <w:rFonts w:cs="Arial"/>
          <w:color w:val="auto"/>
          <w:sz w:val="22"/>
        </w:rPr>
        <w:t>ny other hazards known to the risk assessment team.</w:t>
      </w:r>
    </w:p>
    <w:p w14:paraId="7F18AFE2"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3.4.1 Working in Hazardous Areas</w:t>
      </w:r>
    </w:p>
    <w:p w14:paraId="7120653D"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Laboratory Managers, Clinic Managers, Workshop Managers</w:t>
      </w:r>
    </w:p>
    <w:p w14:paraId="02D8C3FC"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The WHS regulation defines a hazardous area as an area in which: </w:t>
      </w:r>
    </w:p>
    <w:p w14:paraId="50E34089" w14:textId="54BF19F8"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e</w:t>
      </w:r>
      <w:r w:rsidR="00A34427" w:rsidRPr="008B6584">
        <w:rPr>
          <w:rFonts w:cs="Arial"/>
          <w:color w:val="auto"/>
          <w:sz w:val="22"/>
        </w:rPr>
        <w:t xml:space="preserve">xplosive gas is present in the atmosphere in a quantity that requires special precautions to be taken for the construction, </w:t>
      </w:r>
      <w:r w:rsidRPr="008B6584">
        <w:rPr>
          <w:rFonts w:cs="Arial"/>
          <w:color w:val="auto"/>
          <w:sz w:val="22"/>
        </w:rPr>
        <w:t>installation,</w:t>
      </w:r>
      <w:r w:rsidR="00A34427" w:rsidRPr="008B6584">
        <w:rPr>
          <w:rFonts w:cs="Arial"/>
          <w:color w:val="auto"/>
          <w:sz w:val="22"/>
        </w:rPr>
        <w:t xml:space="preserve"> and use of plant, or</w:t>
      </w:r>
    </w:p>
    <w:p w14:paraId="392FA522" w14:textId="43C60ED9"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c</w:t>
      </w:r>
      <w:r w:rsidR="00A34427" w:rsidRPr="008B6584">
        <w:rPr>
          <w:rFonts w:cs="Arial"/>
          <w:color w:val="auto"/>
          <w:sz w:val="22"/>
        </w:rPr>
        <w:t>ombustible dust is present, or could reasonably be expected to be present, in the atmosphere in a quantity that requires special precautions to be taken for the construction and use of plant.</w:t>
      </w:r>
    </w:p>
    <w:p w14:paraId="73DEE044"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Wherever flammable liquids, vapours, gases and combustible dusts are used, stored, handled or generated, assess the hazardous area classification to determine the risk of fire and explosion.</w:t>
      </w:r>
    </w:p>
    <w:p w14:paraId="484E8584" w14:textId="633F2A8D"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Contact </w:t>
      </w:r>
      <w:hyperlink r:id="rId10" w:history="1">
        <w:r w:rsidR="00046068" w:rsidRPr="00636046">
          <w:rPr>
            <w:rStyle w:val="Hyperlink"/>
            <w:rFonts w:ascii="Arial" w:hAnsi="Arial" w:cs="Arial"/>
            <w:sz w:val="22"/>
          </w:rPr>
          <w:t>crs@griffith.edu.au</w:t>
        </w:r>
      </w:hyperlink>
      <w:r w:rsidR="00046068">
        <w:rPr>
          <w:rFonts w:ascii="Arial" w:hAnsi="Arial" w:cs="Arial"/>
          <w:sz w:val="22"/>
        </w:rPr>
        <w:t xml:space="preserve"> </w:t>
      </w:r>
      <w:r w:rsidRPr="00A34427">
        <w:rPr>
          <w:rFonts w:ascii="Arial" w:hAnsi="Arial" w:cs="Arial"/>
          <w:sz w:val="22"/>
        </w:rPr>
        <w:t>for guidance on this process.</w:t>
      </w:r>
    </w:p>
    <w:p w14:paraId="47CB9B85" w14:textId="77777777" w:rsidR="00A34427" w:rsidRPr="00A34427" w:rsidRDefault="00A34427" w:rsidP="00A34427">
      <w:pPr>
        <w:pStyle w:val="Heading3"/>
        <w:ind w:left="567"/>
        <w:rPr>
          <w:rFonts w:ascii="Arial" w:hAnsi="Arial" w:cs="Arial"/>
        </w:rPr>
      </w:pPr>
      <w:bookmarkStart w:id="8" w:name="_3.5_Analysing_and"/>
      <w:bookmarkEnd w:id="8"/>
      <w:r w:rsidRPr="00A34427">
        <w:rPr>
          <w:rFonts w:ascii="Arial" w:hAnsi="Arial" w:cs="Arial"/>
        </w:rPr>
        <w:t xml:space="preserve">3.5 Analysing and Evaluating Risks </w:t>
      </w:r>
    </w:p>
    <w:p w14:paraId="691A1B33" w14:textId="77777777" w:rsidR="00A34427" w:rsidRPr="00046068" w:rsidRDefault="00A34427" w:rsidP="008B6584">
      <w:pPr>
        <w:spacing w:before="120" w:after="120" w:line="240" w:lineRule="auto"/>
        <w:ind w:left="567"/>
        <w:rPr>
          <w:rFonts w:ascii="Arial" w:hAnsi="Arial" w:cs="Arial"/>
          <w:i/>
          <w:iCs/>
          <w:color w:val="E5071F"/>
          <w:sz w:val="22"/>
        </w:rPr>
      </w:pPr>
      <w:r w:rsidRPr="00046068">
        <w:rPr>
          <w:rFonts w:ascii="Arial" w:hAnsi="Arial" w:cs="Arial"/>
          <w:i/>
          <w:iCs/>
          <w:color w:val="E5071F"/>
          <w:sz w:val="22"/>
        </w:rPr>
        <w:t>Accountability: Chemical Custodians</w:t>
      </w:r>
    </w:p>
    <w:p w14:paraId="29926439"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Analyse the risk assessment to assess whether existing controls are sufficient to reduce the risk to as low as is reasonably practicable.</w:t>
      </w:r>
    </w:p>
    <w:p w14:paraId="701B9960"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Evaluate which risks require further action and establish additional controls to treat the risk.</w:t>
      </w:r>
    </w:p>
    <w:p w14:paraId="6DD7DA54"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 xml:space="preserve">3.5.1 Schedule 14 Hazardous Chemicals </w:t>
      </w:r>
    </w:p>
    <w:p w14:paraId="0CDFBC6F"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7E4CA1CC"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When undertaking work involving chemicals defined in Schedule 14 of the WHS regulation, specifically analyse whether the chemical poses a significant risk. </w:t>
      </w:r>
    </w:p>
    <w:p w14:paraId="5CE80725" w14:textId="062FDBFC"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Contact </w:t>
      </w:r>
      <w:hyperlink r:id="rId11" w:history="1">
        <w:r w:rsidR="00046068" w:rsidRPr="00636046">
          <w:rPr>
            <w:rStyle w:val="Hyperlink"/>
            <w:rFonts w:ascii="Arial" w:hAnsi="Arial" w:cs="Arial"/>
            <w:sz w:val="22"/>
          </w:rPr>
          <w:t>crs@griffith.edu.au</w:t>
        </w:r>
      </w:hyperlink>
      <w:r w:rsidR="00046068">
        <w:rPr>
          <w:rFonts w:ascii="Arial" w:hAnsi="Arial" w:cs="Arial"/>
          <w:sz w:val="22"/>
        </w:rPr>
        <w:t xml:space="preserve"> </w:t>
      </w:r>
      <w:r w:rsidRPr="00A34427">
        <w:rPr>
          <w:rFonts w:ascii="Arial" w:hAnsi="Arial" w:cs="Arial"/>
          <w:sz w:val="22"/>
        </w:rPr>
        <w:t xml:space="preserve">for assistance with this risk assessment. </w:t>
      </w:r>
    </w:p>
    <w:p w14:paraId="4C66EFFB"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In deciding if the risk is significant, consider:</w:t>
      </w:r>
    </w:p>
    <w:p w14:paraId="24114C59" w14:textId="10C4950B"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t</w:t>
      </w:r>
      <w:r w:rsidR="00A34427" w:rsidRPr="008B6584">
        <w:rPr>
          <w:rFonts w:cs="Arial"/>
          <w:color w:val="auto"/>
          <w:sz w:val="22"/>
        </w:rPr>
        <w:t xml:space="preserve">he nature and severity of the hazard for each chemical, </w:t>
      </w:r>
      <w:proofErr w:type="gramStart"/>
      <w:r w:rsidR="00A34427" w:rsidRPr="008B6584">
        <w:rPr>
          <w:rFonts w:cs="Arial"/>
          <w:color w:val="auto"/>
          <w:sz w:val="22"/>
        </w:rPr>
        <w:t>taking into account</w:t>
      </w:r>
      <w:proofErr w:type="gramEnd"/>
      <w:r w:rsidR="00A34427" w:rsidRPr="008B6584">
        <w:rPr>
          <w:rFonts w:cs="Arial"/>
          <w:color w:val="auto"/>
          <w:sz w:val="22"/>
        </w:rPr>
        <w:t>:</w:t>
      </w:r>
    </w:p>
    <w:p w14:paraId="46AAB5D8" w14:textId="2FDD4FEB" w:rsidR="00A34427" w:rsidRPr="008B6584" w:rsidRDefault="00046068" w:rsidP="00046068">
      <w:pPr>
        <w:pStyle w:val="NormalWhite"/>
        <w:numPr>
          <w:ilvl w:val="1"/>
          <w:numId w:val="9"/>
        </w:numPr>
        <w:spacing w:before="120" w:after="120"/>
        <w:jc w:val="left"/>
        <w:rPr>
          <w:rFonts w:cs="Arial"/>
          <w:color w:val="auto"/>
          <w:sz w:val="22"/>
        </w:rPr>
      </w:pPr>
      <w:r>
        <w:rPr>
          <w:rFonts w:cs="Arial"/>
          <w:color w:val="auto"/>
          <w:sz w:val="22"/>
        </w:rPr>
        <w:t>t</w:t>
      </w:r>
      <w:r w:rsidR="00A34427" w:rsidRPr="008B6584">
        <w:rPr>
          <w:rFonts w:cs="Arial"/>
          <w:color w:val="auto"/>
          <w:sz w:val="22"/>
        </w:rPr>
        <w:t>he GHS7 classification</w:t>
      </w:r>
    </w:p>
    <w:p w14:paraId="1E0EEC33" w14:textId="712EC1B8" w:rsidR="00A34427" w:rsidRPr="008B6584" w:rsidRDefault="00046068" w:rsidP="00046068">
      <w:pPr>
        <w:pStyle w:val="NormalWhite"/>
        <w:numPr>
          <w:ilvl w:val="1"/>
          <w:numId w:val="9"/>
        </w:numPr>
        <w:spacing w:before="120" w:after="120"/>
        <w:jc w:val="left"/>
        <w:rPr>
          <w:rFonts w:cs="Arial"/>
          <w:color w:val="auto"/>
          <w:sz w:val="22"/>
        </w:rPr>
      </w:pPr>
      <w:r>
        <w:rPr>
          <w:rFonts w:cs="Arial"/>
          <w:color w:val="auto"/>
          <w:sz w:val="22"/>
        </w:rPr>
        <w:t>t</w:t>
      </w:r>
      <w:r w:rsidR="00A34427" w:rsidRPr="008B6584">
        <w:rPr>
          <w:rFonts w:cs="Arial"/>
          <w:color w:val="auto"/>
          <w:sz w:val="22"/>
        </w:rPr>
        <w:t>he form of the chemical in the workplace processes</w:t>
      </w:r>
    </w:p>
    <w:p w14:paraId="3D881401" w14:textId="26A555E7" w:rsidR="00A34427" w:rsidRPr="008B6584" w:rsidRDefault="00046068" w:rsidP="00046068">
      <w:pPr>
        <w:pStyle w:val="NormalWhite"/>
        <w:numPr>
          <w:ilvl w:val="1"/>
          <w:numId w:val="9"/>
        </w:numPr>
        <w:spacing w:before="120" w:after="120"/>
        <w:jc w:val="left"/>
        <w:rPr>
          <w:rFonts w:cs="Arial"/>
          <w:color w:val="auto"/>
          <w:sz w:val="22"/>
        </w:rPr>
      </w:pPr>
      <w:r>
        <w:rPr>
          <w:rFonts w:cs="Arial"/>
          <w:color w:val="auto"/>
          <w:sz w:val="22"/>
        </w:rPr>
        <w:t>t</w:t>
      </w:r>
      <w:r w:rsidR="00A34427" w:rsidRPr="008B6584">
        <w:rPr>
          <w:rFonts w:cs="Arial"/>
          <w:color w:val="auto"/>
          <w:sz w:val="22"/>
        </w:rPr>
        <w:t>he route of entry by which the chemical can adversely affect health</w:t>
      </w:r>
    </w:p>
    <w:p w14:paraId="28743C09" w14:textId="5D890848"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t</w:t>
      </w:r>
      <w:r w:rsidR="00A34427" w:rsidRPr="008B6584">
        <w:rPr>
          <w:rFonts w:cs="Arial"/>
          <w:color w:val="auto"/>
          <w:sz w:val="22"/>
        </w:rPr>
        <w:t xml:space="preserve">he degree of exposure to workers, </w:t>
      </w:r>
      <w:proofErr w:type="gramStart"/>
      <w:r w:rsidR="00A34427" w:rsidRPr="008B6584">
        <w:rPr>
          <w:rFonts w:cs="Arial"/>
          <w:color w:val="auto"/>
          <w:sz w:val="22"/>
        </w:rPr>
        <w:t>taking into account</w:t>
      </w:r>
      <w:proofErr w:type="gramEnd"/>
      <w:r w:rsidR="00A34427" w:rsidRPr="008B6584">
        <w:rPr>
          <w:rFonts w:cs="Arial"/>
          <w:color w:val="auto"/>
          <w:sz w:val="22"/>
        </w:rPr>
        <w:t>:</w:t>
      </w:r>
    </w:p>
    <w:p w14:paraId="0E2FFEAA" w14:textId="0D0C72AD" w:rsidR="00A34427" w:rsidRPr="008B6584" w:rsidRDefault="00046068" w:rsidP="00046068">
      <w:pPr>
        <w:pStyle w:val="NormalWhite"/>
        <w:numPr>
          <w:ilvl w:val="1"/>
          <w:numId w:val="9"/>
        </w:numPr>
        <w:spacing w:before="120" w:after="120"/>
        <w:jc w:val="left"/>
        <w:rPr>
          <w:rFonts w:cs="Arial"/>
          <w:color w:val="auto"/>
          <w:sz w:val="22"/>
        </w:rPr>
      </w:pPr>
      <w:r>
        <w:rPr>
          <w:rFonts w:cs="Arial"/>
          <w:color w:val="auto"/>
          <w:sz w:val="22"/>
        </w:rPr>
        <w:t>w</w:t>
      </w:r>
      <w:r w:rsidR="00A34427" w:rsidRPr="008B6584">
        <w:rPr>
          <w:rFonts w:cs="Arial"/>
          <w:color w:val="auto"/>
          <w:sz w:val="22"/>
        </w:rPr>
        <w:t xml:space="preserve">here in the workplace the chemicals are used, handled, </w:t>
      </w:r>
      <w:proofErr w:type="gramStart"/>
      <w:r w:rsidR="00A34427" w:rsidRPr="008B6584">
        <w:rPr>
          <w:rFonts w:cs="Arial"/>
          <w:color w:val="auto"/>
          <w:sz w:val="22"/>
        </w:rPr>
        <w:t>stored</w:t>
      </w:r>
      <w:proofErr w:type="gramEnd"/>
      <w:r w:rsidR="00A34427" w:rsidRPr="008B6584">
        <w:rPr>
          <w:rFonts w:cs="Arial"/>
          <w:color w:val="auto"/>
          <w:sz w:val="22"/>
        </w:rPr>
        <w:t xml:space="preserve"> or generated, and</w:t>
      </w:r>
    </w:p>
    <w:p w14:paraId="6249679E" w14:textId="325D91FA" w:rsidR="00A34427" w:rsidRPr="008B6584" w:rsidRDefault="00046068" w:rsidP="00046068">
      <w:pPr>
        <w:pStyle w:val="NormalWhite"/>
        <w:numPr>
          <w:ilvl w:val="1"/>
          <w:numId w:val="9"/>
        </w:numPr>
        <w:spacing w:before="120" w:after="120"/>
        <w:jc w:val="left"/>
        <w:rPr>
          <w:rFonts w:cs="Arial"/>
          <w:color w:val="auto"/>
          <w:sz w:val="22"/>
        </w:rPr>
      </w:pPr>
      <w:r>
        <w:rPr>
          <w:rFonts w:cs="Arial"/>
          <w:color w:val="auto"/>
          <w:sz w:val="22"/>
        </w:rPr>
        <w:t>w</w:t>
      </w:r>
      <w:r w:rsidR="00A34427" w:rsidRPr="008B6584">
        <w:rPr>
          <w:rFonts w:cs="Arial"/>
          <w:color w:val="auto"/>
          <w:sz w:val="22"/>
        </w:rPr>
        <w:t xml:space="preserve">ho could be exposed, and at what levels or concentrations exposure could occur. </w:t>
      </w:r>
    </w:p>
    <w:p w14:paraId="35190A84" w14:textId="2D91BED5"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If the risk is assessed as significant, contact </w:t>
      </w:r>
      <w:hyperlink r:id="rId12" w:history="1">
        <w:r w:rsidR="00046068" w:rsidRPr="00636046">
          <w:rPr>
            <w:rStyle w:val="Hyperlink"/>
            <w:rFonts w:ascii="Arial" w:hAnsi="Arial" w:cs="Arial"/>
            <w:sz w:val="22"/>
          </w:rPr>
          <w:t>crs@griffith.edu.au</w:t>
        </w:r>
      </w:hyperlink>
      <w:r w:rsidR="00046068">
        <w:rPr>
          <w:rFonts w:ascii="Arial" w:hAnsi="Arial" w:cs="Arial"/>
          <w:sz w:val="22"/>
        </w:rPr>
        <w:t xml:space="preserve"> </w:t>
      </w:r>
      <w:r w:rsidRPr="00A34427">
        <w:rPr>
          <w:rFonts w:ascii="Arial" w:hAnsi="Arial" w:cs="Arial"/>
          <w:sz w:val="22"/>
        </w:rPr>
        <w:t>to identify health monitoring controls.</w:t>
      </w:r>
    </w:p>
    <w:p w14:paraId="1CB535EF" w14:textId="77777777" w:rsidR="00A34427" w:rsidRPr="00A34427" w:rsidRDefault="00A34427" w:rsidP="00A34427">
      <w:pPr>
        <w:pStyle w:val="Heading3"/>
        <w:ind w:left="567"/>
        <w:rPr>
          <w:rFonts w:ascii="Arial" w:hAnsi="Arial" w:cs="Arial"/>
        </w:rPr>
      </w:pPr>
      <w:bookmarkStart w:id="9" w:name="_3.6_Treating_the"/>
      <w:bookmarkEnd w:id="9"/>
      <w:r w:rsidRPr="00A34427">
        <w:rPr>
          <w:rFonts w:ascii="Arial" w:hAnsi="Arial" w:cs="Arial"/>
        </w:rPr>
        <w:lastRenderedPageBreak/>
        <w:t>3.6 Treating the Risk</w:t>
      </w:r>
    </w:p>
    <w:p w14:paraId="6EE2CC57" w14:textId="77777777" w:rsidR="00A34427" w:rsidRPr="00046068" w:rsidRDefault="00A34427" w:rsidP="008B6584">
      <w:pPr>
        <w:spacing w:before="120" w:after="120" w:line="240" w:lineRule="auto"/>
        <w:ind w:left="567"/>
        <w:rPr>
          <w:rFonts w:ascii="Arial" w:hAnsi="Arial" w:cs="Arial"/>
          <w:i/>
          <w:iCs/>
          <w:color w:val="E5071F"/>
          <w:sz w:val="22"/>
        </w:rPr>
      </w:pPr>
      <w:r w:rsidRPr="00046068">
        <w:rPr>
          <w:rFonts w:ascii="Arial" w:hAnsi="Arial" w:cs="Arial"/>
          <w:i/>
          <w:iCs/>
          <w:color w:val="E5071F"/>
          <w:sz w:val="22"/>
        </w:rPr>
        <w:t>Accountability: Chemical Custodians</w:t>
      </w:r>
    </w:p>
    <w:p w14:paraId="0DC6207E"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Include in the risk assessment controls for the use, storage, waste and disposal of chemicals, including cryogens and nanomaterials, and those generated as by-products or waste. Additionally, include controls for the security of the following chemicals:</w:t>
      </w:r>
    </w:p>
    <w:p w14:paraId="04D9310F" w14:textId="5872A377"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s</w:t>
      </w:r>
      <w:r w:rsidR="00A34427" w:rsidRPr="008B6584">
        <w:rPr>
          <w:rFonts w:cs="Arial"/>
          <w:color w:val="auto"/>
          <w:sz w:val="22"/>
        </w:rPr>
        <w:t>cheduled medicines and poisons</w:t>
      </w:r>
    </w:p>
    <w:p w14:paraId="1B3BB12B" w14:textId="47E933BD"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p</w:t>
      </w:r>
      <w:r w:rsidR="00A34427" w:rsidRPr="008B6584">
        <w:rPr>
          <w:rFonts w:cs="Arial"/>
          <w:color w:val="auto"/>
          <w:sz w:val="22"/>
        </w:rPr>
        <w:t xml:space="preserve">rohibited or restricted carcinogens </w:t>
      </w:r>
    </w:p>
    <w:p w14:paraId="5C08723F" w14:textId="0097748C"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c</w:t>
      </w:r>
      <w:r w:rsidR="00A34427" w:rsidRPr="008B6584">
        <w:rPr>
          <w:rFonts w:cs="Arial"/>
          <w:color w:val="auto"/>
          <w:sz w:val="22"/>
        </w:rPr>
        <w:t xml:space="preserve">hemicals of security concern. </w:t>
      </w:r>
    </w:p>
    <w:p w14:paraId="4B13BA7F"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Refer to the SDS for guidance on minimum controls and prioritise the controls in accordance with the Hierarchy of Control. Specific consideration must be given to:</w:t>
      </w:r>
    </w:p>
    <w:p w14:paraId="4EE66B49" w14:textId="1FEA8961"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t</w:t>
      </w:r>
      <w:r w:rsidR="00A34427" w:rsidRPr="008B6584">
        <w:rPr>
          <w:rFonts w:cs="Arial"/>
          <w:color w:val="auto"/>
          <w:sz w:val="22"/>
        </w:rPr>
        <w:t>raining requirements for users</w:t>
      </w:r>
    </w:p>
    <w:p w14:paraId="78AE9E7E" w14:textId="744EADB9"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s</w:t>
      </w:r>
      <w:r w:rsidR="00A34427" w:rsidRPr="008B6584">
        <w:rPr>
          <w:rFonts w:cs="Arial"/>
          <w:color w:val="auto"/>
          <w:sz w:val="22"/>
        </w:rPr>
        <w:t>egregation and separation during storage</w:t>
      </w:r>
    </w:p>
    <w:p w14:paraId="5E0332D8" w14:textId="7B83FE6D"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e</w:t>
      </w:r>
      <w:r w:rsidR="00A34427" w:rsidRPr="008B6584">
        <w:rPr>
          <w:rFonts w:cs="Arial"/>
          <w:color w:val="auto"/>
          <w:sz w:val="22"/>
        </w:rPr>
        <w:t xml:space="preserve">ngineering controls such as ventilation systems, atmospheric monitoring, security locking mechanisms, vent storage cabinets etc.   </w:t>
      </w:r>
    </w:p>
    <w:p w14:paraId="3BC2780A" w14:textId="3EC0B1AA"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p</w:t>
      </w:r>
      <w:r w:rsidR="00A34427" w:rsidRPr="008B6584">
        <w:rPr>
          <w:rFonts w:cs="Arial"/>
          <w:color w:val="auto"/>
          <w:sz w:val="22"/>
        </w:rPr>
        <w:t>ersonal protective equipment for users</w:t>
      </w:r>
    </w:p>
    <w:p w14:paraId="2E83DCDE" w14:textId="2AA7A918"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e</w:t>
      </w:r>
      <w:r w:rsidR="00A34427" w:rsidRPr="008B6584">
        <w:rPr>
          <w:rFonts w:cs="Arial"/>
          <w:color w:val="auto"/>
          <w:sz w:val="22"/>
        </w:rPr>
        <w:t>mergency response (including antidotes and spill kits), extrication and evacuation controls</w:t>
      </w:r>
    </w:p>
    <w:p w14:paraId="13BD0432" w14:textId="35EAC10D"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r</w:t>
      </w:r>
      <w:r w:rsidR="00A34427" w:rsidRPr="008B6584">
        <w:rPr>
          <w:rFonts w:cs="Arial"/>
          <w:color w:val="auto"/>
          <w:sz w:val="22"/>
        </w:rPr>
        <w:t>equirements for chemicals requiring health monitoring</w:t>
      </w:r>
    </w:p>
    <w:p w14:paraId="5556B9F2" w14:textId="460C3152" w:rsidR="00A34427" w:rsidRPr="008B6584" w:rsidRDefault="00046068" w:rsidP="00046068">
      <w:pPr>
        <w:pStyle w:val="NormalWhite"/>
        <w:numPr>
          <w:ilvl w:val="0"/>
          <w:numId w:val="9"/>
        </w:numPr>
        <w:spacing w:before="120" w:after="120"/>
        <w:ind w:left="924" w:hanging="357"/>
        <w:jc w:val="left"/>
        <w:rPr>
          <w:rFonts w:cs="Arial"/>
          <w:color w:val="auto"/>
          <w:sz w:val="22"/>
        </w:rPr>
      </w:pPr>
      <w:r>
        <w:rPr>
          <w:rFonts w:cs="Arial"/>
          <w:color w:val="auto"/>
          <w:sz w:val="22"/>
        </w:rPr>
        <w:t>w</w:t>
      </w:r>
      <w:r w:rsidR="00A34427" w:rsidRPr="008B6584">
        <w:rPr>
          <w:rFonts w:cs="Arial"/>
          <w:color w:val="auto"/>
          <w:sz w:val="22"/>
        </w:rPr>
        <w:t>aste disposal appropriate for the environmental impacts.</w:t>
      </w:r>
    </w:p>
    <w:p w14:paraId="7B285333" w14:textId="77777777" w:rsidR="00A34427" w:rsidRPr="00A34427" w:rsidRDefault="00A34427" w:rsidP="008B6584">
      <w:pPr>
        <w:spacing w:before="120" w:after="120" w:line="240" w:lineRule="auto"/>
        <w:ind w:left="567"/>
        <w:rPr>
          <w:rFonts w:ascii="Arial" w:hAnsi="Arial" w:cs="Arial"/>
          <w:sz w:val="22"/>
        </w:rPr>
      </w:pPr>
      <w:r w:rsidRPr="00A34427">
        <w:rPr>
          <w:rFonts w:ascii="Arial" w:hAnsi="Arial" w:cs="Arial"/>
          <w:sz w:val="22"/>
        </w:rPr>
        <w:t xml:space="preserve">When using cryogens or cryogenic liquids, refer to the </w:t>
      </w:r>
      <w:r w:rsidRPr="008B6584">
        <w:rPr>
          <w:rFonts w:ascii="Arial" w:hAnsi="Arial" w:cs="Arial"/>
          <w:sz w:val="22"/>
        </w:rPr>
        <w:t>Handling Cryogens or Cryogenic Liquids</w:t>
      </w:r>
      <w:r w:rsidRPr="00A34427">
        <w:rPr>
          <w:rFonts w:ascii="Arial" w:hAnsi="Arial" w:cs="Arial"/>
          <w:sz w:val="22"/>
        </w:rPr>
        <w:t xml:space="preserve"> procedure for guidance on specific controls.</w:t>
      </w:r>
    </w:p>
    <w:p w14:paraId="550CC702"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 xml:space="preserve">3.6.1 Disposal  </w:t>
      </w:r>
    </w:p>
    <w:p w14:paraId="663B7EC0"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137A8297" w14:textId="10A1A60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Identify any legislative requirements for the disposal of chemicals. Contact </w:t>
      </w:r>
      <w:hyperlink r:id="rId13" w:history="1">
        <w:r w:rsidR="00046068" w:rsidRPr="00636046">
          <w:rPr>
            <w:rStyle w:val="Hyperlink"/>
            <w:rFonts w:ascii="Arial" w:hAnsi="Arial" w:cs="Arial"/>
            <w:sz w:val="22"/>
          </w:rPr>
          <w:t>crs@griffith.edu.au</w:t>
        </w:r>
      </w:hyperlink>
      <w:r w:rsidR="00046068">
        <w:rPr>
          <w:rFonts w:ascii="Arial" w:hAnsi="Arial" w:cs="Arial"/>
          <w:sz w:val="22"/>
        </w:rPr>
        <w:t xml:space="preserve"> </w:t>
      </w:r>
      <w:r w:rsidRPr="00A34427">
        <w:rPr>
          <w:rFonts w:ascii="Arial" w:hAnsi="Arial" w:cs="Arial"/>
          <w:sz w:val="22"/>
        </w:rPr>
        <w:t>for assistance with this.</w:t>
      </w:r>
    </w:p>
    <w:p w14:paraId="5DF0917A"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 xml:space="preserve">3.6.2 Storage   </w:t>
      </w:r>
    </w:p>
    <w:p w14:paraId="7109DF1E"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22C16E06"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When identifying storage controls, consider:</w:t>
      </w:r>
    </w:p>
    <w:p w14:paraId="71A693D9" w14:textId="4D7FBF5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torage shelves should be level, secure, of a reasonable depth (not too shallow or deep) and never overloaded</w:t>
      </w:r>
    </w:p>
    <w:p w14:paraId="1E82EA77" w14:textId="1D10CB0E"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helving material should be compatible with the goods to be stored</w:t>
      </w:r>
    </w:p>
    <w:p w14:paraId="1F6989CF" w14:textId="09828075"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helves should have a lip (preferred option</w:t>
      </w:r>
      <w:proofErr w:type="gramStart"/>
      <w:r w:rsidR="00A34427" w:rsidRPr="008B6584">
        <w:rPr>
          <w:rFonts w:cs="Arial"/>
          <w:color w:val="auto"/>
          <w:sz w:val="22"/>
        </w:rPr>
        <w:t>)</w:t>
      </w:r>
      <w:proofErr w:type="gramEnd"/>
      <w:r w:rsidR="00A34427" w:rsidRPr="008B6584">
        <w:rPr>
          <w:rFonts w:cs="Arial"/>
          <w:color w:val="auto"/>
          <w:sz w:val="22"/>
        </w:rPr>
        <w:t xml:space="preserve"> so containers do not protrude over the edge of the shelf or fall</w:t>
      </w:r>
    </w:p>
    <w:p w14:paraId="2ED894FB" w14:textId="1602EE73"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d</w:t>
      </w:r>
      <w:r w:rsidR="00A34427" w:rsidRPr="008B6584">
        <w:rPr>
          <w:rFonts w:cs="Arial"/>
          <w:color w:val="auto"/>
          <w:sz w:val="22"/>
        </w:rPr>
        <w:t>o not keep chemicals on the floor</w:t>
      </w:r>
    </w:p>
    <w:p w14:paraId="45D81F4D" w14:textId="699E4D3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d</w:t>
      </w:r>
      <w:r w:rsidR="00A34427" w:rsidRPr="008B6584">
        <w:rPr>
          <w:rFonts w:cs="Arial"/>
          <w:color w:val="auto"/>
          <w:sz w:val="22"/>
        </w:rPr>
        <w:t>o not store chemicals on shelves higher than 1.5m in open storage in accordance with AS/NZS 2243.10:2004 Safety in laboratories</w:t>
      </w:r>
    </w:p>
    <w:p w14:paraId="0F3596B5" w14:textId="47682BF2"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lastRenderedPageBreak/>
        <w:t>l</w:t>
      </w:r>
      <w:r w:rsidR="00A34427" w:rsidRPr="008B6584">
        <w:rPr>
          <w:rFonts w:cs="Arial"/>
          <w:color w:val="auto"/>
          <w:sz w:val="22"/>
        </w:rPr>
        <w:t>iquids should be stored as low as possible to reduce the risk of breakage and spillage</w:t>
      </w:r>
    </w:p>
    <w:p w14:paraId="15E3470B" w14:textId="533FB0A3"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m</w:t>
      </w:r>
      <w:r w:rsidR="00A34427" w:rsidRPr="008B6584">
        <w:rPr>
          <w:rFonts w:cs="Arial"/>
          <w:color w:val="auto"/>
          <w:sz w:val="22"/>
        </w:rPr>
        <w:t xml:space="preserve">aterials that react with water should not be stored in areas where they may encounter water </w:t>
      </w:r>
      <w:proofErr w:type="gramStart"/>
      <w:r w:rsidR="00A34427" w:rsidRPr="008B6584">
        <w:rPr>
          <w:rFonts w:cs="Arial"/>
          <w:color w:val="auto"/>
          <w:sz w:val="22"/>
        </w:rPr>
        <w:t>e.g.</w:t>
      </w:r>
      <w:proofErr w:type="gramEnd"/>
      <w:r w:rsidR="00A34427" w:rsidRPr="008B6584">
        <w:rPr>
          <w:rFonts w:cs="Arial"/>
          <w:color w:val="auto"/>
          <w:sz w:val="22"/>
        </w:rPr>
        <w:t xml:space="preserve"> under a sink or on a shelf with aqueous solutions.</w:t>
      </w:r>
    </w:p>
    <w:p w14:paraId="4B2927B2"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 xml:space="preserve"> 3.6.3 Fume Hoods and Glove Boxes </w:t>
      </w:r>
    </w:p>
    <w:p w14:paraId="04E4A212"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522A4E2D" w14:textId="77777777" w:rsidR="00A34427" w:rsidRPr="00A34427" w:rsidRDefault="00A34427" w:rsidP="00046068">
      <w:pPr>
        <w:spacing w:before="120" w:after="120"/>
        <w:ind w:left="851"/>
        <w:rPr>
          <w:rFonts w:ascii="Arial" w:hAnsi="Arial" w:cs="Arial"/>
          <w:sz w:val="22"/>
        </w:rPr>
      </w:pPr>
      <w:r w:rsidRPr="00A34427">
        <w:rPr>
          <w:rFonts w:ascii="Arial" w:hAnsi="Arial" w:cs="Arial"/>
          <w:sz w:val="22"/>
        </w:rPr>
        <w:t>Consider fume and atmosphere control equipment when work involves:</w:t>
      </w:r>
    </w:p>
    <w:p w14:paraId="3C05F2AF" w14:textId="3D48C1DC"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v</w:t>
      </w:r>
      <w:r w:rsidR="00A34427" w:rsidRPr="008B6584">
        <w:rPr>
          <w:rFonts w:cs="Arial"/>
          <w:color w:val="auto"/>
          <w:sz w:val="22"/>
        </w:rPr>
        <w:t>olatile chemicals</w:t>
      </w:r>
    </w:p>
    <w:p w14:paraId="4B3BF159" w14:textId="45E0575D"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olvents</w:t>
      </w:r>
    </w:p>
    <w:p w14:paraId="55A6D200" w14:textId="5368A78E"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f</w:t>
      </w:r>
      <w:r w:rsidR="00A34427" w:rsidRPr="008B6584">
        <w:rPr>
          <w:rFonts w:cs="Arial"/>
          <w:color w:val="auto"/>
          <w:sz w:val="22"/>
        </w:rPr>
        <w:t>ume generating activities</w:t>
      </w:r>
    </w:p>
    <w:p w14:paraId="7BD32EB3" w14:textId="2A2D4725"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p</w:t>
      </w:r>
      <w:r w:rsidR="00A34427" w:rsidRPr="008B6584">
        <w:rPr>
          <w:rFonts w:cs="Arial"/>
          <w:color w:val="auto"/>
          <w:sz w:val="22"/>
        </w:rPr>
        <w:t xml:space="preserve">owders </w:t>
      </w:r>
    </w:p>
    <w:p w14:paraId="6FB38E06" w14:textId="2FDE8A4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r</w:t>
      </w:r>
      <w:r w:rsidR="00A34427" w:rsidRPr="008B6584">
        <w:rPr>
          <w:rFonts w:cs="Arial"/>
          <w:color w:val="auto"/>
          <w:sz w:val="22"/>
        </w:rPr>
        <w:t>eactions in open processes.</w:t>
      </w:r>
    </w:p>
    <w:p w14:paraId="565C65E7" w14:textId="77777777" w:rsidR="00A34427" w:rsidRPr="00A34427" w:rsidRDefault="00A34427" w:rsidP="00046068">
      <w:pPr>
        <w:spacing w:before="120" w:after="120"/>
        <w:ind w:left="851"/>
        <w:rPr>
          <w:rFonts w:ascii="Arial" w:hAnsi="Arial" w:cs="Arial"/>
          <w:sz w:val="22"/>
        </w:rPr>
      </w:pPr>
      <w:r w:rsidRPr="00A34427">
        <w:rPr>
          <w:rFonts w:ascii="Arial" w:hAnsi="Arial" w:cs="Arial"/>
          <w:sz w:val="22"/>
        </w:rPr>
        <w:t>If including fume cupboards, they must:</w:t>
      </w:r>
    </w:p>
    <w:p w14:paraId="31BE3426" w14:textId="3E9BAA8A"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b</w:t>
      </w:r>
      <w:r w:rsidR="00A34427" w:rsidRPr="008B6584">
        <w:rPr>
          <w:rFonts w:cs="Arial"/>
          <w:color w:val="auto"/>
          <w:sz w:val="22"/>
        </w:rPr>
        <w:t>e ducted</w:t>
      </w:r>
    </w:p>
    <w:p w14:paraId="68E3587D" w14:textId="53B7A74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b</w:t>
      </w:r>
      <w:r w:rsidR="00A34427" w:rsidRPr="008B6584">
        <w:rPr>
          <w:rFonts w:cs="Arial"/>
          <w:color w:val="auto"/>
          <w:sz w:val="22"/>
        </w:rPr>
        <w:t>e appropriate for the type of chemicals used</w:t>
      </w:r>
    </w:p>
    <w:p w14:paraId="74C6A692" w14:textId="49B07590"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h</w:t>
      </w:r>
      <w:r w:rsidR="00A34427" w:rsidRPr="008B6584">
        <w:rPr>
          <w:rFonts w:cs="Arial"/>
          <w:color w:val="auto"/>
          <w:sz w:val="22"/>
        </w:rPr>
        <w:t>ave clear labelling which notifies users of what work is permissible in the fume cupboard (</w:t>
      </w:r>
      <w:proofErr w:type="gramStart"/>
      <w:r w:rsidR="00A34427" w:rsidRPr="008B6584">
        <w:rPr>
          <w:rFonts w:cs="Arial"/>
          <w:color w:val="auto"/>
          <w:sz w:val="22"/>
        </w:rPr>
        <w:t>e.g.</w:t>
      </w:r>
      <w:proofErr w:type="gramEnd"/>
      <w:r w:rsidR="00A34427" w:rsidRPr="008B6584">
        <w:rPr>
          <w:rFonts w:cs="Arial"/>
          <w:color w:val="auto"/>
          <w:sz w:val="22"/>
        </w:rPr>
        <w:t xml:space="preserve"> for general chemical work or perchloric or hydrofluoric acid work)</w:t>
      </w:r>
    </w:p>
    <w:p w14:paraId="03F13637" w14:textId="317FF098"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b</w:t>
      </w:r>
      <w:r w:rsidR="00A34427" w:rsidRPr="008B6584">
        <w:rPr>
          <w:rFonts w:cs="Arial"/>
          <w:color w:val="auto"/>
          <w:sz w:val="22"/>
        </w:rPr>
        <w:t xml:space="preserve">e installed, </w:t>
      </w:r>
      <w:proofErr w:type="gramStart"/>
      <w:r w:rsidR="00A34427" w:rsidRPr="008B6584">
        <w:rPr>
          <w:rFonts w:cs="Arial"/>
          <w:color w:val="auto"/>
          <w:sz w:val="22"/>
        </w:rPr>
        <w:t>maintained</w:t>
      </w:r>
      <w:proofErr w:type="gramEnd"/>
      <w:r w:rsidR="00A34427" w:rsidRPr="008B6584">
        <w:rPr>
          <w:rFonts w:cs="Arial"/>
          <w:color w:val="auto"/>
          <w:sz w:val="22"/>
        </w:rPr>
        <w:t xml:space="preserve"> and operated in line with the requirements of applicable Australian Standards</w:t>
      </w:r>
    </w:p>
    <w:p w14:paraId="57B9832B" w14:textId="1FB59EB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n</w:t>
      </w:r>
      <w:r w:rsidR="00A34427" w:rsidRPr="008B6584">
        <w:rPr>
          <w:rFonts w:cs="Arial"/>
          <w:color w:val="auto"/>
          <w:sz w:val="22"/>
        </w:rPr>
        <w:t>ever be used for the storage of chemicals.</w:t>
      </w:r>
    </w:p>
    <w:p w14:paraId="02E9E264"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 xml:space="preserve">3.6.4 Sensors, Detectors and Alarms </w:t>
      </w:r>
    </w:p>
    <w:p w14:paraId="619EBAAB"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216C0FA3"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Review what controls are currently in the designated workplace. </w:t>
      </w:r>
    </w:p>
    <w:p w14:paraId="49A09EB4"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Consult with the Campus Life Engineering Team and the Chemical Safety Manager when determining what type of detectors, sensors or alarms are appropriate for the chemical to be used.</w:t>
      </w:r>
    </w:p>
    <w:p w14:paraId="31F54BF7"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3.6.5 Emergency Preparedness</w:t>
      </w:r>
    </w:p>
    <w:p w14:paraId="2A6FFDC7"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256773DE"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When identifying emergency preparedness controls, consider:</w:t>
      </w:r>
    </w:p>
    <w:p w14:paraId="0CD4C473" w14:textId="10F503F6"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g</w:t>
      </w:r>
      <w:r w:rsidR="00A34427" w:rsidRPr="008B6584">
        <w:rPr>
          <w:rFonts w:cs="Arial"/>
          <w:color w:val="auto"/>
          <w:sz w:val="22"/>
        </w:rPr>
        <w:t>eneral first aid requirements and allocation of appropriately trained first aiders</w:t>
      </w:r>
    </w:p>
    <w:p w14:paraId="5981171D" w14:textId="2197BC04"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l</w:t>
      </w:r>
      <w:r w:rsidR="00A34427" w:rsidRPr="008B6584">
        <w:rPr>
          <w:rFonts w:cs="Arial"/>
          <w:color w:val="auto"/>
          <w:sz w:val="22"/>
        </w:rPr>
        <w:t>ocation and access to emergency showers and emergency eyewash stations</w:t>
      </w:r>
    </w:p>
    <w:p w14:paraId="48609B3C" w14:textId="1ACBA972"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pecific first aid requirements for some chemicals (</w:t>
      </w:r>
      <w:proofErr w:type="gramStart"/>
      <w:r w:rsidR="00A34427" w:rsidRPr="008B6584">
        <w:rPr>
          <w:rFonts w:cs="Arial"/>
          <w:color w:val="auto"/>
          <w:sz w:val="22"/>
        </w:rPr>
        <w:t>e.g.</w:t>
      </w:r>
      <w:proofErr w:type="gramEnd"/>
      <w:r w:rsidR="00A34427" w:rsidRPr="008B6584">
        <w:rPr>
          <w:rFonts w:cs="Arial"/>
          <w:color w:val="auto"/>
          <w:sz w:val="22"/>
        </w:rPr>
        <w:t xml:space="preserve"> cyanide requires administration of oxygen, antidotes for poisons)</w:t>
      </w:r>
    </w:p>
    <w:p w14:paraId="3D30359F" w14:textId="71A68AC4"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pill kits appropriate for the physical properties of the chemical/s in the area</w:t>
      </w:r>
    </w:p>
    <w:p w14:paraId="7D85F305" w14:textId="37C17EB9"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a</w:t>
      </w:r>
      <w:r w:rsidR="00A34427" w:rsidRPr="008B6584">
        <w:rPr>
          <w:rFonts w:cs="Arial"/>
          <w:color w:val="auto"/>
          <w:sz w:val="22"/>
        </w:rPr>
        <w:t>dditional equipment to mitigate or reduce environmental impact (</w:t>
      </w:r>
      <w:proofErr w:type="gramStart"/>
      <w:r w:rsidR="00A34427" w:rsidRPr="008B6584">
        <w:rPr>
          <w:rFonts w:cs="Arial"/>
          <w:color w:val="auto"/>
          <w:sz w:val="22"/>
        </w:rPr>
        <w:t>e.g.</w:t>
      </w:r>
      <w:proofErr w:type="gramEnd"/>
      <w:r w:rsidR="00A34427" w:rsidRPr="008B6584">
        <w:rPr>
          <w:rFonts w:cs="Arial"/>
          <w:color w:val="auto"/>
          <w:sz w:val="22"/>
        </w:rPr>
        <w:t xml:space="preserve"> bunding or the ability to isolate floor drains and sinks)</w:t>
      </w:r>
    </w:p>
    <w:p w14:paraId="16C8F3FD" w14:textId="0A1DC22A"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lastRenderedPageBreak/>
        <w:t>f</w:t>
      </w:r>
      <w:r w:rsidR="00A34427" w:rsidRPr="008B6584">
        <w:rPr>
          <w:rFonts w:cs="Arial"/>
          <w:color w:val="auto"/>
          <w:sz w:val="22"/>
        </w:rPr>
        <w:t>irefighting equipment appropriate for the physical properties of the chemical/s in the area</w:t>
      </w:r>
    </w:p>
    <w:p w14:paraId="3644FD6A" w14:textId="5E8F7BD9"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b</w:t>
      </w:r>
      <w:r w:rsidR="00A34427" w:rsidRPr="008B6584">
        <w:rPr>
          <w:rFonts w:cs="Arial"/>
          <w:color w:val="auto"/>
          <w:sz w:val="22"/>
        </w:rPr>
        <w:t>reathing apparatus or respirators</w:t>
      </w:r>
    </w:p>
    <w:p w14:paraId="0FBA9072" w14:textId="2AD810F5"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e</w:t>
      </w:r>
      <w:r w:rsidR="00A34427" w:rsidRPr="008B6584">
        <w:rPr>
          <w:rFonts w:cs="Arial"/>
          <w:color w:val="auto"/>
          <w:sz w:val="22"/>
        </w:rPr>
        <w:t>nvironmental or atmospheric monitoring devices.</w:t>
      </w:r>
    </w:p>
    <w:p w14:paraId="03441D17"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At a minimum, chemical work must only be carried out in a laboratory or workshop that includes emergency showers and eye wash stations that conform to AS 4775-2007. Appropriate fire extinguishers must also be available in spaces that contain flammable chemicals. </w:t>
      </w:r>
    </w:p>
    <w:p w14:paraId="671CAD41" w14:textId="77777777" w:rsidR="00A34427" w:rsidRPr="008B6584" w:rsidRDefault="00A34427" w:rsidP="008B6584">
      <w:pPr>
        <w:spacing w:before="120" w:after="120" w:line="240" w:lineRule="auto"/>
        <w:ind w:left="851"/>
        <w:rPr>
          <w:rFonts w:ascii="Arial" w:hAnsi="Arial" w:cs="Arial"/>
          <w:sz w:val="22"/>
        </w:rPr>
      </w:pPr>
      <w:r w:rsidRPr="00A34427">
        <w:rPr>
          <w:rFonts w:ascii="Arial" w:hAnsi="Arial" w:cs="Arial"/>
          <w:sz w:val="22"/>
        </w:rPr>
        <w:t xml:space="preserve">Refer to the </w:t>
      </w:r>
      <w:r w:rsidRPr="008B6584">
        <w:rPr>
          <w:rFonts w:ascii="Arial" w:hAnsi="Arial" w:cs="Arial"/>
          <w:sz w:val="22"/>
        </w:rPr>
        <w:t xml:space="preserve">Managing Chemical Incidents and Emergencies </w:t>
      </w:r>
      <w:r w:rsidRPr="00A34427">
        <w:rPr>
          <w:rFonts w:ascii="Arial" w:hAnsi="Arial" w:cs="Arial"/>
          <w:sz w:val="22"/>
        </w:rPr>
        <w:t>protocols for guidance on specific responses.</w:t>
      </w:r>
    </w:p>
    <w:p w14:paraId="522F95C5"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3.6.6 Training</w:t>
      </w:r>
    </w:p>
    <w:p w14:paraId="06917A6A"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1611F1CD"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When identifying training controls, consider:</w:t>
      </w:r>
    </w:p>
    <w:p w14:paraId="49760F47" w14:textId="25385BA3"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pecific emergency controls</w:t>
      </w:r>
    </w:p>
    <w:p w14:paraId="5134ED69" w14:textId="396CCA71"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g</w:t>
      </w:r>
      <w:r w:rsidR="00A34427" w:rsidRPr="008B6584">
        <w:rPr>
          <w:rFonts w:cs="Arial"/>
          <w:color w:val="auto"/>
          <w:sz w:val="22"/>
        </w:rPr>
        <w:t>as cylinder safety</w:t>
      </w:r>
    </w:p>
    <w:p w14:paraId="7684AE15" w14:textId="7AB6A71B"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c</w:t>
      </w:r>
      <w:r w:rsidR="00A34427" w:rsidRPr="008B6584">
        <w:rPr>
          <w:rFonts w:cs="Arial"/>
          <w:color w:val="auto"/>
          <w:sz w:val="22"/>
        </w:rPr>
        <w:t>ontainment facilities</w:t>
      </w:r>
    </w:p>
    <w:p w14:paraId="5B174CC5" w14:textId="1AEA4251" w:rsidR="00A34427" w:rsidRPr="008B6584" w:rsidRDefault="00046068" w:rsidP="00046068">
      <w:pPr>
        <w:pStyle w:val="NormalWhite"/>
        <w:numPr>
          <w:ilvl w:val="0"/>
          <w:numId w:val="9"/>
        </w:numPr>
        <w:spacing w:before="120" w:after="120"/>
        <w:ind w:left="1208" w:hanging="357"/>
        <w:jc w:val="left"/>
        <w:rPr>
          <w:rFonts w:cs="Arial"/>
          <w:color w:val="auto"/>
          <w:sz w:val="22"/>
        </w:rPr>
      </w:pPr>
      <w:proofErr w:type="spellStart"/>
      <w:r>
        <w:rPr>
          <w:rFonts w:cs="Arial"/>
          <w:color w:val="auto"/>
          <w:sz w:val="22"/>
        </w:rPr>
        <w:t>C</w:t>
      </w:r>
      <w:r w:rsidR="00A34427" w:rsidRPr="008B6584">
        <w:rPr>
          <w:rFonts w:cs="Arial"/>
          <w:color w:val="auto"/>
          <w:sz w:val="22"/>
        </w:rPr>
        <w:t>hemwatch</w:t>
      </w:r>
      <w:proofErr w:type="spellEnd"/>
    </w:p>
    <w:p w14:paraId="27E90632" w14:textId="74D21FE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P</w:t>
      </w:r>
      <w:r w:rsidR="00A34427" w:rsidRPr="008B6584">
        <w:rPr>
          <w:rFonts w:cs="Arial"/>
          <w:color w:val="auto"/>
          <w:sz w:val="22"/>
        </w:rPr>
        <w:t>ersonal Protective Equipment.</w:t>
      </w:r>
    </w:p>
    <w:p w14:paraId="319F83D5" w14:textId="77777777" w:rsidR="00A34427" w:rsidRPr="00A34427" w:rsidRDefault="00A34427" w:rsidP="00A34427">
      <w:pPr>
        <w:pStyle w:val="Heading5"/>
        <w:spacing w:before="120" w:line="240" w:lineRule="auto"/>
        <w:ind w:left="851"/>
        <w:rPr>
          <w:rFonts w:ascii="Arial" w:hAnsi="Arial" w:cs="Arial"/>
          <w:sz w:val="22"/>
          <w:szCs w:val="24"/>
        </w:rPr>
      </w:pPr>
      <w:r w:rsidRPr="00A34427">
        <w:rPr>
          <w:rFonts w:ascii="Arial" w:hAnsi="Arial" w:cs="Arial"/>
          <w:sz w:val="22"/>
          <w:szCs w:val="24"/>
        </w:rPr>
        <w:t xml:space="preserve">3.6.7 Personal Protective Equipment (PPE) </w:t>
      </w:r>
    </w:p>
    <w:p w14:paraId="4F9149C9" w14:textId="77777777" w:rsidR="00A34427" w:rsidRPr="00046068" w:rsidRDefault="00A34427" w:rsidP="008B6584">
      <w:pPr>
        <w:spacing w:before="120" w:after="120" w:line="240" w:lineRule="auto"/>
        <w:ind w:left="851"/>
        <w:rPr>
          <w:rFonts w:ascii="Arial" w:hAnsi="Arial" w:cs="Arial"/>
          <w:i/>
          <w:iCs/>
          <w:color w:val="E5071F"/>
          <w:sz w:val="22"/>
        </w:rPr>
      </w:pPr>
      <w:r w:rsidRPr="00046068">
        <w:rPr>
          <w:rFonts w:ascii="Arial" w:hAnsi="Arial" w:cs="Arial"/>
          <w:i/>
          <w:iCs/>
          <w:color w:val="E5071F"/>
          <w:sz w:val="22"/>
        </w:rPr>
        <w:t>Accountability: Chemical Custodians</w:t>
      </w:r>
    </w:p>
    <w:p w14:paraId="13C881D5"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At a minimum, include the following PPE for all chemical use:</w:t>
      </w:r>
    </w:p>
    <w:p w14:paraId="0E298BBE" w14:textId="1DA7815C"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e</w:t>
      </w:r>
      <w:r w:rsidR="00A34427" w:rsidRPr="008B6584">
        <w:rPr>
          <w:rFonts w:cs="Arial"/>
          <w:color w:val="auto"/>
          <w:sz w:val="22"/>
        </w:rPr>
        <w:t>nclosed shoes made of non-absorbent material with a non-slip sole</w:t>
      </w:r>
    </w:p>
    <w:p w14:paraId="6AE2B6D0" w14:textId="2963BD46"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a</w:t>
      </w:r>
      <w:r w:rsidR="00A34427" w:rsidRPr="008B6584">
        <w:rPr>
          <w:rFonts w:cs="Arial"/>
          <w:color w:val="auto"/>
          <w:sz w:val="22"/>
        </w:rPr>
        <w:t xml:space="preserve">ppropriate eye protection when decanting, </w:t>
      </w:r>
      <w:proofErr w:type="gramStart"/>
      <w:r w:rsidR="00A34427" w:rsidRPr="008B6584">
        <w:rPr>
          <w:rFonts w:cs="Arial"/>
          <w:color w:val="auto"/>
          <w:sz w:val="22"/>
        </w:rPr>
        <w:t>pouring</w:t>
      </w:r>
      <w:proofErr w:type="gramEnd"/>
      <w:r w:rsidR="00A34427" w:rsidRPr="008B6584">
        <w:rPr>
          <w:rFonts w:cs="Arial"/>
          <w:color w:val="auto"/>
          <w:sz w:val="22"/>
        </w:rPr>
        <w:t xml:space="preserve"> or mixing chemicals</w:t>
      </w:r>
    </w:p>
    <w:p w14:paraId="168C2BA6" w14:textId="7A6088C7"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g</w:t>
      </w:r>
      <w:r w:rsidR="00A34427" w:rsidRPr="008B6584">
        <w:rPr>
          <w:rFonts w:cs="Arial"/>
          <w:color w:val="auto"/>
          <w:sz w:val="22"/>
        </w:rPr>
        <w:t>loves that are appropriate for the chemical being handled</w:t>
      </w:r>
    </w:p>
    <w:p w14:paraId="1A7329F1" w14:textId="4DA425D6"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f</w:t>
      </w:r>
      <w:r w:rsidR="00A34427" w:rsidRPr="008B6584">
        <w:rPr>
          <w:rFonts w:cs="Arial"/>
          <w:color w:val="auto"/>
          <w:sz w:val="22"/>
        </w:rPr>
        <w:t xml:space="preserve">or laboratories, laboratory coats or overalls made of a fire-retardant material, natural </w:t>
      </w:r>
      <w:proofErr w:type="gramStart"/>
      <w:r w:rsidR="00A34427" w:rsidRPr="008B6584">
        <w:rPr>
          <w:rFonts w:cs="Arial"/>
          <w:color w:val="auto"/>
          <w:sz w:val="22"/>
        </w:rPr>
        <w:t>fibres</w:t>
      </w:r>
      <w:proofErr w:type="gramEnd"/>
      <w:r w:rsidR="00A34427" w:rsidRPr="008B6584">
        <w:rPr>
          <w:rFonts w:cs="Arial"/>
          <w:color w:val="auto"/>
          <w:sz w:val="22"/>
        </w:rPr>
        <w:t xml:space="preserve"> or a laboratory gown for laboratory work</w:t>
      </w:r>
    </w:p>
    <w:p w14:paraId="4F1CC397" w14:textId="64C51A98"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f</w:t>
      </w:r>
      <w:r w:rsidR="00A34427" w:rsidRPr="008B6584">
        <w:rPr>
          <w:rFonts w:cs="Arial"/>
          <w:color w:val="auto"/>
          <w:sz w:val="22"/>
        </w:rPr>
        <w:t>or workshops, protective clothing of fire-retardant material.</w:t>
      </w:r>
    </w:p>
    <w:p w14:paraId="1D8844CF"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 xml:space="preserve">All PPE must conform to the relevant Australian Standards. </w:t>
      </w:r>
    </w:p>
    <w:p w14:paraId="0FC48195" w14:textId="77777777" w:rsidR="00A34427" w:rsidRPr="00A34427" w:rsidRDefault="00A34427" w:rsidP="008B6584">
      <w:pPr>
        <w:spacing w:before="120" w:after="120" w:line="240" w:lineRule="auto"/>
        <w:ind w:left="851"/>
        <w:rPr>
          <w:rFonts w:ascii="Arial" w:hAnsi="Arial" w:cs="Arial"/>
          <w:sz w:val="22"/>
        </w:rPr>
      </w:pPr>
      <w:r w:rsidRPr="00A34427">
        <w:rPr>
          <w:rFonts w:ascii="Arial" w:hAnsi="Arial" w:cs="Arial"/>
          <w:sz w:val="22"/>
        </w:rPr>
        <w:t>PPE must be:</w:t>
      </w:r>
    </w:p>
    <w:p w14:paraId="00ABF671" w14:textId="27E0893C"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s</w:t>
      </w:r>
      <w:r w:rsidR="00A34427" w:rsidRPr="008B6584">
        <w:rPr>
          <w:rFonts w:cs="Arial"/>
          <w:color w:val="auto"/>
          <w:sz w:val="22"/>
        </w:rPr>
        <w:t>uitable given regard to the hazard</w:t>
      </w:r>
    </w:p>
    <w:p w14:paraId="601A0133" w14:textId="0B5DB99F"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a</w:t>
      </w:r>
      <w:r w:rsidR="00A34427" w:rsidRPr="008B6584">
        <w:rPr>
          <w:rFonts w:cs="Arial"/>
          <w:color w:val="auto"/>
          <w:sz w:val="22"/>
        </w:rPr>
        <w:t>ppropriate size for the person for comfort and performance</w:t>
      </w:r>
    </w:p>
    <w:p w14:paraId="60ACEB8D" w14:textId="7D5A0403"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c</w:t>
      </w:r>
      <w:r w:rsidR="00A34427" w:rsidRPr="008B6584">
        <w:rPr>
          <w:rFonts w:cs="Arial"/>
          <w:color w:val="auto"/>
          <w:sz w:val="22"/>
        </w:rPr>
        <w:t>lean and hygieni</w:t>
      </w:r>
      <w:r>
        <w:rPr>
          <w:rFonts w:cs="Arial"/>
          <w:color w:val="auto"/>
          <w:sz w:val="22"/>
        </w:rPr>
        <w:t>c</w:t>
      </w:r>
    </w:p>
    <w:p w14:paraId="64D56659" w14:textId="486C3410" w:rsidR="00A34427" w:rsidRPr="008B6584" w:rsidRDefault="00046068" w:rsidP="00046068">
      <w:pPr>
        <w:pStyle w:val="NormalWhite"/>
        <w:numPr>
          <w:ilvl w:val="0"/>
          <w:numId w:val="9"/>
        </w:numPr>
        <w:spacing w:before="120" w:after="120"/>
        <w:ind w:left="1208" w:hanging="357"/>
        <w:jc w:val="left"/>
        <w:rPr>
          <w:rFonts w:cs="Arial"/>
          <w:color w:val="auto"/>
          <w:sz w:val="22"/>
        </w:rPr>
      </w:pPr>
      <w:r>
        <w:rPr>
          <w:rFonts w:cs="Arial"/>
          <w:color w:val="auto"/>
          <w:sz w:val="22"/>
        </w:rPr>
        <w:t>i</w:t>
      </w:r>
      <w:r w:rsidR="00A34427" w:rsidRPr="008B6584">
        <w:rPr>
          <w:rFonts w:cs="Arial"/>
          <w:color w:val="auto"/>
          <w:sz w:val="22"/>
        </w:rPr>
        <w:t>n good working order.</w:t>
      </w:r>
    </w:p>
    <w:p w14:paraId="6268D2D3" w14:textId="3312BFAB" w:rsidR="0056680F" w:rsidRPr="00A34427" w:rsidRDefault="00A34427" w:rsidP="008B6584">
      <w:pPr>
        <w:pStyle w:val="NormalWhite"/>
        <w:spacing w:before="120" w:after="120" w:line="240" w:lineRule="auto"/>
        <w:jc w:val="left"/>
        <w:rPr>
          <w:rFonts w:cs="Arial"/>
          <w:szCs w:val="24"/>
        </w:rPr>
      </w:pPr>
      <w:r w:rsidRPr="00A34427">
        <w:rPr>
          <w:rFonts w:cs="Arial"/>
          <w:sz w:val="22"/>
        </w:rPr>
        <w:t xml:space="preserve">Verify that </w:t>
      </w:r>
      <w:bookmarkStart w:id="10" w:name="_4.0_Roles,_responsibilities"/>
      <w:bookmarkStart w:id="11" w:name="_5.0_Definitions"/>
      <w:bookmarkStart w:id="12" w:name="_4.0_Definitions"/>
      <w:bookmarkEnd w:id="10"/>
      <w:bookmarkEnd w:id="11"/>
      <w:bookmarkEnd w:id="12"/>
    </w:p>
    <w:p w14:paraId="5EB8F927" w14:textId="418EF0AB" w:rsidR="00A144B2" w:rsidRPr="00A34427" w:rsidRDefault="007418A5" w:rsidP="00CA6AC5">
      <w:pPr>
        <w:pStyle w:val="Heading2"/>
        <w:rPr>
          <w:rFonts w:ascii="Arial" w:hAnsi="Arial" w:cs="Arial"/>
        </w:rPr>
      </w:pPr>
      <w:r w:rsidRPr="00A34427">
        <w:rPr>
          <w:rFonts w:ascii="Arial" w:hAnsi="Arial" w:cs="Arial"/>
        </w:rPr>
        <w:lastRenderedPageBreak/>
        <w:t>4</w:t>
      </w:r>
      <w:r w:rsidR="00A144B2" w:rsidRPr="00A34427">
        <w:rPr>
          <w:rFonts w:ascii="Arial" w:hAnsi="Arial" w:cs="Arial"/>
        </w:rPr>
        <w:t>.0 Definitions</w:t>
      </w:r>
    </w:p>
    <w:p w14:paraId="1496F4CA" w14:textId="77777777" w:rsidR="00393E4F" w:rsidRPr="00225A32" w:rsidRDefault="00393E4F" w:rsidP="00393E4F">
      <w:pPr>
        <w:rPr>
          <w:rFonts w:ascii="Arial" w:hAnsi="Arial" w:cs="Arial"/>
          <w:sz w:val="22"/>
        </w:rPr>
      </w:pPr>
      <w:r w:rsidRPr="00225A32">
        <w:rPr>
          <w:rFonts w:ascii="Arial" w:hAnsi="Arial" w:cs="Arial"/>
          <w:b/>
          <w:bCs/>
          <w:sz w:val="22"/>
        </w:rPr>
        <w:t>ADG Code</w:t>
      </w:r>
      <w:r w:rsidRPr="00225A32">
        <w:rPr>
          <w:rFonts w:ascii="Arial" w:hAnsi="Arial" w:cs="Arial"/>
          <w:sz w:val="22"/>
        </w:rPr>
        <w:t xml:space="preserve"> is the </w:t>
      </w:r>
      <w:r w:rsidRPr="00225A32">
        <w:rPr>
          <w:rFonts w:ascii="Arial" w:hAnsi="Arial" w:cs="Arial"/>
          <w:i/>
          <w:iCs/>
          <w:sz w:val="22"/>
        </w:rPr>
        <w:t>Australian Code for the Transport of Dangerous Goods by Road and Rail</w:t>
      </w:r>
      <w:r w:rsidRPr="00225A32">
        <w:rPr>
          <w:rFonts w:ascii="Arial" w:hAnsi="Arial" w:cs="Arial"/>
          <w:sz w:val="22"/>
        </w:rPr>
        <w:t>, in its current form, approved by the Australian Transport Council. The ADG Code is accessible at the National Transport Commission website.</w:t>
      </w:r>
    </w:p>
    <w:p w14:paraId="7E39AA44" w14:textId="77777777" w:rsidR="00393E4F" w:rsidRPr="00225A32" w:rsidRDefault="00393E4F" w:rsidP="00393E4F">
      <w:pPr>
        <w:rPr>
          <w:rFonts w:ascii="Arial" w:hAnsi="Arial" w:cs="Arial"/>
          <w:sz w:val="22"/>
        </w:rPr>
      </w:pPr>
      <w:r w:rsidRPr="00225A32">
        <w:rPr>
          <w:rFonts w:ascii="Arial" w:hAnsi="Arial" w:cs="Arial"/>
          <w:b/>
          <w:bCs/>
          <w:sz w:val="22"/>
        </w:rPr>
        <w:t>Chemicals</w:t>
      </w:r>
      <w:r w:rsidRPr="00225A32">
        <w:rPr>
          <w:rFonts w:ascii="Arial" w:hAnsi="Arial" w:cs="Arial"/>
          <w:sz w:val="22"/>
        </w:rPr>
        <w:t xml:space="preserve"> are any substance that has a defined composition.</w:t>
      </w:r>
    </w:p>
    <w:p w14:paraId="693F2C1C" w14:textId="77777777" w:rsidR="00393E4F" w:rsidRPr="00225A32" w:rsidRDefault="00393E4F" w:rsidP="00393E4F">
      <w:pPr>
        <w:rPr>
          <w:rFonts w:ascii="Arial" w:hAnsi="Arial" w:cs="Arial"/>
          <w:sz w:val="22"/>
        </w:rPr>
      </w:pPr>
      <w:r w:rsidRPr="00225A32">
        <w:rPr>
          <w:rFonts w:ascii="Arial" w:hAnsi="Arial" w:cs="Arial"/>
          <w:b/>
          <w:bCs/>
          <w:sz w:val="22"/>
        </w:rPr>
        <w:t>Chemical Custodians</w:t>
      </w:r>
      <w:r w:rsidRPr="00225A32">
        <w:rPr>
          <w:rFonts w:ascii="Arial" w:hAnsi="Arial" w:cs="Arial"/>
          <w:sz w:val="22"/>
        </w:rPr>
        <w:t xml:space="preserve"> are personnel with operational control over chemicals at Griffith. This includes users of the chemicals, chief investigators and their supervisor.  </w:t>
      </w:r>
    </w:p>
    <w:p w14:paraId="378C2010" w14:textId="77777777" w:rsidR="00393E4F" w:rsidRDefault="00393E4F" w:rsidP="00393E4F">
      <w:pPr>
        <w:rPr>
          <w:rFonts w:ascii="Arial" w:hAnsi="Arial" w:cs="Arial"/>
          <w:sz w:val="22"/>
        </w:rPr>
      </w:pPr>
      <w:r w:rsidRPr="00225A32">
        <w:rPr>
          <w:rFonts w:ascii="Arial" w:hAnsi="Arial" w:cs="Arial"/>
          <w:b/>
          <w:bCs/>
          <w:sz w:val="22"/>
        </w:rPr>
        <w:t>GHS</w:t>
      </w:r>
      <w:r w:rsidRPr="00225A32">
        <w:rPr>
          <w:rFonts w:ascii="Arial" w:hAnsi="Arial" w:cs="Arial"/>
          <w:sz w:val="22"/>
        </w:rPr>
        <w:t xml:space="preserve"> refers to the ‘Globally Harmonized System of Classification and Labelling of Chemicals’, in its current form and published by the United Nations.</w:t>
      </w:r>
    </w:p>
    <w:p w14:paraId="0DFE1FA7" w14:textId="77777777" w:rsidR="00F8767C" w:rsidRPr="00225A32" w:rsidRDefault="00F8767C" w:rsidP="00F8767C">
      <w:pPr>
        <w:rPr>
          <w:rFonts w:ascii="Arial" w:hAnsi="Arial" w:cs="Arial"/>
          <w:sz w:val="22"/>
        </w:rPr>
      </w:pPr>
      <w:r w:rsidRPr="00225A32">
        <w:rPr>
          <w:rFonts w:ascii="Arial" w:hAnsi="Arial" w:cs="Arial"/>
          <w:b/>
          <w:bCs/>
          <w:sz w:val="22"/>
        </w:rPr>
        <w:t xml:space="preserve">Hazardous </w:t>
      </w:r>
      <w:r w:rsidRPr="00225A32">
        <w:rPr>
          <w:rFonts w:ascii="Arial" w:hAnsi="Arial" w:cs="Arial"/>
          <w:b/>
          <w:sz w:val="22"/>
        </w:rPr>
        <w:t>Chemical</w:t>
      </w:r>
      <w:r w:rsidRPr="00225A32">
        <w:rPr>
          <w:rFonts w:ascii="Arial" w:hAnsi="Arial" w:cs="Arial"/>
          <w:sz w:val="22"/>
        </w:rPr>
        <w:t xml:space="preserve"> means a substance, mixture or article that satisfies the criteria for a hazard class in the GHS (including a classification referred to in Schedule 6 of the WHS Regulation).</w:t>
      </w:r>
    </w:p>
    <w:p w14:paraId="15B6E340" w14:textId="77777777" w:rsidR="00393E4F" w:rsidRPr="00225A32" w:rsidRDefault="00393E4F" w:rsidP="00393E4F">
      <w:pPr>
        <w:rPr>
          <w:rFonts w:ascii="Arial" w:hAnsi="Arial" w:cs="Arial"/>
          <w:sz w:val="22"/>
        </w:rPr>
      </w:pPr>
      <w:r w:rsidRPr="00225A32">
        <w:rPr>
          <w:rFonts w:ascii="Arial" w:hAnsi="Arial" w:cs="Arial"/>
          <w:b/>
          <w:bCs/>
          <w:sz w:val="22"/>
        </w:rPr>
        <w:t>Label</w:t>
      </w:r>
      <w:r w:rsidRPr="00225A32">
        <w:rPr>
          <w:rFonts w:ascii="Arial" w:hAnsi="Arial" w:cs="Arial"/>
          <w:sz w:val="22"/>
        </w:rPr>
        <w:t xml:space="preserve"> means written, printed or graphical information elements concerning a hazardous chemical that is affixed to, printed on, or attached to the container of a hazardous chemical.</w:t>
      </w:r>
    </w:p>
    <w:p w14:paraId="2438D522" w14:textId="77777777" w:rsidR="00393E4F" w:rsidRPr="00225A32" w:rsidRDefault="00393E4F" w:rsidP="00393E4F">
      <w:pPr>
        <w:rPr>
          <w:rFonts w:ascii="Arial" w:hAnsi="Arial" w:cs="Arial"/>
          <w:sz w:val="22"/>
        </w:rPr>
      </w:pPr>
      <w:r w:rsidRPr="00225A32">
        <w:rPr>
          <w:rFonts w:ascii="Arial" w:hAnsi="Arial" w:cs="Arial"/>
          <w:b/>
          <w:bCs/>
          <w:sz w:val="22"/>
        </w:rPr>
        <w:t>Nanomaterials</w:t>
      </w:r>
      <w:r w:rsidRPr="00225A32">
        <w:rPr>
          <w:rFonts w:ascii="Arial" w:hAnsi="Arial" w:cs="Arial"/>
          <w:sz w:val="22"/>
        </w:rPr>
        <w:t xml:space="preserve"> refer to industrial materials intentionally produced, manufactured or engineered to have unique properties or specific composition at the nanoscale, that is a size range typically between 1 nm and 100 nm, and is either a nano-object (ie. that is confined in one, two, or three dimensions at the nanoscale) or is nanostructured (ie. having an internal or surface structure at the nanoscale).</w:t>
      </w:r>
    </w:p>
    <w:p w14:paraId="33554CBF" w14:textId="77777777" w:rsidR="00393E4F" w:rsidRPr="00225A32" w:rsidRDefault="00393E4F" w:rsidP="00393E4F">
      <w:pPr>
        <w:rPr>
          <w:rFonts w:ascii="Arial" w:hAnsi="Arial" w:cs="Arial"/>
          <w:sz w:val="22"/>
        </w:rPr>
      </w:pPr>
      <w:r w:rsidRPr="00225A32">
        <w:rPr>
          <w:rFonts w:ascii="Arial" w:hAnsi="Arial" w:cs="Arial"/>
          <w:b/>
          <w:bCs/>
          <w:sz w:val="22"/>
        </w:rPr>
        <w:t>SDS</w:t>
      </w:r>
      <w:r w:rsidRPr="00225A32">
        <w:rPr>
          <w:rFonts w:ascii="Arial" w:hAnsi="Arial" w:cs="Arial"/>
          <w:sz w:val="22"/>
        </w:rPr>
        <w:t xml:space="preserve"> refers to a safety data sheet prepared under Section 330 or 331 of the WHS Regulation.</w:t>
      </w:r>
    </w:p>
    <w:p w14:paraId="2005D636" w14:textId="50EA80BA" w:rsidR="00B42BD2" w:rsidRPr="00A34427" w:rsidRDefault="00393E4F" w:rsidP="00393E4F">
      <w:pPr>
        <w:spacing w:before="120" w:after="120" w:line="240" w:lineRule="auto"/>
        <w:rPr>
          <w:rFonts w:ascii="Arial" w:hAnsi="Arial" w:cs="Arial"/>
          <w:b/>
          <w:bCs/>
          <w:sz w:val="22"/>
        </w:rPr>
      </w:pPr>
      <w:r w:rsidRPr="00225A32">
        <w:rPr>
          <w:rFonts w:ascii="Arial" w:hAnsi="Arial" w:cs="Arial"/>
          <w:b/>
          <w:bCs/>
          <w:sz w:val="22"/>
        </w:rPr>
        <w:t>WHS Regulation</w:t>
      </w:r>
      <w:r w:rsidRPr="00225A32">
        <w:rPr>
          <w:rFonts w:ascii="Arial" w:hAnsi="Arial" w:cs="Arial"/>
          <w:sz w:val="22"/>
        </w:rPr>
        <w:t xml:space="preserve"> refers to the </w:t>
      </w:r>
      <w:r w:rsidRPr="00225A32">
        <w:rPr>
          <w:rFonts w:ascii="Arial" w:hAnsi="Arial" w:cs="Arial"/>
          <w:i/>
          <w:iCs/>
          <w:sz w:val="22"/>
        </w:rPr>
        <w:t>Work Health and Safety Regulation 2011</w:t>
      </w:r>
      <w:r w:rsidRPr="00225A32">
        <w:rPr>
          <w:rFonts w:ascii="Arial" w:hAnsi="Arial" w:cs="Arial"/>
          <w:sz w:val="22"/>
        </w:rPr>
        <w:t xml:space="preserve"> (Qld)</w:t>
      </w:r>
    </w:p>
    <w:p w14:paraId="6B8985C1" w14:textId="27CC9FA9" w:rsidR="00091E5E" w:rsidRPr="00A34427" w:rsidRDefault="00091E5E">
      <w:pPr>
        <w:rPr>
          <w:rFonts w:ascii="Arial" w:hAnsi="Arial" w:cs="Arial"/>
          <w:b/>
          <w:bCs/>
          <w:sz w:val="20"/>
          <w:szCs w:val="20"/>
        </w:rPr>
      </w:pPr>
      <w:r w:rsidRPr="00A34427">
        <w:rPr>
          <w:rFonts w:ascii="Arial" w:hAnsi="Arial" w:cs="Arial"/>
          <w:b/>
          <w:bCs/>
          <w:sz w:val="20"/>
          <w:szCs w:val="20"/>
        </w:rPr>
        <w:br w:type="page"/>
      </w:r>
    </w:p>
    <w:p w14:paraId="12A3BF87" w14:textId="3D3BC32C" w:rsidR="00811F90" w:rsidRPr="00A34427" w:rsidRDefault="007418A5" w:rsidP="00CA6AC5">
      <w:pPr>
        <w:pStyle w:val="Heading2"/>
        <w:rPr>
          <w:rFonts w:ascii="Arial" w:hAnsi="Arial" w:cs="Arial"/>
        </w:rPr>
      </w:pPr>
      <w:bookmarkStart w:id="13" w:name="_6.0_Information"/>
      <w:bookmarkStart w:id="14" w:name="_5.0_Information"/>
      <w:bookmarkEnd w:id="13"/>
      <w:bookmarkEnd w:id="14"/>
      <w:r w:rsidRPr="00A34427">
        <w:rPr>
          <w:rFonts w:ascii="Arial" w:hAnsi="Arial" w:cs="Arial"/>
        </w:rPr>
        <w:lastRenderedPageBreak/>
        <w:t>5</w:t>
      </w:r>
      <w:r w:rsidR="00FC349F" w:rsidRPr="00A34427">
        <w:rPr>
          <w:rFonts w:ascii="Arial" w:hAnsi="Arial" w:cs="Arial"/>
        </w:rPr>
        <w:t xml:space="preserve">.0 </w:t>
      </w:r>
      <w:r w:rsidR="00786706" w:rsidRPr="00A34427">
        <w:rPr>
          <w:rFonts w:ascii="Arial" w:hAnsi="Arial" w:cs="Arial"/>
        </w:rPr>
        <w:t>Information</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393E4F" w:rsidRPr="00A34427" w14:paraId="56F88C37" w14:textId="77777777" w:rsidTr="006721EA">
        <w:tc>
          <w:tcPr>
            <w:tcW w:w="2943" w:type="dxa"/>
          </w:tcPr>
          <w:p w14:paraId="043C5737" w14:textId="2C6464CE" w:rsidR="00393E4F" w:rsidRPr="00A34427" w:rsidRDefault="00393E4F" w:rsidP="00393E4F">
            <w:pPr>
              <w:spacing w:before="120" w:after="120"/>
              <w:rPr>
                <w:rFonts w:ascii="Arial" w:hAnsi="Arial" w:cs="Arial"/>
                <w:sz w:val="22"/>
                <w:szCs w:val="28"/>
              </w:rPr>
            </w:pPr>
            <w:r w:rsidRPr="00A34427">
              <w:rPr>
                <w:rFonts w:ascii="Arial" w:hAnsi="Arial" w:cs="Arial"/>
                <w:sz w:val="22"/>
                <w:szCs w:val="28"/>
              </w:rPr>
              <w:t>Title</w:t>
            </w:r>
          </w:p>
        </w:tc>
        <w:tc>
          <w:tcPr>
            <w:tcW w:w="7147" w:type="dxa"/>
          </w:tcPr>
          <w:p w14:paraId="19EA923A" w14:textId="29BE0EAE" w:rsidR="00393E4F" w:rsidRPr="00A34427" w:rsidRDefault="00393E4F" w:rsidP="00393E4F">
            <w:pPr>
              <w:spacing w:before="120" w:after="120"/>
              <w:rPr>
                <w:rFonts w:ascii="Arial" w:hAnsi="Arial" w:cs="Arial"/>
                <w:sz w:val="22"/>
                <w:szCs w:val="28"/>
                <w:lang w:val="en-GB"/>
              </w:rPr>
            </w:pPr>
            <w:r>
              <w:rPr>
                <w:rFonts w:ascii="Arial" w:hAnsi="Arial" w:cs="Arial"/>
                <w:sz w:val="22"/>
                <w:szCs w:val="28"/>
                <w:lang w:val="en-GB"/>
              </w:rPr>
              <w:t>Risk Assessing Chemicals Procedure</w:t>
            </w:r>
          </w:p>
        </w:tc>
      </w:tr>
      <w:tr w:rsidR="00393E4F" w:rsidRPr="00A34427" w14:paraId="66D4D4A1" w14:textId="77777777" w:rsidTr="006721EA">
        <w:tc>
          <w:tcPr>
            <w:tcW w:w="2943" w:type="dxa"/>
          </w:tcPr>
          <w:p w14:paraId="18280F52" w14:textId="5ED479A2" w:rsidR="00393E4F" w:rsidRPr="00A34427" w:rsidRDefault="00393E4F" w:rsidP="00393E4F">
            <w:pPr>
              <w:spacing w:before="120" w:after="120"/>
              <w:rPr>
                <w:rFonts w:ascii="Arial" w:hAnsi="Arial" w:cs="Arial"/>
                <w:sz w:val="22"/>
                <w:szCs w:val="28"/>
              </w:rPr>
            </w:pPr>
            <w:r w:rsidRPr="00A34427">
              <w:rPr>
                <w:rFonts w:ascii="Arial" w:hAnsi="Arial" w:cs="Arial"/>
                <w:sz w:val="22"/>
                <w:szCs w:val="28"/>
              </w:rPr>
              <w:t>Document number</w:t>
            </w:r>
          </w:p>
        </w:tc>
        <w:tc>
          <w:tcPr>
            <w:tcW w:w="7147" w:type="dxa"/>
          </w:tcPr>
          <w:p w14:paraId="53E0817F" w14:textId="43AE6C69" w:rsidR="00393E4F" w:rsidRPr="00A34427" w:rsidRDefault="00393E4F" w:rsidP="00393E4F">
            <w:pPr>
              <w:spacing w:before="120" w:after="120"/>
              <w:rPr>
                <w:rFonts w:ascii="Arial" w:hAnsi="Arial" w:cs="Arial"/>
                <w:sz w:val="22"/>
                <w:szCs w:val="28"/>
                <w:lang w:val="en-GB"/>
              </w:rPr>
            </w:pPr>
            <w:r>
              <w:rPr>
                <w:rFonts w:ascii="Arial" w:hAnsi="Arial" w:cs="Arial"/>
                <w:sz w:val="22"/>
                <w:szCs w:val="28"/>
              </w:rPr>
              <w:t>2023/0001049</w:t>
            </w:r>
          </w:p>
        </w:tc>
      </w:tr>
      <w:tr w:rsidR="00393E4F" w:rsidRPr="00A34427" w14:paraId="66BCD115" w14:textId="77777777" w:rsidTr="006721EA">
        <w:tc>
          <w:tcPr>
            <w:tcW w:w="2943" w:type="dxa"/>
          </w:tcPr>
          <w:p w14:paraId="0DEE091F" w14:textId="5E2B7B69" w:rsidR="00393E4F" w:rsidRPr="00A34427" w:rsidRDefault="00393E4F" w:rsidP="00393E4F">
            <w:pPr>
              <w:spacing w:before="120" w:after="120"/>
              <w:rPr>
                <w:rFonts w:ascii="Arial" w:hAnsi="Arial" w:cs="Arial"/>
                <w:sz w:val="22"/>
                <w:szCs w:val="28"/>
              </w:rPr>
            </w:pPr>
            <w:r w:rsidRPr="00A34427">
              <w:rPr>
                <w:rFonts w:ascii="Arial" w:hAnsi="Arial" w:cs="Arial"/>
                <w:sz w:val="22"/>
                <w:szCs w:val="28"/>
              </w:rPr>
              <w:t>Purpose</w:t>
            </w:r>
          </w:p>
        </w:tc>
        <w:tc>
          <w:tcPr>
            <w:tcW w:w="7147" w:type="dxa"/>
          </w:tcPr>
          <w:p w14:paraId="7FE09B90" w14:textId="2EAC95E1" w:rsidR="00393E4F" w:rsidRPr="00A34427" w:rsidRDefault="00393E4F" w:rsidP="00393E4F">
            <w:pPr>
              <w:spacing w:before="120" w:after="120"/>
              <w:rPr>
                <w:rFonts w:ascii="Arial" w:hAnsi="Arial" w:cs="Arial"/>
                <w:sz w:val="22"/>
                <w:szCs w:val="28"/>
                <w:lang w:val="en-GB"/>
              </w:rPr>
            </w:pPr>
            <w:r w:rsidRPr="00C06BC0">
              <w:rPr>
                <w:rFonts w:ascii="Arial" w:hAnsi="Arial" w:cs="Arial"/>
                <w:sz w:val="22"/>
              </w:rPr>
              <w:t>This procedure outlines the requirements risk assessing the work processes associated with chemicals at Griffith University. The procedure aims to minimise risks to personnel and property and ensure continuing legislative compliance.</w:t>
            </w:r>
          </w:p>
        </w:tc>
      </w:tr>
      <w:tr w:rsidR="00786706" w:rsidRPr="00A34427" w14:paraId="625A2530" w14:textId="77777777" w:rsidTr="006721EA">
        <w:tc>
          <w:tcPr>
            <w:tcW w:w="2943" w:type="dxa"/>
          </w:tcPr>
          <w:p w14:paraId="74ADF083" w14:textId="20B8679F"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Audience</w:t>
            </w:r>
          </w:p>
        </w:tc>
        <w:tc>
          <w:tcPr>
            <w:tcW w:w="7147" w:type="dxa"/>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14:paraId="4FF0C248" w14:textId="1B2796B4" w:rsidR="00786706" w:rsidRPr="00A34427" w:rsidRDefault="00393E4F" w:rsidP="004922AF">
                <w:pPr>
                  <w:spacing w:before="120" w:after="120"/>
                  <w:rPr>
                    <w:rFonts w:ascii="Arial" w:hAnsi="Arial" w:cs="Arial"/>
                    <w:sz w:val="22"/>
                    <w:szCs w:val="28"/>
                  </w:rPr>
                </w:pPr>
                <w:r>
                  <w:rPr>
                    <w:rFonts w:ascii="Arial" w:hAnsi="Arial" w:cs="Arial"/>
                    <w:sz w:val="22"/>
                    <w:szCs w:val="28"/>
                  </w:rPr>
                  <w:t>Staff</w:t>
                </w:r>
              </w:p>
            </w:sdtContent>
          </w:sdt>
        </w:tc>
      </w:tr>
      <w:tr w:rsidR="00786706" w:rsidRPr="00A34427" w14:paraId="132A1D0D" w14:textId="77777777" w:rsidTr="006721EA">
        <w:tc>
          <w:tcPr>
            <w:tcW w:w="2943" w:type="dxa"/>
          </w:tcPr>
          <w:p w14:paraId="375184E5" w14:textId="4F1FD2B3"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Category</w:t>
            </w:r>
          </w:p>
        </w:tc>
        <w:tc>
          <w:tcPr>
            <w:tcW w:w="7147" w:type="dxa"/>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14:paraId="4D641298" w14:textId="5550B186" w:rsidR="00786706" w:rsidRPr="00A34427" w:rsidRDefault="00393E4F" w:rsidP="004922AF">
                <w:pPr>
                  <w:spacing w:before="120" w:after="120"/>
                  <w:rPr>
                    <w:rFonts w:ascii="Arial" w:hAnsi="Arial" w:cs="Arial"/>
                    <w:sz w:val="22"/>
                    <w:szCs w:val="28"/>
                  </w:rPr>
                </w:pPr>
                <w:r>
                  <w:rPr>
                    <w:rFonts w:ascii="Arial" w:hAnsi="Arial" w:cs="Arial"/>
                    <w:sz w:val="22"/>
                    <w:szCs w:val="28"/>
                  </w:rPr>
                  <w:t>Operational</w:t>
                </w:r>
              </w:p>
            </w:sdtContent>
          </w:sdt>
        </w:tc>
      </w:tr>
      <w:tr w:rsidR="00786706" w:rsidRPr="00A34427" w14:paraId="704234F9" w14:textId="77777777" w:rsidTr="006721EA">
        <w:tc>
          <w:tcPr>
            <w:tcW w:w="2943" w:type="dxa"/>
          </w:tcPr>
          <w:p w14:paraId="51A9284E" w14:textId="46B8CBB9"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Subcategory</w:t>
            </w:r>
          </w:p>
        </w:tc>
        <w:tc>
          <w:tcPr>
            <w:tcW w:w="7147" w:type="dxa"/>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14:paraId="617C1518" w14:textId="223D4D1E" w:rsidR="007512F5" w:rsidRPr="00A34427" w:rsidRDefault="00393E4F" w:rsidP="004922AF">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rsidRPr="00A34427" w14:paraId="1DD394A7" w14:textId="77777777" w:rsidTr="006721EA">
        <w:tc>
          <w:tcPr>
            <w:tcW w:w="2943" w:type="dxa"/>
          </w:tcPr>
          <w:p w14:paraId="4CDE964B" w14:textId="68F552EF" w:rsidR="00A57044" w:rsidRPr="00A34427" w:rsidRDefault="0046665F" w:rsidP="004922AF">
            <w:pPr>
              <w:spacing w:before="120" w:after="120"/>
              <w:rPr>
                <w:rFonts w:ascii="Arial" w:hAnsi="Arial" w:cs="Arial"/>
                <w:sz w:val="22"/>
                <w:szCs w:val="28"/>
              </w:rPr>
            </w:pPr>
            <w:r w:rsidRPr="00A34427">
              <w:rPr>
                <w:rFonts w:ascii="Arial" w:hAnsi="Arial" w:cs="Arial"/>
                <w:sz w:val="22"/>
                <w:szCs w:val="28"/>
              </w:rPr>
              <w:t>UN Sustainable Development Goals (SDGs)</w:t>
            </w:r>
          </w:p>
        </w:tc>
        <w:tc>
          <w:tcPr>
            <w:tcW w:w="7147" w:type="dxa"/>
          </w:tcPr>
          <w:p w14:paraId="68B0A012" w14:textId="4B1A0E22" w:rsidR="00A57044" w:rsidRPr="00A34427" w:rsidRDefault="008239FE" w:rsidP="004922AF">
            <w:pPr>
              <w:spacing w:before="120" w:after="120"/>
              <w:rPr>
                <w:rFonts w:ascii="Arial" w:hAnsi="Arial" w:cs="Arial"/>
                <w:sz w:val="22"/>
                <w:szCs w:val="28"/>
              </w:rPr>
            </w:pPr>
            <w:r w:rsidRPr="00A34427">
              <w:rPr>
                <w:rFonts w:ascii="Arial" w:hAnsi="Arial" w:cs="Arial"/>
                <w:sz w:val="22"/>
                <w:szCs w:val="28"/>
              </w:rPr>
              <w:t xml:space="preserve">This document aligns with </w:t>
            </w:r>
            <w:r w:rsidR="00B25332" w:rsidRPr="00A34427">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14:paraId="1238885A" w14:textId="710A8BE9" w:rsidR="00067836" w:rsidRPr="00A34427" w:rsidRDefault="00393E4F" w:rsidP="004922AF">
                <w:pPr>
                  <w:spacing w:before="120" w:after="120"/>
                  <w:rPr>
                    <w:rFonts w:ascii="Arial" w:hAnsi="Arial" w:cs="Arial"/>
                    <w:sz w:val="22"/>
                    <w:szCs w:val="28"/>
                  </w:rPr>
                </w:pPr>
                <w:r>
                  <w:rPr>
                    <w:rFonts w:ascii="Arial" w:hAnsi="Arial" w:cs="Arial"/>
                    <w:sz w:val="22"/>
                    <w:szCs w:val="28"/>
                  </w:rPr>
                  <w:t>3: Good Health and Well-Being</w:t>
                </w:r>
              </w:p>
            </w:sdtContent>
          </w:sdt>
        </w:tc>
      </w:tr>
      <w:tr w:rsidR="00786706" w:rsidRPr="00A34427" w14:paraId="72503509" w14:textId="77777777" w:rsidTr="006721EA">
        <w:tc>
          <w:tcPr>
            <w:tcW w:w="2943" w:type="dxa"/>
          </w:tcPr>
          <w:p w14:paraId="7967AC55" w14:textId="476A8E6E"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Approval date</w:t>
            </w:r>
          </w:p>
        </w:tc>
        <w:tc>
          <w:tcPr>
            <w:tcW w:w="7147" w:type="dxa"/>
          </w:tcPr>
          <w:p w14:paraId="194B217B" w14:textId="3039A652" w:rsidR="00786706" w:rsidRPr="00A34427" w:rsidRDefault="00393E4F" w:rsidP="004922AF">
            <w:pPr>
              <w:spacing w:before="120" w:after="120"/>
              <w:rPr>
                <w:rFonts w:ascii="Arial" w:hAnsi="Arial" w:cs="Arial"/>
                <w:sz w:val="22"/>
                <w:szCs w:val="28"/>
              </w:rPr>
            </w:pPr>
            <w:r>
              <w:rPr>
                <w:rFonts w:ascii="Arial" w:hAnsi="Arial" w:cs="Arial"/>
                <w:sz w:val="22"/>
                <w:szCs w:val="28"/>
              </w:rPr>
              <w:t>18 December 2023</w:t>
            </w:r>
          </w:p>
        </w:tc>
      </w:tr>
      <w:tr w:rsidR="00786706" w:rsidRPr="00A34427" w14:paraId="2AB5E63B" w14:textId="77777777" w:rsidTr="006721EA">
        <w:tc>
          <w:tcPr>
            <w:tcW w:w="2943" w:type="dxa"/>
          </w:tcPr>
          <w:p w14:paraId="64F617D1" w14:textId="7CF14029"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Effective date</w:t>
            </w:r>
          </w:p>
        </w:tc>
        <w:tc>
          <w:tcPr>
            <w:tcW w:w="7147" w:type="dxa"/>
          </w:tcPr>
          <w:p w14:paraId="4FFCA795" w14:textId="209B6B8B" w:rsidR="00786706" w:rsidRPr="00A34427" w:rsidRDefault="00393E4F" w:rsidP="004922AF">
            <w:pPr>
              <w:spacing w:before="120" w:after="120"/>
              <w:rPr>
                <w:rFonts w:ascii="Arial" w:hAnsi="Arial" w:cs="Arial"/>
                <w:sz w:val="22"/>
                <w:szCs w:val="28"/>
              </w:rPr>
            </w:pPr>
            <w:r>
              <w:rPr>
                <w:rFonts w:ascii="Arial" w:hAnsi="Arial" w:cs="Arial"/>
                <w:sz w:val="22"/>
                <w:szCs w:val="28"/>
              </w:rPr>
              <w:t>18 December 2023</w:t>
            </w:r>
          </w:p>
        </w:tc>
      </w:tr>
      <w:tr w:rsidR="00786706" w:rsidRPr="00A34427" w14:paraId="6F3FFE23" w14:textId="77777777" w:rsidTr="006721EA">
        <w:tc>
          <w:tcPr>
            <w:tcW w:w="2943" w:type="dxa"/>
          </w:tcPr>
          <w:p w14:paraId="6FF0BF57" w14:textId="3ECF3A96"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Review date</w:t>
            </w:r>
          </w:p>
        </w:tc>
        <w:tc>
          <w:tcPr>
            <w:tcW w:w="7147" w:type="dxa"/>
          </w:tcPr>
          <w:p w14:paraId="01E953C9" w14:textId="3B256A2F" w:rsidR="00786706" w:rsidRPr="00A34427" w:rsidRDefault="00393E4F" w:rsidP="004922AF">
            <w:pPr>
              <w:spacing w:before="120" w:after="120"/>
              <w:rPr>
                <w:rFonts w:ascii="Arial" w:hAnsi="Arial" w:cs="Arial"/>
                <w:sz w:val="22"/>
                <w:szCs w:val="28"/>
              </w:rPr>
            </w:pPr>
            <w:r>
              <w:rPr>
                <w:rFonts w:ascii="Arial" w:hAnsi="Arial" w:cs="Arial"/>
                <w:sz w:val="22"/>
                <w:szCs w:val="28"/>
              </w:rPr>
              <w:t>18 December 2025</w:t>
            </w:r>
          </w:p>
        </w:tc>
      </w:tr>
      <w:tr w:rsidR="00786706" w:rsidRPr="00A34427" w14:paraId="3BDD3607" w14:textId="77777777" w:rsidTr="006721EA">
        <w:tc>
          <w:tcPr>
            <w:tcW w:w="2943" w:type="dxa"/>
          </w:tcPr>
          <w:p w14:paraId="12FCF114" w14:textId="4AD0B255"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Policy advisor</w:t>
            </w:r>
          </w:p>
        </w:tc>
        <w:tc>
          <w:tcPr>
            <w:tcW w:w="7147" w:type="dxa"/>
          </w:tcPr>
          <w:p w14:paraId="0CB94D75" w14:textId="59CA9C61" w:rsidR="00786706" w:rsidRPr="00A34427" w:rsidRDefault="00393E4F" w:rsidP="004922AF">
            <w:pPr>
              <w:spacing w:before="120" w:after="120"/>
              <w:rPr>
                <w:rFonts w:ascii="Arial" w:hAnsi="Arial" w:cs="Arial"/>
                <w:sz w:val="22"/>
                <w:szCs w:val="28"/>
              </w:rPr>
            </w:pPr>
            <w:r>
              <w:rPr>
                <w:rFonts w:ascii="Arial" w:hAnsi="Arial" w:cs="Arial"/>
                <w:sz w:val="22"/>
                <w:szCs w:val="28"/>
              </w:rPr>
              <w:t>Associate Director, H&amp;S Standards and Assurance</w:t>
            </w:r>
          </w:p>
        </w:tc>
      </w:tr>
      <w:tr w:rsidR="00786706" w:rsidRPr="00A34427" w14:paraId="49179DFF" w14:textId="77777777" w:rsidTr="006721EA">
        <w:tc>
          <w:tcPr>
            <w:tcW w:w="2943" w:type="dxa"/>
          </w:tcPr>
          <w:p w14:paraId="1B0442C2" w14:textId="61E06347" w:rsidR="00786706" w:rsidRPr="00A34427" w:rsidRDefault="00786706" w:rsidP="004922AF">
            <w:pPr>
              <w:spacing w:before="120" w:after="120"/>
              <w:rPr>
                <w:rFonts w:ascii="Arial" w:hAnsi="Arial" w:cs="Arial"/>
                <w:sz w:val="22"/>
                <w:szCs w:val="28"/>
              </w:rPr>
            </w:pPr>
            <w:r w:rsidRPr="00A34427">
              <w:rPr>
                <w:rFonts w:ascii="Arial" w:hAnsi="Arial" w:cs="Arial"/>
                <w:sz w:val="22"/>
                <w:szCs w:val="28"/>
              </w:rPr>
              <w:t>Approving authority</w:t>
            </w:r>
          </w:p>
        </w:tc>
        <w:tc>
          <w:tcPr>
            <w:tcW w:w="7147" w:type="dxa"/>
          </w:tcPr>
          <w:p w14:paraId="0D81D6BC" w14:textId="20B37B89" w:rsidR="00786706" w:rsidRPr="00A34427" w:rsidRDefault="00393E4F" w:rsidP="004922AF">
            <w:pPr>
              <w:spacing w:before="120" w:after="120"/>
              <w:rPr>
                <w:rFonts w:ascii="Arial" w:hAnsi="Arial" w:cs="Arial"/>
                <w:sz w:val="22"/>
                <w:szCs w:val="28"/>
              </w:rPr>
            </w:pPr>
            <w:r>
              <w:rPr>
                <w:rFonts w:ascii="Arial" w:hAnsi="Arial" w:cs="Arial"/>
                <w:sz w:val="22"/>
                <w:szCs w:val="28"/>
              </w:rPr>
              <w:t>Director, Health and Safety</w:t>
            </w:r>
          </w:p>
        </w:tc>
      </w:tr>
    </w:tbl>
    <w:p w14:paraId="07DD10BA" w14:textId="0826811D" w:rsidR="00393E4F" w:rsidRDefault="00393E4F">
      <w:pPr>
        <w:rPr>
          <w:rFonts w:ascii="Arial" w:hAnsi="Arial" w:cs="Arial"/>
          <w:sz w:val="20"/>
          <w:szCs w:val="20"/>
        </w:rPr>
      </w:pPr>
    </w:p>
    <w:p w14:paraId="4833FC58" w14:textId="77777777" w:rsidR="00393E4F" w:rsidRDefault="00393E4F">
      <w:pPr>
        <w:rPr>
          <w:rFonts w:ascii="Arial" w:hAnsi="Arial" w:cs="Arial"/>
          <w:sz w:val="20"/>
          <w:szCs w:val="20"/>
        </w:rPr>
      </w:pPr>
      <w:r>
        <w:rPr>
          <w:rFonts w:ascii="Arial" w:hAnsi="Arial" w:cs="Arial"/>
          <w:sz w:val="20"/>
          <w:szCs w:val="20"/>
        </w:rPr>
        <w:br w:type="page"/>
      </w:r>
    </w:p>
    <w:p w14:paraId="5AB90CA2" w14:textId="77777777" w:rsidR="00811F90" w:rsidRPr="00A34427" w:rsidRDefault="00811F90">
      <w:pPr>
        <w:rPr>
          <w:rFonts w:ascii="Arial" w:hAnsi="Arial" w:cs="Arial"/>
          <w:sz w:val="20"/>
          <w:szCs w:val="20"/>
        </w:rPr>
      </w:pPr>
    </w:p>
    <w:p w14:paraId="605F990D" w14:textId="015915AF" w:rsidR="00C22059" w:rsidRPr="00A34427" w:rsidRDefault="007418A5" w:rsidP="00CA6AC5">
      <w:pPr>
        <w:pStyle w:val="Heading2"/>
        <w:rPr>
          <w:rFonts w:ascii="Arial" w:hAnsi="Arial" w:cs="Arial"/>
        </w:rPr>
      </w:pPr>
      <w:bookmarkStart w:id="15" w:name="_7.0_Related_Policy"/>
      <w:bookmarkStart w:id="16" w:name="_6.0_Related_Policy"/>
      <w:bookmarkEnd w:id="15"/>
      <w:bookmarkEnd w:id="16"/>
      <w:r w:rsidRPr="00A34427">
        <w:rPr>
          <w:rFonts w:ascii="Arial" w:hAnsi="Arial" w:cs="Arial"/>
        </w:rPr>
        <w:t>6</w:t>
      </w:r>
      <w:r w:rsidR="00FC349F" w:rsidRPr="00A34427">
        <w:rPr>
          <w:rFonts w:ascii="Arial" w:hAnsi="Arial" w:cs="Arial"/>
        </w:rPr>
        <w:t xml:space="preserve">.0 </w:t>
      </w:r>
      <w:r w:rsidR="008605D5" w:rsidRPr="00A34427">
        <w:rPr>
          <w:rFonts w:ascii="Arial" w:hAnsi="Arial" w:cs="Arial"/>
        </w:rPr>
        <w:t>Related Policy Documents and Supporting Documents</w:t>
      </w:r>
    </w:p>
    <w:tbl>
      <w:tblPr>
        <w:tblStyle w:val="TableGrid"/>
        <w:tblW w:w="0" w:type="auto"/>
        <w:tblInd w:w="108" w:type="dxa"/>
        <w:tblBorders>
          <w:top w:val="none" w:sz="0" w:space="0" w:color="auto"/>
          <w:left w:val="none" w:sz="0" w:space="0" w:color="auto"/>
          <w:right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2943"/>
        <w:gridCol w:w="7147"/>
      </w:tblGrid>
      <w:tr w:rsidR="00393E4F" w:rsidRPr="00A34427" w14:paraId="1BED611B" w14:textId="77777777" w:rsidTr="006721EA">
        <w:tc>
          <w:tcPr>
            <w:tcW w:w="2943" w:type="dxa"/>
          </w:tcPr>
          <w:p w14:paraId="30FE0F19" w14:textId="2232CC87" w:rsidR="00393E4F" w:rsidRPr="00A34427" w:rsidRDefault="00393E4F" w:rsidP="00393E4F">
            <w:pPr>
              <w:spacing w:before="120" w:after="120"/>
              <w:rPr>
                <w:rFonts w:ascii="Arial" w:hAnsi="Arial" w:cs="Arial"/>
                <w:sz w:val="22"/>
              </w:rPr>
            </w:pPr>
            <w:r w:rsidRPr="00A34427">
              <w:rPr>
                <w:rFonts w:ascii="Arial" w:hAnsi="Arial" w:cs="Arial"/>
                <w:sz w:val="22"/>
              </w:rPr>
              <w:t>Legislation</w:t>
            </w:r>
          </w:p>
        </w:tc>
        <w:tc>
          <w:tcPr>
            <w:tcW w:w="7147" w:type="dxa"/>
          </w:tcPr>
          <w:p w14:paraId="33FA8390" w14:textId="77777777" w:rsidR="00F8767C" w:rsidRPr="00832C6A" w:rsidRDefault="00F8767C" w:rsidP="00F8767C">
            <w:pPr>
              <w:spacing w:before="120" w:after="120"/>
              <w:rPr>
                <w:rFonts w:ascii="Arial" w:hAnsi="Arial" w:cs="Arial"/>
                <w:sz w:val="22"/>
              </w:rPr>
            </w:pPr>
            <w:hyperlink r:id="rId14" w:history="1">
              <w:r w:rsidRPr="008316B8">
                <w:rPr>
                  <w:rStyle w:val="Hyperlink"/>
                  <w:rFonts w:ascii="Arial" w:hAnsi="Arial" w:cs="Arial"/>
                  <w:sz w:val="22"/>
                </w:rPr>
                <w:t>Work Health and Safety Act 2011 (Qld)</w:t>
              </w:r>
            </w:hyperlink>
          </w:p>
          <w:p w14:paraId="2C96072D" w14:textId="77777777" w:rsidR="00F8767C" w:rsidRPr="00832C6A" w:rsidRDefault="00F8767C" w:rsidP="00F8767C">
            <w:pPr>
              <w:spacing w:before="120" w:after="120"/>
              <w:rPr>
                <w:rFonts w:ascii="Arial" w:hAnsi="Arial" w:cs="Arial"/>
                <w:sz w:val="22"/>
              </w:rPr>
            </w:pPr>
            <w:hyperlink r:id="rId15" w:history="1">
              <w:r w:rsidRPr="006F7007">
                <w:rPr>
                  <w:rStyle w:val="Hyperlink"/>
                  <w:rFonts w:ascii="Arial" w:hAnsi="Arial" w:cs="Arial"/>
                  <w:sz w:val="22"/>
                </w:rPr>
                <w:t>Work Health and Safety Regulation 2011 (Qld)</w:t>
              </w:r>
            </w:hyperlink>
          </w:p>
          <w:p w14:paraId="129E175A" w14:textId="77777777" w:rsidR="00F8767C" w:rsidRPr="00832C6A" w:rsidRDefault="00F8767C" w:rsidP="00F8767C">
            <w:pPr>
              <w:spacing w:before="120" w:after="120"/>
              <w:rPr>
                <w:rFonts w:ascii="Arial" w:hAnsi="Arial" w:cs="Arial"/>
                <w:sz w:val="22"/>
              </w:rPr>
            </w:pPr>
            <w:hyperlink r:id="rId16" w:history="1">
              <w:r w:rsidRPr="006F7007">
                <w:rPr>
                  <w:rStyle w:val="Hyperlink"/>
                  <w:rFonts w:ascii="Arial" w:hAnsi="Arial" w:cs="Arial"/>
                  <w:sz w:val="22"/>
                </w:rPr>
                <w:t>Australian Dangerous Goods (ADG) Code</w:t>
              </w:r>
            </w:hyperlink>
          </w:p>
          <w:p w14:paraId="55F28E8B" w14:textId="77777777" w:rsidR="00F8767C" w:rsidRPr="00832C6A" w:rsidRDefault="00F8767C" w:rsidP="00F8767C">
            <w:pPr>
              <w:spacing w:before="120" w:after="120"/>
              <w:rPr>
                <w:rFonts w:ascii="Arial" w:hAnsi="Arial" w:cs="Arial"/>
                <w:sz w:val="22"/>
              </w:rPr>
            </w:pPr>
            <w:hyperlink r:id="rId17" w:history="1">
              <w:r w:rsidRPr="006F7007">
                <w:rPr>
                  <w:rStyle w:val="Hyperlink"/>
                  <w:rFonts w:ascii="Arial" w:hAnsi="Arial" w:cs="Arial"/>
                  <w:sz w:val="22"/>
                </w:rPr>
                <w:t>Medicines and Poisons Act 2019 (Qld)</w:t>
              </w:r>
            </w:hyperlink>
          </w:p>
          <w:p w14:paraId="555342D6" w14:textId="77777777" w:rsidR="00F8767C" w:rsidRPr="00832C6A" w:rsidRDefault="00F8767C" w:rsidP="00F8767C">
            <w:pPr>
              <w:spacing w:before="120" w:after="120"/>
              <w:rPr>
                <w:rFonts w:ascii="Arial" w:hAnsi="Arial" w:cs="Arial"/>
                <w:sz w:val="22"/>
              </w:rPr>
            </w:pPr>
            <w:hyperlink r:id="rId18" w:history="1">
              <w:r w:rsidRPr="006F7007">
                <w:rPr>
                  <w:rStyle w:val="Hyperlink"/>
                  <w:rFonts w:ascii="Arial" w:hAnsi="Arial" w:cs="Arial"/>
                  <w:sz w:val="22"/>
                </w:rPr>
                <w:t>Medicines &amp; Poisons (Poisons &amp; Prohibited Substances) Regulation 2021 (Qld)</w:t>
              </w:r>
            </w:hyperlink>
          </w:p>
          <w:p w14:paraId="7637EB7F" w14:textId="77777777" w:rsidR="00F8767C" w:rsidRPr="00832C6A" w:rsidRDefault="00F8767C" w:rsidP="00F8767C">
            <w:pPr>
              <w:spacing w:before="120" w:after="120"/>
              <w:rPr>
                <w:rFonts w:ascii="Arial" w:hAnsi="Arial" w:cs="Arial"/>
                <w:sz w:val="22"/>
              </w:rPr>
            </w:pPr>
            <w:hyperlink r:id="rId19" w:history="1">
              <w:r w:rsidRPr="006F7007">
                <w:rPr>
                  <w:rStyle w:val="Hyperlink"/>
                  <w:rFonts w:ascii="Arial" w:hAnsi="Arial" w:cs="Arial"/>
                  <w:sz w:val="22"/>
                </w:rPr>
                <w:t>Therapeutic Goods (Poisons Standard—July 2023) Instrument 2023 (Cwlth)</w:t>
              </w:r>
            </w:hyperlink>
          </w:p>
          <w:p w14:paraId="1D95EE8D" w14:textId="5A526C95" w:rsidR="00393E4F" w:rsidRPr="00A34427" w:rsidRDefault="00F8767C" w:rsidP="00F8767C">
            <w:pPr>
              <w:spacing w:before="120" w:after="120"/>
              <w:rPr>
                <w:rFonts w:ascii="Arial" w:hAnsi="Arial" w:cs="Arial"/>
                <w:sz w:val="22"/>
                <w:lang w:val="en-GB"/>
              </w:rPr>
            </w:pPr>
            <w:hyperlink r:id="rId20" w:history="1">
              <w:r w:rsidRPr="006F7007">
                <w:rPr>
                  <w:rStyle w:val="Hyperlink"/>
                  <w:rFonts w:ascii="Arial" w:hAnsi="Arial" w:cs="Arial"/>
                  <w:sz w:val="22"/>
                </w:rPr>
                <w:t>National Code of Practice for Chemicals of Security Concern 2016 (Cwlth)</w:t>
              </w:r>
            </w:hyperlink>
          </w:p>
        </w:tc>
      </w:tr>
      <w:tr w:rsidR="00393E4F" w:rsidRPr="00A34427" w14:paraId="13D635BA" w14:textId="77777777" w:rsidTr="006721EA">
        <w:tc>
          <w:tcPr>
            <w:tcW w:w="2943" w:type="dxa"/>
          </w:tcPr>
          <w:p w14:paraId="7CB30007" w14:textId="274434BC" w:rsidR="00393E4F" w:rsidRPr="00A34427" w:rsidRDefault="00393E4F" w:rsidP="00393E4F">
            <w:pPr>
              <w:spacing w:before="120" w:after="120"/>
              <w:rPr>
                <w:rFonts w:ascii="Arial" w:hAnsi="Arial" w:cs="Arial"/>
                <w:sz w:val="22"/>
              </w:rPr>
            </w:pPr>
            <w:r w:rsidRPr="00A34427">
              <w:rPr>
                <w:rFonts w:ascii="Arial" w:hAnsi="Arial" w:cs="Arial"/>
                <w:sz w:val="22"/>
              </w:rPr>
              <w:t>Policy</w:t>
            </w:r>
          </w:p>
        </w:tc>
        <w:tc>
          <w:tcPr>
            <w:tcW w:w="7147" w:type="dxa"/>
          </w:tcPr>
          <w:p w14:paraId="7A1507B9" w14:textId="6D278081" w:rsidR="00393E4F" w:rsidRPr="00A34427" w:rsidRDefault="00F8767C" w:rsidP="00393E4F">
            <w:pPr>
              <w:spacing w:before="120" w:after="120"/>
              <w:rPr>
                <w:rFonts w:ascii="Arial" w:hAnsi="Arial" w:cs="Arial"/>
                <w:sz w:val="22"/>
                <w:lang w:val="en-GB"/>
              </w:rPr>
            </w:pPr>
            <w:hyperlink r:id="rId21" w:history="1">
              <w:r w:rsidRPr="006F7007">
                <w:rPr>
                  <w:rStyle w:val="Hyperlink"/>
                  <w:rFonts w:ascii="Arial" w:hAnsi="Arial" w:cs="Arial"/>
                  <w:sz w:val="22"/>
                </w:rPr>
                <w:t>Health, Safety and Wellbeing Policy</w:t>
              </w:r>
            </w:hyperlink>
          </w:p>
        </w:tc>
      </w:tr>
      <w:tr w:rsidR="00393E4F" w:rsidRPr="00A34427" w14:paraId="55329BCC" w14:textId="77777777" w:rsidTr="006721EA">
        <w:tc>
          <w:tcPr>
            <w:tcW w:w="2943" w:type="dxa"/>
          </w:tcPr>
          <w:p w14:paraId="1BD7DB3E" w14:textId="54AA41D2" w:rsidR="00393E4F" w:rsidRPr="00A34427" w:rsidRDefault="00393E4F" w:rsidP="00393E4F">
            <w:pPr>
              <w:spacing w:before="120" w:after="120"/>
              <w:rPr>
                <w:rFonts w:ascii="Arial" w:hAnsi="Arial" w:cs="Arial"/>
                <w:sz w:val="22"/>
              </w:rPr>
            </w:pPr>
            <w:r w:rsidRPr="00A34427">
              <w:rPr>
                <w:rFonts w:ascii="Arial" w:hAnsi="Arial" w:cs="Arial"/>
                <w:sz w:val="22"/>
              </w:rPr>
              <w:t>Procedures</w:t>
            </w:r>
          </w:p>
        </w:tc>
        <w:tc>
          <w:tcPr>
            <w:tcW w:w="7147" w:type="dxa"/>
          </w:tcPr>
          <w:p w14:paraId="4F61C5AE" w14:textId="77777777" w:rsidR="00AD5BD7" w:rsidRDefault="00AD5BD7" w:rsidP="00AD5BD7">
            <w:pPr>
              <w:spacing w:before="120" w:after="120"/>
              <w:rPr>
                <w:rFonts w:ascii="Arial" w:hAnsi="Arial" w:cs="Arial"/>
                <w:sz w:val="22"/>
              </w:rPr>
            </w:pPr>
            <w:hyperlink r:id="rId22" w:history="1">
              <w:r w:rsidRPr="006F7007">
                <w:rPr>
                  <w:rStyle w:val="Hyperlink"/>
                  <w:rFonts w:ascii="Arial" w:hAnsi="Arial" w:cs="Arial"/>
                  <w:sz w:val="22"/>
                </w:rPr>
                <w:t>Managing Chemicals Standard</w:t>
              </w:r>
            </w:hyperlink>
          </w:p>
          <w:p w14:paraId="52C1017F" w14:textId="0F146ED6" w:rsidR="00393E4F" w:rsidRPr="00AD5BD7" w:rsidRDefault="00393E4F" w:rsidP="00393E4F">
            <w:pPr>
              <w:spacing w:before="120" w:after="120"/>
              <w:rPr>
                <w:rFonts w:ascii="Arial" w:hAnsi="Arial" w:cs="Arial"/>
                <w:color w:val="E5071F"/>
                <w:sz w:val="22"/>
              </w:rPr>
            </w:pPr>
            <w:r w:rsidRPr="00AD5BD7">
              <w:rPr>
                <w:rFonts w:ascii="Arial" w:hAnsi="Arial" w:cs="Arial"/>
                <w:color w:val="E5071F"/>
                <w:sz w:val="22"/>
              </w:rPr>
              <w:t xml:space="preserve">Acquiring </w:t>
            </w:r>
            <w:r w:rsidR="00AD5BD7" w:rsidRPr="00AD5BD7">
              <w:rPr>
                <w:rFonts w:ascii="Arial" w:hAnsi="Arial" w:cs="Arial"/>
                <w:color w:val="E5071F"/>
                <w:sz w:val="22"/>
              </w:rPr>
              <w:t xml:space="preserve">and Transferring in </w:t>
            </w:r>
            <w:r w:rsidRPr="00AD5BD7">
              <w:rPr>
                <w:rFonts w:ascii="Arial" w:hAnsi="Arial" w:cs="Arial"/>
                <w:color w:val="E5071F"/>
                <w:sz w:val="22"/>
              </w:rPr>
              <w:t xml:space="preserve">Chemicals Procedure </w:t>
            </w:r>
          </w:p>
          <w:p w14:paraId="516358FA" w14:textId="77777777" w:rsidR="00393E4F" w:rsidRPr="00AD5BD7" w:rsidRDefault="00393E4F" w:rsidP="00393E4F">
            <w:pPr>
              <w:spacing w:before="120" w:after="120"/>
              <w:rPr>
                <w:rFonts w:ascii="Arial" w:hAnsi="Arial" w:cs="Arial"/>
                <w:color w:val="E5071F"/>
                <w:sz w:val="22"/>
              </w:rPr>
            </w:pPr>
            <w:r w:rsidRPr="00AD5BD7">
              <w:rPr>
                <w:rFonts w:ascii="Arial" w:hAnsi="Arial" w:cs="Arial"/>
                <w:color w:val="E5071F"/>
                <w:sz w:val="22"/>
              </w:rPr>
              <w:t xml:space="preserve">Maintaining a Chemical Inventory Procedure </w:t>
            </w:r>
          </w:p>
          <w:p w14:paraId="6B59419D" w14:textId="77777777" w:rsidR="00393E4F" w:rsidRPr="00AD5BD7" w:rsidRDefault="00393E4F" w:rsidP="00393E4F">
            <w:pPr>
              <w:spacing w:before="120" w:after="120"/>
              <w:rPr>
                <w:rFonts w:ascii="Arial" w:hAnsi="Arial" w:cs="Arial"/>
                <w:color w:val="E5071F"/>
                <w:sz w:val="22"/>
              </w:rPr>
            </w:pPr>
            <w:r w:rsidRPr="00AD5BD7">
              <w:rPr>
                <w:rFonts w:ascii="Arial" w:hAnsi="Arial" w:cs="Arial"/>
                <w:color w:val="E5071F"/>
                <w:sz w:val="22"/>
              </w:rPr>
              <w:t>Handling, Using and Disposing of Chemicals Procedure</w:t>
            </w:r>
          </w:p>
          <w:p w14:paraId="5A371939" w14:textId="77777777" w:rsidR="00393E4F" w:rsidRPr="00AD5BD7" w:rsidRDefault="00393E4F" w:rsidP="00393E4F">
            <w:pPr>
              <w:spacing w:before="120" w:after="120"/>
              <w:rPr>
                <w:rFonts w:ascii="Arial" w:hAnsi="Arial" w:cs="Arial"/>
                <w:color w:val="E5071F"/>
                <w:sz w:val="22"/>
              </w:rPr>
            </w:pPr>
            <w:r w:rsidRPr="00AD5BD7">
              <w:rPr>
                <w:rFonts w:ascii="Arial" w:hAnsi="Arial" w:cs="Arial"/>
                <w:color w:val="E5071F"/>
                <w:sz w:val="22"/>
              </w:rPr>
              <w:t>Transporting Chemicals Procedure</w:t>
            </w:r>
          </w:p>
          <w:p w14:paraId="0ECF7CD9" w14:textId="77777777" w:rsidR="00393E4F" w:rsidRPr="00AD5BD7" w:rsidRDefault="00393E4F" w:rsidP="00393E4F">
            <w:pPr>
              <w:spacing w:before="120" w:after="120"/>
              <w:rPr>
                <w:rFonts w:ascii="Arial" w:hAnsi="Arial" w:cs="Arial"/>
                <w:color w:val="E5071F"/>
                <w:sz w:val="22"/>
              </w:rPr>
            </w:pPr>
            <w:r w:rsidRPr="00AD5BD7">
              <w:rPr>
                <w:rFonts w:ascii="Arial" w:hAnsi="Arial" w:cs="Arial"/>
                <w:color w:val="E5071F"/>
                <w:sz w:val="22"/>
              </w:rPr>
              <w:t>Managing Regulated Chemicals Procedure</w:t>
            </w:r>
          </w:p>
          <w:p w14:paraId="0FBE423C" w14:textId="77777777" w:rsidR="00AD5BD7" w:rsidRPr="00832C6A" w:rsidRDefault="00AD5BD7" w:rsidP="00AD5BD7">
            <w:pPr>
              <w:spacing w:before="120" w:after="120"/>
              <w:rPr>
                <w:rFonts w:ascii="Arial" w:hAnsi="Arial" w:cs="Arial"/>
                <w:sz w:val="22"/>
              </w:rPr>
            </w:pPr>
            <w:hyperlink r:id="rId23" w:history="1">
              <w:r w:rsidRPr="006F7007">
                <w:rPr>
                  <w:rStyle w:val="Hyperlink"/>
                  <w:rFonts w:ascii="Arial" w:hAnsi="Arial" w:cs="Arial"/>
                  <w:sz w:val="22"/>
                </w:rPr>
                <w:t>Special Approvers Guideline</w:t>
              </w:r>
            </w:hyperlink>
          </w:p>
          <w:p w14:paraId="4302959E" w14:textId="10FFB039" w:rsidR="00393E4F" w:rsidRPr="00A34427" w:rsidRDefault="00AD5BD7" w:rsidP="00AD5BD7">
            <w:pPr>
              <w:spacing w:before="120" w:after="120"/>
              <w:rPr>
                <w:rFonts w:ascii="Arial" w:hAnsi="Arial" w:cs="Arial"/>
                <w:sz w:val="22"/>
                <w:lang w:val="en-GB"/>
              </w:rPr>
            </w:pPr>
            <w:hyperlink r:id="rId24" w:history="1">
              <w:r w:rsidRPr="006F7007">
                <w:rPr>
                  <w:rStyle w:val="Hyperlink"/>
                  <w:rFonts w:ascii="Arial" w:hAnsi="Arial" w:cs="Arial"/>
                  <w:sz w:val="22"/>
                </w:rPr>
                <w:t>Griffith University Substance Management Plan</w:t>
              </w:r>
            </w:hyperlink>
          </w:p>
        </w:tc>
      </w:tr>
      <w:tr w:rsidR="00746A0E" w:rsidRPr="00A34427" w14:paraId="76652B21" w14:textId="77777777" w:rsidTr="006721EA">
        <w:tc>
          <w:tcPr>
            <w:tcW w:w="2943" w:type="dxa"/>
          </w:tcPr>
          <w:p w14:paraId="118FD34E" w14:textId="481E52F8" w:rsidR="00746A0E" w:rsidRPr="00A34427" w:rsidRDefault="00746A0E" w:rsidP="004922AF">
            <w:pPr>
              <w:spacing w:before="120" w:after="120"/>
              <w:rPr>
                <w:rFonts w:ascii="Arial" w:hAnsi="Arial" w:cs="Arial"/>
                <w:sz w:val="22"/>
              </w:rPr>
            </w:pPr>
            <w:r w:rsidRPr="00A34427">
              <w:rPr>
                <w:rFonts w:ascii="Arial" w:hAnsi="Arial" w:cs="Arial"/>
                <w:sz w:val="22"/>
              </w:rPr>
              <w:t>Local Protocol</w:t>
            </w:r>
          </w:p>
        </w:tc>
        <w:tc>
          <w:tcPr>
            <w:tcW w:w="7147" w:type="dxa"/>
          </w:tcPr>
          <w:p w14:paraId="55AA03EB" w14:textId="4B3E7E47" w:rsidR="00746A0E" w:rsidRPr="00A34427" w:rsidRDefault="00AC197C" w:rsidP="004922AF">
            <w:pPr>
              <w:spacing w:before="120" w:after="120"/>
              <w:rPr>
                <w:rFonts w:ascii="Arial" w:hAnsi="Arial" w:cs="Arial"/>
                <w:sz w:val="22"/>
              </w:rPr>
            </w:pPr>
            <w:r>
              <w:rPr>
                <w:rFonts w:ascii="Arial" w:hAnsi="Arial" w:cs="Arial"/>
                <w:sz w:val="22"/>
              </w:rPr>
              <w:t>N/A</w:t>
            </w:r>
          </w:p>
        </w:tc>
      </w:tr>
      <w:tr w:rsidR="00746A0E" w:rsidRPr="00A34427" w14:paraId="5AB64C6F" w14:textId="77777777" w:rsidTr="006721EA">
        <w:tc>
          <w:tcPr>
            <w:tcW w:w="2943" w:type="dxa"/>
          </w:tcPr>
          <w:p w14:paraId="22348C3F" w14:textId="0F6236D7" w:rsidR="00746A0E" w:rsidRPr="00A34427" w:rsidRDefault="00746A0E" w:rsidP="004922AF">
            <w:pPr>
              <w:spacing w:before="120" w:after="120"/>
              <w:rPr>
                <w:rFonts w:ascii="Arial" w:hAnsi="Arial" w:cs="Arial"/>
                <w:sz w:val="22"/>
              </w:rPr>
            </w:pPr>
            <w:r w:rsidRPr="00A34427">
              <w:rPr>
                <w:rFonts w:ascii="Arial" w:hAnsi="Arial" w:cs="Arial"/>
                <w:sz w:val="22"/>
              </w:rPr>
              <w:t>Forms</w:t>
            </w:r>
          </w:p>
        </w:tc>
        <w:tc>
          <w:tcPr>
            <w:tcW w:w="7147" w:type="dxa"/>
          </w:tcPr>
          <w:p w14:paraId="54F51F15" w14:textId="4B747FC6" w:rsidR="00746A0E" w:rsidRPr="00A34427" w:rsidRDefault="00AC197C" w:rsidP="004922AF">
            <w:pPr>
              <w:spacing w:before="120" w:after="120"/>
              <w:rPr>
                <w:rFonts w:ascii="Arial" w:hAnsi="Arial" w:cs="Arial"/>
                <w:sz w:val="22"/>
              </w:rPr>
            </w:pPr>
            <w:r>
              <w:rPr>
                <w:rFonts w:ascii="Arial" w:hAnsi="Arial" w:cs="Arial"/>
                <w:sz w:val="22"/>
              </w:rPr>
              <w:t>N/A</w:t>
            </w:r>
          </w:p>
        </w:tc>
      </w:tr>
    </w:tbl>
    <w:p w14:paraId="6BA7652E" w14:textId="26761596" w:rsidR="00A15D12" w:rsidRPr="00A34427" w:rsidRDefault="00A15D12" w:rsidP="004922AF">
      <w:pPr>
        <w:rPr>
          <w:rFonts w:ascii="Arial" w:hAnsi="Arial" w:cs="Arial"/>
          <w:sz w:val="22"/>
        </w:rPr>
      </w:pPr>
    </w:p>
    <w:p w14:paraId="298A2696" w14:textId="57CCED06" w:rsidR="00AF5791" w:rsidRPr="00A34427" w:rsidRDefault="00AF5791" w:rsidP="00C22059">
      <w:pPr>
        <w:rPr>
          <w:rFonts w:ascii="Arial" w:hAnsi="Arial" w:cs="Arial"/>
          <w:sz w:val="20"/>
          <w:szCs w:val="24"/>
        </w:rPr>
      </w:pPr>
    </w:p>
    <w:sectPr w:rsidR="00AF5791" w:rsidRPr="00A34427" w:rsidSect="00E77B43">
      <w:headerReference w:type="default" r:id="rId25"/>
      <w:footerReference w:type="even" r:id="rId26"/>
      <w:footerReference w:type="default" r:id="rId27"/>
      <w:headerReference w:type="first" r:id="rId28"/>
      <w:footerReference w:type="first" r:id="rId29"/>
      <w:type w:val="continuous"/>
      <w:pgSz w:w="11906" w:h="16838"/>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18B5" w14:textId="77777777" w:rsidR="0061147C" w:rsidRDefault="0061147C" w:rsidP="00575CC3">
      <w:pPr>
        <w:spacing w:after="0" w:line="240" w:lineRule="auto"/>
      </w:pPr>
      <w:r>
        <w:separator/>
      </w:r>
    </w:p>
  </w:endnote>
  <w:endnote w:type="continuationSeparator" w:id="0">
    <w:p w14:paraId="6A1DDC77" w14:textId="77777777" w:rsidR="0061147C" w:rsidRDefault="0061147C" w:rsidP="005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14:paraId="6E64F0AB" w14:textId="7953B17D" w:rsidR="00A144B2" w:rsidRDefault="00A144B2" w:rsidP="007E3A0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7A06D6" w14:textId="77777777" w:rsidR="00A144B2" w:rsidRDefault="00A144B2" w:rsidP="00A144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14:paraId="1DEF1CC7" w14:textId="2681FBBA" w:rsidR="00A144B2" w:rsidRPr="007225FE" w:rsidRDefault="00A144B2" w:rsidP="007225FE">
        <w:pPr>
          <w:pStyle w:val="Footer"/>
          <w:framePr w:wrap="none" w:vAnchor="text" w:hAnchor="margin"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14:paraId="0E4A430F" w14:textId="32BB126C" w:rsidR="00830B58" w:rsidRDefault="00830B58" w:rsidP="00A144B2">
    <w:pPr>
      <w:spacing w:after="0" w:line="240" w:lineRule="auto"/>
      <w:ind w:right="360"/>
      <w:jc w:val="right"/>
      <w:rPr>
        <w:rFonts w:asciiTheme="minorHAnsi" w:hAnsiTheme="minorHAnsi" w:cstheme="minorHAnsi"/>
        <w:color w:val="70787B"/>
        <w:sz w:val="15"/>
        <w:szCs w:val="15"/>
      </w:rPr>
    </w:pPr>
  </w:p>
  <w:p w14:paraId="33A52A3F" w14:textId="2D49126E" w:rsidR="00830B58" w:rsidRDefault="00AC197C" w:rsidP="00830B58">
    <w:pPr>
      <w:spacing w:after="0" w:line="240" w:lineRule="auto"/>
      <w:jc w:val="right"/>
      <w:rPr>
        <w:rFonts w:asciiTheme="minorHAnsi" w:hAnsiTheme="minorHAnsi" w:cstheme="minorHAnsi"/>
        <w:color w:val="70787B"/>
        <w:sz w:val="15"/>
        <w:szCs w:val="15"/>
      </w:rPr>
    </w:pPr>
    <w:r w:rsidRPr="00AC197C">
      <w:rPr>
        <w:rFonts w:asciiTheme="minorHAnsi" w:hAnsiTheme="minorHAnsi" w:cstheme="minorHAnsi"/>
        <w:color w:val="70787B"/>
        <w:sz w:val="15"/>
        <w:szCs w:val="15"/>
      </w:rPr>
      <w:t>Risk Assessing Chemicals Procedure</w:t>
    </w:r>
    <w:r w:rsidR="002B29ED" w:rsidRPr="00AC197C">
      <w:rPr>
        <w:rFonts w:asciiTheme="minorHAnsi" w:hAnsiTheme="minorHAnsi" w:cstheme="minorHAnsi"/>
        <w:color w:val="70787B"/>
        <w:sz w:val="15"/>
        <w:szCs w:val="15"/>
      </w:rPr>
      <w:t xml:space="preserve"> </w:t>
    </w:r>
    <w:r w:rsidR="00830B58" w:rsidRPr="00AC197C">
      <w:rPr>
        <w:rFonts w:asciiTheme="minorHAnsi" w:hAnsiTheme="minorHAnsi" w:cstheme="minorHAnsi"/>
        <w:color w:val="70787B"/>
        <w:sz w:val="15"/>
        <w:szCs w:val="15"/>
      </w:rPr>
      <w:t>|</w:t>
    </w:r>
    <w:r w:rsidRPr="00AC197C">
      <w:rPr>
        <w:rFonts w:asciiTheme="minorHAnsi" w:hAnsiTheme="minorHAnsi" w:cstheme="minorHAnsi"/>
        <w:color w:val="70787B"/>
        <w:sz w:val="15"/>
        <w:szCs w:val="15"/>
      </w:rPr>
      <w:t>December 2023</w:t>
    </w:r>
  </w:p>
  <w:p w14:paraId="6521F9B2" w14:textId="2BB2605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AC197C" w:rsidRPr="00AC197C">
      <w:rPr>
        <w:rFonts w:asciiTheme="minorHAnsi" w:hAnsiTheme="minorHAnsi" w:cstheme="minorHAnsi"/>
        <w:color w:val="70787B"/>
        <w:sz w:val="15"/>
        <w:szCs w:val="15"/>
      </w:rPr>
      <w:t>2023/0001049</w:t>
    </w:r>
  </w:p>
  <w:p w14:paraId="2E3A5653" w14:textId="1223C1E3" w:rsidR="00830B58" w:rsidRDefault="00830B58" w:rsidP="00830B58">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14:paraId="008E73BC" w14:textId="1A61372A" w:rsidR="00575CC3" w:rsidRPr="00575CC3" w:rsidRDefault="00575CC3" w:rsidP="00830B58">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3F71" w14:textId="45E189B9" w:rsidR="00E77B43" w:rsidRPr="00E77B43" w:rsidRDefault="00E77B43" w:rsidP="00E77B43">
    <w:pPr>
      <w:spacing w:after="0" w:line="240" w:lineRule="auto"/>
      <w:jc w:val="right"/>
      <w:rPr>
        <w:rFonts w:ascii="Arial" w:hAnsi="Arial" w:cs="Arial"/>
        <w:color w:val="70787B"/>
        <w:szCs w:val="18"/>
      </w:rPr>
    </w:pPr>
    <w:r w:rsidRPr="00E77B43">
      <w:rPr>
        <w:rFonts w:ascii="Arial" w:hAnsi="Arial" w:cs="Arial"/>
        <w:color w:val="70787B"/>
        <w:szCs w:val="18"/>
      </w:rPr>
      <w:t>1</w:t>
    </w:r>
  </w:p>
  <w:p w14:paraId="2AC453B8" w14:textId="77777777" w:rsidR="00AC197C" w:rsidRDefault="00AC197C" w:rsidP="00AC197C">
    <w:pPr>
      <w:spacing w:after="0" w:line="240" w:lineRule="auto"/>
      <w:jc w:val="right"/>
      <w:rPr>
        <w:rFonts w:asciiTheme="minorHAnsi" w:hAnsiTheme="minorHAnsi" w:cstheme="minorHAnsi"/>
        <w:color w:val="70787B"/>
        <w:sz w:val="15"/>
        <w:szCs w:val="15"/>
      </w:rPr>
    </w:pPr>
    <w:r w:rsidRPr="00AC197C">
      <w:rPr>
        <w:rFonts w:asciiTheme="minorHAnsi" w:hAnsiTheme="minorHAnsi" w:cstheme="minorHAnsi"/>
        <w:color w:val="70787B"/>
        <w:sz w:val="15"/>
        <w:szCs w:val="15"/>
      </w:rPr>
      <w:t>Risk Assessing Chemicals Procedure |December 2023</w:t>
    </w:r>
  </w:p>
  <w:p w14:paraId="69EED422" w14:textId="48CC7962" w:rsidR="00E77B43" w:rsidRPr="000209B9" w:rsidRDefault="00AC197C" w:rsidP="00AC197C">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Pr="00AC197C">
      <w:rPr>
        <w:rFonts w:asciiTheme="minorHAnsi" w:hAnsiTheme="minorHAnsi" w:cstheme="minorHAnsi"/>
        <w:color w:val="70787B"/>
        <w:sz w:val="15"/>
        <w:szCs w:val="15"/>
      </w:rPr>
      <w:t>2023/0001049</w:t>
    </w:r>
  </w:p>
  <w:p w14:paraId="3471DC75" w14:textId="1F68BE84" w:rsidR="00E77B43" w:rsidRDefault="00E77B43" w:rsidP="00E77B43">
    <w:pPr>
      <w:pStyle w:val="Footer"/>
      <w:jc w:val="right"/>
    </w:pPr>
    <w:r w:rsidRPr="000209B9">
      <w:rPr>
        <w:rFonts w:asciiTheme="minorHAnsi" w:eastAsia="Times New Roman"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05812" id="Group 3" o:spid="_x0000_s1026" alt="&quot;&quot;" style="position:absolute;margin-left:-.55pt;margin-top:-245.1pt;width:280.7pt;height:280.65pt;z-index:251669504;mso-position-horizontal-relative:page;mso-width-relative:margin;mso-height-relative:margin" coordsize="39606,39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gradientshapeok="t" o:connecttype="custom" o:connectlocs="0,0;0,10800;0,21600;10800,21600;21600,21600;10800,10800" textboxrect="1800,12600,12600,19800"/>
              </v:shapetype>
              <v:shape id="Right Triangle 4" o:spid="_x0000_s1027" type="#_x0000_t6" style="position:absolute;left:7;width:39599;height:39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fillcolor="#f2f2f2 [3052]" stroked="f"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8" type="#_x0000_t5" style="position:absolute;left:-5938;top:6093;width:26105;height:14230;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adj="9943" fillcolor="#d8d8d8 [2732]" stroked="f" strokeweight="2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C1A5" w14:textId="77777777" w:rsidR="0061147C" w:rsidRDefault="0061147C" w:rsidP="00575CC3">
      <w:pPr>
        <w:spacing w:after="0" w:line="240" w:lineRule="auto"/>
      </w:pPr>
      <w:r>
        <w:separator/>
      </w:r>
    </w:p>
  </w:footnote>
  <w:footnote w:type="continuationSeparator" w:id="0">
    <w:p w14:paraId="25885BE6" w14:textId="77777777" w:rsidR="0061147C" w:rsidRDefault="0061147C" w:rsidP="005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F21" w14:textId="463DC8C6" w:rsidR="00830B58" w:rsidRDefault="00E826C9" w:rsidP="00830B58">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2119" w14:textId="6BD821E1" w:rsidR="00E77B43" w:rsidRPr="000D3B39" w:rsidRDefault="00751170" w:rsidP="00F252F4">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00E77B43" w:rsidRPr="00237AB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7C30F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alt="&quot;&quot;"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fillcolor="#f40609" stroked="f" strokeweight="2pt">
              <w10:wrap anchory="page"/>
            </v:shape>
          </w:pict>
        </mc:Fallback>
      </mc:AlternateContent>
    </w:r>
    <w:r w:rsidR="000D3B39" w:rsidRPr="00237AB3">
      <w:rPr>
        <w:rFonts w:cs="Arial"/>
        <w:b/>
        <w:bCs/>
        <w:color w:val="FFFFFF" w:themeColor="background1"/>
        <w:sz w:val="52"/>
        <w:szCs w:val="52"/>
      </w:rPr>
      <w:t>P</w:t>
    </w:r>
    <w:r w:rsidR="00C00B53" w:rsidRPr="00237AB3">
      <w:rPr>
        <w:rFonts w:cs="Arial"/>
        <w:b/>
        <w:bCs/>
        <w:color w:val="FFFFFF" w:themeColor="background1"/>
        <w:sz w:val="52"/>
        <w:szCs w:val="52"/>
      </w:rPr>
      <w:t>r</w:t>
    </w:r>
    <w:r w:rsidR="000D3B39" w:rsidRPr="00237AB3">
      <w:rPr>
        <w:rFonts w:cs="Arial"/>
        <w:b/>
        <w:bCs/>
        <w:color w:val="FFFFFF" w:themeColor="background1"/>
        <w:sz w:val="52"/>
        <w:szCs w:val="52"/>
      </w:rPr>
      <w:t>oc</w:t>
    </w:r>
    <w:r w:rsidR="00C00B53" w:rsidRPr="00237AB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097"/>
    <w:multiLevelType w:val="hybridMultilevel"/>
    <w:tmpl w:val="B610218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3A04FD5"/>
    <w:multiLevelType w:val="multilevel"/>
    <w:tmpl w:val="A2AA0012"/>
    <w:styleLink w:val="CurrentList3"/>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6144AC"/>
    <w:multiLevelType w:val="hybridMultilevel"/>
    <w:tmpl w:val="D5D013FA"/>
    <w:lvl w:ilvl="0" w:tplc="EDEC25B0">
      <w:start w:val="1"/>
      <w:numFmt w:val="bullet"/>
      <w:lvlText w:val=""/>
      <w:lvlJc w:val="left"/>
      <w:pPr>
        <w:ind w:left="1080" w:hanging="360"/>
      </w:pPr>
      <w:rPr>
        <w:rFonts w:ascii="Symbol" w:hAnsi="Symbol" w:hint="default"/>
        <w:color w:val="E51F30"/>
      </w:rPr>
    </w:lvl>
    <w:lvl w:ilvl="1" w:tplc="08090003">
      <w:start w:val="1"/>
      <w:numFmt w:val="bullet"/>
      <w:lvlText w:val="o"/>
      <w:lvlJc w:val="left"/>
      <w:pPr>
        <w:ind w:left="1494" w:hanging="360"/>
      </w:pPr>
      <w:rPr>
        <w:rFonts w:ascii="Courier New" w:hAnsi="Courier New" w:cs="Courier New" w:hint="default"/>
      </w:rPr>
    </w:lvl>
    <w:lvl w:ilvl="2" w:tplc="2FD6763A">
      <w:start w:val="1"/>
      <w:numFmt w:val="bullet"/>
      <w:lvlText w:val=""/>
      <w:lvlJc w:val="left"/>
      <w:pPr>
        <w:ind w:left="2520" w:hanging="360"/>
      </w:pPr>
      <w:rPr>
        <w:rFonts w:ascii="Wingdings" w:hAnsi="Wingdings" w:hint="default"/>
        <w:color w:val="E30918"/>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BF5EC8"/>
    <w:multiLevelType w:val="multilevel"/>
    <w:tmpl w:val="F0A0E086"/>
    <w:styleLink w:val="CurrentList5"/>
    <w:lvl w:ilvl="0">
      <w:start w:val="1"/>
      <w:numFmt w:val="bullet"/>
      <w:lvlText w:val=""/>
      <w:lvlJc w:val="left"/>
      <w:pPr>
        <w:ind w:left="717" w:hanging="717"/>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1A34E5"/>
    <w:multiLevelType w:val="multilevel"/>
    <w:tmpl w:val="A2AA0012"/>
    <w:styleLink w:val="CurrentList4"/>
    <w:lvl w:ilvl="0">
      <w:start w:val="1"/>
      <w:numFmt w:val="bullet"/>
      <w:lvlText w:val=""/>
      <w:lvlJc w:val="left"/>
      <w:pPr>
        <w:ind w:left="717" w:hanging="360"/>
      </w:pPr>
      <w:rPr>
        <w:rFonts w:ascii="Symbol" w:hAnsi="Symbol" w:hint="default"/>
        <w:color w:val="E51F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D70F48"/>
    <w:multiLevelType w:val="multilevel"/>
    <w:tmpl w:val="718C61DA"/>
    <w:styleLink w:val="CurrentList6"/>
    <w:lvl w:ilvl="0">
      <w:start w:val="1"/>
      <w:numFmt w:val="decimal"/>
      <w:lvlText w:val="%1."/>
      <w:lvlJc w:val="left"/>
      <w:pPr>
        <w:ind w:left="567" w:hanging="207"/>
      </w:pPr>
      <w:rPr>
        <w:rFonts w:ascii="Griffith Sans Text" w:hAnsi="Griffith Sans Text" w:cs="Arial" w:hint="default"/>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17059B"/>
    <w:multiLevelType w:val="hybridMultilevel"/>
    <w:tmpl w:val="0254C00C"/>
    <w:lvl w:ilvl="0" w:tplc="4CD4D1F8">
      <w:start w:val="1"/>
      <w:numFmt w:val="bullet"/>
      <w:pStyle w:val="ListParagraph"/>
      <w:lvlText w:val=""/>
      <w:lvlJc w:val="left"/>
      <w:pPr>
        <w:ind w:left="433" w:hanging="433"/>
      </w:pPr>
      <w:rPr>
        <w:rFonts w:ascii="Symbol" w:hAnsi="Symbol" w:hint="default"/>
        <w:color w:val="E51F3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696702E"/>
    <w:multiLevelType w:val="multilevel"/>
    <w:tmpl w:val="E23E1C56"/>
    <w:styleLink w:val="CurrentList2"/>
    <w:lvl w:ilvl="0">
      <w:start w:val="1"/>
      <w:numFmt w:val="decimal"/>
      <w:lvlText w:val="%1."/>
      <w:lvlJc w:val="left"/>
      <w:pPr>
        <w:ind w:left="720" w:hanging="360"/>
      </w:pPr>
      <w:rPr>
        <w:rFonts w:ascii="Arial" w:hAnsi="Arial" w:cs="Arial" w:hint="default"/>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27572751">
    <w:abstractNumId w:val="5"/>
  </w:num>
  <w:num w:numId="2" w16cid:durableId="1511336397">
    <w:abstractNumId w:val="9"/>
  </w:num>
  <w:num w:numId="3" w16cid:durableId="1666785443">
    <w:abstractNumId w:val="1"/>
  </w:num>
  <w:num w:numId="4" w16cid:durableId="1708486012">
    <w:abstractNumId w:val="6"/>
  </w:num>
  <w:num w:numId="5" w16cid:durableId="1621642287">
    <w:abstractNumId w:val="4"/>
  </w:num>
  <w:num w:numId="6" w16cid:durableId="1833176348">
    <w:abstractNumId w:val="7"/>
  </w:num>
  <w:num w:numId="7" w16cid:durableId="1126041565">
    <w:abstractNumId w:val="8"/>
  </w:num>
  <w:num w:numId="8" w16cid:durableId="1098252483">
    <w:abstractNumId w:val="3"/>
  </w:num>
  <w:num w:numId="9" w16cid:durableId="218833091">
    <w:abstractNumId w:val="2"/>
  </w:num>
  <w:num w:numId="10" w16cid:durableId="142568715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6068"/>
    <w:rsid w:val="00047EA7"/>
    <w:rsid w:val="00052590"/>
    <w:rsid w:val="00062022"/>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3E4F"/>
    <w:rsid w:val="00395AD8"/>
    <w:rsid w:val="003D421F"/>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3C57"/>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B6584"/>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34427"/>
    <w:rsid w:val="00A45BDF"/>
    <w:rsid w:val="00A50780"/>
    <w:rsid w:val="00A55F73"/>
    <w:rsid w:val="00A56091"/>
    <w:rsid w:val="00A5683C"/>
    <w:rsid w:val="00A57044"/>
    <w:rsid w:val="00AA12A3"/>
    <w:rsid w:val="00AA188E"/>
    <w:rsid w:val="00AA391D"/>
    <w:rsid w:val="00AB00BF"/>
    <w:rsid w:val="00AC197C"/>
    <w:rsid w:val="00AC1EA9"/>
    <w:rsid w:val="00AD5BD7"/>
    <w:rsid w:val="00AE36C9"/>
    <w:rsid w:val="00AE4387"/>
    <w:rsid w:val="00AF5791"/>
    <w:rsid w:val="00AF719E"/>
    <w:rsid w:val="00B11F04"/>
    <w:rsid w:val="00B24AD5"/>
    <w:rsid w:val="00B25332"/>
    <w:rsid w:val="00B26F8D"/>
    <w:rsid w:val="00B42BD2"/>
    <w:rsid w:val="00B508D5"/>
    <w:rsid w:val="00B52233"/>
    <w:rsid w:val="00B82F08"/>
    <w:rsid w:val="00B9062A"/>
    <w:rsid w:val="00BB58D7"/>
    <w:rsid w:val="00BD26DB"/>
    <w:rsid w:val="00BF387D"/>
    <w:rsid w:val="00C00B53"/>
    <w:rsid w:val="00C22059"/>
    <w:rsid w:val="00C2475A"/>
    <w:rsid w:val="00C31251"/>
    <w:rsid w:val="00C32760"/>
    <w:rsid w:val="00C577E2"/>
    <w:rsid w:val="00C62871"/>
    <w:rsid w:val="00C76573"/>
    <w:rsid w:val="00C77710"/>
    <w:rsid w:val="00C80060"/>
    <w:rsid w:val="00C81103"/>
    <w:rsid w:val="00CA6305"/>
    <w:rsid w:val="00CA6AC5"/>
    <w:rsid w:val="00CA75B5"/>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6755"/>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8767C"/>
    <w:rsid w:val="00FA2481"/>
    <w:rsid w:val="00FA2D28"/>
    <w:rsid w:val="00FA6AC6"/>
    <w:rsid w:val="00FB180D"/>
    <w:rsid w:val="00FB329E"/>
    <w:rsid w:val="00FC349F"/>
    <w:rsid w:val="00FD349F"/>
    <w:rsid w:val="00FE60E5"/>
    <w:rsid w:val="00FF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eastAsiaTheme="majorEastAsia" w:hAnsi="Griffith Serif Text" w:cs="Times New Roman (Headings CS)"/>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eastAsiaTheme="majorEastAsia" w:hAnsi="Griffith Serif Text" w:cs="Times New Roman (Headings CS)"/>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eastAsiaTheme="majorEastAsia" w:hAnsi="Griffith Serif Text" w:cs="Times New Roman (Headings CS)"/>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eastAsiaTheme="majorEastAsia" w:cs="Times New Roman (Headings CS)"/>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eastAsiaTheme="majorEastAsia" w:cs="Times New Roman (Headings CS)"/>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eastAsiaTheme="majorEastAsia" w:cs="Times New Roman (Headings CS)"/>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eastAsiaTheme="majorEastAsia" w:cs="Times New Roman (Headings 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2D8"/>
    <w:rPr>
      <w:rFonts w:ascii="Griffith Serif Text" w:eastAsiaTheme="majorEastAsia" w:hAnsi="Griffith Serif Text" w:cs="Times New Roman (Headings CS)"/>
      <w:b/>
      <w:bCs/>
      <w:color w:val="E51F30"/>
      <w:kern w:val="2"/>
      <w:sz w:val="48"/>
      <w:szCs w:val="28"/>
      <w14:ligatures w14:val="all"/>
    </w:rPr>
  </w:style>
  <w:style w:type="character" w:customStyle="1" w:styleId="Heading2Char">
    <w:name w:val="Heading 2 Char"/>
    <w:link w:val="Heading2"/>
    <w:uiPriority w:val="9"/>
    <w:rsid w:val="006C42D8"/>
    <w:rPr>
      <w:rFonts w:ascii="Griffith Serif Text" w:eastAsiaTheme="majorEastAsia" w:hAnsi="Griffith Serif Text" w:cs="Times New Roman (Headings CS)"/>
      <w:b/>
      <w:bCs/>
      <w:iCs/>
      <w:color w:val="E51F30"/>
      <w:kern w:val="2"/>
      <w:sz w:val="32"/>
      <w:szCs w:val="26"/>
      <w14:ligatures w14:val="all"/>
    </w:rPr>
  </w:style>
  <w:style w:type="character" w:customStyle="1" w:styleId="Heading3Char">
    <w:name w:val="Heading 3 Char"/>
    <w:link w:val="Heading3"/>
    <w:uiPriority w:val="9"/>
    <w:rsid w:val="000728E0"/>
    <w:rPr>
      <w:rFonts w:ascii="Griffith Serif Text" w:eastAsiaTheme="majorEastAsia" w:hAnsi="Griffith Serif Text" w:cs="Times New Roman (Headings CS)"/>
      <w:b/>
      <w:bCs/>
      <w:color w:val="E51F30"/>
      <w:kern w:val="2"/>
      <w:sz w:val="28"/>
      <w14:ligatures w14:val="all"/>
    </w:rPr>
  </w:style>
  <w:style w:type="character" w:customStyle="1" w:styleId="Heading4Char">
    <w:name w:val="Heading 4 Char"/>
    <w:link w:val="Heading4"/>
    <w:uiPriority w:val="9"/>
    <w:rsid w:val="00FA2D28"/>
    <w:rPr>
      <w:rFonts w:ascii="Griffith Sans Text" w:eastAsiaTheme="majorEastAsia" w:hAnsi="Griffith Sans Text" w:cs="Times New Roman (Headings CS)"/>
      <w:b/>
      <w:bCs/>
      <w:iCs/>
      <w:kern w:val="2"/>
      <w:sz w:val="24"/>
    </w:rPr>
  </w:style>
  <w:style w:type="character" w:customStyle="1" w:styleId="Heading5Char">
    <w:name w:val="Heading 5 Char"/>
    <w:link w:val="Heading5"/>
    <w:uiPriority w:val="9"/>
    <w:rsid w:val="00FA2D28"/>
    <w:rPr>
      <w:rFonts w:ascii="Griffith Sans Text" w:eastAsiaTheme="majorEastAsia" w:hAnsi="Griffith Sans Text" w:cs="Times New Roman (Headings CS)"/>
      <w:b/>
      <w:kern w:val="2"/>
      <w:sz w:val="20"/>
    </w:rPr>
  </w:style>
  <w:style w:type="numbering" w:customStyle="1" w:styleId="CurrentList4">
    <w:name w:val="Current List4"/>
    <w:uiPriority w:val="99"/>
    <w:rsid w:val="00B26F8D"/>
    <w:pPr>
      <w:numPr>
        <w:numId w:val="4"/>
      </w:numPr>
    </w:pPr>
  </w:style>
  <w:style w:type="character" w:customStyle="1" w:styleId="Heading6Char">
    <w:name w:val="Heading 6 Char"/>
    <w:link w:val="Heading6"/>
    <w:uiPriority w:val="9"/>
    <w:semiHidden/>
    <w:rsid w:val="00785535"/>
    <w:rPr>
      <w:rFonts w:ascii="Griffith Sans Text" w:eastAsiaTheme="majorEastAsia" w:hAnsi="Griffith Sans Text" w:cs="Times New Roman (Headings CS)"/>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eastAsiaTheme="majorEastAsia" w:hAnsi="Griffith Serif Text" w:cs="Times New Roman (Headings CS)"/>
      <w:b/>
      <w:color w:val="E51F30"/>
      <w:spacing w:val="5"/>
      <w:sz w:val="24"/>
      <w:szCs w:val="52"/>
    </w:rPr>
  </w:style>
  <w:style w:type="character" w:customStyle="1" w:styleId="TitleChar">
    <w:name w:val="Title Char"/>
    <w:link w:val="Title"/>
    <w:uiPriority w:val="10"/>
    <w:rsid w:val="006F4576"/>
    <w:rPr>
      <w:rFonts w:ascii="Griffith Serif Text" w:eastAsiaTheme="majorEastAsia" w:hAnsi="Griffith Serif Text" w:cs="Times New Roman (Headings CS)"/>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customStyle="1" w:styleId="SubtitleChar">
    <w:name w:val="Subtitle Char"/>
    <w:link w:val="Subtitle"/>
    <w:uiPriority w:val="11"/>
    <w:rsid w:val="006F4576"/>
    <w:rPr>
      <w:rFonts w:ascii="Griffith Sans Text" w:hAnsi="Griffith Sans Text" w:cs="Times New Roman (Body CS)"/>
      <w:i/>
      <w:iCs/>
      <w:spacing w:val="15"/>
      <w:kern w:val="2"/>
      <w:sz w:val="18"/>
      <w:szCs w:val="24"/>
    </w:rPr>
  </w:style>
  <w:style w:type="character" w:customStyle="1" w:styleId="Heading7Char">
    <w:name w:val="Heading 7 Char"/>
    <w:basedOn w:val="DefaultParagraphFont"/>
    <w:link w:val="Heading7"/>
    <w:uiPriority w:val="9"/>
    <w:semiHidden/>
    <w:rsid w:val="006F4576"/>
    <w:rPr>
      <w:rFonts w:ascii="Griffith Sans Text" w:eastAsiaTheme="minorEastAsia" w:hAnsi="Griffith Sans Text" w:cs="Times New Roman (Body CS)"/>
      <w:kern w:val="2"/>
      <w:sz w:val="20"/>
      <w:szCs w:val="24"/>
    </w:rPr>
  </w:style>
  <w:style w:type="character" w:customStyle="1" w:styleId="Heading8Char">
    <w:name w:val="Heading 8 Char"/>
    <w:basedOn w:val="DefaultParagraphFont"/>
    <w:link w:val="Heading8"/>
    <w:uiPriority w:val="9"/>
    <w:semiHidden/>
    <w:rsid w:val="006F4576"/>
    <w:rPr>
      <w:rFonts w:ascii="Griffith Sans Text" w:eastAsiaTheme="minorEastAsia" w:hAnsi="Griffith Sans Text" w:cs="Times New Roman (Body CS)"/>
      <w:i/>
      <w:iCs/>
      <w:kern w:val="2"/>
      <w:sz w:val="24"/>
      <w:szCs w:val="24"/>
    </w:rPr>
  </w:style>
  <w:style w:type="character" w:customStyle="1" w:styleId="Heading9Char">
    <w:name w:val="Heading 9 Char"/>
    <w:basedOn w:val="DefaultParagraphFont"/>
    <w:link w:val="Heading9"/>
    <w:uiPriority w:val="9"/>
    <w:semiHidden/>
    <w:rsid w:val="006F4576"/>
    <w:rPr>
      <w:rFonts w:ascii="Griffith Sans Text" w:eastAsiaTheme="majorEastAsia" w:hAnsi="Griffith Sans Text" w:cs="Times New Roman (Headings CS)"/>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7"/>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customStyle="1" w:styleId="QuoteChar">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sz="4" w:space="4" w:color="DA1E12"/>
      </w:pBdr>
      <w:spacing w:before="200" w:after="280"/>
      <w:ind w:left="936" w:right="936"/>
    </w:pPr>
    <w:rPr>
      <w:b/>
      <w:bCs/>
      <w:i/>
      <w:iCs/>
      <w:color w:val="E51F30"/>
    </w:rPr>
  </w:style>
  <w:style w:type="character" w:customStyle="1" w:styleId="IntenseQuoteChar">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16404C"/>
    <w:rPr>
      <w:rFonts w:ascii="Griffith Sans Text" w:hAnsi="Griffith Sans Text" w:cs="Times New Roman (Body CS)"/>
      <w:kern w:val="2"/>
      <w:sz w:val="16"/>
    </w:rPr>
  </w:style>
  <w:style w:type="numbering" w:customStyle="1" w:styleId="CurrentList3">
    <w:name w:val="Current List3"/>
    <w:uiPriority w:val="99"/>
    <w:rsid w:val="00EB67A0"/>
    <w:pPr>
      <w:numPr>
        <w:numId w:val="3"/>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customStyle="1" w:styleId="CurrentList5">
    <w:name w:val="Current List5"/>
    <w:uiPriority w:val="99"/>
    <w:rsid w:val="0050449E"/>
    <w:pPr>
      <w:numPr>
        <w:numId w:val="5"/>
      </w:numPr>
    </w:pPr>
  </w:style>
  <w:style w:type="paragraph" w:customStyle="1" w:styleId="blockquote">
    <w:name w:val="block quote"/>
    <w:basedOn w:val="Normal"/>
    <w:link w:val="blockquoteChar"/>
    <w:qFormat/>
    <w:rsid w:val="00CA6305"/>
    <w:pPr>
      <w:spacing w:before="120" w:after="240" w:line="240" w:lineRule="auto"/>
      <w:ind w:left="454" w:right="454"/>
    </w:pPr>
  </w:style>
  <w:style w:type="numbering" w:customStyle="1" w:styleId="CurrentList6">
    <w:name w:val="Current List6"/>
    <w:uiPriority w:val="99"/>
    <w:rsid w:val="0050449E"/>
    <w:pPr>
      <w:numPr>
        <w:numId w:val="6"/>
      </w:numPr>
    </w:pPr>
  </w:style>
  <w:style w:type="character" w:customStyle="1" w:styleId="blockquoteChar">
    <w:name w:val="block quote Char"/>
    <w:basedOn w:val="DefaultParagraphFont"/>
    <w:link w:val="blockquote"/>
    <w:rsid w:val="00CA6305"/>
    <w:rPr>
      <w:rFonts w:ascii="Griffith Sans Text" w:hAnsi="Griffith Sans Text" w:cs="Times New Roman (Body CS)"/>
      <w:kern w:val="2"/>
      <w:sz w:val="18"/>
    </w:rPr>
  </w:style>
  <w:style w:type="paragraph" w:customStyle="1" w:styleId="Numberedlist">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customStyle="1" w:styleId="CurrentList1">
    <w:name w:val="Current List1"/>
    <w:uiPriority w:val="99"/>
    <w:rsid w:val="0048248F"/>
    <w:pPr>
      <w:numPr>
        <w:numId w:val="1"/>
      </w:numPr>
    </w:pPr>
  </w:style>
  <w:style w:type="numbering" w:customStyle="1" w:styleId="CurrentList2">
    <w:name w:val="Current List2"/>
    <w:uiPriority w:val="99"/>
    <w:rsid w:val="00267CCA"/>
    <w:pPr>
      <w:numPr>
        <w:numId w:val="2"/>
      </w:numPr>
    </w:pPr>
  </w:style>
  <w:style w:type="paragraph" w:styleId="TOC1">
    <w:name w:val="toc 1"/>
    <w:basedOn w:val="Normal"/>
    <w:next w:val="Normal"/>
    <w:autoRedefine/>
    <w:uiPriority w:val="39"/>
    <w:semiHidden/>
    <w:unhideWhenUsed/>
    <w:rsid w:val="006F4576"/>
    <w:pPr>
      <w:spacing w:after="100"/>
    </w:pPr>
  </w:style>
  <w:style w:type="numbering" w:customStyle="1" w:styleId="CurrentList7">
    <w:name w:val="Current List7"/>
    <w:uiPriority w:val="99"/>
    <w:rsid w:val="008C5983"/>
    <w:pPr>
      <w:numPr>
        <w:numId w:val="8"/>
      </w:numPr>
    </w:pPr>
  </w:style>
  <w:style w:type="character" w:customStyle="1" w:styleId="FooterChar">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customStyle="1" w:styleId="NormalWhite">
    <w:name w:val="Normal (White)"/>
    <w:basedOn w:val="Normal"/>
    <w:qFormat/>
    <w:rsid w:val="00A144B2"/>
    <w:pPr>
      <w:jc w:val="both"/>
    </w:pPr>
    <w:rPr>
      <w:rFonts w:ascii="Arial" w:hAnsi="Arial" w:cstheme="minorBidi"/>
      <w:color w:val="FFFFFF" w:themeColor="background1"/>
      <w:kern w:val="0"/>
      <w:sz w:val="20"/>
      <w:u w:color="F04E45"/>
    </w:rPr>
  </w:style>
  <w:style w:type="character" w:customStyle="1" w:styleId="normaltextrun">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eastAsia="Times New Roman" w:hAnsi="Calibri" w:cs="Times New Roman"/>
      <w:kern w:val="0"/>
      <w:sz w:val="20"/>
      <w:szCs w:val="20"/>
    </w:rPr>
  </w:style>
  <w:style w:type="character" w:customStyle="1" w:styleId="FootnoteTextChar">
    <w:name w:val="Footnote Text Char"/>
    <w:basedOn w:val="DefaultParagraphFont"/>
    <w:link w:val="FootnoteText"/>
    <w:uiPriority w:val="99"/>
    <w:rsid w:val="00E77B43"/>
    <w:rPr>
      <w:rFonts w:ascii="Calibri" w:eastAsia="Times New Roman" w:hAnsi="Calibri" w:cs="Times New Roman"/>
      <w:sz w:val="20"/>
      <w:szCs w:val="20"/>
    </w:rPr>
  </w:style>
  <w:style w:type="character" w:customStyle="1" w:styleId="ui-provider">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customStyle="1" w:styleId="NoSpacingChar">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s@griffith.edu.au" TargetMode="External"/><Relationship Id="rId18" Type="http://schemas.openxmlformats.org/officeDocument/2006/relationships/hyperlink" Target="https://www.legislation.qld.gov.au/view/pdf/inforce/current/sl-2021-014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file:///\\staff.ad.griffith.edu.au\ud\fr\s2998396\Desktop\Health,%20Safety%20and%20Wellbeing%20Policy" TargetMode="External"/><Relationship Id="rId7" Type="http://schemas.openxmlformats.org/officeDocument/2006/relationships/webSettings" Target="webSettings.xml"/><Relationship Id="rId12" Type="http://schemas.openxmlformats.org/officeDocument/2006/relationships/hyperlink" Target="mailto:crs@griffith.edu.au" TargetMode="External"/><Relationship Id="rId17" Type="http://schemas.openxmlformats.org/officeDocument/2006/relationships/hyperlink" Target="https://www.legislation.qld.gov.au/view/html/inforce/current/act-2019-02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tc.gov.au/codes-and-guidelines/australian-dangerous-goods-code" TargetMode="External"/><Relationship Id="rId20" Type="http://schemas.openxmlformats.org/officeDocument/2006/relationships/hyperlink" Target="https://www.nationalsecurity.gov.au/chemical-security-subsite/Files/code-of-practice-chemical-security.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s@griffith.edu.au" TargetMode="External"/><Relationship Id="rId24" Type="http://schemas.openxmlformats.org/officeDocument/2006/relationships/hyperlink" Target="https://www.griffith.edu.au/__data/assets/pdf_file/0032/327965/Griffith-Substance-Management-Plan-SMP_Signed.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egislation.qld.gov.au/view/html/inforce/current/sl-2011-0240" TargetMode="External"/><Relationship Id="rId23" Type="http://schemas.openxmlformats.org/officeDocument/2006/relationships/hyperlink" Target="https://sharepointpubstor.blob.core.windows.net/policylibrary-prod/Special%20Approver%20Guidelines.pdf" TargetMode="External"/><Relationship Id="rId28" Type="http://schemas.openxmlformats.org/officeDocument/2006/relationships/header" Target="header2.xml"/><Relationship Id="rId10" Type="http://schemas.openxmlformats.org/officeDocument/2006/relationships/hyperlink" Target="mailto:crs@griffith.edu.au" TargetMode="External"/><Relationship Id="rId19" Type="http://schemas.openxmlformats.org/officeDocument/2006/relationships/hyperlink" Target="https://www.legislation.gov.au/Details/F2023L00864" TargetMode="External"/><Relationship Id="rId31"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qld.gov.au/view/pdf/inforce/current/act-2011-018" TargetMode="External"/><Relationship Id="rId22" Type="http://schemas.openxmlformats.org/officeDocument/2006/relationships/hyperlink" Target="https://sharepointpubstor.blob.core.windows.net/policylibrary-prod/Managing%20Chemicals%20Standard.pdf"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FoundrySterling-Light">
    <w:altName w:val="Cambria"/>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2023-12-21T00:54:03+00:00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the requirements risk assessing the work processes associated with chemicals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572</Value>
      <Value>116</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2023-12-20T14:00:00+00:00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Props1.xml><?xml version="1.0" encoding="utf-8"?>
<ds:datastoreItem xmlns:ds="http://schemas.openxmlformats.org/officeDocument/2006/customXml" ds:itemID="{A4565656-F696-48DF-98A8-29FFD3D1514C}"/>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6601E057-6B15-4853-B8C3-1649F412EDCA}">
  <ds:schemaRefs>
    <ds:schemaRef ds:uri="http://purl.org/dc/terms/"/>
    <ds:schemaRef ds:uri="fca251d2-143f-40fd-94ee-fad38e5b4029"/>
    <ds:schemaRef ds:uri="http://schemas.microsoft.com/office/2006/documentManagement/types"/>
    <ds:schemaRef ds:uri="http://schemas.openxmlformats.org/package/2006/metadata/core-properties"/>
    <ds:schemaRef ds:uri="http://purl.org/dc/elements/1.1/"/>
    <ds:schemaRef ds:uri="5b6838e7-3899-4ed1-ad9b-b330ff5ed565"/>
    <ds:schemaRef ds:uri="http://schemas.microsoft.com/office/infopath/2007/PartnerControls"/>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21</TotalTime>
  <Pages>9</Pages>
  <Words>2032</Words>
  <Characters>13922</Characters>
  <Application>Microsoft Office Word</Application>
  <DocSecurity>0</DocSecurity>
  <Lines>1546</Lines>
  <Paragraphs>613</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Assessing Chemicals Procedure</dc:title>
  <dc:creator>Jen Lofgren</dc:creator>
  <cp:lastModifiedBy>Charlie Partridge</cp:lastModifiedBy>
  <cp:revision>5</cp:revision>
  <dcterms:created xsi:type="dcterms:W3CDTF">2023-12-21T00:37:00Z</dcterms:created>
  <dcterms:modified xsi:type="dcterms:W3CDTF">2023-12-21T00:50:00Z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e790733b854c20bf03de33e8cea16975c69a3261cb4de0a337e3323e265773ef</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policyreview">
    <vt:lpwstr>116;#2025|fa1cf741-e18b-4093-9127-a4b8f49df0e9</vt:lpwstr>
  </property>
  <property fmtid="{D5CDD505-2E9C-101B-9397-08002B2CF9AE}" pid="21" name="policyaudience">
    <vt:lpwstr>572;#Staff and Student|e31810fd-0fc5-4050-aa32-a98462f8b255</vt:lpwstr>
  </property>
  <property fmtid="{D5CDD505-2E9C-101B-9397-08002B2CF9AE}" pid="22" name="Managed_Testing_Field">
    <vt:lpwstr/>
  </property>
  <property fmtid="{D5CDD505-2E9C-101B-9397-08002B2CF9AE}" pid="23" name="policy-category">
    <vt:lpwstr>526;#Operational|71ae2c77-9666-4d6a-a97b-3458c18553a0</vt:lpwstr>
  </property>
  <property fmtid="{D5CDD505-2E9C-101B-9397-08002B2CF9AE}" pid="24" name="glossaryterms">
    <vt:lpwstr/>
  </property>
</Properties>
</file>