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78ABE442" w:rsidR="00ED6047" w:rsidRPr="000C7000" w:rsidRDefault="00D576AE" w:rsidP="00A144B2">
      <w:pPr>
        <w:pStyle w:val="Heading1"/>
        <w:spacing w:before="0" w:after="240"/>
        <w:rPr>
          <w:rFonts w:ascii="Griffith Sans Text" w:hAnsi="Griffith Sans Text"/>
          <w:sz w:val="52"/>
          <w:szCs w:val="32"/>
        </w:rPr>
      </w:pPr>
      <w:r w:rsidRPr="00D576AE">
        <w:rPr>
          <w:rFonts w:ascii="Griffith Sans Text" w:hAnsi="Griffith Sans Text"/>
          <w:sz w:val="52"/>
          <w:szCs w:val="32"/>
        </w:rPr>
        <w:t>Relocation Assistance</w:t>
      </w:r>
    </w:p>
    <w:p w14:paraId="4B56D564" w14:textId="33010313" w:rsidR="00A144B2" w:rsidRPr="000C7000" w:rsidRDefault="002613DA" w:rsidP="00E166E0">
      <w:pPr>
        <w:pStyle w:val="Heading2"/>
        <w:spacing w:before="0" w:after="0"/>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2613DA" w:rsidP="00E166E0">
      <w:pPr>
        <w:pStyle w:val="Heading2"/>
        <w:spacing w:before="0" w:after="0"/>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0D66FD5B" w:rsidR="00732202" w:rsidRPr="000C7000" w:rsidRDefault="00FF586B" w:rsidP="007735FC">
      <w:pPr>
        <w:pStyle w:val="Heading2"/>
        <w:spacing w:before="0" w:after="0"/>
        <w:ind w:left="284" w:hanging="284"/>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D576AE">
        <w:rPr>
          <w:rFonts w:ascii="Griffith Sans Text" w:hAnsi="Griffith Sans Text"/>
          <w:b w:val="0"/>
          <w:bCs w:val="0"/>
          <w:sz w:val="24"/>
          <w:szCs w:val="18"/>
        </w:rPr>
        <w:instrText>HYPERLINK  \l "_3.7_Visas"</w:instrText>
      </w:r>
      <w:r w:rsidR="00D576AE"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C76573" w:rsidRPr="000C7000">
        <w:rPr>
          <w:rFonts w:ascii="Griffith Sans Text" w:hAnsi="Griffith Sans Text"/>
          <w:b w:val="0"/>
          <w:bCs w:val="0"/>
          <w:sz w:val="24"/>
          <w:szCs w:val="18"/>
        </w:rPr>
        <w:t xml:space="preserve"> </w:t>
      </w:r>
      <w:r w:rsidR="007735FC">
        <w:rPr>
          <w:rFonts w:ascii="Griffith Sans Text" w:hAnsi="Griffith Sans Text"/>
          <w:b w:val="0"/>
          <w:bCs w:val="0"/>
          <w:sz w:val="24"/>
          <w:szCs w:val="18"/>
        </w:rPr>
        <w:br/>
      </w:r>
      <w:r w:rsidR="007735FC" w:rsidRPr="007735FC">
        <w:rPr>
          <w:rFonts w:ascii="Griffith Sans Text" w:hAnsi="Griffith Sans Text"/>
          <w:b w:val="0"/>
          <w:bCs w:val="0"/>
          <w:sz w:val="24"/>
          <w:szCs w:val="18"/>
        </w:rPr>
        <w:t>3.1 Eligibility | 3.2 R</w:t>
      </w:r>
      <w:r w:rsidR="007735FC" w:rsidRPr="007735FC">
        <w:rPr>
          <w:rFonts w:ascii="Griffith Sans Text" w:hAnsi="Griffith Sans Text"/>
          <w:b w:val="0"/>
          <w:bCs w:val="0"/>
          <w:sz w:val="24"/>
          <w:szCs w:val="18"/>
        </w:rPr>
        <w:t>e</w:t>
      </w:r>
      <w:r w:rsidR="007735FC" w:rsidRPr="007735FC">
        <w:rPr>
          <w:rFonts w:ascii="Griffith Sans Text" w:hAnsi="Griffith Sans Text"/>
          <w:b w:val="0"/>
          <w:bCs w:val="0"/>
          <w:sz w:val="24"/>
          <w:szCs w:val="18"/>
        </w:rPr>
        <w:t xml:space="preserve">cruitment and Selection | 3.3 Relocation and removal assistance | </w:t>
      </w:r>
      <w:r w:rsidR="007735FC">
        <w:rPr>
          <w:rFonts w:ascii="Griffith Sans Text" w:hAnsi="Griffith Sans Text"/>
          <w:b w:val="0"/>
          <w:bCs w:val="0"/>
          <w:sz w:val="24"/>
          <w:szCs w:val="18"/>
        </w:rPr>
        <w:br/>
      </w:r>
      <w:r w:rsidR="007735FC" w:rsidRPr="007735FC">
        <w:rPr>
          <w:rFonts w:ascii="Griffith Sans Text" w:hAnsi="Griffith Sans Text"/>
          <w:b w:val="0"/>
          <w:bCs w:val="0"/>
          <w:sz w:val="24"/>
          <w:szCs w:val="18"/>
        </w:rPr>
        <w:t xml:space="preserve">3.4 Arrangement and payment of relocation service | 3.5 Early cessation of employment | </w:t>
      </w:r>
      <w:r w:rsidR="007735FC">
        <w:rPr>
          <w:rFonts w:ascii="Griffith Sans Text" w:hAnsi="Griffith Sans Text"/>
          <w:b w:val="0"/>
          <w:bCs w:val="0"/>
          <w:sz w:val="24"/>
          <w:szCs w:val="18"/>
        </w:rPr>
        <w:br/>
      </w:r>
      <w:r w:rsidR="007735FC" w:rsidRPr="007735FC">
        <w:rPr>
          <w:rFonts w:ascii="Griffith Sans Text" w:hAnsi="Griffith Sans Text"/>
          <w:b w:val="0"/>
          <w:bCs w:val="0"/>
          <w:sz w:val="24"/>
          <w:szCs w:val="18"/>
        </w:rPr>
        <w:t>3.6 Immigration Assistance | 3.7 Visas</w:t>
      </w:r>
    </w:p>
    <w:p w14:paraId="574A747E" w14:textId="566E80F7" w:rsidR="00A144B2" w:rsidRPr="000C7000" w:rsidRDefault="00FF586B" w:rsidP="00EA6334">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5841146F" w14:textId="7954781A" w:rsidR="00820F73" w:rsidRPr="004922AF" w:rsidRDefault="00D622E0" w:rsidP="004922AF">
      <w:pPr>
        <w:rPr>
          <w:rFonts w:cs="Arial"/>
        </w:rPr>
      </w:pPr>
      <w:r w:rsidRPr="00D622E0">
        <w:rPr>
          <w:rFonts w:cs="Arial"/>
        </w:rPr>
        <w:t>This procedure outlines the relocation assistance and the incentives available for both new and current appointees who are required to relocate in order to assume a new role at Griffith University (referred to as 'the University'). It encompasses a range of relocation and immigration support services that may be extended to appointees, serving as a mechanism to attract top-tier talent to the University</w:t>
      </w:r>
      <w:r>
        <w:rPr>
          <w:rFonts w:cs="Arial"/>
        </w:rPr>
        <w:t>.</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32381DE0" w14:textId="61E540F7" w:rsidR="00A144B2" w:rsidRPr="004922AF" w:rsidRDefault="00D622E0" w:rsidP="004922AF">
      <w:pPr>
        <w:rPr>
          <w:rFonts w:eastAsia="Calibri" w:cs="Arial"/>
        </w:rPr>
      </w:pPr>
      <w:r w:rsidRPr="00D622E0">
        <w:rPr>
          <w:rFonts w:eastAsia="Calibri" w:cs="Arial"/>
        </w:rPr>
        <w:t>This procedure applies to new continuing or fixed term appointments, where appointees are required to relocate to take up their employment with the University. It is not applicable to appointments involving casual or sessional staff, unpaid visitors, or honorary or adjunct appointees.</w:t>
      </w:r>
    </w:p>
    <w:p w14:paraId="738A9BC3" w14:textId="48FE5F59"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 xml:space="preserve">3.0 </w:t>
      </w:r>
      <w:r w:rsidR="007418A5" w:rsidRPr="00237AB3">
        <w:rPr>
          <w:rFonts w:ascii="Griffith Sans Text" w:hAnsi="Griffith Sans Text"/>
        </w:rPr>
        <w:t>Procedure</w:t>
      </w:r>
    </w:p>
    <w:p w14:paraId="7446A2FE" w14:textId="10F70A24" w:rsidR="000B71D9" w:rsidRPr="004922AF" w:rsidRDefault="000F43B1" w:rsidP="009A2E17">
      <w:r w:rsidRPr="000F43B1">
        <w:t xml:space="preserve">Where a new appointee needs to relocate to take up a position, the University may </w:t>
      </w:r>
      <w:proofErr w:type="gramStart"/>
      <w:r w:rsidRPr="000F43B1">
        <w:t>provide assistance</w:t>
      </w:r>
      <w:proofErr w:type="gramEnd"/>
      <w:r w:rsidRPr="000F43B1">
        <w:t xml:space="preserve"> with removal and relocation expenses and, where relevant, with immigration processes and documentation.</w:t>
      </w:r>
    </w:p>
    <w:p w14:paraId="301FA844" w14:textId="40FB20FD" w:rsidR="00A144B2" w:rsidRPr="001520D3" w:rsidRDefault="00A144B2" w:rsidP="001520D3">
      <w:pPr>
        <w:pStyle w:val="Heading3"/>
        <w:ind w:left="567"/>
        <w:rPr>
          <w:rFonts w:ascii="Griffith Sans Text" w:hAnsi="Griffith Sans Text"/>
        </w:rPr>
      </w:pPr>
      <w:bookmarkStart w:id="4" w:name="_3.1_[Insert_sub-heading]"/>
      <w:bookmarkStart w:id="5" w:name="_3.1_Eligibility"/>
      <w:bookmarkEnd w:id="4"/>
      <w:bookmarkEnd w:id="5"/>
      <w:r w:rsidRPr="001520D3">
        <w:rPr>
          <w:rFonts w:ascii="Griffith Sans Text" w:hAnsi="Griffith Sans Text"/>
        </w:rPr>
        <w:t xml:space="preserve">3.1 </w:t>
      </w:r>
      <w:r w:rsidR="007735FC" w:rsidRPr="007735FC">
        <w:rPr>
          <w:rFonts w:ascii="Griffith Sans Text" w:hAnsi="Griffith Sans Text"/>
        </w:rPr>
        <w:t>Eligibility</w:t>
      </w:r>
    </w:p>
    <w:p w14:paraId="6980EECB" w14:textId="77777777" w:rsidR="000F43B1" w:rsidRDefault="000F43B1" w:rsidP="000F43B1">
      <w:pPr>
        <w:pStyle w:val="NormalSubheading"/>
      </w:pPr>
      <w:r>
        <w:t>The University may offer relocation assistance to new appointees in the following circumstances:</w:t>
      </w:r>
    </w:p>
    <w:p w14:paraId="1255DA02" w14:textId="72537A88" w:rsidR="000F43B1" w:rsidRDefault="000F43B1" w:rsidP="000F43B1">
      <w:pPr>
        <w:pStyle w:val="NormalSubheading"/>
        <w:numPr>
          <w:ilvl w:val="0"/>
          <w:numId w:val="37"/>
        </w:numPr>
      </w:pPr>
      <w:r>
        <w:t>Where the appointee is taking up an academic position, a postdoctoral research fellowship, or an administrative or technical position at HEW 8 or above; and</w:t>
      </w:r>
    </w:p>
    <w:p w14:paraId="029946A9" w14:textId="5230BCE8" w:rsidR="000F43B1" w:rsidRDefault="000F43B1" w:rsidP="000F43B1">
      <w:pPr>
        <w:pStyle w:val="NormalSubheading"/>
        <w:numPr>
          <w:ilvl w:val="0"/>
          <w:numId w:val="37"/>
        </w:numPr>
      </w:pPr>
      <w:r>
        <w:t>Their current principal place of residence is further than 100km from the primary campus location of their new position; and</w:t>
      </w:r>
    </w:p>
    <w:p w14:paraId="4D388342" w14:textId="56EC75E3" w:rsidR="000F43B1" w:rsidRDefault="000F43B1" w:rsidP="000F43B1">
      <w:pPr>
        <w:pStyle w:val="NormalSubheading"/>
        <w:numPr>
          <w:ilvl w:val="0"/>
          <w:numId w:val="37"/>
        </w:numPr>
      </w:pPr>
      <w:r>
        <w:t>The appointment is for a period of at least two years.</w:t>
      </w:r>
    </w:p>
    <w:p w14:paraId="0C1047DC" w14:textId="77777777" w:rsidR="000F43B1" w:rsidRDefault="000F43B1" w:rsidP="000F43B1">
      <w:pPr>
        <w:pStyle w:val="NormalSubheading"/>
      </w:pPr>
      <w:r>
        <w:t>For appointees at levels not included in the categories mentioned and for fixed term appointments of less than two years, assistance will be evaluated individually, taking into consideration the necessity for specialised expertise or skills. In cases where external funding supports the appointments, the provision of relocation assistance will be subject to the discretion of the delegate or the funding entity.</w:t>
      </w:r>
    </w:p>
    <w:p w14:paraId="23A942CA" w14:textId="67A174F9" w:rsidR="0059325A" w:rsidRPr="004922AF" w:rsidRDefault="000F43B1" w:rsidP="000F43B1">
      <w:pPr>
        <w:pStyle w:val="NormalSubheading"/>
      </w:pPr>
      <w:r>
        <w:t>Immigration assistance provided on this basis must meet the requirements of the Department of Home Affairs.</w:t>
      </w:r>
    </w:p>
    <w:p w14:paraId="124F75BE" w14:textId="33C93E1F" w:rsidR="00E77B43" w:rsidRPr="001520D3" w:rsidRDefault="00A144B2" w:rsidP="001520D3">
      <w:pPr>
        <w:pStyle w:val="Heading3"/>
        <w:ind w:left="567"/>
        <w:rPr>
          <w:rFonts w:ascii="Griffith Sans Text" w:hAnsi="Griffith Sans Text"/>
        </w:rPr>
      </w:pPr>
      <w:bookmarkStart w:id="6" w:name="_3.2_[Insert_sub-heading]"/>
      <w:bookmarkStart w:id="7" w:name="_3.2_Recruitment_and"/>
      <w:bookmarkEnd w:id="6"/>
      <w:bookmarkEnd w:id="7"/>
      <w:r w:rsidRPr="001520D3">
        <w:rPr>
          <w:rFonts w:ascii="Griffith Sans Text" w:hAnsi="Griffith Sans Text"/>
        </w:rPr>
        <w:lastRenderedPageBreak/>
        <w:t xml:space="preserve">3.2 </w:t>
      </w:r>
      <w:r w:rsidR="007735FC" w:rsidRPr="007735FC">
        <w:rPr>
          <w:rFonts w:ascii="Griffith Sans Text" w:hAnsi="Griffith Sans Text"/>
        </w:rPr>
        <w:t>Recruitment and Selection</w:t>
      </w:r>
    </w:p>
    <w:p w14:paraId="155B2C8F" w14:textId="77777777" w:rsidR="000F43B1" w:rsidRPr="000F43B1" w:rsidRDefault="000F43B1" w:rsidP="000F43B1">
      <w:pPr>
        <w:ind w:left="567"/>
        <w:rPr>
          <w:rFonts w:cs="Arial"/>
        </w:rPr>
      </w:pPr>
      <w:r w:rsidRPr="000F43B1">
        <w:rPr>
          <w:rFonts w:cs="Arial"/>
        </w:rPr>
        <w:t>In collaboration with the Talent Acquisition team, the hiring manager or designated Delegate will assess the probability of needing relocation and immigration support. This assessment should encompass possible expenses and recruitment prerequisites, including Labour Market Testing, at the outset of the recruitment process.</w:t>
      </w:r>
    </w:p>
    <w:p w14:paraId="65C93879" w14:textId="77777777" w:rsidR="000F43B1" w:rsidRPr="000F43B1" w:rsidRDefault="000F43B1" w:rsidP="000F43B1">
      <w:pPr>
        <w:ind w:left="567"/>
        <w:rPr>
          <w:rFonts w:cs="Arial"/>
        </w:rPr>
      </w:pPr>
      <w:r w:rsidRPr="000F43B1">
        <w:rPr>
          <w:rFonts w:cs="Arial"/>
        </w:rPr>
        <w:t>Where it is determined that the preferred candidate will require relocation, the Delegate will engage in negotiations regarding relocation assistance in alignment with this Procedure. These terms will be formally incorporated into the offer of employment.</w:t>
      </w:r>
    </w:p>
    <w:p w14:paraId="50F3D544" w14:textId="521472FC" w:rsidR="00B508D5" w:rsidRDefault="000F43B1" w:rsidP="000F43B1">
      <w:pPr>
        <w:ind w:left="567"/>
        <w:rPr>
          <w:rFonts w:cs="Arial"/>
        </w:rPr>
      </w:pPr>
      <w:r w:rsidRPr="000F43B1">
        <w:rPr>
          <w:rFonts w:cs="Arial"/>
        </w:rPr>
        <w:t>The relevant Delegate will communicate the agreed-upon relocation assistance details to the Talent Acquisition team for inclusion in the written offer and provide guidance on the preferred relocation service provider</w:t>
      </w:r>
      <w:r>
        <w:rPr>
          <w:rFonts w:cs="Arial"/>
        </w:rPr>
        <w:t>.</w:t>
      </w:r>
    </w:p>
    <w:p w14:paraId="64C40C0B" w14:textId="5FA0DB5B" w:rsidR="007735FC" w:rsidRPr="001520D3" w:rsidRDefault="007735FC" w:rsidP="007735FC">
      <w:pPr>
        <w:pStyle w:val="Heading3"/>
        <w:ind w:left="567"/>
        <w:rPr>
          <w:rFonts w:ascii="Griffith Sans Text" w:hAnsi="Griffith Sans Text"/>
        </w:rPr>
      </w:pPr>
      <w:bookmarkStart w:id="8" w:name="_3.3_Relocation_and"/>
      <w:bookmarkEnd w:id="8"/>
      <w:r w:rsidRPr="001520D3">
        <w:rPr>
          <w:rFonts w:ascii="Griffith Sans Text" w:hAnsi="Griffith Sans Text"/>
        </w:rPr>
        <w:t>3.</w:t>
      </w:r>
      <w:r>
        <w:rPr>
          <w:rFonts w:ascii="Griffith Sans Text" w:hAnsi="Griffith Sans Text"/>
        </w:rPr>
        <w:t>3</w:t>
      </w:r>
      <w:r w:rsidRPr="001520D3">
        <w:rPr>
          <w:rFonts w:ascii="Griffith Sans Text" w:hAnsi="Griffith Sans Text"/>
        </w:rPr>
        <w:t xml:space="preserve"> </w:t>
      </w:r>
      <w:r w:rsidRPr="007735FC">
        <w:rPr>
          <w:rFonts w:ascii="Griffith Sans Text" w:hAnsi="Griffith Sans Text"/>
        </w:rPr>
        <w:t>Relocation and removal assistance</w:t>
      </w:r>
    </w:p>
    <w:p w14:paraId="1B239A2D" w14:textId="77777777" w:rsidR="00D97CF6" w:rsidRPr="00D97CF6" w:rsidRDefault="00D97CF6" w:rsidP="002613DA">
      <w:pPr>
        <w:ind w:left="567"/>
        <w:rPr>
          <w:rFonts w:cs="Arial"/>
        </w:rPr>
      </w:pPr>
      <w:r w:rsidRPr="00D97CF6">
        <w:rPr>
          <w:rFonts w:cs="Arial"/>
        </w:rPr>
        <w:t xml:space="preserve">The University may </w:t>
      </w:r>
      <w:proofErr w:type="gramStart"/>
      <w:r w:rsidRPr="00D97CF6">
        <w:rPr>
          <w:rFonts w:cs="Arial"/>
        </w:rPr>
        <w:t>offer assistance to</w:t>
      </w:r>
      <w:proofErr w:type="gramEnd"/>
      <w:r w:rsidRPr="00D97CF6">
        <w:rPr>
          <w:rFonts w:cs="Arial"/>
        </w:rPr>
        <w:t xml:space="preserve"> cover expenses incurred by an appointee and their approved dependents, subject to approval by the relevant Delegate. It's important to note that relocation assistance is only available for expenses and services that are exempt from Fringe Benefits Tax (FBT).</w:t>
      </w:r>
    </w:p>
    <w:p w14:paraId="3FDE80F9" w14:textId="77777777" w:rsidR="00D97CF6" w:rsidRPr="00D97CF6" w:rsidRDefault="00D97CF6" w:rsidP="002613DA">
      <w:pPr>
        <w:ind w:left="567"/>
        <w:rPr>
          <w:rFonts w:cs="Arial"/>
        </w:rPr>
      </w:pPr>
      <w:r w:rsidRPr="00D97CF6">
        <w:rPr>
          <w:rFonts w:cs="Arial"/>
        </w:rPr>
        <w:t>The relocation amount provided aims to make a reasonable contribution towards the overall relocation expenses and is not meant to cover all costs. If the actual expenses incurred are lower than the allowances provided, the remaining balance will be retained by the University.</w:t>
      </w:r>
    </w:p>
    <w:p w14:paraId="56069504" w14:textId="77777777" w:rsidR="00D97CF6" w:rsidRPr="00D97CF6" w:rsidRDefault="00D97CF6" w:rsidP="00D97CF6">
      <w:pPr>
        <w:ind w:left="567"/>
        <w:rPr>
          <w:rFonts w:cs="Arial"/>
        </w:rPr>
      </w:pPr>
      <w:r w:rsidRPr="00D97CF6">
        <w:rPr>
          <w:rFonts w:cs="Arial"/>
        </w:rPr>
        <w:t xml:space="preserve">For Domestic Relocation, the maximum payable amount is capped at $15,000 AUD (excluding any applicable visa costs). </w:t>
      </w:r>
    </w:p>
    <w:p w14:paraId="558F9C02" w14:textId="77777777" w:rsidR="00D97CF6" w:rsidRPr="00D97CF6" w:rsidRDefault="00D97CF6" w:rsidP="00D97CF6">
      <w:pPr>
        <w:ind w:left="567"/>
        <w:rPr>
          <w:rFonts w:cs="Arial"/>
        </w:rPr>
      </w:pPr>
      <w:r w:rsidRPr="00D97CF6">
        <w:rPr>
          <w:rFonts w:cs="Arial"/>
        </w:rPr>
        <w:t xml:space="preserve">For International Relocation, the maximum payable amount is capped at $25,000 AUD (excluding any applicable visa costs). </w:t>
      </w:r>
    </w:p>
    <w:p w14:paraId="0160E59A" w14:textId="77777777" w:rsidR="00D97CF6" w:rsidRPr="00D97CF6" w:rsidRDefault="00D97CF6" w:rsidP="00D97CF6">
      <w:pPr>
        <w:ind w:left="567"/>
        <w:rPr>
          <w:rFonts w:cs="Arial"/>
        </w:rPr>
      </w:pPr>
      <w:r w:rsidRPr="00D97CF6">
        <w:rPr>
          <w:rFonts w:cs="Arial"/>
        </w:rPr>
        <w:t>In exceptional cases where relocation expenses exceed these limits, a written request to increase the relocation assistance amount must be submitted and approved by the Delegate.</w:t>
      </w:r>
    </w:p>
    <w:p w14:paraId="500EE952" w14:textId="7D54F57F" w:rsidR="007735FC" w:rsidRDefault="00D97CF6" w:rsidP="00D97CF6">
      <w:pPr>
        <w:ind w:left="567"/>
        <w:rPr>
          <w:rFonts w:cs="Arial"/>
        </w:rPr>
      </w:pPr>
      <w:r w:rsidRPr="00D97CF6">
        <w:rPr>
          <w:rFonts w:cs="Arial"/>
        </w:rPr>
        <w:t>Inclusions available as follows:</w:t>
      </w:r>
    </w:p>
    <w:tbl>
      <w:tblPr>
        <w:tblStyle w:val="TableGrid"/>
        <w:tblW w:w="0" w:type="auto"/>
        <w:tblLayout w:type="fixed"/>
        <w:tblLook w:val="04A0" w:firstRow="1" w:lastRow="0" w:firstColumn="1" w:lastColumn="0" w:noHBand="0" w:noVBand="1"/>
      </w:tblPr>
      <w:tblGrid>
        <w:gridCol w:w="2100"/>
        <w:gridCol w:w="2670"/>
        <w:gridCol w:w="2460"/>
        <w:gridCol w:w="2025"/>
      </w:tblGrid>
      <w:tr w:rsidR="00D97CF6" w14:paraId="4C911489" w14:textId="77777777" w:rsidTr="00876210">
        <w:trPr>
          <w:cantSplit/>
          <w:trHeight w:val="300"/>
        </w:trPr>
        <w:tc>
          <w:tcPr>
            <w:tcW w:w="2100" w:type="dxa"/>
            <w:tcBorders>
              <w:top w:val="single" w:sz="8" w:space="0" w:color="auto"/>
              <w:left w:val="single" w:sz="8" w:space="0" w:color="auto"/>
              <w:bottom w:val="single" w:sz="8" w:space="0" w:color="auto"/>
              <w:right w:val="single" w:sz="8" w:space="0" w:color="auto"/>
            </w:tcBorders>
            <w:tcMar>
              <w:left w:w="108" w:type="dxa"/>
              <w:right w:w="108" w:type="dxa"/>
            </w:tcMar>
          </w:tcPr>
          <w:p w14:paraId="3546B570" w14:textId="77777777" w:rsidR="00D97CF6" w:rsidRPr="0002182F" w:rsidRDefault="00D97CF6" w:rsidP="00876210">
            <w:pPr>
              <w:spacing w:after="0"/>
              <w:rPr>
                <w:rFonts w:eastAsia="Calibri" w:cs="Arial"/>
                <w:b/>
                <w:szCs w:val="20"/>
              </w:rPr>
            </w:pPr>
            <w:r w:rsidRPr="0002182F">
              <w:rPr>
                <w:rFonts w:eastAsia="Calibri" w:cs="Arial"/>
                <w:b/>
                <w:bCs/>
                <w:szCs w:val="20"/>
              </w:rPr>
              <w:t>Type of Assistance</w:t>
            </w:r>
          </w:p>
        </w:tc>
        <w:tc>
          <w:tcPr>
            <w:tcW w:w="2670" w:type="dxa"/>
            <w:tcBorders>
              <w:top w:val="single" w:sz="8" w:space="0" w:color="auto"/>
              <w:left w:val="single" w:sz="8" w:space="0" w:color="auto"/>
              <w:bottom w:val="single" w:sz="8" w:space="0" w:color="auto"/>
              <w:right w:val="single" w:sz="8" w:space="0" w:color="auto"/>
            </w:tcBorders>
            <w:tcMar>
              <w:left w:w="108" w:type="dxa"/>
              <w:right w:w="108" w:type="dxa"/>
            </w:tcMar>
          </w:tcPr>
          <w:p w14:paraId="74AB5776" w14:textId="77777777" w:rsidR="00D97CF6" w:rsidRPr="0002182F" w:rsidRDefault="00D97CF6" w:rsidP="00876210">
            <w:pPr>
              <w:spacing w:after="0"/>
              <w:rPr>
                <w:rFonts w:eastAsia="Calibri" w:cs="Arial"/>
                <w:b/>
                <w:szCs w:val="20"/>
              </w:rPr>
            </w:pPr>
            <w:r w:rsidRPr="0002182F">
              <w:rPr>
                <w:rFonts w:eastAsia="Calibri" w:cs="Arial"/>
                <w:b/>
                <w:szCs w:val="20"/>
              </w:rPr>
              <w:t>Primary inclusions</w:t>
            </w:r>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
          <w:p w14:paraId="6C473889" w14:textId="77777777" w:rsidR="00D97CF6" w:rsidRPr="0002182F" w:rsidRDefault="00D97CF6" w:rsidP="00876210">
            <w:pPr>
              <w:spacing w:after="0"/>
              <w:rPr>
                <w:rFonts w:eastAsia="Calibri" w:cs="Arial"/>
                <w:b/>
                <w:szCs w:val="20"/>
              </w:rPr>
            </w:pPr>
            <w:r w:rsidRPr="0002182F">
              <w:rPr>
                <w:rFonts w:eastAsia="Calibri" w:cs="Arial"/>
                <w:b/>
                <w:szCs w:val="20"/>
              </w:rPr>
              <w:t>Discretionary inclusions</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0350C48D" w14:textId="77777777" w:rsidR="00D97CF6" w:rsidRPr="0002182F" w:rsidRDefault="00D97CF6" w:rsidP="00876210">
            <w:pPr>
              <w:spacing w:after="0"/>
              <w:rPr>
                <w:rFonts w:eastAsia="Calibri" w:cs="Arial"/>
                <w:b/>
                <w:szCs w:val="20"/>
              </w:rPr>
            </w:pPr>
            <w:r w:rsidRPr="0002182F">
              <w:rPr>
                <w:rFonts w:eastAsia="Calibri" w:cs="Arial"/>
                <w:b/>
                <w:szCs w:val="20"/>
              </w:rPr>
              <w:t>Not included</w:t>
            </w:r>
          </w:p>
        </w:tc>
      </w:tr>
      <w:tr w:rsidR="00D97CF6" w14:paraId="1EDCC3F8" w14:textId="77777777" w:rsidTr="00876210">
        <w:trPr>
          <w:cantSplit/>
          <w:trHeight w:val="300"/>
        </w:trPr>
        <w:tc>
          <w:tcPr>
            <w:tcW w:w="2100" w:type="dxa"/>
            <w:tcBorders>
              <w:top w:val="single" w:sz="8" w:space="0" w:color="auto"/>
              <w:left w:val="single" w:sz="8" w:space="0" w:color="auto"/>
              <w:bottom w:val="single" w:sz="8" w:space="0" w:color="auto"/>
              <w:right w:val="single" w:sz="8" w:space="0" w:color="auto"/>
            </w:tcBorders>
            <w:tcMar>
              <w:left w:w="108" w:type="dxa"/>
              <w:right w:w="108" w:type="dxa"/>
            </w:tcMar>
          </w:tcPr>
          <w:p w14:paraId="74CDB844" w14:textId="77777777" w:rsidR="00D97CF6" w:rsidRPr="0002182F" w:rsidRDefault="00D97CF6" w:rsidP="00876210">
            <w:pPr>
              <w:spacing w:after="0"/>
              <w:rPr>
                <w:rFonts w:eastAsia="Calibri" w:cs="Arial"/>
                <w:szCs w:val="20"/>
              </w:rPr>
            </w:pPr>
            <w:r w:rsidRPr="0002182F">
              <w:rPr>
                <w:rFonts w:eastAsia="Calibri" w:cs="Arial"/>
                <w:szCs w:val="20"/>
              </w:rPr>
              <w:t xml:space="preserve">Removal </w:t>
            </w:r>
          </w:p>
        </w:tc>
        <w:tc>
          <w:tcPr>
            <w:tcW w:w="2670" w:type="dxa"/>
            <w:tcBorders>
              <w:top w:val="single" w:sz="8" w:space="0" w:color="auto"/>
              <w:left w:val="single" w:sz="8" w:space="0" w:color="auto"/>
              <w:bottom w:val="single" w:sz="8" w:space="0" w:color="auto"/>
              <w:right w:val="single" w:sz="8" w:space="0" w:color="auto"/>
            </w:tcBorders>
            <w:tcMar>
              <w:left w:w="108" w:type="dxa"/>
              <w:right w:w="108" w:type="dxa"/>
            </w:tcMar>
          </w:tcPr>
          <w:p w14:paraId="1322FA26" w14:textId="77777777" w:rsidR="00D97CF6" w:rsidRPr="0002182F" w:rsidRDefault="00D97CF6" w:rsidP="00876210">
            <w:pPr>
              <w:spacing w:after="0"/>
              <w:rPr>
                <w:rFonts w:eastAsia="Calibri" w:cs="Arial"/>
                <w:szCs w:val="20"/>
              </w:rPr>
            </w:pPr>
            <w:r w:rsidRPr="5B4FA0B1">
              <w:rPr>
                <w:rFonts w:eastAsia="Arial" w:cs="Arial"/>
                <w:color w:val="000000" w:themeColor="text1"/>
                <w:szCs w:val="20"/>
              </w:rPr>
              <w:t>Reasonable household, personal and professional effects</w:t>
            </w:r>
            <w:r w:rsidRPr="0002182F">
              <w:rPr>
                <w:rFonts w:eastAsia="Calibri" w:cs="Arial"/>
                <w:szCs w:val="20"/>
              </w:rPr>
              <w:t>.</w:t>
            </w:r>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
          <w:p w14:paraId="3FE33795" w14:textId="77777777" w:rsidR="00D97CF6" w:rsidRPr="0002182F" w:rsidRDefault="00D97CF6" w:rsidP="00876210">
            <w:pPr>
              <w:spacing w:after="0"/>
              <w:rPr>
                <w:rFonts w:eastAsia="Calibri" w:cs="Arial"/>
                <w:szCs w:val="20"/>
              </w:rPr>
            </w:pPr>
            <w:r w:rsidRPr="0002182F">
              <w:rPr>
                <w:rFonts w:eastAsia="Calibri" w:cs="Arial"/>
                <w:szCs w:val="20"/>
              </w:rPr>
              <w:t>Pet, car transportation</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0AD81650" w14:textId="77777777" w:rsidR="00D97CF6" w:rsidRPr="0002182F" w:rsidRDefault="00D97CF6" w:rsidP="00876210">
            <w:pPr>
              <w:spacing w:after="0"/>
              <w:rPr>
                <w:rFonts w:eastAsia="Calibri" w:cs="Arial"/>
                <w:szCs w:val="20"/>
              </w:rPr>
            </w:pPr>
            <w:r w:rsidRPr="0002182F">
              <w:rPr>
                <w:rFonts w:eastAsia="Calibri" w:cs="Arial"/>
                <w:szCs w:val="20"/>
              </w:rPr>
              <w:t>Boats, caravans, high value works of art.</w:t>
            </w:r>
          </w:p>
        </w:tc>
      </w:tr>
      <w:tr w:rsidR="00D97CF6" w14:paraId="366A44BC" w14:textId="77777777" w:rsidTr="00876210">
        <w:trPr>
          <w:cantSplit/>
          <w:trHeight w:val="450"/>
        </w:trPr>
        <w:tc>
          <w:tcPr>
            <w:tcW w:w="210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1656D0D2" w14:textId="77777777" w:rsidR="00D97CF6" w:rsidRPr="0002182F" w:rsidRDefault="00D97CF6" w:rsidP="00876210">
            <w:pPr>
              <w:spacing w:after="0"/>
              <w:rPr>
                <w:rFonts w:eastAsia="Calibri" w:cs="Arial"/>
                <w:szCs w:val="20"/>
              </w:rPr>
            </w:pPr>
            <w:r w:rsidRPr="0002182F">
              <w:rPr>
                <w:rFonts w:eastAsia="Calibri" w:cs="Arial"/>
                <w:szCs w:val="20"/>
              </w:rPr>
              <w:t>Insurance Costs</w:t>
            </w:r>
          </w:p>
        </w:tc>
        <w:tc>
          <w:tcPr>
            <w:tcW w:w="2670" w:type="dxa"/>
            <w:tcBorders>
              <w:top w:val="single" w:sz="8" w:space="0" w:color="auto"/>
              <w:left w:val="single" w:sz="8" w:space="0" w:color="auto"/>
              <w:bottom w:val="single" w:sz="8" w:space="0" w:color="auto"/>
              <w:right w:val="single" w:sz="8" w:space="0" w:color="auto"/>
            </w:tcBorders>
            <w:tcMar>
              <w:left w:w="108" w:type="dxa"/>
              <w:right w:w="108" w:type="dxa"/>
            </w:tcMar>
          </w:tcPr>
          <w:p w14:paraId="1B95C5F5" w14:textId="77777777" w:rsidR="00D97CF6" w:rsidRPr="0002182F" w:rsidRDefault="00D97CF6" w:rsidP="00876210">
            <w:pPr>
              <w:spacing w:after="0"/>
              <w:rPr>
                <w:rFonts w:eastAsia="Calibri" w:cs="Arial"/>
                <w:szCs w:val="20"/>
              </w:rPr>
            </w:pPr>
            <w:r w:rsidRPr="5B4FA0B1">
              <w:rPr>
                <w:rFonts w:eastAsia="Arial" w:cs="Arial"/>
                <w:color w:val="000000" w:themeColor="text1"/>
                <w:szCs w:val="20"/>
              </w:rPr>
              <w:t xml:space="preserve">Domestic calculated at 2.5% per $1000 of declared </w:t>
            </w:r>
            <w:r w:rsidRPr="0002182F">
              <w:rPr>
                <w:rFonts w:eastAsia="Calibri" w:cs="Arial"/>
                <w:szCs w:val="20"/>
              </w:rPr>
              <w:t xml:space="preserve">effect values </w:t>
            </w:r>
          </w:p>
        </w:tc>
        <w:tc>
          <w:tcPr>
            <w:tcW w:w="2460"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5BD80E49" w14:textId="77777777" w:rsidR="00D97CF6" w:rsidRPr="0002182F" w:rsidRDefault="00D97CF6" w:rsidP="00876210">
            <w:pPr>
              <w:spacing w:after="0"/>
              <w:rPr>
                <w:rFonts w:eastAsia="Calibri" w:cs="Arial"/>
                <w:szCs w:val="20"/>
              </w:rPr>
            </w:pPr>
          </w:p>
        </w:tc>
        <w:tc>
          <w:tcPr>
            <w:tcW w:w="202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14:paraId="0AA8EEE6" w14:textId="77777777" w:rsidR="00D97CF6" w:rsidRPr="0002182F" w:rsidRDefault="00D97CF6" w:rsidP="00876210">
            <w:pPr>
              <w:spacing w:after="0"/>
              <w:rPr>
                <w:rFonts w:eastAsia="Calibri" w:cs="Arial"/>
                <w:szCs w:val="20"/>
              </w:rPr>
            </w:pPr>
            <w:r w:rsidRPr="0002182F">
              <w:rPr>
                <w:rFonts w:eastAsia="Calibri" w:cs="Arial"/>
                <w:szCs w:val="20"/>
              </w:rPr>
              <w:t>High value inventory items</w:t>
            </w:r>
          </w:p>
          <w:p w14:paraId="0DE1A202" w14:textId="77777777" w:rsidR="00D97CF6" w:rsidRPr="0002182F" w:rsidRDefault="00D97CF6" w:rsidP="00876210">
            <w:pPr>
              <w:spacing w:after="0"/>
              <w:rPr>
                <w:rFonts w:eastAsia="Calibri" w:cs="Arial"/>
                <w:szCs w:val="20"/>
              </w:rPr>
            </w:pPr>
          </w:p>
          <w:p w14:paraId="2410DFE6" w14:textId="77777777" w:rsidR="00D97CF6" w:rsidRPr="0002182F" w:rsidRDefault="00D97CF6" w:rsidP="00876210">
            <w:pPr>
              <w:spacing w:after="0"/>
              <w:rPr>
                <w:rFonts w:eastAsia="Calibri" w:cs="Arial"/>
                <w:szCs w:val="20"/>
              </w:rPr>
            </w:pPr>
          </w:p>
        </w:tc>
      </w:tr>
      <w:tr w:rsidR="00D97CF6" w14:paraId="39F282EF" w14:textId="77777777" w:rsidTr="00876210">
        <w:trPr>
          <w:cantSplit/>
          <w:trHeight w:val="450"/>
        </w:trPr>
        <w:tc>
          <w:tcPr>
            <w:tcW w:w="2100" w:type="dxa"/>
            <w:vMerge/>
            <w:tcBorders>
              <w:left w:val="single" w:sz="0" w:space="0" w:color="auto"/>
              <w:bottom w:val="single" w:sz="4" w:space="0" w:color="auto"/>
              <w:right w:val="single" w:sz="0" w:space="0" w:color="auto"/>
            </w:tcBorders>
            <w:vAlign w:val="center"/>
          </w:tcPr>
          <w:p w14:paraId="25DBB365" w14:textId="77777777" w:rsidR="00D97CF6" w:rsidRPr="0002182F" w:rsidRDefault="00D97CF6" w:rsidP="00876210">
            <w:pPr>
              <w:rPr>
                <w:rFonts w:cs="Arial"/>
                <w:szCs w:val="20"/>
              </w:rPr>
            </w:pPr>
          </w:p>
        </w:tc>
        <w:tc>
          <w:tcPr>
            <w:tcW w:w="2670" w:type="dxa"/>
            <w:tcBorders>
              <w:top w:val="single" w:sz="8" w:space="0" w:color="auto"/>
              <w:left w:val="nil"/>
              <w:bottom w:val="single" w:sz="4" w:space="0" w:color="auto"/>
              <w:right w:val="single" w:sz="8" w:space="0" w:color="auto"/>
            </w:tcBorders>
            <w:tcMar>
              <w:left w:w="108" w:type="dxa"/>
              <w:right w:w="108" w:type="dxa"/>
            </w:tcMar>
          </w:tcPr>
          <w:p w14:paraId="787DEE06" w14:textId="77777777" w:rsidR="00D97CF6" w:rsidRPr="0002182F" w:rsidRDefault="00D97CF6" w:rsidP="00876210">
            <w:pPr>
              <w:spacing w:after="0"/>
              <w:rPr>
                <w:rFonts w:eastAsia="Calibri" w:cs="Arial"/>
                <w:szCs w:val="20"/>
              </w:rPr>
            </w:pPr>
            <w:r w:rsidRPr="5B4FA0B1">
              <w:rPr>
                <w:rFonts w:eastAsia="Arial" w:cs="Arial"/>
                <w:color w:val="000000" w:themeColor="text1"/>
                <w:szCs w:val="20"/>
              </w:rPr>
              <w:t xml:space="preserve">International calculated at 3.5% per $1000 of declared </w:t>
            </w:r>
            <w:r w:rsidRPr="0002182F">
              <w:rPr>
                <w:rFonts w:eastAsia="Calibri" w:cs="Arial"/>
                <w:szCs w:val="20"/>
              </w:rPr>
              <w:t>effect values</w:t>
            </w:r>
          </w:p>
        </w:tc>
        <w:tc>
          <w:tcPr>
            <w:tcW w:w="2460" w:type="dxa"/>
            <w:vMerge/>
            <w:tcBorders>
              <w:left w:val="single" w:sz="0" w:space="0" w:color="auto"/>
              <w:bottom w:val="single" w:sz="4" w:space="0" w:color="auto"/>
              <w:right w:val="single" w:sz="0" w:space="0" w:color="auto"/>
            </w:tcBorders>
            <w:vAlign w:val="center"/>
          </w:tcPr>
          <w:p w14:paraId="12214F33" w14:textId="77777777" w:rsidR="00D97CF6" w:rsidRPr="0002182F" w:rsidRDefault="00D97CF6" w:rsidP="00876210">
            <w:pPr>
              <w:rPr>
                <w:rFonts w:cs="Arial"/>
                <w:szCs w:val="20"/>
              </w:rPr>
            </w:pPr>
          </w:p>
        </w:tc>
        <w:tc>
          <w:tcPr>
            <w:tcW w:w="2025" w:type="dxa"/>
            <w:vMerge/>
            <w:tcBorders>
              <w:left w:val="single" w:sz="0" w:space="0" w:color="auto"/>
              <w:bottom w:val="single" w:sz="4" w:space="0" w:color="auto"/>
              <w:right w:val="single" w:sz="0" w:space="0" w:color="auto"/>
            </w:tcBorders>
            <w:vAlign w:val="center"/>
          </w:tcPr>
          <w:p w14:paraId="22E8041D" w14:textId="77777777" w:rsidR="00D97CF6" w:rsidRPr="0002182F" w:rsidRDefault="00D97CF6" w:rsidP="00876210">
            <w:pPr>
              <w:rPr>
                <w:rFonts w:cs="Arial"/>
                <w:szCs w:val="20"/>
              </w:rPr>
            </w:pPr>
          </w:p>
        </w:tc>
      </w:tr>
      <w:tr w:rsidR="00D97CF6" w14:paraId="657CDD22" w14:textId="77777777" w:rsidTr="00876210">
        <w:trPr>
          <w:cantSplit/>
          <w:trHeight w:val="300"/>
        </w:trPr>
        <w:tc>
          <w:tcPr>
            <w:tcW w:w="2100" w:type="dxa"/>
            <w:tcBorders>
              <w:top w:val="single" w:sz="4" w:space="0" w:color="auto"/>
              <w:left w:val="single" w:sz="8" w:space="0" w:color="auto"/>
              <w:bottom w:val="single" w:sz="8" w:space="0" w:color="auto"/>
              <w:right w:val="single" w:sz="8" w:space="0" w:color="auto"/>
            </w:tcBorders>
            <w:tcMar>
              <w:left w:w="108" w:type="dxa"/>
              <w:right w:w="108" w:type="dxa"/>
            </w:tcMar>
          </w:tcPr>
          <w:p w14:paraId="2795DFB8" w14:textId="77777777" w:rsidR="00D97CF6" w:rsidRPr="0002182F" w:rsidRDefault="00D97CF6" w:rsidP="00876210">
            <w:pPr>
              <w:spacing w:after="0"/>
              <w:rPr>
                <w:rFonts w:eastAsia="Calibri" w:cs="Arial"/>
                <w:szCs w:val="20"/>
              </w:rPr>
            </w:pPr>
            <w:r w:rsidRPr="0002182F">
              <w:rPr>
                <w:rFonts w:eastAsia="Calibri" w:cs="Arial"/>
                <w:szCs w:val="20"/>
              </w:rPr>
              <w:lastRenderedPageBreak/>
              <w:t>Travel (Public)</w:t>
            </w:r>
          </w:p>
        </w:tc>
        <w:tc>
          <w:tcPr>
            <w:tcW w:w="2670" w:type="dxa"/>
            <w:tcBorders>
              <w:top w:val="single" w:sz="4" w:space="0" w:color="auto"/>
              <w:left w:val="single" w:sz="8" w:space="0" w:color="auto"/>
              <w:bottom w:val="single" w:sz="8" w:space="0" w:color="auto"/>
              <w:right w:val="single" w:sz="8" w:space="0" w:color="auto"/>
            </w:tcBorders>
            <w:tcMar>
              <w:left w:w="108" w:type="dxa"/>
              <w:right w:w="108" w:type="dxa"/>
            </w:tcMar>
          </w:tcPr>
          <w:p w14:paraId="3BB467F7" w14:textId="77777777" w:rsidR="00D97CF6" w:rsidRPr="0002182F" w:rsidRDefault="00D97CF6" w:rsidP="00876210">
            <w:pPr>
              <w:spacing w:after="0"/>
              <w:rPr>
                <w:rFonts w:eastAsia="Calibri" w:cs="Arial"/>
                <w:szCs w:val="20"/>
              </w:rPr>
            </w:pPr>
            <w:r w:rsidRPr="5B4FA0B1">
              <w:rPr>
                <w:rFonts w:eastAsia="Arial" w:cs="Arial"/>
                <w:color w:val="000000" w:themeColor="text1"/>
                <w:szCs w:val="20"/>
              </w:rPr>
              <w:t>Economy class airfare(s) or rail fare(s), or other public transport for the appointee and their depend</w:t>
            </w:r>
            <w:r w:rsidRPr="0002182F">
              <w:rPr>
                <w:rFonts w:eastAsia="Calibri" w:cs="Arial"/>
                <w:szCs w:val="20"/>
              </w:rPr>
              <w:t>ant(s) via the most direct route from the place of residence, plus reasonable associated airport or rail station transfer costs;</w:t>
            </w:r>
          </w:p>
        </w:tc>
        <w:tc>
          <w:tcPr>
            <w:tcW w:w="2460" w:type="dxa"/>
            <w:tcBorders>
              <w:top w:val="single" w:sz="4" w:space="0" w:color="auto"/>
              <w:left w:val="single" w:sz="8" w:space="0" w:color="auto"/>
              <w:bottom w:val="single" w:sz="8" w:space="0" w:color="auto"/>
              <w:right w:val="single" w:sz="8" w:space="0" w:color="auto"/>
            </w:tcBorders>
            <w:tcMar>
              <w:left w:w="108" w:type="dxa"/>
              <w:right w:w="108" w:type="dxa"/>
            </w:tcMar>
          </w:tcPr>
          <w:p w14:paraId="13054B92" w14:textId="77777777" w:rsidR="00D97CF6" w:rsidRPr="0002182F" w:rsidRDefault="00D97CF6" w:rsidP="00876210">
            <w:pPr>
              <w:spacing w:after="0"/>
              <w:rPr>
                <w:rFonts w:eastAsia="Calibri" w:cs="Arial"/>
                <w:szCs w:val="20"/>
              </w:rPr>
            </w:pPr>
          </w:p>
        </w:tc>
        <w:tc>
          <w:tcPr>
            <w:tcW w:w="2025" w:type="dxa"/>
            <w:tcBorders>
              <w:top w:val="single" w:sz="4" w:space="0" w:color="auto"/>
              <w:left w:val="single" w:sz="8" w:space="0" w:color="auto"/>
              <w:bottom w:val="single" w:sz="8" w:space="0" w:color="auto"/>
              <w:right w:val="single" w:sz="8" w:space="0" w:color="auto"/>
            </w:tcBorders>
            <w:tcMar>
              <w:left w:w="108" w:type="dxa"/>
              <w:right w:w="108" w:type="dxa"/>
            </w:tcMar>
          </w:tcPr>
          <w:p w14:paraId="4D30D58A" w14:textId="77777777" w:rsidR="00D97CF6" w:rsidRDefault="00D97CF6" w:rsidP="00876210">
            <w:pPr>
              <w:spacing w:after="0"/>
              <w:rPr>
                <w:rFonts w:eastAsia="Arial" w:cs="Arial"/>
                <w:color w:val="000000" w:themeColor="text1"/>
                <w:szCs w:val="20"/>
              </w:rPr>
            </w:pPr>
            <w:r w:rsidRPr="5B4FA0B1">
              <w:rPr>
                <w:rFonts w:eastAsia="Arial" w:cs="Arial"/>
                <w:color w:val="000000" w:themeColor="text1"/>
                <w:szCs w:val="20"/>
              </w:rPr>
              <w:t>Travel insurance for the travel undertaken</w:t>
            </w:r>
          </w:p>
        </w:tc>
      </w:tr>
      <w:tr w:rsidR="00D97CF6" w14:paraId="73A9AC9A" w14:textId="77777777" w:rsidTr="00876210">
        <w:trPr>
          <w:cantSplit/>
          <w:trHeight w:val="300"/>
        </w:trPr>
        <w:tc>
          <w:tcPr>
            <w:tcW w:w="2100" w:type="dxa"/>
            <w:tcBorders>
              <w:top w:val="single" w:sz="8" w:space="0" w:color="auto"/>
              <w:left w:val="single" w:sz="8" w:space="0" w:color="auto"/>
              <w:bottom w:val="single" w:sz="8" w:space="0" w:color="auto"/>
              <w:right w:val="single" w:sz="8" w:space="0" w:color="auto"/>
            </w:tcBorders>
            <w:tcMar>
              <w:left w:w="108" w:type="dxa"/>
              <w:right w:w="108" w:type="dxa"/>
            </w:tcMar>
          </w:tcPr>
          <w:p w14:paraId="023C3E91" w14:textId="77777777" w:rsidR="00D97CF6" w:rsidRPr="0002182F" w:rsidRDefault="00D97CF6" w:rsidP="00876210">
            <w:pPr>
              <w:spacing w:after="0"/>
              <w:rPr>
                <w:rFonts w:eastAsia="Calibri" w:cs="Arial"/>
                <w:szCs w:val="20"/>
              </w:rPr>
            </w:pPr>
            <w:r w:rsidRPr="0002182F">
              <w:rPr>
                <w:rFonts w:eastAsia="Calibri" w:cs="Arial"/>
                <w:szCs w:val="20"/>
              </w:rPr>
              <w:t>Travel (Private)</w:t>
            </w:r>
          </w:p>
        </w:tc>
        <w:tc>
          <w:tcPr>
            <w:tcW w:w="2670" w:type="dxa"/>
            <w:tcBorders>
              <w:top w:val="single" w:sz="8" w:space="0" w:color="auto"/>
              <w:left w:val="single" w:sz="8" w:space="0" w:color="auto"/>
              <w:bottom w:val="single" w:sz="8" w:space="0" w:color="auto"/>
              <w:right w:val="single" w:sz="8" w:space="0" w:color="auto"/>
            </w:tcBorders>
            <w:tcMar>
              <w:left w:w="108" w:type="dxa"/>
              <w:right w:w="108" w:type="dxa"/>
            </w:tcMar>
          </w:tcPr>
          <w:p w14:paraId="5C38F2A7" w14:textId="77777777" w:rsidR="00D97CF6" w:rsidRPr="0002182F" w:rsidRDefault="00D97CF6" w:rsidP="00876210">
            <w:pPr>
              <w:spacing w:after="0"/>
              <w:rPr>
                <w:rFonts w:eastAsia="Calibri" w:cs="Arial"/>
                <w:szCs w:val="20"/>
              </w:rPr>
            </w:pPr>
            <w:r w:rsidRPr="5B4FA0B1">
              <w:rPr>
                <w:rFonts w:eastAsia="Arial" w:cs="Arial"/>
                <w:color w:val="000000" w:themeColor="text1"/>
                <w:szCs w:val="20"/>
              </w:rPr>
              <w:t xml:space="preserve">Reimbursement of private travel costs via personal motor vehicle may include reasonable accommodation, meals, fuel, </w:t>
            </w:r>
            <w:proofErr w:type="gramStart"/>
            <w:r w:rsidRPr="0002182F">
              <w:rPr>
                <w:rFonts w:eastAsia="Calibri" w:cs="Arial"/>
                <w:szCs w:val="20"/>
              </w:rPr>
              <w:t>tolls</w:t>
            </w:r>
            <w:proofErr w:type="gramEnd"/>
            <w:r w:rsidRPr="0002182F">
              <w:rPr>
                <w:rFonts w:eastAsia="Calibri" w:cs="Arial"/>
                <w:szCs w:val="20"/>
              </w:rPr>
              <w:t xml:space="preserve"> and other travel-related costs incurred during the one-way journey by the most direct route.</w:t>
            </w:r>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
          <w:p w14:paraId="0FC1D06F" w14:textId="77777777" w:rsidR="00D97CF6" w:rsidRPr="0002182F" w:rsidRDefault="00D97CF6" w:rsidP="00876210">
            <w:pPr>
              <w:spacing w:after="0"/>
              <w:rPr>
                <w:rFonts w:eastAsia="Calibri" w:cs="Arial"/>
                <w:szCs w:val="20"/>
              </w:rPr>
            </w:pP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1965DBB0" w14:textId="77777777" w:rsidR="00D97CF6" w:rsidRPr="0002182F" w:rsidRDefault="00D97CF6" w:rsidP="00876210">
            <w:pPr>
              <w:spacing w:after="0"/>
              <w:rPr>
                <w:rFonts w:eastAsia="Calibri" w:cs="Arial"/>
                <w:szCs w:val="20"/>
              </w:rPr>
            </w:pPr>
          </w:p>
        </w:tc>
      </w:tr>
      <w:tr w:rsidR="00D97CF6" w14:paraId="50199975" w14:textId="77777777" w:rsidTr="00876210">
        <w:trPr>
          <w:cantSplit/>
          <w:trHeight w:val="300"/>
        </w:trPr>
        <w:tc>
          <w:tcPr>
            <w:tcW w:w="2100" w:type="dxa"/>
            <w:tcBorders>
              <w:top w:val="single" w:sz="8" w:space="0" w:color="auto"/>
              <w:left w:val="single" w:sz="8" w:space="0" w:color="auto"/>
              <w:bottom w:val="single" w:sz="8" w:space="0" w:color="auto"/>
              <w:right w:val="single" w:sz="8" w:space="0" w:color="auto"/>
            </w:tcBorders>
            <w:tcMar>
              <w:left w:w="108" w:type="dxa"/>
              <w:right w:w="108" w:type="dxa"/>
            </w:tcMar>
          </w:tcPr>
          <w:p w14:paraId="4F4F7C97" w14:textId="77777777" w:rsidR="00D97CF6" w:rsidRPr="0002182F" w:rsidRDefault="00D97CF6" w:rsidP="00876210">
            <w:pPr>
              <w:spacing w:after="0"/>
              <w:rPr>
                <w:rFonts w:eastAsia="Calibri" w:cs="Arial"/>
                <w:szCs w:val="20"/>
              </w:rPr>
            </w:pPr>
            <w:r w:rsidRPr="0002182F">
              <w:rPr>
                <w:rFonts w:eastAsia="Calibri" w:cs="Arial"/>
                <w:szCs w:val="20"/>
              </w:rPr>
              <w:t>Storage</w:t>
            </w:r>
          </w:p>
        </w:tc>
        <w:tc>
          <w:tcPr>
            <w:tcW w:w="2670" w:type="dxa"/>
            <w:tcBorders>
              <w:top w:val="single" w:sz="8" w:space="0" w:color="auto"/>
              <w:left w:val="single" w:sz="8" w:space="0" w:color="auto"/>
              <w:bottom w:val="single" w:sz="8" w:space="0" w:color="auto"/>
              <w:right w:val="single" w:sz="8" w:space="0" w:color="auto"/>
            </w:tcBorders>
            <w:tcMar>
              <w:left w:w="108" w:type="dxa"/>
              <w:right w:w="108" w:type="dxa"/>
            </w:tcMar>
          </w:tcPr>
          <w:p w14:paraId="376B9562" w14:textId="77777777" w:rsidR="00D97CF6" w:rsidRDefault="00D97CF6" w:rsidP="00876210">
            <w:pPr>
              <w:spacing w:after="0"/>
              <w:rPr>
                <w:rFonts w:eastAsia="Arial" w:cs="Arial"/>
                <w:color w:val="000000" w:themeColor="text1"/>
                <w:szCs w:val="20"/>
              </w:rPr>
            </w:pPr>
            <w:r w:rsidRPr="5B4FA0B1">
              <w:rPr>
                <w:rFonts w:eastAsia="Arial" w:cs="Arial"/>
                <w:color w:val="000000" w:themeColor="text1"/>
                <w:szCs w:val="20"/>
              </w:rPr>
              <w:t>Storage for an interim period normally not exceeding two months.</w:t>
            </w:r>
          </w:p>
          <w:p w14:paraId="354E92FD" w14:textId="77777777" w:rsidR="00D97CF6" w:rsidRDefault="00D97CF6" w:rsidP="00876210">
            <w:pPr>
              <w:spacing w:after="0"/>
              <w:rPr>
                <w:rFonts w:eastAsia="Arial" w:cs="Arial"/>
                <w:color w:val="000000" w:themeColor="text1"/>
                <w:szCs w:val="20"/>
              </w:rPr>
            </w:pPr>
          </w:p>
          <w:p w14:paraId="2269CB34" w14:textId="77777777" w:rsidR="00D97CF6" w:rsidRDefault="00D97CF6" w:rsidP="00876210">
            <w:pPr>
              <w:spacing w:after="0"/>
              <w:rPr>
                <w:rFonts w:eastAsia="Arial" w:cs="Arial"/>
                <w:color w:val="000000" w:themeColor="text1"/>
                <w:szCs w:val="20"/>
              </w:rPr>
            </w:pPr>
            <w:r w:rsidRPr="5B4FA0B1">
              <w:rPr>
                <w:rFonts w:eastAsia="Arial" w:cs="Arial"/>
                <w:color w:val="000000" w:themeColor="text1"/>
                <w:szCs w:val="20"/>
              </w:rPr>
              <w:t>Removal from storage to new residential premises</w:t>
            </w:r>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
          <w:p w14:paraId="4FA554D1" w14:textId="77777777" w:rsidR="00D97CF6" w:rsidRDefault="00D97CF6" w:rsidP="00876210">
            <w:pPr>
              <w:spacing w:after="0"/>
              <w:rPr>
                <w:rFonts w:eastAsia="Arial" w:cs="Arial"/>
                <w:color w:val="000000" w:themeColor="text1"/>
                <w:szCs w:val="20"/>
              </w:rPr>
            </w:pPr>
            <w:r w:rsidRPr="5B4FA0B1">
              <w:rPr>
                <w:rFonts w:eastAsia="Arial" w:cs="Arial"/>
                <w:color w:val="000000" w:themeColor="text1"/>
                <w:szCs w:val="20"/>
              </w:rPr>
              <w:t xml:space="preserve">Additional storage beyond initial two months. </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14B3C858" w14:textId="77777777" w:rsidR="00D97CF6" w:rsidRPr="0002182F" w:rsidRDefault="00D97CF6" w:rsidP="00876210">
            <w:pPr>
              <w:spacing w:after="0"/>
              <w:rPr>
                <w:rFonts w:eastAsia="Calibri" w:cs="Arial"/>
                <w:szCs w:val="20"/>
              </w:rPr>
            </w:pPr>
          </w:p>
        </w:tc>
      </w:tr>
      <w:tr w:rsidR="00D97CF6" w14:paraId="65507142" w14:textId="77777777" w:rsidTr="00876210">
        <w:trPr>
          <w:cantSplit/>
          <w:trHeight w:val="300"/>
        </w:trPr>
        <w:tc>
          <w:tcPr>
            <w:tcW w:w="2100" w:type="dxa"/>
            <w:tcBorders>
              <w:top w:val="single" w:sz="8" w:space="0" w:color="auto"/>
              <w:left w:val="single" w:sz="8" w:space="0" w:color="auto"/>
              <w:bottom w:val="single" w:sz="8" w:space="0" w:color="auto"/>
              <w:right w:val="single" w:sz="8" w:space="0" w:color="auto"/>
            </w:tcBorders>
            <w:tcMar>
              <w:left w:w="108" w:type="dxa"/>
              <w:right w:w="108" w:type="dxa"/>
            </w:tcMar>
          </w:tcPr>
          <w:p w14:paraId="0120EDE8" w14:textId="77777777" w:rsidR="00D97CF6" w:rsidRPr="0002182F" w:rsidRDefault="00D97CF6" w:rsidP="00876210">
            <w:pPr>
              <w:spacing w:after="0"/>
              <w:rPr>
                <w:rFonts w:eastAsia="Calibri" w:cs="Arial"/>
                <w:szCs w:val="20"/>
              </w:rPr>
            </w:pPr>
            <w:r w:rsidRPr="0002182F">
              <w:rPr>
                <w:rFonts w:eastAsia="Calibri" w:cs="Arial"/>
                <w:szCs w:val="20"/>
              </w:rPr>
              <w:t xml:space="preserve">Temporary Accommodation </w:t>
            </w:r>
          </w:p>
        </w:tc>
        <w:tc>
          <w:tcPr>
            <w:tcW w:w="2670" w:type="dxa"/>
            <w:tcBorders>
              <w:top w:val="single" w:sz="8" w:space="0" w:color="auto"/>
              <w:left w:val="single" w:sz="8" w:space="0" w:color="auto"/>
              <w:bottom w:val="single" w:sz="8" w:space="0" w:color="auto"/>
              <w:right w:val="single" w:sz="8" w:space="0" w:color="auto"/>
            </w:tcBorders>
            <w:tcMar>
              <w:left w:w="108" w:type="dxa"/>
              <w:right w:w="108" w:type="dxa"/>
            </w:tcMar>
          </w:tcPr>
          <w:p w14:paraId="67538CEF" w14:textId="77777777" w:rsidR="00D97CF6" w:rsidRDefault="00D97CF6" w:rsidP="00876210">
            <w:pPr>
              <w:spacing w:after="0"/>
              <w:rPr>
                <w:rFonts w:eastAsia="Arial" w:cs="Arial"/>
                <w:color w:val="000000" w:themeColor="text1"/>
                <w:szCs w:val="20"/>
              </w:rPr>
            </w:pPr>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
          <w:p w14:paraId="0B529AC0" w14:textId="77777777" w:rsidR="00D97CF6" w:rsidRDefault="00D97CF6" w:rsidP="00876210">
            <w:pPr>
              <w:spacing w:after="0"/>
              <w:rPr>
                <w:rFonts w:eastAsia="Arial" w:cs="Arial"/>
                <w:color w:val="000000" w:themeColor="text1"/>
                <w:szCs w:val="20"/>
              </w:rPr>
            </w:pPr>
            <w:r w:rsidRPr="5B4FA0B1">
              <w:rPr>
                <w:rFonts w:eastAsia="Arial" w:cs="Arial"/>
                <w:color w:val="000000" w:themeColor="text1"/>
                <w:szCs w:val="20"/>
              </w:rPr>
              <w:t>Reasonable temporary accommodation costs, excluding meals and other incidental expenses, may be reimbursed for up to four (4) weeks</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7B07623B" w14:textId="77777777" w:rsidR="00D97CF6" w:rsidRPr="0002182F" w:rsidRDefault="00D97CF6" w:rsidP="00876210">
            <w:pPr>
              <w:spacing w:after="0"/>
              <w:rPr>
                <w:rFonts w:eastAsia="Calibri" w:cs="Arial"/>
                <w:szCs w:val="20"/>
              </w:rPr>
            </w:pPr>
          </w:p>
        </w:tc>
      </w:tr>
      <w:tr w:rsidR="00D97CF6" w:rsidRPr="0002182F" w14:paraId="7F553D1C" w14:textId="77777777" w:rsidTr="00876210">
        <w:trPr>
          <w:cantSplit/>
          <w:trHeight w:val="300"/>
        </w:trPr>
        <w:tc>
          <w:tcPr>
            <w:tcW w:w="2100" w:type="dxa"/>
            <w:tcBorders>
              <w:top w:val="single" w:sz="8" w:space="0" w:color="auto"/>
              <w:left w:val="single" w:sz="8" w:space="0" w:color="auto"/>
              <w:bottom w:val="single" w:sz="8" w:space="0" w:color="auto"/>
              <w:right w:val="single" w:sz="8" w:space="0" w:color="auto"/>
            </w:tcBorders>
            <w:tcMar>
              <w:left w:w="108" w:type="dxa"/>
              <w:right w:w="108" w:type="dxa"/>
            </w:tcMar>
          </w:tcPr>
          <w:p w14:paraId="5A15ECAF" w14:textId="77777777" w:rsidR="00D97CF6" w:rsidRPr="0002182F" w:rsidRDefault="00D97CF6" w:rsidP="00876210">
            <w:pPr>
              <w:spacing w:after="0"/>
              <w:rPr>
                <w:rFonts w:eastAsia="Calibri" w:cs="Arial"/>
                <w:szCs w:val="20"/>
              </w:rPr>
            </w:pPr>
            <w:r w:rsidRPr="0002182F">
              <w:rPr>
                <w:rFonts w:eastAsia="Calibri" w:cs="Arial"/>
                <w:szCs w:val="20"/>
              </w:rPr>
              <w:t>Local establishment</w:t>
            </w:r>
          </w:p>
        </w:tc>
        <w:tc>
          <w:tcPr>
            <w:tcW w:w="2670" w:type="dxa"/>
            <w:tcBorders>
              <w:top w:val="single" w:sz="8" w:space="0" w:color="auto"/>
              <w:left w:val="single" w:sz="8" w:space="0" w:color="auto"/>
              <w:bottom w:val="single" w:sz="8" w:space="0" w:color="auto"/>
              <w:right w:val="single" w:sz="8" w:space="0" w:color="auto"/>
            </w:tcBorders>
            <w:tcMar>
              <w:left w:w="108" w:type="dxa"/>
              <w:right w:w="108" w:type="dxa"/>
            </w:tcMar>
          </w:tcPr>
          <w:p w14:paraId="1625CB25" w14:textId="77777777" w:rsidR="00D97CF6" w:rsidRPr="0002182F" w:rsidRDefault="00D97CF6" w:rsidP="00876210">
            <w:pPr>
              <w:spacing w:after="0"/>
              <w:rPr>
                <w:rFonts w:eastAsia="Arial" w:cs="Arial"/>
                <w:color w:val="000000" w:themeColor="text1"/>
                <w:szCs w:val="20"/>
              </w:rPr>
            </w:pPr>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
          <w:p w14:paraId="42EF0E8D" w14:textId="77777777" w:rsidR="00D97CF6" w:rsidRPr="0002182F" w:rsidRDefault="00D97CF6" w:rsidP="00876210">
            <w:pPr>
              <w:spacing w:after="0"/>
              <w:rPr>
                <w:rFonts w:eastAsia="Arial" w:cs="Arial"/>
                <w:color w:val="000000" w:themeColor="text1"/>
                <w:szCs w:val="20"/>
              </w:rPr>
            </w:pPr>
            <w:r w:rsidRPr="0002182F">
              <w:rPr>
                <w:rFonts w:eastAsia="Arial" w:cs="Arial"/>
                <w:color w:val="000000" w:themeColor="text1"/>
                <w:szCs w:val="20"/>
              </w:rPr>
              <w:t>Reasonable costs for connection of essential utilities (power, water, gas, telephone, internet) necessarily incurred to set up the new place of residence</w:t>
            </w:r>
            <w:r w:rsidRPr="0002182F">
              <w:rPr>
                <w:rFonts w:eastAsia="Calibri" w:cs="Arial"/>
                <w:szCs w:val="20"/>
              </w:rPr>
              <w:t>;</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680E1555" w14:textId="77777777" w:rsidR="00D97CF6" w:rsidRPr="0002182F" w:rsidRDefault="00D97CF6" w:rsidP="00876210">
            <w:pPr>
              <w:spacing w:after="0"/>
              <w:rPr>
                <w:rFonts w:eastAsia="Calibri" w:cs="Arial"/>
                <w:szCs w:val="20"/>
              </w:rPr>
            </w:pPr>
          </w:p>
        </w:tc>
      </w:tr>
      <w:tr w:rsidR="00D97CF6" w:rsidRPr="0002182F" w14:paraId="4E971C04" w14:textId="77777777" w:rsidTr="00876210">
        <w:trPr>
          <w:cantSplit/>
          <w:trHeight w:val="300"/>
        </w:trPr>
        <w:tc>
          <w:tcPr>
            <w:tcW w:w="2100" w:type="dxa"/>
            <w:tcBorders>
              <w:top w:val="single" w:sz="8" w:space="0" w:color="auto"/>
              <w:left w:val="single" w:sz="8" w:space="0" w:color="auto"/>
              <w:bottom w:val="single" w:sz="8" w:space="0" w:color="auto"/>
              <w:right w:val="single" w:sz="8" w:space="0" w:color="auto"/>
            </w:tcBorders>
            <w:tcMar>
              <w:left w:w="108" w:type="dxa"/>
              <w:right w:w="108" w:type="dxa"/>
            </w:tcMar>
          </w:tcPr>
          <w:p w14:paraId="04165635" w14:textId="77777777" w:rsidR="00D97CF6" w:rsidRPr="0002182F" w:rsidRDefault="00D97CF6" w:rsidP="00876210">
            <w:pPr>
              <w:spacing w:after="0"/>
              <w:rPr>
                <w:rFonts w:eastAsia="Calibri" w:cs="Arial"/>
                <w:szCs w:val="20"/>
              </w:rPr>
            </w:pPr>
            <w:r w:rsidRPr="0002182F">
              <w:rPr>
                <w:rFonts w:eastAsia="Calibri" w:cs="Arial"/>
                <w:szCs w:val="20"/>
              </w:rPr>
              <w:t>Destination Services</w:t>
            </w:r>
          </w:p>
        </w:tc>
        <w:tc>
          <w:tcPr>
            <w:tcW w:w="2670" w:type="dxa"/>
            <w:tcBorders>
              <w:top w:val="single" w:sz="8" w:space="0" w:color="auto"/>
              <w:left w:val="single" w:sz="8" w:space="0" w:color="auto"/>
              <w:bottom w:val="single" w:sz="8" w:space="0" w:color="auto"/>
              <w:right w:val="single" w:sz="8" w:space="0" w:color="auto"/>
            </w:tcBorders>
            <w:tcMar>
              <w:left w:w="108" w:type="dxa"/>
              <w:right w:w="108" w:type="dxa"/>
            </w:tcMar>
          </w:tcPr>
          <w:p w14:paraId="67F5EC9E" w14:textId="77777777" w:rsidR="00D97CF6" w:rsidRPr="0002182F" w:rsidRDefault="00D97CF6" w:rsidP="00876210">
            <w:pPr>
              <w:spacing w:after="0"/>
              <w:rPr>
                <w:rFonts w:eastAsia="Arial" w:cs="Arial"/>
                <w:color w:val="000000" w:themeColor="text1"/>
                <w:szCs w:val="20"/>
              </w:rPr>
            </w:pPr>
          </w:p>
        </w:tc>
        <w:tc>
          <w:tcPr>
            <w:tcW w:w="2460" w:type="dxa"/>
            <w:tcBorders>
              <w:top w:val="single" w:sz="8" w:space="0" w:color="auto"/>
              <w:left w:val="single" w:sz="8" w:space="0" w:color="auto"/>
              <w:bottom w:val="single" w:sz="8" w:space="0" w:color="auto"/>
              <w:right w:val="single" w:sz="8" w:space="0" w:color="auto"/>
            </w:tcBorders>
            <w:tcMar>
              <w:left w:w="108" w:type="dxa"/>
              <w:right w:w="108" w:type="dxa"/>
            </w:tcMar>
          </w:tcPr>
          <w:p w14:paraId="60836088" w14:textId="77777777" w:rsidR="00D97CF6" w:rsidRPr="0002182F" w:rsidRDefault="00D97CF6" w:rsidP="00876210">
            <w:pPr>
              <w:spacing w:after="0"/>
              <w:rPr>
                <w:rFonts w:eastAsia="Arial" w:cs="Arial"/>
                <w:color w:val="000000" w:themeColor="text1"/>
                <w:szCs w:val="20"/>
              </w:rPr>
            </w:pPr>
            <w:r w:rsidRPr="0002182F">
              <w:rPr>
                <w:rFonts w:eastAsia="Arial" w:cs="Arial"/>
                <w:color w:val="000000" w:themeColor="text1"/>
                <w:szCs w:val="20"/>
              </w:rPr>
              <w:t xml:space="preserve">Direct </w:t>
            </w:r>
            <w:r w:rsidRPr="0002182F">
              <w:rPr>
                <w:rFonts w:eastAsia="Calibri" w:cs="Arial"/>
                <w:szCs w:val="20"/>
              </w:rPr>
              <w:t>assistance with services such as finding a new home, school enrolment, etc.</w:t>
            </w:r>
          </w:p>
        </w:tc>
        <w:tc>
          <w:tcPr>
            <w:tcW w:w="2025" w:type="dxa"/>
            <w:tcBorders>
              <w:top w:val="single" w:sz="8" w:space="0" w:color="auto"/>
              <w:left w:val="single" w:sz="8" w:space="0" w:color="auto"/>
              <w:bottom w:val="single" w:sz="8" w:space="0" w:color="auto"/>
              <w:right w:val="single" w:sz="8" w:space="0" w:color="auto"/>
            </w:tcBorders>
            <w:tcMar>
              <w:left w:w="108" w:type="dxa"/>
              <w:right w:w="108" w:type="dxa"/>
            </w:tcMar>
          </w:tcPr>
          <w:p w14:paraId="2B1B3A44" w14:textId="77777777" w:rsidR="00D97CF6" w:rsidRPr="0002182F" w:rsidRDefault="00D97CF6" w:rsidP="00876210">
            <w:pPr>
              <w:spacing w:after="0"/>
              <w:rPr>
                <w:rFonts w:eastAsia="Calibri" w:cs="Arial"/>
                <w:szCs w:val="20"/>
              </w:rPr>
            </w:pPr>
          </w:p>
        </w:tc>
      </w:tr>
    </w:tbl>
    <w:p w14:paraId="6719DB22" w14:textId="61FE2581" w:rsidR="007735FC" w:rsidRPr="001520D3" w:rsidRDefault="007735FC" w:rsidP="007735FC">
      <w:pPr>
        <w:pStyle w:val="Heading3"/>
        <w:ind w:left="567"/>
        <w:rPr>
          <w:rFonts w:ascii="Griffith Sans Text" w:hAnsi="Griffith Sans Text"/>
        </w:rPr>
      </w:pPr>
      <w:bookmarkStart w:id="9" w:name="_3.4_Arrangement_and"/>
      <w:bookmarkEnd w:id="9"/>
      <w:r w:rsidRPr="001520D3">
        <w:rPr>
          <w:rFonts w:ascii="Griffith Sans Text" w:hAnsi="Griffith Sans Text"/>
        </w:rPr>
        <w:lastRenderedPageBreak/>
        <w:t>3.</w:t>
      </w:r>
      <w:r>
        <w:rPr>
          <w:rFonts w:ascii="Griffith Sans Text" w:hAnsi="Griffith Sans Text"/>
        </w:rPr>
        <w:t>4</w:t>
      </w:r>
      <w:r w:rsidRPr="001520D3">
        <w:rPr>
          <w:rFonts w:ascii="Griffith Sans Text" w:hAnsi="Griffith Sans Text"/>
        </w:rPr>
        <w:t xml:space="preserve"> </w:t>
      </w:r>
      <w:r w:rsidRPr="007735FC">
        <w:rPr>
          <w:rFonts w:ascii="Griffith Sans Text" w:hAnsi="Griffith Sans Text"/>
        </w:rPr>
        <w:t>Arrangement and payment of relocation service</w:t>
      </w:r>
    </w:p>
    <w:p w14:paraId="423205F8" w14:textId="77777777" w:rsidR="00A601F1" w:rsidRPr="00A601F1" w:rsidRDefault="00A601F1" w:rsidP="00A601F1">
      <w:pPr>
        <w:ind w:left="567"/>
        <w:rPr>
          <w:rFonts w:cs="Arial"/>
        </w:rPr>
      </w:pPr>
      <w:r w:rsidRPr="00A601F1">
        <w:rPr>
          <w:rFonts w:cs="Arial"/>
        </w:rPr>
        <w:t>The University is responsible for organizing and disbursing relocation assistance, adhering to the approved terms included in the offer of employment or any subsequent written agreements.</w:t>
      </w:r>
    </w:p>
    <w:p w14:paraId="141BCD71" w14:textId="77777777" w:rsidR="00A601F1" w:rsidRPr="00A601F1" w:rsidRDefault="00A601F1" w:rsidP="00A601F1">
      <w:pPr>
        <w:ind w:left="567"/>
        <w:rPr>
          <w:rFonts w:cs="Arial"/>
        </w:rPr>
      </w:pPr>
      <w:r w:rsidRPr="00A601F1">
        <w:rPr>
          <w:rFonts w:cs="Arial"/>
        </w:rPr>
        <w:t>Relocation arrangements, including removal services, flights, and other authorised inclusions, are coordinated through the University's preferred supplier. These costs are covered by the University in accordance with pre-established rates, which are periodically adjusted to reflect increasing costs to deliver the service.</w:t>
      </w:r>
    </w:p>
    <w:p w14:paraId="09A5336F" w14:textId="77777777" w:rsidR="00A601F1" w:rsidRPr="00A601F1" w:rsidRDefault="00A601F1" w:rsidP="00A601F1">
      <w:pPr>
        <w:ind w:left="567"/>
        <w:rPr>
          <w:rFonts w:cs="Arial"/>
        </w:rPr>
      </w:pPr>
      <w:r w:rsidRPr="00A601F1">
        <w:rPr>
          <w:rFonts w:cs="Arial"/>
        </w:rPr>
        <w:t>In cases where an individual prefers to arrange their own removal services, they should provide a quote from their chosen provider. The University's preferred supplier will also offer a quotation for the University's consideration, and the selected provider will be communicated to the individual.</w:t>
      </w:r>
    </w:p>
    <w:p w14:paraId="21B2D276" w14:textId="77777777" w:rsidR="00A601F1" w:rsidRPr="00A601F1" w:rsidRDefault="00A601F1" w:rsidP="00A601F1">
      <w:pPr>
        <w:ind w:left="567"/>
        <w:rPr>
          <w:rFonts w:cs="Arial"/>
        </w:rPr>
      </w:pPr>
      <w:r w:rsidRPr="00A601F1">
        <w:rPr>
          <w:rFonts w:cs="Arial"/>
        </w:rPr>
        <w:t>For other approved expenses eligible for reimbursement, the appointee is required to provide original receipts (with a copy retained for themselves) within the initial twelve (12) weeks of commencing employment. The University will reimburse the appointee for expenses up to the maximum agreed amount.</w:t>
      </w:r>
    </w:p>
    <w:p w14:paraId="6440C7FD" w14:textId="77777777" w:rsidR="00A601F1" w:rsidRPr="00A601F1" w:rsidRDefault="00A601F1" w:rsidP="00A601F1">
      <w:pPr>
        <w:ind w:left="567"/>
        <w:rPr>
          <w:rFonts w:cs="Arial"/>
        </w:rPr>
      </w:pPr>
      <w:r w:rsidRPr="00A601F1">
        <w:rPr>
          <w:rFonts w:cs="Arial"/>
        </w:rPr>
        <w:t>Where relocation expenses are incurred in a currency other than Australian dollars, the reimbursement to the appointee will be calculated using the exchange rate in effect on the date when the expense was incurred.</w:t>
      </w:r>
    </w:p>
    <w:p w14:paraId="65F89A37" w14:textId="24452DEC" w:rsidR="007735FC" w:rsidRDefault="00A601F1" w:rsidP="00A601F1">
      <w:pPr>
        <w:ind w:left="567"/>
        <w:rPr>
          <w:rFonts w:cs="Arial"/>
        </w:rPr>
      </w:pPr>
      <w:r w:rsidRPr="00A601F1">
        <w:rPr>
          <w:rFonts w:cs="Arial"/>
        </w:rPr>
        <w:t>If the total relocation expenses amount to less than the approved sum, the appointee cannot exchange the unused amount for cash.</w:t>
      </w:r>
    </w:p>
    <w:p w14:paraId="0D411B48" w14:textId="6BE09CF4" w:rsidR="007735FC" w:rsidRPr="001520D3" w:rsidRDefault="007735FC" w:rsidP="007735FC">
      <w:pPr>
        <w:pStyle w:val="Heading3"/>
        <w:ind w:left="567"/>
        <w:rPr>
          <w:rFonts w:ascii="Griffith Sans Text" w:hAnsi="Griffith Sans Text"/>
        </w:rPr>
      </w:pPr>
      <w:bookmarkStart w:id="10" w:name="_3.5_Early_cessation"/>
      <w:bookmarkEnd w:id="10"/>
      <w:r w:rsidRPr="001520D3">
        <w:rPr>
          <w:rFonts w:ascii="Griffith Sans Text" w:hAnsi="Griffith Sans Text"/>
        </w:rPr>
        <w:t>3.</w:t>
      </w:r>
      <w:r>
        <w:rPr>
          <w:rFonts w:ascii="Griffith Sans Text" w:hAnsi="Griffith Sans Text"/>
        </w:rPr>
        <w:t>5</w:t>
      </w:r>
      <w:r w:rsidRPr="001520D3">
        <w:rPr>
          <w:rFonts w:ascii="Griffith Sans Text" w:hAnsi="Griffith Sans Text"/>
        </w:rPr>
        <w:t xml:space="preserve"> </w:t>
      </w:r>
      <w:r w:rsidRPr="007735FC">
        <w:rPr>
          <w:rFonts w:ascii="Griffith Sans Text" w:hAnsi="Griffith Sans Text"/>
        </w:rPr>
        <w:t>Early cessation of employment</w:t>
      </w:r>
    </w:p>
    <w:p w14:paraId="2EBC9E44" w14:textId="77777777" w:rsidR="00A601F1" w:rsidRPr="00A601F1" w:rsidRDefault="00A601F1" w:rsidP="00A601F1">
      <w:pPr>
        <w:ind w:left="567"/>
        <w:rPr>
          <w:rFonts w:cs="Arial"/>
        </w:rPr>
      </w:pPr>
      <w:r w:rsidRPr="00A601F1">
        <w:rPr>
          <w:rFonts w:cs="Arial"/>
        </w:rPr>
        <w:t>If for any reason other than ill health, the appointee voluntarily terminates service with the University before completing a term of three (3) years, or the term of their appointment where it is less than 2 years, the appointee will be required to repay a pro-rata proportion of the assistance granted to the University.</w:t>
      </w:r>
    </w:p>
    <w:p w14:paraId="15C050D5" w14:textId="15106CF3" w:rsidR="007735FC" w:rsidRDefault="00A601F1" w:rsidP="00A601F1">
      <w:pPr>
        <w:ind w:left="567"/>
        <w:rPr>
          <w:rFonts w:cs="Arial"/>
        </w:rPr>
      </w:pPr>
      <w:r w:rsidRPr="00A601F1">
        <w:rPr>
          <w:rFonts w:cs="Arial"/>
        </w:rPr>
        <w:t>The relevant delegate has the discretion to waive repayment of travel and removal assistance in exceptional circumstances. However, any waived amount remains subject to Fringe Benefits Tax at the applicable current rate.</w:t>
      </w:r>
    </w:p>
    <w:p w14:paraId="0DE9AD49" w14:textId="14895518" w:rsidR="007735FC" w:rsidRPr="001520D3" w:rsidRDefault="007735FC" w:rsidP="007735FC">
      <w:pPr>
        <w:pStyle w:val="Heading3"/>
        <w:ind w:left="567"/>
        <w:rPr>
          <w:rFonts w:ascii="Griffith Sans Text" w:hAnsi="Griffith Sans Text"/>
        </w:rPr>
      </w:pPr>
      <w:bookmarkStart w:id="11" w:name="_3.6_Immigration_Assistance"/>
      <w:bookmarkEnd w:id="11"/>
      <w:r w:rsidRPr="001520D3">
        <w:rPr>
          <w:rFonts w:ascii="Griffith Sans Text" w:hAnsi="Griffith Sans Text"/>
        </w:rPr>
        <w:t>3.</w:t>
      </w:r>
      <w:r>
        <w:rPr>
          <w:rFonts w:ascii="Griffith Sans Text" w:hAnsi="Griffith Sans Text"/>
        </w:rPr>
        <w:t>6</w:t>
      </w:r>
      <w:r w:rsidRPr="001520D3">
        <w:rPr>
          <w:rFonts w:ascii="Griffith Sans Text" w:hAnsi="Griffith Sans Text"/>
        </w:rPr>
        <w:t xml:space="preserve"> </w:t>
      </w:r>
      <w:r w:rsidRPr="007735FC">
        <w:rPr>
          <w:rFonts w:ascii="Griffith Sans Text" w:hAnsi="Griffith Sans Text"/>
        </w:rPr>
        <w:t>Immigration Assistance</w:t>
      </w:r>
    </w:p>
    <w:p w14:paraId="58A97BF2" w14:textId="3599BC80" w:rsidR="007735FC" w:rsidRDefault="00A601F1" w:rsidP="007735FC">
      <w:pPr>
        <w:ind w:left="567"/>
        <w:rPr>
          <w:rFonts w:cs="Arial"/>
        </w:rPr>
      </w:pPr>
      <w:r w:rsidRPr="00A601F1">
        <w:rPr>
          <w:rFonts w:cs="Arial"/>
        </w:rPr>
        <w:t>The University may sponsor non-citizens on an appropriate visa as required for academic and senior professional staff appointments. When the University appoints a non-citizen who does not have the right to work in Australia, there may be additional costs and obligations.</w:t>
      </w:r>
    </w:p>
    <w:p w14:paraId="7904D61E" w14:textId="7F301F03" w:rsidR="007735FC" w:rsidRPr="001520D3" w:rsidRDefault="007735FC" w:rsidP="007735FC">
      <w:pPr>
        <w:pStyle w:val="Heading3"/>
        <w:ind w:left="567"/>
        <w:rPr>
          <w:rFonts w:ascii="Griffith Sans Text" w:hAnsi="Griffith Sans Text"/>
        </w:rPr>
      </w:pPr>
      <w:bookmarkStart w:id="12" w:name="_3.7_Visas"/>
      <w:bookmarkEnd w:id="12"/>
      <w:r w:rsidRPr="001520D3">
        <w:rPr>
          <w:rFonts w:ascii="Griffith Sans Text" w:hAnsi="Griffith Sans Text"/>
        </w:rPr>
        <w:t>3.</w:t>
      </w:r>
      <w:r>
        <w:rPr>
          <w:rFonts w:ascii="Griffith Sans Text" w:hAnsi="Griffith Sans Text"/>
        </w:rPr>
        <w:t>7</w:t>
      </w:r>
      <w:r w:rsidRPr="001520D3">
        <w:rPr>
          <w:rFonts w:ascii="Griffith Sans Text" w:hAnsi="Griffith Sans Text"/>
        </w:rPr>
        <w:t xml:space="preserve"> </w:t>
      </w:r>
      <w:r w:rsidRPr="007735FC">
        <w:rPr>
          <w:rFonts w:ascii="Griffith Sans Text" w:hAnsi="Griffith Sans Text"/>
        </w:rPr>
        <w:t>Visas</w:t>
      </w:r>
    </w:p>
    <w:p w14:paraId="2DC9E72F" w14:textId="77777777" w:rsidR="00A601F1" w:rsidRPr="00A601F1" w:rsidRDefault="00A601F1" w:rsidP="00A601F1">
      <w:pPr>
        <w:ind w:left="567"/>
        <w:rPr>
          <w:rFonts w:cs="Arial"/>
        </w:rPr>
      </w:pPr>
      <w:r w:rsidRPr="00A601F1">
        <w:rPr>
          <w:rFonts w:cs="Arial"/>
        </w:rPr>
        <w:t>Approval of the type and timing of the visa application is provided by the relevant delegate. The allocation of costs will be paid by the University and the appointee, depending on the conditions negotiated at the time of appointment and subsequently approved.</w:t>
      </w:r>
    </w:p>
    <w:p w14:paraId="4997299E" w14:textId="35B6C7D2" w:rsidR="007735FC" w:rsidRDefault="00A601F1" w:rsidP="00A601F1">
      <w:pPr>
        <w:ind w:left="567"/>
        <w:rPr>
          <w:rFonts w:cs="Arial"/>
        </w:rPr>
      </w:pPr>
      <w:r w:rsidRPr="00A601F1">
        <w:rPr>
          <w:rFonts w:cs="Arial"/>
        </w:rPr>
        <w:t xml:space="preserve">The University arranges preparation and lodgement of sponsorship and visa applications through </w:t>
      </w:r>
      <w:proofErr w:type="gramStart"/>
      <w:r w:rsidRPr="00A601F1">
        <w:rPr>
          <w:rFonts w:cs="Arial"/>
        </w:rPr>
        <w:t>the our</w:t>
      </w:r>
      <w:proofErr w:type="gramEnd"/>
      <w:r w:rsidRPr="00A601F1">
        <w:rPr>
          <w:rFonts w:cs="Arial"/>
        </w:rPr>
        <w:t xml:space="preserve"> preferred supplier. Costs will be met by the Element based on agreed rates with the supplier and the current fees and levies governed by the Government.</w:t>
      </w:r>
    </w:p>
    <w:p w14:paraId="51554EBE" w14:textId="77777777" w:rsidR="004F2CE1" w:rsidRPr="004922AF" w:rsidRDefault="004F2CE1" w:rsidP="004922AF">
      <w:pPr>
        <w:ind w:left="567"/>
        <w:rPr>
          <w:rFonts w:cs="Arial"/>
        </w:rPr>
      </w:pPr>
    </w:p>
    <w:p w14:paraId="5EB8F927" w14:textId="418EF0AB" w:rsidR="00A144B2" w:rsidRPr="00237AB3" w:rsidRDefault="007418A5" w:rsidP="00CA6AC5">
      <w:pPr>
        <w:pStyle w:val="Heading2"/>
        <w:rPr>
          <w:rFonts w:ascii="Griffith Sans Text" w:hAnsi="Griffith Sans Text"/>
        </w:rPr>
      </w:pPr>
      <w:bookmarkStart w:id="13" w:name="_4.0_Roles,_responsibilities"/>
      <w:bookmarkStart w:id="14" w:name="_5.0_Definitions"/>
      <w:bookmarkStart w:id="15" w:name="_4.0_Definitions"/>
      <w:bookmarkEnd w:id="13"/>
      <w:bookmarkEnd w:id="14"/>
      <w:bookmarkEnd w:id="15"/>
      <w:r w:rsidRPr="00237AB3">
        <w:rPr>
          <w:rFonts w:ascii="Griffith Sans Text" w:hAnsi="Griffith Sans Text"/>
        </w:rPr>
        <w:lastRenderedPageBreak/>
        <w:t>4</w:t>
      </w:r>
      <w:r w:rsidR="00A144B2" w:rsidRPr="00237AB3">
        <w:rPr>
          <w:rFonts w:ascii="Griffith Sans Text" w:hAnsi="Griffith Sans Text"/>
        </w:rPr>
        <w:t>.0 Definitions</w:t>
      </w:r>
    </w:p>
    <w:p w14:paraId="4C6E5886" w14:textId="77777777" w:rsidR="00A601F1" w:rsidRPr="002D4F79" w:rsidRDefault="00A601F1" w:rsidP="00A601F1">
      <w:pPr>
        <w:rPr>
          <w:rFonts w:cs="Arial"/>
          <w:color w:val="000000" w:themeColor="text1"/>
        </w:rPr>
      </w:pPr>
      <w:r w:rsidRPr="628FA191">
        <w:rPr>
          <w:rFonts w:cs="Arial"/>
          <w:b/>
          <w:bCs/>
          <w:color w:val="000000" w:themeColor="text1"/>
        </w:rPr>
        <w:t>Appointee</w:t>
      </w:r>
      <w:r w:rsidRPr="628FA191">
        <w:rPr>
          <w:rFonts w:cs="Arial"/>
          <w:color w:val="000000" w:themeColor="text1"/>
        </w:rPr>
        <w:t xml:space="preserve"> means a person who has been selected for, and offered, a position at the University. This includes someone new to the University and an existing staff member who has been offered a new position.</w:t>
      </w:r>
    </w:p>
    <w:p w14:paraId="4046F342" w14:textId="77777777" w:rsidR="00A601F1" w:rsidRPr="002D4F79" w:rsidRDefault="00A601F1" w:rsidP="00A601F1">
      <w:pPr>
        <w:rPr>
          <w:rFonts w:cs="Arial"/>
          <w:color w:val="000000" w:themeColor="text1"/>
        </w:rPr>
      </w:pPr>
      <w:r w:rsidRPr="628FA191">
        <w:rPr>
          <w:rFonts w:cs="Arial"/>
          <w:b/>
          <w:bCs/>
          <w:color w:val="000000" w:themeColor="text1"/>
        </w:rPr>
        <w:t>Delegate</w:t>
      </w:r>
      <w:r w:rsidRPr="628FA191">
        <w:rPr>
          <w:rFonts w:cs="Arial"/>
          <w:color w:val="000000" w:themeColor="text1"/>
        </w:rPr>
        <w:t xml:space="preserve"> means a person authorised to carry out a delegation or act on behalf of the University.</w:t>
      </w:r>
    </w:p>
    <w:p w14:paraId="76AD0DB6" w14:textId="77777777" w:rsidR="00A601F1" w:rsidRPr="002D4F79" w:rsidRDefault="00A601F1" w:rsidP="00A601F1">
      <w:pPr>
        <w:tabs>
          <w:tab w:val="left" w:pos="1134"/>
        </w:tabs>
        <w:jc w:val="both"/>
        <w:rPr>
          <w:rFonts w:cs="Arial"/>
          <w:b/>
          <w:bCs/>
          <w:color w:val="000000" w:themeColor="text1"/>
        </w:rPr>
      </w:pPr>
      <w:r w:rsidRPr="628FA191">
        <w:rPr>
          <w:rFonts w:cs="Arial"/>
          <w:b/>
          <w:bCs/>
          <w:color w:val="000000" w:themeColor="text1"/>
        </w:rPr>
        <w:t>Dependant</w:t>
      </w:r>
    </w:p>
    <w:p w14:paraId="67F3E6BE" w14:textId="77777777" w:rsidR="00A601F1" w:rsidRDefault="00A601F1" w:rsidP="00A601F1">
      <w:pPr>
        <w:pStyle w:val="BulletPoints"/>
        <w:numPr>
          <w:ilvl w:val="0"/>
          <w:numId w:val="1"/>
        </w:numPr>
        <w:ind w:left="720"/>
        <w:rPr>
          <w:rFonts w:ascii="Arial" w:hAnsi="Arial" w:cs="Arial"/>
          <w:color w:val="000000" w:themeColor="text1"/>
        </w:rPr>
      </w:pPr>
      <w:r w:rsidRPr="628FA191">
        <w:rPr>
          <w:rFonts w:ascii="Arial" w:hAnsi="Arial" w:cs="Arial"/>
          <w:color w:val="000000" w:themeColor="text1"/>
        </w:rPr>
        <w:t xml:space="preserve">employee's partner who lives with the employee on a bona fide domestic </w:t>
      </w:r>
      <w:proofErr w:type="gramStart"/>
      <w:r w:rsidRPr="628FA191">
        <w:rPr>
          <w:rFonts w:ascii="Arial" w:hAnsi="Arial" w:cs="Arial"/>
          <w:color w:val="000000" w:themeColor="text1"/>
        </w:rPr>
        <w:t>basis;</w:t>
      </w:r>
      <w:proofErr w:type="gramEnd"/>
      <w:r w:rsidRPr="628FA191">
        <w:rPr>
          <w:rFonts w:ascii="Arial" w:hAnsi="Arial" w:cs="Arial"/>
          <w:color w:val="000000" w:themeColor="text1"/>
        </w:rPr>
        <w:t xml:space="preserve"> </w:t>
      </w:r>
    </w:p>
    <w:p w14:paraId="12E7E8F5" w14:textId="77777777" w:rsidR="00A601F1" w:rsidRPr="002D4F79" w:rsidRDefault="00A601F1" w:rsidP="00A601F1">
      <w:pPr>
        <w:pStyle w:val="BulletPoints"/>
        <w:numPr>
          <w:ilvl w:val="0"/>
          <w:numId w:val="1"/>
        </w:numPr>
        <w:ind w:left="720"/>
        <w:rPr>
          <w:rFonts w:ascii="Arial" w:hAnsi="Arial" w:cs="Arial"/>
          <w:color w:val="000000" w:themeColor="text1"/>
        </w:rPr>
      </w:pPr>
      <w:r w:rsidRPr="628FA191">
        <w:rPr>
          <w:rFonts w:ascii="Arial" w:hAnsi="Arial" w:cs="Arial"/>
          <w:color w:val="000000" w:themeColor="text1"/>
        </w:rPr>
        <w:t xml:space="preserve">child(ren) under 18, or under 25 if a full-time student; and/or </w:t>
      </w:r>
    </w:p>
    <w:p w14:paraId="65E0C1FD" w14:textId="77777777" w:rsidR="00A601F1" w:rsidRPr="0018699E" w:rsidRDefault="00A601F1" w:rsidP="00A601F1">
      <w:pPr>
        <w:pStyle w:val="BulletPoints"/>
        <w:numPr>
          <w:ilvl w:val="0"/>
          <w:numId w:val="1"/>
        </w:numPr>
        <w:ind w:left="720"/>
        <w:rPr>
          <w:rFonts w:ascii="Arial" w:hAnsi="Arial" w:cs="Arial"/>
          <w:color w:val="000000" w:themeColor="text1"/>
        </w:rPr>
      </w:pPr>
      <w:r w:rsidRPr="628FA191">
        <w:rPr>
          <w:rFonts w:ascii="Arial" w:hAnsi="Arial" w:cs="Arial"/>
          <w:color w:val="000000" w:themeColor="text1"/>
        </w:rPr>
        <w:t>any other person approved by the University who lives with and who is fully or substantially dependant on the appointee.</w:t>
      </w:r>
    </w:p>
    <w:p w14:paraId="7A7EEF95" w14:textId="77777777" w:rsidR="00A601F1" w:rsidRPr="002D4F79" w:rsidRDefault="00A601F1" w:rsidP="00A601F1">
      <w:pPr>
        <w:tabs>
          <w:tab w:val="left" w:pos="1134"/>
        </w:tabs>
        <w:jc w:val="both"/>
        <w:rPr>
          <w:rFonts w:cs="Arial"/>
          <w:color w:val="000000" w:themeColor="text1"/>
        </w:rPr>
      </w:pPr>
      <w:r w:rsidRPr="628FA191">
        <w:rPr>
          <w:rFonts w:cs="Arial"/>
          <w:b/>
          <w:bCs/>
          <w:color w:val="000000" w:themeColor="text1"/>
        </w:rPr>
        <w:t>Department of Home Affairs</w:t>
      </w:r>
      <w:r w:rsidRPr="628FA191">
        <w:rPr>
          <w:rFonts w:cs="Arial"/>
          <w:color w:val="000000" w:themeColor="text1"/>
        </w:rPr>
        <w:t xml:space="preserve"> means the Australian Commonwealth Government Department which is responsible for federal law enforcement, national and transport security, criminal justice, emergency management, multicultural affairs, settlement services and immigration and border-related functions.</w:t>
      </w:r>
    </w:p>
    <w:p w14:paraId="6916A9F9" w14:textId="77777777" w:rsidR="00A601F1" w:rsidRPr="002D4F79" w:rsidRDefault="00A601F1" w:rsidP="00A601F1">
      <w:pPr>
        <w:tabs>
          <w:tab w:val="left" w:pos="1134"/>
        </w:tabs>
        <w:jc w:val="both"/>
        <w:rPr>
          <w:rFonts w:cs="Arial"/>
          <w:color w:val="000000" w:themeColor="text1"/>
        </w:rPr>
      </w:pPr>
      <w:r w:rsidRPr="628FA191">
        <w:rPr>
          <w:rFonts w:cs="Arial"/>
          <w:b/>
          <w:bCs/>
          <w:color w:val="000000" w:themeColor="text1"/>
        </w:rPr>
        <w:t>Personal and household effects</w:t>
      </w:r>
      <w:r w:rsidRPr="628FA191">
        <w:rPr>
          <w:rFonts w:cs="Arial"/>
          <w:color w:val="000000" w:themeColor="text1"/>
        </w:rPr>
        <w:t xml:space="preserve"> are those possessions of the employee and dependants, which require removal because they are necessary to re-establish a household.  </w:t>
      </w:r>
    </w:p>
    <w:p w14:paraId="76E3540E" w14:textId="46C07E61" w:rsidR="00B42BD2" w:rsidRPr="004922AF" w:rsidRDefault="00A601F1" w:rsidP="00A601F1">
      <w:pPr>
        <w:rPr>
          <w:rFonts w:cs="Arial"/>
        </w:rPr>
      </w:pPr>
      <w:r w:rsidRPr="628FA191">
        <w:rPr>
          <w:rFonts w:cs="Arial"/>
          <w:b/>
          <w:bCs/>
          <w:color w:val="000000" w:themeColor="text1"/>
        </w:rPr>
        <w:t>Professional Effects</w:t>
      </w:r>
      <w:r w:rsidRPr="628FA191">
        <w:rPr>
          <w:rFonts w:cs="Arial"/>
          <w:color w:val="000000" w:themeColor="text1"/>
        </w:rPr>
        <w:t xml:space="preserve"> are items that belong to the appointee which require removal as they are necessary to maintain the appointee's work and professional development. These typically may include a library, computer, and research equipment.</w:t>
      </w:r>
    </w:p>
    <w:p w14:paraId="688A41E7" w14:textId="77777777" w:rsidR="00EA6334" w:rsidRDefault="00EA6334" w:rsidP="004922AF">
      <w:pPr>
        <w:rPr>
          <w:rFonts w:cs="Arial"/>
          <w:b/>
          <w:bCs/>
          <w:highlight w:val="yellow"/>
        </w:rPr>
      </w:pPr>
    </w:p>
    <w:p w14:paraId="2005D636" w14:textId="537D34D2" w:rsidR="00B42BD2" w:rsidRPr="004922AF" w:rsidRDefault="002F3C8B" w:rsidP="004922AF">
      <w:pPr>
        <w:rPr>
          <w:rFonts w:cs="Arial"/>
          <w:b/>
          <w:bCs/>
        </w:rPr>
      </w:pPr>
      <w:r w:rsidRPr="00EA6334">
        <w:rPr>
          <w:rFonts w:cs="Arial"/>
          <w:b/>
          <w:bCs/>
        </w:rPr>
        <w:t xml:space="preserve">For advice and support contact </w:t>
      </w:r>
      <w:hyperlink r:id="rId11" w:history="1">
        <w:r w:rsidR="00343D34" w:rsidRPr="00EA6334">
          <w:rPr>
            <w:rStyle w:val="Hyperlink"/>
            <w:rFonts w:cs="Arial"/>
            <w:b/>
            <w:bCs/>
          </w:rPr>
          <w:t>policy@griffith.edu.au</w:t>
        </w:r>
      </w:hyperlink>
      <w:r w:rsidR="00343D34" w:rsidRPr="00EA6334">
        <w:rPr>
          <w:rFonts w:cs="Arial"/>
          <w:b/>
          <w:bCs/>
        </w:rPr>
        <w:t xml:space="preserve"> f</w:t>
      </w:r>
      <w:r w:rsidRPr="00EA6334">
        <w:rPr>
          <w:rFonts w:cs="Arial"/>
          <w:b/>
          <w:bCs/>
        </w:rPr>
        <w:t>or Governance and Operational policy documents</w:t>
      </w:r>
      <w:r w:rsidR="00EA6334" w:rsidRPr="00EA6334">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3D3BC32C" w:rsidR="00811F90" w:rsidRPr="00237AB3" w:rsidRDefault="007418A5" w:rsidP="00CA6AC5">
      <w:pPr>
        <w:pStyle w:val="Heading2"/>
        <w:rPr>
          <w:rFonts w:ascii="Griffith Sans Text" w:hAnsi="Griffith Sans Text"/>
        </w:rPr>
      </w:pPr>
      <w:bookmarkStart w:id="16" w:name="_6.0_Information"/>
      <w:bookmarkStart w:id="17" w:name="_5.0_Information"/>
      <w:bookmarkEnd w:id="16"/>
      <w:bookmarkEnd w:id="17"/>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rPr>
                <w:rFonts w:cs="Arial"/>
                <w:szCs w:val="28"/>
              </w:rPr>
            </w:pPr>
            <w:r w:rsidRPr="004922AF">
              <w:rPr>
                <w:rFonts w:cs="Arial"/>
                <w:szCs w:val="28"/>
              </w:rPr>
              <w:t>Title</w:t>
            </w:r>
          </w:p>
        </w:tc>
        <w:tc>
          <w:tcPr>
            <w:tcW w:w="7147" w:type="dxa"/>
          </w:tcPr>
          <w:p w14:paraId="19EA923A" w14:textId="1DFED9C9" w:rsidR="00786706" w:rsidRPr="004922AF" w:rsidRDefault="00D576AE" w:rsidP="004922AF">
            <w:pPr>
              <w:rPr>
                <w:rFonts w:cs="Arial"/>
                <w:szCs w:val="28"/>
                <w:lang w:val="en-GB"/>
              </w:rPr>
            </w:pPr>
            <w:r w:rsidRPr="00D576AE">
              <w:rPr>
                <w:rFonts w:cs="Arial"/>
                <w:szCs w:val="28"/>
              </w:rPr>
              <w:t>Relocation Assistance Procedure</w:t>
            </w:r>
          </w:p>
        </w:tc>
      </w:tr>
      <w:tr w:rsidR="00786706" w14:paraId="66D4D4A1" w14:textId="77777777" w:rsidTr="006721EA">
        <w:tc>
          <w:tcPr>
            <w:tcW w:w="2943" w:type="dxa"/>
          </w:tcPr>
          <w:p w14:paraId="18280F52" w14:textId="5ED479A2" w:rsidR="00786706" w:rsidRPr="004922AF" w:rsidRDefault="00786706" w:rsidP="004922AF">
            <w:pPr>
              <w:rPr>
                <w:rFonts w:cs="Arial"/>
                <w:szCs w:val="28"/>
              </w:rPr>
            </w:pPr>
            <w:r w:rsidRPr="004922AF">
              <w:rPr>
                <w:rFonts w:cs="Arial"/>
                <w:szCs w:val="28"/>
              </w:rPr>
              <w:t>Document number</w:t>
            </w:r>
          </w:p>
        </w:tc>
        <w:tc>
          <w:tcPr>
            <w:tcW w:w="7147" w:type="dxa"/>
          </w:tcPr>
          <w:p w14:paraId="53E0817F" w14:textId="470CC966" w:rsidR="00786706" w:rsidRPr="004922AF" w:rsidRDefault="00D576AE" w:rsidP="004922AF">
            <w:pPr>
              <w:rPr>
                <w:rFonts w:cs="Arial"/>
                <w:szCs w:val="28"/>
                <w:lang w:val="en-GB"/>
              </w:rPr>
            </w:pPr>
            <w:r w:rsidRPr="00D576AE">
              <w:rPr>
                <w:rFonts w:cs="Arial"/>
                <w:szCs w:val="28"/>
              </w:rPr>
              <w:t>2023/0001119</w:t>
            </w:r>
          </w:p>
        </w:tc>
      </w:tr>
      <w:tr w:rsidR="00786706" w14:paraId="66BCD115" w14:textId="77777777" w:rsidTr="006721EA">
        <w:tc>
          <w:tcPr>
            <w:tcW w:w="2943" w:type="dxa"/>
          </w:tcPr>
          <w:p w14:paraId="0DEE091F" w14:textId="5E2B7B69" w:rsidR="00786706" w:rsidRPr="004922AF" w:rsidRDefault="00786706" w:rsidP="004922AF">
            <w:pPr>
              <w:rPr>
                <w:rFonts w:cs="Arial"/>
                <w:szCs w:val="28"/>
              </w:rPr>
            </w:pPr>
            <w:r w:rsidRPr="004922AF">
              <w:rPr>
                <w:rFonts w:cs="Arial"/>
                <w:szCs w:val="28"/>
              </w:rPr>
              <w:t>Purpose</w:t>
            </w:r>
          </w:p>
        </w:tc>
        <w:tc>
          <w:tcPr>
            <w:tcW w:w="7147" w:type="dxa"/>
          </w:tcPr>
          <w:p w14:paraId="7FE09B90" w14:textId="23C28BC4" w:rsidR="00786706" w:rsidRPr="004922AF" w:rsidRDefault="00D576AE" w:rsidP="004922AF">
            <w:pPr>
              <w:rPr>
                <w:rFonts w:cs="Arial"/>
                <w:szCs w:val="28"/>
                <w:lang w:val="en-GB"/>
              </w:rPr>
            </w:pPr>
            <w:r w:rsidRPr="00D576AE">
              <w:rPr>
                <w:rFonts w:cs="Arial"/>
                <w:szCs w:val="28"/>
              </w:rPr>
              <w:t>The purpose of this procedure is to provide guidance and assistance in relation to the relocation for appointees who may need to relocate to take up a new position at Griffith University.</w:t>
            </w:r>
          </w:p>
        </w:tc>
      </w:tr>
      <w:tr w:rsidR="00786706" w14:paraId="625A2530" w14:textId="77777777" w:rsidTr="006721EA">
        <w:tc>
          <w:tcPr>
            <w:tcW w:w="2943" w:type="dxa"/>
          </w:tcPr>
          <w:p w14:paraId="74ADF083" w14:textId="20B8679F" w:rsidR="00786706" w:rsidRPr="004922AF" w:rsidRDefault="00786706" w:rsidP="004922AF">
            <w:pPr>
              <w:rPr>
                <w:rFonts w:cs="Arial"/>
                <w:szCs w:val="28"/>
              </w:rPr>
            </w:pPr>
            <w:r w:rsidRPr="004922AF">
              <w:rPr>
                <w:rFonts w:cs="Arial"/>
                <w:szCs w:val="28"/>
              </w:rPr>
              <w:t>Audience</w:t>
            </w:r>
          </w:p>
        </w:tc>
        <w:tc>
          <w:tcPr>
            <w:tcW w:w="7147" w:type="dxa"/>
          </w:tcPr>
          <w:sdt>
            <w:sdtPr>
              <w:rPr>
                <w:rFonts w:cs="Arial"/>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240EB424" w:rsidR="00786706" w:rsidRPr="004922AF" w:rsidRDefault="00D576AE" w:rsidP="004922AF">
                <w:pPr>
                  <w:rPr>
                    <w:rFonts w:cs="Arial"/>
                    <w:szCs w:val="28"/>
                  </w:rPr>
                </w:pPr>
                <w:r>
                  <w:rPr>
                    <w:rFonts w:cs="Arial"/>
                    <w:szCs w:val="28"/>
                  </w:rPr>
                  <w:t>Staff</w:t>
                </w:r>
              </w:p>
            </w:sdtContent>
          </w:sdt>
        </w:tc>
      </w:tr>
      <w:tr w:rsidR="00786706" w14:paraId="132A1D0D" w14:textId="77777777" w:rsidTr="006721EA">
        <w:tc>
          <w:tcPr>
            <w:tcW w:w="2943" w:type="dxa"/>
          </w:tcPr>
          <w:p w14:paraId="375184E5" w14:textId="4F1FD2B3" w:rsidR="00786706" w:rsidRPr="004922AF" w:rsidRDefault="00786706" w:rsidP="004922AF">
            <w:pPr>
              <w:rPr>
                <w:rFonts w:cs="Arial"/>
                <w:szCs w:val="28"/>
              </w:rPr>
            </w:pPr>
            <w:r w:rsidRPr="004922A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4C3C5474" w:rsidR="00786706" w:rsidRPr="004922AF" w:rsidRDefault="00EA6334" w:rsidP="004922AF">
                <w:pPr>
                  <w:rPr>
                    <w:rFonts w:cs="Arial"/>
                    <w:szCs w:val="28"/>
                  </w:rPr>
                </w:pPr>
                <w:r>
                  <w:rPr>
                    <w:rFonts w:cs="Arial"/>
                    <w:szCs w:val="28"/>
                  </w:rPr>
                  <w:t>Operational</w:t>
                </w:r>
              </w:p>
            </w:sdtContent>
          </w:sdt>
        </w:tc>
      </w:tr>
      <w:tr w:rsidR="00786706" w14:paraId="704234F9" w14:textId="77777777" w:rsidTr="006721EA">
        <w:tc>
          <w:tcPr>
            <w:tcW w:w="2943" w:type="dxa"/>
          </w:tcPr>
          <w:p w14:paraId="51A9284E" w14:textId="46B8CBB9" w:rsidR="00786706" w:rsidRPr="004922AF" w:rsidRDefault="00786706" w:rsidP="004922AF">
            <w:pPr>
              <w:rPr>
                <w:rFonts w:cs="Arial"/>
                <w:szCs w:val="28"/>
              </w:rPr>
            </w:pPr>
            <w:r w:rsidRPr="004922AF">
              <w:rPr>
                <w:rFonts w:cs="Arial"/>
                <w:szCs w:val="28"/>
              </w:rPr>
              <w:t>Subcategory</w:t>
            </w:r>
          </w:p>
        </w:tc>
        <w:tc>
          <w:tcPr>
            <w:tcW w:w="7147" w:type="dxa"/>
          </w:tcPr>
          <w:sdt>
            <w:sdtPr>
              <w:rPr>
                <w:rFonts w:cs="Arial"/>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185212A3" w:rsidR="007512F5" w:rsidRPr="004922AF" w:rsidRDefault="00D576AE" w:rsidP="00EA6334">
                <w:pPr>
                  <w:rPr>
                    <w:rFonts w:cs="Arial"/>
                    <w:szCs w:val="28"/>
                    <w:lang w:val="en-GB"/>
                  </w:rPr>
                </w:pPr>
                <w:r>
                  <w:rPr>
                    <w:rFonts w:cs="Arial"/>
                    <w:szCs w:val="28"/>
                    <w:lang w:val="en-GB"/>
                  </w:rPr>
                  <w:t>Staff</w:t>
                </w:r>
              </w:p>
            </w:sdtContent>
          </w:sdt>
        </w:tc>
      </w:tr>
      <w:tr w:rsidR="00A57044" w14:paraId="1DD394A7" w14:textId="77777777" w:rsidTr="006721EA">
        <w:tc>
          <w:tcPr>
            <w:tcW w:w="2943" w:type="dxa"/>
          </w:tcPr>
          <w:p w14:paraId="4CDE964B" w14:textId="68F552EF" w:rsidR="00A57044" w:rsidRPr="004922AF" w:rsidRDefault="0046665F" w:rsidP="004922AF">
            <w:pPr>
              <w:rPr>
                <w:rFonts w:cs="Arial"/>
                <w:szCs w:val="28"/>
              </w:rPr>
            </w:pPr>
            <w:r w:rsidRPr="004922AF">
              <w:rPr>
                <w:rFonts w:cs="Arial"/>
                <w:szCs w:val="28"/>
              </w:rPr>
              <w:t>UN Sustainable Development Goals (SDGs)</w:t>
            </w:r>
          </w:p>
        </w:tc>
        <w:tc>
          <w:tcPr>
            <w:tcW w:w="7147" w:type="dxa"/>
          </w:tcPr>
          <w:p w14:paraId="68B0A012" w14:textId="77777777" w:rsidR="00A57044" w:rsidRPr="004922AF" w:rsidRDefault="008239FE" w:rsidP="004922AF">
            <w:pPr>
              <w:rPr>
                <w:rFonts w:cs="Arial"/>
                <w:szCs w:val="28"/>
              </w:rPr>
            </w:pPr>
            <w:r w:rsidRPr="004922AF">
              <w:rPr>
                <w:rFonts w:cs="Arial"/>
                <w:szCs w:val="28"/>
              </w:rPr>
              <w:t xml:space="preserve">This document aligns with </w:t>
            </w:r>
            <w:r w:rsidR="00B25332" w:rsidRPr="004922A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22775960" w:rsidR="00067836" w:rsidRPr="004922AF" w:rsidRDefault="00EA6334" w:rsidP="004922AF">
                <w:pPr>
                  <w:rPr>
                    <w:rFonts w:cs="Arial"/>
                    <w:szCs w:val="28"/>
                  </w:rPr>
                </w:pPr>
                <w:r>
                  <w:rPr>
                    <w:rFonts w:cs="Arial"/>
                    <w:szCs w:val="28"/>
                  </w:rPr>
                  <w:t>4: Quality Education</w:t>
                </w:r>
              </w:p>
            </w:sdtContent>
          </w:sdt>
        </w:tc>
      </w:tr>
      <w:tr w:rsidR="00786706" w14:paraId="72503509" w14:textId="77777777" w:rsidTr="006721EA">
        <w:tc>
          <w:tcPr>
            <w:tcW w:w="2943" w:type="dxa"/>
          </w:tcPr>
          <w:p w14:paraId="7967AC55" w14:textId="476A8E6E" w:rsidR="00786706" w:rsidRPr="004922AF" w:rsidRDefault="00786706" w:rsidP="004922AF">
            <w:pPr>
              <w:rPr>
                <w:rFonts w:cs="Arial"/>
                <w:szCs w:val="28"/>
              </w:rPr>
            </w:pPr>
            <w:r w:rsidRPr="004922AF">
              <w:rPr>
                <w:rFonts w:cs="Arial"/>
                <w:szCs w:val="28"/>
              </w:rPr>
              <w:t>Approval date</w:t>
            </w:r>
          </w:p>
        </w:tc>
        <w:tc>
          <w:tcPr>
            <w:tcW w:w="7147" w:type="dxa"/>
          </w:tcPr>
          <w:p w14:paraId="194B217B" w14:textId="4042EA2C" w:rsidR="00786706" w:rsidRPr="004922AF" w:rsidRDefault="00D576AE" w:rsidP="004922AF">
            <w:pPr>
              <w:rPr>
                <w:rFonts w:cs="Arial"/>
                <w:szCs w:val="28"/>
              </w:rPr>
            </w:pPr>
            <w:r>
              <w:rPr>
                <w:rFonts w:cs="Arial"/>
                <w:szCs w:val="28"/>
              </w:rPr>
              <w:t xml:space="preserve">October </w:t>
            </w:r>
            <w:r w:rsidR="00EA6334">
              <w:rPr>
                <w:rFonts w:cs="Arial"/>
                <w:szCs w:val="28"/>
              </w:rPr>
              <w:t>2023</w:t>
            </w:r>
          </w:p>
        </w:tc>
      </w:tr>
      <w:tr w:rsidR="00786706" w14:paraId="2AB5E63B" w14:textId="77777777" w:rsidTr="006721EA">
        <w:tc>
          <w:tcPr>
            <w:tcW w:w="2943" w:type="dxa"/>
          </w:tcPr>
          <w:p w14:paraId="64F617D1" w14:textId="7CF14029" w:rsidR="00786706" w:rsidRPr="004922AF" w:rsidRDefault="00786706" w:rsidP="004922AF">
            <w:pPr>
              <w:rPr>
                <w:rFonts w:cs="Arial"/>
                <w:szCs w:val="28"/>
              </w:rPr>
            </w:pPr>
            <w:r w:rsidRPr="004922AF">
              <w:rPr>
                <w:rFonts w:cs="Arial"/>
                <w:szCs w:val="28"/>
              </w:rPr>
              <w:t>Effective date</w:t>
            </w:r>
          </w:p>
        </w:tc>
        <w:tc>
          <w:tcPr>
            <w:tcW w:w="7147" w:type="dxa"/>
          </w:tcPr>
          <w:p w14:paraId="4FFCA795" w14:textId="6C1B9E68" w:rsidR="00786706" w:rsidRPr="004922AF" w:rsidRDefault="00D576AE" w:rsidP="004922AF">
            <w:pPr>
              <w:rPr>
                <w:rFonts w:cs="Arial"/>
                <w:szCs w:val="28"/>
              </w:rPr>
            </w:pPr>
            <w:r>
              <w:rPr>
                <w:rFonts w:cs="Arial"/>
                <w:szCs w:val="28"/>
              </w:rPr>
              <w:t xml:space="preserve">October </w:t>
            </w:r>
            <w:r w:rsidR="00EA6334">
              <w:rPr>
                <w:rFonts w:cs="Arial"/>
                <w:szCs w:val="28"/>
              </w:rPr>
              <w:t>2023</w:t>
            </w:r>
          </w:p>
        </w:tc>
      </w:tr>
      <w:tr w:rsidR="00786706" w14:paraId="6F3FFE23" w14:textId="77777777" w:rsidTr="006721EA">
        <w:tc>
          <w:tcPr>
            <w:tcW w:w="2943" w:type="dxa"/>
          </w:tcPr>
          <w:p w14:paraId="6FF0BF57" w14:textId="3ECF3A96" w:rsidR="00786706" w:rsidRPr="004922AF" w:rsidRDefault="00786706" w:rsidP="004922AF">
            <w:pPr>
              <w:rPr>
                <w:rFonts w:cs="Arial"/>
                <w:szCs w:val="28"/>
              </w:rPr>
            </w:pPr>
            <w:r w:rsidRPr="004922AF">
              <w:rPr>
                <w:rFonts w:cs="Arial"/>
                <w:szCs w:val="28"/>
              </w:rPr>
              <w:t>Review date</w:t>
            </w:r>
          </w:p>
        </w:tc>
        <w:tc>
          <w:tcPr>
            <w:tcW w:w="7147" w:type="dxa"/>
          </w:tcPr>
          <w:p w14:paraId="01E953C9" w14:textId="62B41D60" w:rsidR="00786706" w:rsidRPr="004922AF" w:rsidRDefault="00EA6334" w:rsidP="004922AF">
            <w:pPr>
              <w:rPr>
                <w:rFonts w:cs="Arial"/>
                <w:szCs w:val="28"/>
              </w:rPr>
            </w:pPr>
            <w:r>
              <w:rPr>
                <w:rFonts w:cs="Arial"/>
                <w:szCs w:val="28"/>
              </w:rPr>
              <w:t>20</w:t>
            </w:r>
            <w:r w:rsidR="00D576AE">
              <w:rPr>
                <w:rFonts w:cs="Arial"/>
                <w:szCs w:val="28"/>
              </w:rPr>
              <w:t>26</w:t>
            </w:r>
          </w:p>
        </w:tc>
      </w:tr>
      <w:tr w:rsidR="00786706" w14:paraId="3BDD3607" w14:textId="77777777" w:rsidTr="006721EA">
        <w:tc>
          <w:tcPr>
            <w:tcW w:w="2943" w:type="dxa"/>
          </w:tcPr>
          <w:p w14:paraId="12FCF114" w14:textId="4AD0B255" w:rsidR="00786706" w:rsidRPr="004922AF" w:rsidRDefault="00786706" w:rsidP="004922AF">
            <w:pPr>
              <w:rPr>
                <w:rFonts w:cs="Arial"/>
                <w:szCs w:val="28"/>
              </w:rPr>
            </w:pPr>
            <w:r w:rsidRPr="004922AF">
              <w:rPr>
                <w:rFonts w:cs="Arial"/>
                <w:szCs w:val="28"/>
              </w:rPr>
              <w:t>Policy advisor</w:t>
            </w:r>
          </w:p>
        </w:tc>
        <w:tc>
          <w:tcPr>
            <w:tcW w:w="7147" w:type="dxa"/>
          </w:tcPr>
          <w:p w14:paraId="0CB94D75" w14:textId="1AFC8CD4" w:rsidR="00786706" w:rsidRPr="004922AF" w:rsidRDefault="00D576AE" w:rsidP="004922AF">
            <w:pPr>
              <w:rPr>
                <w:rFonts w:cs="Arial"/>
                <w:szCs w:val="28"/>
              </w:rPr>
            </w:pPr>
            <w:r>
              <w:rPr>
                <w:rFonts w:cs="Arial"/>
                <w:szCs w:val="20"/>
              </w:rPr>
              <w:t>Head, Talent Acquisition</w:t>
            </w:r>
          </w:p>
        </w:tc>
      </w:tr>
      <w:tr w:rsidR="00786706" w14:paraId="49179DFF" w14:textId="77777777" w:rsidTr="006721EA">
        <w:tc>
          <w:tcPr>
            <w:tcW w:w="2943" w:type="dxa"/>
          </w:tcPr>
          <w:p w14:paraId="1B0442C2" w14:textId="61E06347" w:rsidR="00786706" w:rsidRPr="004922AF" w:rsidRDefault="00786706" w:rsidP="004922AF">
            <w:pPr>
              <w:rPr>
                <w:rFonts w:cs="Arial"/>
                <w:szCs w:val="28"/>
              </w:rPr>
            </w:pPr>
            <w:r w:rsidRPr="004922AF">
              <w:rPr>
                <w:rFonts w:cs="Arial"/>
                <w:szCs w:val="28"/>
              </w:rPr>
              <w:t>Approving authority</w:t>
            </w:r>
          </w:p>
        </w:tc>
        <w:tc>
          <w:tcPr>
            <w:tcW w:w="7147" w:type="dxa"/>
          </w:tcPr>
          <w:p w14:paraId="0D81D6BC" w14:textId="5BA635B6" w:rsidR="00786706" w:rsidRPr="004922AF" w:rsidRDefault="00EA6334" w:rsidP="004922AF">
            <w:pPr>
              <w:rPr>
                <w:rFonts w:cs="Arial"/>
                <w:szCs w:val="28"/>
              </w:rPr>
            </w:pPr>
            <w:r>
              <w:rPr>
                <w:rFonts w:cs="Arial"/>
                <w:szCs w:val="28"/>
              </w:rPr>
              <w:t xml:space="preserve">Director, Human Resources </w:t>
            </w:r>
          </w:p>
        </w:tc>
      </w:tr>
    </w:tbl>
    <w:p w14:paraId="07DD10BA" w14:textId="0FA127FA" w:rsidR="00811F90" w:rsidRDefault="00811F90">
      <w:pPr>
        <w:rPr>
          <w:rFonts w:cs="Arial"/>
          <w:sz w:val="20"/>
          <w:szCs w:val="20"/>
        </w:rPr>
      </w:pPr>
    </w:p>
    <w:p w14:paraId="605F990D" w14:textId="015915AF" w:rsidR="00C22059" w:rsidRPr="00237AB3" w:rsidRDefault="007418A5" w:rsidP="00CA6AC5">
      <w:pPr>
        <w:pStyle w:val="Heading2"/>
        <w:rPr>
          <w:rFonts w:ascii="Griffith Sans Text" w:hAnsi="Griffith Sans Text"/>
        </w:rPr>
      </w:pPr>
      <w:bookmarkStart w:id="18" w:name="_7.0_Related_Policy"/>
      <w:bookmarkStart w:id="19" w:name="_6.0_Related_Policy"/>
      <w:bookmarkEnd w:id="18"/>
      <w:bookmarkEnd w:id="19"/>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rPr>
                <w:rFonts w:cs="Arial"/>
              </w:rPr>
            </w:pPr>
            <w:r w:rsidRPr="004922AF">
              <w:rPr>
                <w:rFonts w:cs="Arial"/>
              </w:rPr>
              <w:t>Legislation</w:t>
            </w:r>
          </w:p>
        </w:tc>
        <w:tc>
          <w:tcPr>
            <w:tcW w:w="7147" w:type="dxa"/>
          </w:tcPr>
          <w:p w14:paraId="5E0B0DDF" w14:textId="2EB8BFFE" w:rsidR="00D576AE" w:rsidRPr="00D576AE" w:rsidRDefault="00D576AE" w:rsidP="00D576AE">
            <w:pPr>
              <w:rPr>
                <w:rFonts w:cs="Arial"/>
              </w:rPr>
            </w:pPr>
            <w:hyperlink r:id="rId12" w:history="1">
              <w:r w:rsidRPr="00D576AE">
                <w:rPr>
                  <w:rStyle w:val="Hyperlink"/>
                  <w:rFonts w:cs="Arial"/>
                </w:rPr>
                <w:t>Migration Act 1958 (</w:t>
              </w:r>
              <w:proofErr w:type="spellStart"/>
              <w:r w:rsidRPr="00D576AE">
                <w:rPr>
                  <w:rStyle w:val="Hyperlink"/>
                  <w:rFonts w:cs="Arial"/>
                </w:rPr>
                <w:t>Cth</w:t>
              </w:r>
              <w:proofErr w:type="spellEnd"/>
              <w:r w:rsidRPr="00D576AE">
                <w:rPr>
                  <w:rStyle w:val="Hyperlink"/>
                  <w:rFonts w:cs="Arial"/>
                </w:rPr>
                <w:t>)</w:t>
              </w:r>
            </w:hyperlink>
          </w:p>
          <w:p w14:paraId="1D95EE8D" w14:textId="0238C2B3" w:rsidR="00746A0E" w:rsidRPr="004922AF" w:rsidRDefault="007D0749" w:rsidP="00D576AE">
            <w:pPr>
              <w:rPr>
                <w:rFonts w:cs="Arial"/>
                <w:lang w:val="en-GB"/>
              </w:rPr>
            </w:pPr>
            <w:hyperlink r:id="rId13" w:history="1">
              <w:r w:rsidR="00D576AE" w:rsidRPr="007D0749">
                <w:rPr>
                  <w:rStyle w:val="Hyperlink"/>
                  <w:rFonts w:cs="Arial"/>
                </w:rPr>
                <w:t>National Health Security Act 2007 (</w:t>
              </w:r>
              <w:proofErr w:type="spellStart"/>
              <w:r w:rsidR="00D576AE" w:rsidRPr="007D0749">
                <w:rPr>
                  <w:rStyle w:val="Hyperlink"/>
                  <w:rFonts w:cs="Arial"/>
                </w:rPr>
                <w:t>Cth</w:t>
              </w:r>
              <w:proofErr w:type="spellEnd"/>
              <w:r w:rsidR="00D576AE" w:rsidRPr="007D0749">
                <w:rPr>
                  <w:rStyle w:val="Hyperlink"/>
                  <w:rFonts w:cs="Arial"/>
                </w:rPr>
                <w:t>)</w:t>
              </w:r>
            </w:hyperlink>
          </w:p>
        </w:tc>
      </w:tr>
      <w:tr w:rsidR="00746A0E" w:rsidRPr="004922AF" w14:paraId="13D635BA" w14:textId="77777777" w:rsidTr="006721EA">
        <w:tc>
          <w:tcPr>
            <w:tcW w:w="2943" w:type="dxa"/>
          </w:tcPr>
          <w:p w14:paraId="7CB30007" w14:textId="274434BC" w:rsidR="00746A0E" w:rsidRPr="004922AF" w:rsidRDefault="00746A0E" w:rsidP="004922AF">
            <w:pPr>
              <w:rPr>
                <w:rFonts w:cs="Arial"/>
              </w:rPr>
            </w:pPr>
            <w:r w:rsidRPr="004922AF">
              <w:rPr>
                <w:rFonts w:cs="Arial"/>
              </w:rPr>
              <w:lastRenderedPageBreak/>
              <w:t>Policy</w:t>
            </w:r>
          </w:p>
        </w:tc>
        <w:tc>
          <w:tcPr>
            <w:tcW w:w="7147" w:type="dxa"/>
          </w:tcPr>
          <w:p w14:paraId="7A1507B9" w14:textId="56FBCECA" w:rsidR="00746A0E" w:rsidRPr="004922AF" w:rsidRDefault="007D0749" w:rsidP="004922AF">
            <w:pPr>
              <w:rPr>
                <w:rFonts w:cs="Arial"/>
                <w:lang w:val="en-GB"/>
              </w:rPr>
            </w:pPr>
            <w:hyperlink r:id="rId14" w:history="1">
              <w:r w:rsidRPr="007D0749">
                <w:rPr>
                  <w:rStyle w:val="Hyperlink"/>
                  <w:rFonts w:cs="Arial"/>
                </w:rPr>
                <w:t>Talent Acquisition Policy</w:t>
              </w:r>
            </w:hyperlink>
          </w:p>
        </w:tc>
      </w:tr>
      <w:tr w:rsidR="00746A0E" w:rsidRPr="004922AF" w14:paraId="55329BCC" w14:textId="77777777" w:rsidTr="006721EA">
        <w:tc>
          <w:tcPr>
            <w:tcW w:w="2943" w:type="dxa"/>
          </w:tcPr>
          <w:p w14:paraId="1BD7DB3E" w14:textId="54AA41D2" w:rsidR="00746A0E" w:rsidRPr="004922AF" w:rsidRDefault="00746A0E" w:rsidP="004922AF">
            <w:pPr>
              <w:rPr>
                <w:rFonts w:cs="Arial"/>
              </w:rPr>
            </w:pPr>
            <w:r w:rsidRPr="004922AF">
              <w:rPr>
                <w:rFonts w:cs="Arial"/>
              </w:rPr>
              <w:t>Procedures</w:t>
            </w:r>
          </w:p>
        </w:tc>
        <w:tc>
          <w:tcPr>
            <w:tcW w:w="7147" w:type="dxa"/>
          </w:tcPr>
          <w:p w14:paraId="3576FB46" w14:textId="30928E70" w:rsidR="007D0749" w:rsidRDefault="007D0749" w:rsidP="007D0749">
            <w:pPr>
              <w:rPr>
                <w:rFonts w:cs="Arial"/>
              </w:rPr>
            </w:pPr>
            <w:hyperlink r:id="rId15" w:history="1">
              <w:r w:rsidRPr="007D0749">
                <w:rPr>
                  <w:rStyle w:val="Hyperlink"/>
                  <w:rFonts w:cs="Arial"/>
                </w:rPr>
                <w:t>Pre-Employment Screening Procedure</w:t>
              </w:r>
            </w:hyperlink>
          </w:p>
          <w:p w14:paraId="4302959E" w14:textId="37B4FDBD" w:rsidR="00746A0E" w:rsidRPr="004922AF" w:rsidRDefault="007D0749" w:rsidP="007D0749">
            <w:pPr>
              <w:rPr>
                <w:rFonts w:cs="Arial"/>
                <w:lang w:val="en-GB"/>
              </w:rPr>
            </w:pPr>
            <w:hyperlink r:id="rId16" w:history="1">
              <w:r w:rsidRPr="007D0749">
                <w:rPr>
                  <w:rStyle w:val="Hyperlink"/>
                  <w:rFonts w:cs="Arial"/>
                </w:rPr>
                <w:t>Talent Acquisition Procedure</w:t>
              </w:r>
            </w:hyperlink>
          </w:p>
        </w:tc>
      </w:tr>
      <w:tr w:rsidR="00746A0E" w:rsidRPr="004922AF" w14:paraId="76652B21" w14:textId="77777777" w:rsidTr="006721EA">
        <w:tc>
          <w:tcPr>
            <w:tcW w:w="2943" w:type="dxa"/>
          </w:tcPr>
          <w:p w14:paraId="118FD34E" w14:textId="481E52F8" w:rsidR="00746A0E" w:rsidRPr="004922AF" w:rsidRDefault="00746A0E" w:rsidP="004922AF">
            <w:pPr>
              <w:rPr>
                <w:rFonts w:cs="Arial"/>
              </w:rPr>
            </w:pPr>
            <w:r w:rsidRPr="004922AF">
              <w:rPr>
                <w:rFonts w:cs="Arial"/>
              </w:rPr>
              <w:t>Local Protocol</w:t>
            </w:r>
          </w:p>
        </w:tc>
        <w:tc>
          <w:tcPr>
            <w:tcW w:w="7147" w:type="dxa"/>
          </w:tcPr>
          <w:p w14:paraId="55AA03EB" w14:textId="13C0B2C2" w:rsidR="00746A0E" w:rsidRPr="004922AF" w:rsidRDefault="00746A0E" w:rsidP="004922AF">
            <w:pPr>
              <w:rPr>
                <w:rFonts w:cs="Arial"/>
              </w:rPr>
            </w:pPr>
            <w:r w:rsidRPr="004922AF">
              <w:rPr>
                <w:rFonts w:cs="Arial"/>
              </w:rPr>
              <w:t>N/A</w:t>
            </w:r>
          </w:p>
        </w:tc>
      </w:tr>
      <w:tr w:rsidR="00746A0E" w:rsidRPr="004922AF" w14:paraId="5AB64C6F" w14:textId="77777777" w:rsidTr="006721EA">
        <w:tc>
          <w:tcPr>
            <w:tcW w:w="2943" w:type="dxa"/>
          </w:tcPr>
          <w:p w14:paraId="22348C3F" w14:textId="0F6236D7" w:rsidR="00746A0E" w:rsidRPr="004922AF" w:rsidRDefault="00746A0E" w:rsidP="004922AF">
            <w:pPr>
              <w:rPr>
                <w:rFonts w:cs="Arial"/>
              </w:rPr>
            </w:pPr>
            <w:r w:rsidRPr="004922AF">
              <w:rPr>
                <w:rFonts w:cs="Arial"/>
              </w:rPr>
              <w:t>Forms</w:t>
            </w:r>
          </w:p>
        </w:tc>
        <w:tc>
          <w:tcPr>
            <w:tcW w:w="7147" w:type="dxa"/>
          </w:tcPr>
          <w:p w14:paraId="54F51F15" w14:textId="3F717F66" w:rsidR="00746A0E" w:rsidRPr="004922AF" w:rsidRDefault="00EA6334" w:rsidP="004922AF">
            <w:pPr>
              <w:rPr>
                <w:rFonts w:cs="Arial"/>
              </w:rPr>
            </w:pPr>
            <w:r w:rsidRPr="004922AF">
              <w:rPr>
                <w:rFonts w:cs="Arial"/>
              </w:rPr>
              <w:t>N/A</w:t>
            </w:r>
          </w:p>
        </w:tc>
      </w:tr>
    </w:tbl>
    <w:p w14:paraId="6BA7652E" w14:textId="26761596" w:rsidR="00A15D12" w:rsidRDefault="00A15D12" w:rsidP="004922AF">
      <w:pPr>
        <w:rPr>
          <w:rFonts w:cs="Arial"/>
        </w:rPr>
      </w:pPr>
    </w:p>
    <w:sectPr w:rsidR="00A15D12" w:rsidSect="00E77B43">
      <w:headerReference w:type="default" r:id="rId17"/>
      <w:footerReference w:type="even" r:id="rId18"/>
      <w:footerReference w:type="default" r:id="rId19"/>
      <w:headerReference w:type="first" r:id="rId20"/>
      <w:footerReference w:type="first" r:id="rId21"/>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pPr>
      <w:r>
        <w:separator/>
      </w:r>
    </w:p>
    <w:p w14:paraId="7100BF3B" w14:textId="77777777" w:rsidR="00CC760B" w:rsidRDefault="00CC760B"/>
  </w:endnote>
  <w:endnote w:type="continuationSeparator" w:id="0">
    <w:p w14:paraId="6A1DDC77" w14:textId="77777777" w:rsidR="0061147C" w:rsidRDefault="0061147C" w:rsidP="00575CC3">
      <w:pPr>
        <w:spacing w:after="0"/>
      </w:pPr>
      <w:r>
        <w:continuationSeparator/>
      </w:r>
    </w:p>
    <w:p w14:paraId="2BD40580" w14:textId="77777777" w:rsidR="00CC760B" w:rsidRDefault="00CC7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panose1 w:val="00000000000000000000"/>
    <w:charset w:val="4D"/>
    <w:family w:val="auto"/>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p w14:paraId="3E98B54B" w14:textId="77777777" w:rsidR="00CC760B" w:rsidRDefault="00CC76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78AEC328" w14:textId="77777777" w:rsidR="00D576AE" w:rsidRDefault="00D576AE" w:rsidP="00D576AE">
    <w:pPr>
      <w:pStyle w:val="FooterTemplate"/>
    </w:pPr>
  </w:p>
  <w:p w14:paraId="298999F4" w14:textId="0C56CACD" w:rsidR="00D576AE" w:rsidRDefault="00D576AE" w:rsidP="00D576AE">
    <w:pPr>
      <w:pStyle w:val="FooterTemplate"/>
    </w:pPr>
    <w:r>
      <w:t>Relocation Assistance Procedure | October 2023</w:t>
    </w:r>
  </w:p>
  <w:p w14:paraId="1EE3E8A1" w14:textId="77777777" w:rsidR="00D576AE" w:rsidRDefault="00D576AE" w:rsidP="00D576AE">
    <w:pPr>
      <w:pStyle w:val="FooterTemplate"/>
    </w:pPr>
    <w:r>
      <w:t>Document number: 2023/0001119</w:t>
    </w:r>
  </w:p>
  <w:p w14:paraId="2E3A5653" w14:textId="28602ACD" w:rsidR="00830B58" w:rsidRDefault="00D576AE" w:rsidP="00D576AE">
    <w:pPr>
      <w:pStyle w:val="FooterTemplate"/>
    </w:pPr>
    <w:r>
      <w:t>Griffith University - CRICOS Provider Number 00233E</w:t>
    </w:r>
  </w:p>
  <w:p w14:paraId="4FE08F67" w14:textId="77777777" w:rsidR="00CC760B" w:rsidRDefault="00CC76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61FA287D" w14:textId="502CE6DD" w:rsidR="00D576AE" w:rsidRPr="00D576AE" w:rsidRDefault="00D576AE" w:rsidP="00D576AE">
    <w:pPr>
      <w:spacing w:after="0"/>
      <w:jc w:val="right"/>
      <w:rPr>
        <w:rFonts w:asciiTheme="minorHAnsi" w:hAnsiTheme="minorHAnsi" w:cstheme="minorHAnsi"/>
        <w:color w:val="70787B"/>
        <w:sz w:val="15"/>
        <w:szCs w:val="15"/>
      </w:rPr>
    </w:pPr>
    <w:r w:rsidRPr="00D576AE">
      <w:rPr>
        <w:rFonts w:asciiTheme="minorHAnsi" w:hAnsiTheme="minorHAnsi" w:cstheme="minorHAnsi"/>
        <w:color w:val="70787B"/>
        <w:sz w:val="15"/>
        <w:szCs w:val="15"/>
      </w:rPr>
      <w:t>Relocation Assistance Procedure | October 2023</w:t>
    </w:r>
    <w:r>
      <w:rPr>
        <w:rFonts w:asciiTheme="minorHAnsi" w:hAnsiTheme="minorHAnsi" w:cstheme="minorHAnsi"/>
        <w:color w:val="70787B"/>
        <w:sz w:val="15"/>
        <w:szCs w:val="15"/>
      </w:rPr>
      <w:br/>
    </w:r>
    <w:r w:rsidRPr="00D576AE">
      <w:rPr>
        <w:rFonts w:asciiTheme="minorHAnsi" w:hAnsiTheme="minorHAnsi" w:cstheme="minorHAnsi"/>
        <w:color w:val="70787B"/>
        <w:sz w:val="15"/>
        <w:szCs w:val="15"/>
      </w:rPr>
      <w:t>Document number: 2023/0001119</w:t>
    </w:r>
  </w:p>
  <w:p w14:paraId="3471DC75" w14:textId="1AE10EF3" w:rsidR="00E77B43" w:rsidRDefault="00D576AE" w:rsidP="00D576AE">
    <w:pPr>
      <w:pStyle w:val="FooterTemplate"/>
    </w:pPr>
    <w:r w:rsidRPr="00D576AE">
      <w:t>Griffith University - CRICOS Provider Number 00233E</w:t>
    </w:r>
    <w:r w:rsidRPr="00D576AE">
      <w:rPr>
        <w:noProof/>
      </w:rPr>
      <w:t xml:space="preserve"> </w:t>
    </w:r>
    <w:r w:rsidR="00E77B43" w:rsidRPr="000209B9">
      <w:rPr>
        <w:noProof/>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pPr>
      <w:r>
        <w:separator/>
      </w:r>
    </w:p>
    <w:p w14:paraId="318BF58B" w14:textId="77777777" w:rsidR="00CC760B" w:rsidRDefault="00CC760B"/>
  </w:footnote>
  <w:footnote w:type="continuationSeparator" w:id="0">
    <w:p w14:paraId="25885BE6" w14:textId="77777777" w:rsidR="0061147C" w:rsidRDefault="0061147C" w:rsidP="00575CC3">
      <w:pPr>
        <w:spacing w:after="0"/>
      </w:pPr>
      <w:r>
        <w:continuationSeparator/>
      </w:r>
    </w:p>
    <w:p w14:paraId="04269FD5" w14:textId="77777777" w:rsidR="00CC760B" w:rsidRDefault="00CC7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p w14:paraId="04F8F975" w14:textId="77777777" w:rsidR="00CC760B" w:rsidRDefault="00CC76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A763E1"/>
    <w:multiLevelType w:val="hybridMultilevel"/>
    <w:tmpl w:val="D466FA90"/>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5"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6"/>
  </w:num>
  <w:num w:numId="2" w16cid:durableId="396825147">
    <w:abstractNumId w:val="36"/>
  </w:num>
  <w:num w:numId="3" w16cid:durableId="1304701530">
    <w:abstractNumId w:val="31"/>
  </w:num>
  <w:num w:numId="4" w16cid:durableId="352269857">
    <w:abstractNumId w:val="27"/>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4"/>
  </w:num>
  <w:num w:numId="19" w16cid:durableId="1511336397">
    <w:abstractNumId w:val="32"/>
  </w:num>
  <w:num w:numId="20" w16cid:durableId="1666785443">
    <w:abstractNumId w:val="12"/>
  </w:num>
  <w:num w:numId="21" w16cid:durableId="1708486012">
    <w:abstractNumId w:val="25"/>
  </w:num>
  <w:num w:numId="22" w16cid:durableId="831220188">
    <w:abstractNumId w:val="22"/>
  </w:num>
  <w:num w:numId="23" w16cid:durableId="1621642287">
    <w:abstractNumId w:val="23"/>
  </w:num>
  <w:num w:numId="24" w16cid:durableId="1833176348">
    <w:abstractNumId w:val="28"/>
  </w:num>
  <w:num w:numId="25" w16cid:durableId="1126041565">
    <w:abstractNumId w:val="30"/>
  </w:num>
  <w:num w:numId="26" w16cid:durableId="1098252483">
    <w:abstractNumId w:val="18"/>
  </w:num>
  <w:num w:numId="27" w16cid:durableId="1930380739">
    <w:abstractNumId w:val="13"/>
  </w:num>
  <w:num w:numId="28" w16cid:durableId="871302621">
    <w:abstractNumId w:val="14"/>
  </w:num>
  <w:num w:numId="29" w16cid:durableId="991954021">
    <w:abstractNumId w:val="35"/>
  </w:num>
  <w:num w:numId="30" w16cid:durableId="218833091">
    <w:abstractNumId w:val="15"/>
  </w:num>
  <w:num w:numId="31" w16cid:durableId="66726597">
    <w:abstractNumId w:val="29"/>
  </w:num>
  <w:num w:numId="32" w16cid:durableId="1786579993">
    <w:abstractNumId w:val="34"/>
  </w:num>
  <w:num w:numId="33" w16cid:durableId="1071662295">
    <w:abstractNumId w:val="20"/>
  </w:num>
  <w:num w:numId="34" w16cid:durableId="944117931">
    <w:abstractNumId w:val="19"/>
  </w:num>
  <w:num w:numId="35" w16cid:durableId="754860717">
    <w:abstractNumId w:val="17"/>
  </w:num>
  <w:num w:numId="36" w16cid:durableId="177352507">
    <w:abstractNumId w:val="21"/>
  </w:num>
  <w:num w:numId="37" w16cid:durableId="18846303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F1CE9"/>
    <w:rsid w:val="000F43B1"/>
    <w:rsid w:val="000F5EB6"/>
    <w:rsid w:val="00103826"/>
    <w:rsid w:val="00104FF2"/>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3DA"/>
    <w:rsid w:val="00261945"/>
    <w:rsid w:val="002622A9"/>
    <w:rsid w:val="002665AF"/>
    <w:rsid w:val="00267CCA"/>
    <w:rsid w:val="00274580"/>
    <w:rsid w:val="002879F0"/>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F7778"/>
    <w:rsid w:val="0040296F"/>
    <w:rsid w:val="004063AB"/>
    <w:rsid w:val="00410ED5"/>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4F2CE1"/>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1147C"/>
    <w:rsid w:val="00613014"/>
    <w:rsid w:val="006467E3"/>
    <w:rsid w:val="006519D0"/>
    <w:rsid w:val="00654CFD"/>
    <w:rsid w:val="0065502D"/>
    <w:rsid w:val="006A0D50"/>
    <w:rsid w:val="006A16D3"/>
    <w:rsid w:val="006A5781"/>
    <w:rsid w:val="006B61C2"/>
    <w:rsid w:val="006C42D8"/>
    <w:rsid w:val="006C594F"/>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735FC"/>
    <w:rsid w:val="00785535"/>
    <w:rsid w:val="00786706"/>
    <w:rsid w:val="00790080"/>
    <w:rsid w:val="00791C73"/>
    <w:rsid w:val="007A183B"/>
    <w:rsid w:val="007A1AED"/>
    <w:rsid w:val="007B5079"/>
    <w:rsid w:val="007B700A"/>
    <w:rsid w:val="007C0260"/>
    <w:rsid w:val="007C37DE"/>
    <w:rsid w:val="007D0749"/>
    <w:rsid w:val="007D4084"/>
    <w:rsid w:val="007D4B90"/>
    <w:rsid w:val="007E4E51"/>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C05CD"/>
    <w:rsid w:val="008C300D"/>
    <w:rsid w:val="008C5983"/>
    <w:rsid w:val="008D0A1C"/>
    <w:rsid w:val="008D2294"/>
    <w:rsid w:val="008D57B3"/>
    <w:rsid w:val="008F2DE0"/>
    <w:rsid w:val="008F588D"/>
    <w:rsid w:val="00904689"/>
    <w:rsid w:val="0092371D"/>
    <w:rsid w:val="00941205"/>
    <w:rsid w:val="00947015"/>
    <w:rsid w:val="0095172A"/>
    <w:rsid w:val="009518A2"/>
    <w:rsid w:val="00966619"/>
    <w:rsid w:val="009933D9"/>
    <w:rsid w:val="00993A5D"/>
    <w:rsid w:val="009A2E17"/>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45BDF"/>
    <w:rsid w:val="00A50780"/>
    <w:rsid w:val="00A55F73"/>
    <w:rsid w:val="00A56091"/>
    <w:rsid w:val="00A5683C"/>
    <w:rsid w:val="00A57044"/>
    <w:rsid w:val="00A601F1"/>
    <w:rsid w:val="00AA12A3"/>
    <w:rsid w:val="00AA188E"/>
    <w:rsid w:val="00AA391D"/>
    <w:rsid w:val="00AB00BF"/>
    <w:rsid w:val="00AC1EA9"/>
    <w:rsid w:val="00AE36C9"/>
    <w:rsid w:val="00AE4387"/>
    <w:rsid w:val="00AF5791"/>
    <w:rsid w:val="00AF719E"/>
    <w:rsid w:val="00B11F04"/>
    <w:rsid w:val="00B24AD5"/>
    <w:rsid w:val="00B25332"/>
    <w:rsid w:val="00B26F8D"/>
    <w:rsid w:val="00B42BD2"/>
    <w:rsid w:val="00B508D5"/>
    <w:rsid w:val="00B52233"/>
    <w:rsid w:val="00B82F08"/>
    <w:rsid w:val="00B9062A"/>
    <w:rsid w:val="00BB58D7"/>
    <w:rsid w:val="00BD26DB"/>
    <w:rsid w:val="00BF387D"/>
    <w:rsid w:val="00C00B53"/>
    <w:rsid w:val="00C22059"/>
    <w:rsid w:val="00C2475A"/>
    <w:rsid w:val="00C31251"/>
    <w:rsid w:val="00C32760"/>
    <w:rsid w:val="00C577E2"/>
    <w:rsid w:val="00C62871"/>
    <w:rsid w:val="00C76573"/>
    <w:rsid w:val="00C77710"/>
    <w:rsid w:val="00C80060"/>
    <w:rsid w:val="00CA6305"/>
    <w:rsid w:val="00CA6AC5"/>
    <w:rsid w:val="00CA75B5"/>
    <w:rsid w:val="00CC2B2D"/>
    <w:rsid w:val="00CC760B"/>
    <w:rsid w:val="00CD119B"/>
    <w:rsid w:val="00CF611B"/>
    <w:rsid w:val="00CF6FF3"/>
    <w:rsid w:val="00D042D8"/>
    <w:rsid w:val="00D25E65"/>
    <w:rsid w:val="00D434E9"/>
    <w:rsid w:val="00D532D6"/>
    <w:rsid w:val="00D576AE"/>
    <w:rsid w:val="00D622E0"/>
    <w:rsid w:val="00D97CF6"/>
    <w:rsid w:val="00DA2384"/>
    <w:rsid w:val="00DB0FC8"/>
    <w:rsid w:val="00DB76F9"/>
    <w:rsid w:val="00DB7E17"/>
    <w:rsid w:val="00DD6067"/>
    <w:rsid w:val="00DE45C5"/>
    <w:rsid w:val="00DF3DF3"/>
    <w:rsid w:val="00E14D21"/>
    <w:rsid w:val="00E166E0"/>
    <w:rsid w:val="00E20D0C"/>
    <w:rsid w:val="00E21C52"/>
    <w:rsid w:val="00E34E2C"/>
    <w:rsid w:val="00E633D7"/>
    <w:rsid w:val="00E67BB3"/>
    <w:rsid w:val="00E702F7"/>
    <w:rsid w:val="00E7138A"/>
    <w:rsid w:val="00E77B43"/>
    <w:rsid w:val="00E826C9"/>
    <w:rsid w:val="00E9677E"/>
    <w:rsid w:val="00EA50A4"/>
    <w:rsid w:val="00EA633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2B2D"/>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9A2E17"/>
    <w:pPr>
      <w:ind w:left="567"/>
    </w:pPr>
    <w:rPr>
      <w:rFonts w:cs="Arial"/>
    </w:rPr>
  </w:style>
  <w:style w:type="character" w:customStyle="1" w:styleId="NormalSubheadingChar">
    <w:name w:val="NormalSubheading Char"/>
    <w:basedOn w:val="DefaultParagraphFont"/>
    <w:link w:val="NormalSubheading"/>
    <w:rsid w:val="009A2E17"/>
    <w:rPr>
      <w:rFonts w:ascii="Arial" w:hAnsi="Arial" w:cs="Arial"/>
      <w:kern w:val="2"/>
    </w:rPr>
  </w:style>
  <w:style w:type="paragraph" w:customStyle="1" w:styleId="Subsubhead">
    <w:name w:val="Subsubhead"/>
    <w:basedOn w:val="Normal"/>
    <w:link w:val="SubsubheadChar"/>
    <w:qFormat/>
    <w:rsid w:val="00CC760B"/>
    <w:pPr>
      <w:ind w:left="1134"/>
    </w:pPr>
    <w:rPr>
      <w:rFonts w:cs="Arial"/>
    </w:rPr>
  </w:style>
  <w:style w:type="character" w:customStyle="1" w:styleId="SubsubheadChar">
    <w:name w:val="Subsubhead Char"/>
    <w:basedOn w:val="DefaultParagraphFont"/>
    <w:link w:val="Subsubhead"/>
    <w:rsid w:val="00CC760B"/>
    <w:rPr>
      <w:rFonts w:ascii="Arial" w:hAnsi="Arial" w:cs="Arial"/>
      <w:kern w:val="2"/>
    </w:rPr>
  </w:style>
  <w:style w:type="paragraph" w:customStyle="1" w:styleId="SubSubHeading">
    <w:name w:val="SubSubHeading"/>
    <w:basedOn w:val="Heading5"/>
    <w:link w:val="SubSubHeadingChar"/>
    <w:qFormat/>
    <w:rsid w:val="00CC760B"/>
    <w:pPr>
      <w:spacing w:before="120"/>
      <w:ind w:left="1134"/>
    </w:pPr>
  </w:style>
  <w:style w:type="character" w:customStyle="1" w:styleId="SubSubHeadingChar">
    <w:name w:val="SubSubHeading Char"/>
    <w:basedOn w:val="Heading5Char"/>
    <w:link w:val="SubSubHeading"/>
    <w:rsid w:val="00CC760B"/>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CC760B"/>
  </w:style>
  <w:style w:type="character" w:customStyle="1" w:styleId="SubSubHeadTextChar">
    <w:name w:val="SubSubHeadText Char"/>
    <w:basedOn w:val="SubsubheadChar"/>
    <w:link w:val="SubSubHeadText"/>
    <w:rsid w:val="00CC760B"/>
    <w:rPr>
      <w:rFonts w:ascii="Arial" w:hAnsi="Arial" w:cs="Arial"/>
      <w:kern w:val="2"/>
    </w:rPr>
  </w:style>
  <w:style w:type="paragraph" w:customStyle="1" w:styleId="FooterTemplate">
    <w:name w:val="FooterTemplate"/>
    <w:basedOn w:val="Normal"/>
    <w:link w:val="FooterTemplateChar"/>
    <w:qFormat/>
    <w:rsid w:val="002879F0"/>
    <w:pPr>
      <w:spacing w:before="0" w:after="0"/>
      <w:jc w:val="right"/>
    </w:pPr>
    <w:rPr>
      <w:rFonts w:asciiTheme="minorHAnsi" w:hAnsiTheme="minorHAnsi" w:cstheme="minorHAnsi"/>
      <w:color w:val="70787B"/>
      <w:sz w:val="15"/>
      <w:szCs w:val="15"/>
    </w:rPr>
  </w:style>
  <w:style w:type="character" w:customStyle="1" w:styleId="FooterTemplateChar">
    <w:name w:val="FooterTemplate Char"/>
    <w:basedOn w:val="DefaultParagraphFont"/>
    <w:link w:val="FooterTemplate"/>
    <w:rsid w:val="002879F0"/>
    <w:rPr>
      <w:rFonts w:cstheme="minorHAnsi"/>
      <w:color w:val="70787B"/>
      <w:kern w:val="2"/>
      <w:sz w:val="15"/>
      <w:szCs w:val="15"/>
    </w:rPr>
  </w:style>
  <w:style w:type="paragraph" w:customStyle="1" w:styleId="BulletPoints">
    <w:name w:val="Bullet Points"/>
    <w:basedOn w:val="Normal"/>
    <w:qFormat/>
    <w:rsid w:val="00A601F1"/>
    <w:pPr>
      <w:spacing w:before="0" w:after="200" w:line="276" w:lineRule="auto"/>
      <w:ind w:left="720" w:hanging="360"/>
    </w:pPr>
    <w:rPr>
      <w:rFonts w:ascii="FoundrySterling-Book" w:hAnsi="FoundrySterling-Book" w:cstheme="minorBidi"/>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C2007A00174/2016-07-01/tex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legislation.gov.au/C1958A00062/2020-10-15/tex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harepointpubstor.blob.core.windows.net/policylibrary-prod/Talent%20Acquisition%20Procedur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griffith.edu.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harepointpubstor.blob.core.windows.net/policylibrary-prod/Pre-Employment%20Screening%20Procedure.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Talent%20Acquisition%20Policy.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2D19FA"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panose1 w:val="00000000000000000000"/>
    <w:charset w:val="4D"/>
    <w:family w:val="auto"/>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522</Value>
      <Value>242</Value>
      <Value>563</Value>
      <Value>77</Value>
      <Value>550</Value>
    </TaxCatchAll>
    <SharedWithUsers xmlns="b40c662e-0380-4817-843d-2c7e10d40c39">
      <UserInfo>
        <DisplayName/>
        <AccountId xsi:nil="true"/>
        <AccountType/>
      </UserInfo>
    </SharedWithUsers>
    <PublishOn xmlns="2f261a70-825f-4a37-b7b5-f6ecc2f4c5fa">2023-11-28T00:13:42+00:00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540241ce-6608-4852-8778-9c8a8484699c</TermId>
        </TermInfo>
      </Terms>
    </l92b321e1c6d4932b3b7fc50f551e57a>
    <policysummary xmlns="2f261a70-825f-4a37-b7b5-f6ecc2f4c5fa">The purpose of this procedure is to provide guidance and assistance in relation to the relocation for appointees who may need to relocate to take up a new position at Griffith University. </policysummary>
    <PolicyCategoryPath xmlns="2f261a70-825f-4a37-b7b5-f6ecc2f4c5fa" xsi:nil="true"/>
    <PolicyCategory0 xmlns="2f261a70-825f-4a37-b7b5-f6ecc2f4c5fa" xsi:nil="true"/>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2023-11-27T14:00:00+00:00</datedeclared>
    <PrivatePolicy xmlns="2f261a70-825f-4a37-b7b5-f6ecc2f4c5fa">false</PrivatePolicy>
    <policyadvisor xmlns="2f261a70-825f-4a37-b7b5-f6ecc2f4c5fa">
      <UserInfo>
        <DisplayName>Cem Coban</DisplayName>
        <AccountId>878</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Human Resources</TermName>
          <TermId xmlns="http://schemas.microsoft.com/office/infopath/2007/PartnerControls">cc1b10db-d828-4854-ba13-d593a417bd3e</TermId>
        </TermInfo>
      </Terms>
    </c4c72b675d9b4d35a824d1eba5c21e27>
    <extlink xmlns="2f261a70-825f-4a37-b7b5-f6ecc2f4c5fa">
      <Url xsi:nil="true"/>
      <Description xsi:nil="true"/>
    </ext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3EA55B07-413A-466E-923C-85AE7E0AB2EA}"/>
</file>

<file path=customXml/itemProps4.xml><?xml version="1.0" encoding="utf-8"?>
<ds:datastoreItem xmlns:ds="http://schemas.openxmlformats.org/officeDocument/2006/customXml" ds:itemID="{0A3FC6DE-269F-44A2-8685-795AE3B48D7E}">
  <ds:schemaRefs>
    <ds:schemaRef ds:uri="http://schemas.openxmlformats.org/officeDocument/2006/bibliography"/>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47</TotalTime>
  <Pages>7</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Relocation Assistance Procedure</dc:title>
  <dc:creator>Jen Lofgren</dc:creator>
  <cp:lastModifiedBy>John Montgomery</cp:lastModifiedBy>
  <cp:revision>14</cp:revision>
  <dcterms:created xsi:type="dcterms:W3CDTF">2023-11-21T05:55:00Z</dcterms:created>
  <dcterms:modified xsi:type="dcterms:W3CDTF">2024-02-06T01:01:00Z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563;#Director, Human Resources|cc1b10db-d828-4854-ba13-d593a417bd3e</vt:lpwstr>
  </property>
  <property fmtid="{D5CDD505-2E9C-101B-9397-08002B2CF9AE}" pid="18" name="policycategory">
    <vt:lpwstr/>
  </property>
  <property fmtid="{D5CDD505-2E9C-101B-9397-08002B2CF9AE}" pid="19" name="TemplateUrl">
    <vt:lpwstr/>
  </property>
  <property fmtid="{D5CDD505-2E9C-101B-9397-08002B2CF9AE}" pid="20" name="officearea">
    <vt:lpwstr>550;#Human Resources|540241ce-6608-4852-8778-9c8a8484699c</vt:lpwstr>
  </property>
  <property fmtid="{D5CDD505-2E9C-101B-9397-08002B2CF9AE}" pid="21" name="resourcetype">
    <vt:lpwstr>850</vt:lpwstr>
  </property>
  <property fmtid="{D5CDD505-2E9C-101B-9397-08002B2CF9AE}" pid="22" name="xd_Signature">
    <vt:bool>false</vt:bool>
  </property>
  <property fmtid="{D5CDD505-2E9C-101B-9397-08002B2CF9AE}" pid="23" name="policy-category">
    <vt:lpwstr>522;#Operational:Staff|3e9f4474-6295-47f7-a166-0065c4fb1613</vt:lpwstr>
  </property>
  <property fmtid="{D5CDD505-2E9C-101B-9397-08002B2CF9AE}" pid="24" name="glossaryterms">
    <vt:lpwstr/>
  </property>
  <property fmtid="{D5CDD505-2E9C-101B-9397-08002B2CF9AE}" pid="25" name="_dlc_DocIdItemGuid">
    <vt:lpwstr>7f66d1d8-5946-4dbb-b3cf-4f39a6be1913</vt:lpwstr>
  </property>
  <property fmtid="{D5CDD505-2E9C-101B-9397-08002B2CF9AE}" pid="26" name="e509630521274583bbfe889d810a3e9e">
    <vt:lpwstr>Public|40058628-4222-4f37-b062-f3fb9daaccf8</vt:lpwstr>
  </property>
  <property fmtid="{D5CDD505-2E9C-101B-9397-08002B2CF9AE}" pid="27" name="policyreview">
    <vt:lpwstr>242;#2026|0e39d474-4c22-40b4-8b37-f0e7c9e0e124</vt:lpwstr>
  </property>
  <property fmtid="{D5CDD505-2E9C-101B-9397-08002B2CF9AE}" pid="28" name="policyaudience">
    <vt:lpwstr>77;#Staff|45ee306d-49ae-43fa-a3ef-02f70754fd2d</vt:lpwstr>
  </property>
  <property fmtid="{D5CDD505-2E9C-101B-9397-08002B2CF9AE}" pid="29" name="Managed_Testing_Field">
    <vt:lpwstr/>
  </property>
</Properties>
</file>