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19C5" w14:textId="1B3C3A3A" w:rsidR="00933D23" w:rsidRPr="00AD1B85" w:rsidRDefault="001764FB" w:rsidP="00B40415">
      <w:pPr>
        <w:pStyle w:val="ContentsHeading1"/>
        <w:pBdr>
          <w:bottom w:val="none" w:sz="0" w:space="0" w:color="000000"/>
        </w:pBdr>
        <w:spacing w:before="120" w:after="120"/>
        <w:rPr>
          <w:rFonts w:ascii="Arial" w:hAnsi="Arial" w:cs="Arial"/>
          <w:sz w:val="52"/>
          <w:szCs w:val="52"/>
        </w:rPr>
      </w:pPr>
      <w:r w:rsidRPr="00AD1B85">
        <w:rPr>
          <w:rFonts w:ascii="Arial" w:hAnsi="Arial" w:cs="Arial"/>
          <w:sz w:val="52"/>
          <w:szCs w:val="52"/>
        </w:rPr>
        <w:t xml:space="preserve">Quality Assurance </w:t>
      </w:r>
    </w:p>
    <w:p w14:paraId="40CC1766" w14:textId="2144F877" w:rsidR="007C744D" w:rsidRPr="00AD1B85" w:rsidRDefault="005C3DBA" w:rsidP="00B40415">
      <w:pPr>
        <w:spacing w:after="0" w:line="240" w:lineRule="auto"/>
        <w:rPr>
          <w:rFonts w:ascii="Arial" w:hAnsi="Arial" w:cs="Arial"/>
          <w:color w:val="E30918"/>
          <w:sz w:val="24"/>
          <w:szCs w:val="24"/>
        </w:rPr>
      </w:pPr>
      <w:r w:rsidRPr="00AD1B85">
        <w:rPr>
          <w:rFonts w:ascii="Arial" w:hAnsi="Arial" w:cs="Arial"/>
          <w:color w:val="E30918"/>
          <w:sz w:val="24"/>
          <w:szCs w:val="24"/>
        </w:rPr>
        <w:fldChar w:fldCharType="begin"/>
      </w:r>
      <w:r w:rsidRPr="00AD1B85">
        <w:rPr>
          <w:rFonts w:ascii="Arial" w:hAnsi="Arial" w:cs="Arial"/>
          <w:color w:val="E30918"/>
          <w:sz w:val="24"/>
          <w:szCs w:val="24"/>
        </w:rPr>
        <w:instrText xml:space="preserve"> REF _Ref20321537 \h </w:instrText>
      </w:r>
      <w:r w:rsidR="000E46E9" w:rsidRPr="00AD1B85">
        <w:rPr>
          <w:rFonts w:ascii="Arial" w:hAnsi="Arial" w:cs="Arial"/>
          <w:color w:val="E30918"/>
          <w:sz w:val="24"/>
          <w:szCs w:val="24"/>
        </w:rPr>
        <w:instrText xml:space="preserve"> \* MERGEFORMAT </w:instrText>
      </w:r>
      <w:r w:rsidRPr="00AD1B85">
        <w:rPr>
          <w:rFonts w:ascii="Arial" w:hAnsi="Arial" w:cs="Arial"/>
          <w:color w:val="E30918"/>
          <w:sz w:val="24"/>
          <w:szCs w:val="24"/>
        </w:rPr>
      </w:r>
      <w:r w:rsidRPr="00AD1B85">
        <w:rPr>
          <w:rFonts w:ascii="Arial" w:hAnsi="Arial" w:cs="Arial"/>
          <w:color w:val="E30918"/>
          <w:sz w:val="24"/>
          <w:szCs w:val="24"/>
        </w:rPr>
        <w:fldChar w:fldCharType="separate"/>
      </w:r>
      <w:r w:rsidR="00DF782E" w:rsidRPr="00DF782E">
        <w:rPr>
          <w:rFonts w:ascii="Arial" w:hAnsi="Arial" w:cs="Arial"/>
          <w:color w:val="E30918"/>
          <w:sz w:val="24"/>
          <w:szCs w:val="24"/>
        </w:rPr>
        <w:t>1.0 Purpose</w:t>
      </w:r>
      <w:r w:rsidRPr="00AD1B85">
        <w:rPr>
          <w:rFonts w:ascii="Arial" w:hAnsi="Arial" w:cs="Arial"/>
          <w:color w:val="E30918"/>
          <w:sz w:val="24"/>
          <w:szCs w:val="24"/>
        </w:rPr>
        <w:fldChar w:fldCharType="end"/>
      </w:r>
    </w:p>
    <w:p w14:paraId="1EB10FBE" w14:textId="6E2F4FDF" w:rsidR="005C3DBA" w:rsidRPr="00AD1B85" w:rsidRDefault="005C3DBA" w:rsidP="00B40415">
      <w:pPr>
        <w:spacing w:after="0" w:line="240" w:lineRule="auto"/>
        <w:rPr>
          <w:rFonts w:ascii="Arial" w:hAnsi="Arial" w:cs="Arial"/>
          <w:color w:val="E30918"/>
          <w:sz w:val="24"/>
          <w:szCs w:val="24"/>
        </w:rPr>
      </w:pPr>
      <w:r w:rsidRPr="00AD1B85">
        <w:rPr>
          <w:rFonts w:ascii="Arial" w:hAnsi="Arial" w:cs="Arial"/>
          <w:color w:val="E30918"/>
          <w:sz w:val="24"/>
          <w:szCs w:val="24"/>
        </w:rPr>
        <w:fldChar w:fldCharType="begin"/>
      </w:r>
      <w:r w:rsidRPr="00AD1B85">
        <w:rPr>
          <w:rFonts w:ascii="Arial" w:hAnsi="Arial" w:cs="Arial"/>
          <w:color w:val="E30918"/>
          <w:sz w:val="24"/>
          <w:szCs w:val="24"/>
        </w:rPr>
        <w:instrText xml:space="preserve"> REF _Ref20318879 \h </w:instrText>
      </w:r>
      <w:r w:rsidR="000E46E9" w:rsidRPr="00AD1B85">
        <w:rPr>
          <w:rFonts w:ascii="Arial" w:hAnsi="Arial" w:cs="Arial"/>
          <w:color w:val="E30918"/>
          <w:sz w:val="24"/>
          <w:szCs w:val="24"/>
        </w:rPr>
        <w:instrText xml:space="preserve"> \* MERGEFORMAT </w:instrText>
      </w:r>
      <w:r w:rsidRPr="00AD1B85">
        <w:rPr>
          <w:rFonts w:ascii="Arial" w:hAnsi="Arial" w:cs="Arial"/>
          <w:color w:val="E30918"/>
          <w:sz w:val="24"/>
          <w:szCs w:val="24"/>
        </w:rPr>
      </w:r>
      <w:r w:rsidRPr="00AD1B85">
        <w:rPr>
          <w:rFonts w:ascii="Arial" w:hAnsi="Arial" w:cs="Arial"/>
          <w:color w:val="E30918"/>
          <w:sz w:val="24"/>
          <w:szCs w:val="24"/>
        </w:rPr>
        <w:fldChar w:fldCharType="separate"/>
      </w:r>
      <w:r w:rsidR="00DF782E" w:rsidRPr="00DF782E">
        <w:rPr>
          <w:rFonts w:ascii="Arial" w:hAnsi="Arial" w:cs="Arial"/>
          <w:color w:val="E30918"/>
          <w:sz w:val="24"/>
          <w:szCs w:val="24"/>
        </w:rPr>
        <w:t>2.0 Scope</w:t>
      </w:r>
      <w:r w:rsidRPr="00AD1B85">
        <w:rPr>
          <w:rFonts w:ascii="Arial" w:hAnsi="Arial" w:cs="Arial"/>
          <w:color w:val="E30918"/>
          <w:sz w:val="24"/>
          <w:szCs w:val="24"/>
        </w:rPr>
        <w:fldChar w:fldCharType="end"/>
      </w:r>
    </w:p>
    <w:p w14:paraId="67AAC309" w14:textId="39DF5346" w:rsidR="005C3DBA" w:rsidRPr="00AD1B85" w:rsidRDefault="005C3DBA" w:rsidP="00B40415">
      <w:pPr>
        <w:spacing w:after="0" w:line="240" w:lineRule="auto"/>
        <w:rPr>
          <w:rFonts w:ascii="Arial" w:hAnsi="Arial" w:cs="Arial"/>
          <w:color w:val="E30918"/>
          <w:sz w:val="24"/>
          <w:szCs w:val="24"/>
        </w:rPr>
      </w:pPr>
      <w:r w:rsidRPr="00AD1B85">
        <w:rPr>
          <w:rFonts w:ascii="Arial" w:hAnsi="Arial" w:cs="Arial"/>
          <w:color w:val="E30918"/>
          <w:sz w:val="24"/>
          <w:szCs w:val="24"/>
        </w:rPr>
        <w:fldChar w:fldCharType="begin"/>
      </w:r>
      <w:r w:rsidRPr="00AD1B85">
        <w:rPr>
          <w:rFonts w:ascii="Arial" w:hAnsi="Arial" w:cs="Arial"/>
          <w:color w:val="E30918"/>
          <w:sz w:val="24"/>
          <w:szCs w:val="24"/>
        </w:rPr>
        <w:instrText xml:space="preserve"> REF _Ref20318910 \h </w:instrText>
      </w:r>
      <w:r w:rsidR="000E46E9" w:rsidRPr="00AD1B85">
        <w:rPr>
          <w:rFonts w:ascii="Arial" w:hAnsi="Arial" w:cs="Arial"/>
          <w:color w:val="E30918"/>
          <w:sz w:val="24"/>
          <w:szCs w:val="24"/>
        </w:rPr>
        <w:instrText xml:space="preserve"> \* MERGEFORMAT </w:instrText>
      </w:r>
      <w:r w:rsidRPr="00AD1B85">
        <w:rPr>
          <w:rFonts w:ascii="Arial" w:hAnsi="Arial" w:cs="Arial"/>
          <w:color w:val="E30918"/>
          <w:sz w:val="24"/>
          <w:szCs w:val="24"/>
        </w:rPr>
      </w:r>
      <w:r w:rsidRPr="00AD1B85">
        <w:rPr>
          <w:rFonts w:ascii="Arial" w:hAnsi="Arial" w:cs="Arial"/>
          <w:color w:val="E30918"/>
          <w:sz w:val="24"/>
          <w:szCs w:val="24"/>
        </w:rPr>
        <w:fldChar w:fldCharType="separate"/>
      </w:r>
      <w:r w:rsidR="00DF782E" w:rsidRPr="00DF782E">
        <w:rPr>
          <w:rFonts w:ascii="Arial" w:hAnsi="Arial" w:cs="Arial"/>
          <w:color w:val="E30918"/>
          <w:sz w:val="24"/>
          <w:szCs w:val="24"/>
        </w:rPr>
        <w:t>3.0 Policy statement</w:t>
      </w:r>
      <w:r w:rsidRPr="00AD1B85">
        <w:rPr>
          <w:rFonts w:ascii="Arial" w:hAnsi="Arial" w:cs="Arial"/>
          <w:color w:val="E30918"/>
          <w:sz w:val="24"/>
          <w:szCs w:val="24"/>
        </w:rPr>
        <w:fldChar w:fldCharType="end"/>
      </w:r>
    </w:p>
    <w:p w14:paraId="6303CD21" w14:textId="111ADFD6" w:rsidR="00EF7DCE" w:rsidRPr="00AD1B85" w:rsidRDefault="00BF01F5" w:rsidP="00EF7DCE">
      <w:pPr>
        <w:spacing w:after="0"/>
        <w:rPr>
          <w:rFonts w:ascii="Arial" w:hAnsi="Arial" w:cs="Arial"/>
          <w:color w:val="E30918"/>
          <w:sz w:val="24"/>
          <w:szCs w:val="24"/>
        </w:rPr>
      </w:pPr>
      <w:r w:rsidRPr="00AD1B85">
        <w:rPr>
          <w:rFonts w:ascii="Arial" w:hAnsi="Arial" w:cs="Arial"/>
          <w:color w:val="E30918"/>
          <w:sz w:val="24"/>
          <w:szCs w:val="24"/>
        </w:rPr>
        <w:fldChar w:fldCharType="begin"/>
      </w:r>
      <w:r w:rsidRPr="00AD1B85">
        <w:rPr>
          <w:rFonts w:ascii="Arial" w:hAnsi="Arial" w:cs="Arial"/>
          <w:color w:val="E30918"/>
          <w:sz w:val="24"/>
          <w:szCs w:val="24"/>
        </w:rPr>
        <w:instrText xml:space="preserve"> REF _Ref21613385 \h  \* MERGEFORMAT </w:instrText>
      </w:r>
      <w:r w:rsidRPr="00AD1B85">
        <w:rPr>
          <w:rFonts w:ascii="Arial" w:hAnsi="Arial" w:cs="Arial"/>
          <w:color w:val="E30918"/>
          <w:sz w:val="24"/>
          <w:szCs w:val="24"/>
        </w:rPr>
      </w:r>
      <w:r w:rsidRPr="00AD1B85">
        <w:rPr>
          <w:rFonts w:ascii="Arial" w:hAnsi="Arial" w:cs="Arial"/>
          <w:color w:val="E30918"/>
          <w:sz w:val="24"/>
          <w:szCs w:val="24"/>
        </w:rPr>
        <w:fldChar w:fldCharType="separate"/>
      </w:r>
      <w:r w:rsidR="00DF782E" w:rsidRPr="00DF782E">
        <w:rPr>
          <w:rFonts w:ascii="Arial" w:hAnsi="Arial" w:cs="Arial"/>
          <w:color w:val="E30918"/>
          <w:sz w:val="24"/>
          <w:szCs w:val="24"/>
        </w:rPr>
        <w:t>4.0 Roles, responsibilities, and delegations</w:t>
      </w:r>
      <w:r w:rsidRPr="00AD1B85">
        <w:rPr>
          <w:rFonts w:ascii="Arial" w:hAnsi="Arial" w:cs="Arial"/>
          <w:color w:val="E30918"/>
          <w:sz w:val="24"/>
          <w:szCs w:val="24"/>
        </w:rPr>
        <w:fldChar w:fldCharType="end"/>
      </w:r>
    </w:p>
    <w:p w14:paraId="3C6D1E0D" w14:textId="46B0A807" w:rsidR="00EF7DCE" w:rsidRPr="00AD1B85" w:rsidRDefault="00000000" w:rsidP="00EF7DCE">
      <w:pPr>
        <w:spacing w:after="0"/>
        <w:rPr>
          <w:rFonts w:ascii="Arial" w:hAnsi="Arial" w:cs="Arial"/>
          <w:color w:val="E30918"/>
          <w:sz w:val="24"/>
          <w:szCs w:val="24"/>
        </w:rPr>
      </w:pPr>
      <w:hyperlink w:anchor="_5.0_Definitions" w:history="1">
        <w:r w:rsidR="00EF7DCE" w:rsidRPr="00AD1B85">
          <w:rPr>
            <w:rStyle w:val="Hyperlink"/>
            <w:rFonts w:ascii="Arial" w:hAnsi="Arial" w:cs="Arial"/>
            <w:sz w:val="24"/>
            <w:szCs w:val="24"/>
            <w:u w:val="none"/>
          </w:rPr>
          <w:t>5.0 Defin</w:t>
        </w:r>
        <w:r w:rsidR="002D43C0">
          <w:rPr>
            <w:rStyle w:val="Hyperlink"/>
            <w:rFonts w:ascii="Arial" w:hAnsi="Arial" w:cs="Arial"/>
            <w:sz w:val="24"/>
            <w:szCs w:val="24"/>
            <w:u w:val="none"/>
          </w:rPr>
          <w:t>i</w:t>
        </w:r>
        <w:r w:rsidR="00EF7DCE" w:rsidRPr="00AD1B85">
          <w:rPr>
            <w:rStyle w:val="Hyperlink"/>
            <w:rFonts w:ascii="Arial" w:hAnsi="Arial" w:cs="Arial"/>
            <w:sz w:val="24"/>
            <w:szCs w:val="24"/>
            <w:u w:val="none"/>
          </w:rPr>
          <w:t>tions</w:t>
        </w:r>
      </w:hyperlink>
    </w:p>
    <w:p w14:paraId="4C3DD9FE" w14:textId="1051155B" w:rsidR="00EF7DCE" w:rsidRPr="00AD1B85" w:rsidRDefault="00000000" w:rsidP="00EF7DCE">
      <w:pPr>
        <w:spacing w:after="0"/>
        <w:rPr>
          <w:rFonts w:ascii="Arial" w:hAnsi="Arial" w:cs="Arial"/>
          <w:color w:val="E30918"/>
          <w:sz w:val="24"/>
          <w:szCs w:val="24"/>
        </w:rPr>
      </w:pPr>
      <w:hyperlink w:anchor="_6.0_Information" w:history="1">
        <w:r w:rsidR="00EF7DCE" w:rsidRPr="00AD1B85">
          <w:rPr>
            <w:rStyle w:val="Hyperlink"/>
            <w:rFonts w:ascii="Arial" w:hAnsi="Arial" w:cs="Arial"/>
            <w:sz w:val="24"/>
            <w:szCs w:val="24"/>
            <w:u w:val="none"/>
          </w:rPr>
          <w:t>6.0 Information</w:t>
        </w:r>
      </w:hyperlink>
    </w:p>
    <w:p w14:paraId="2F1DCBA4" w14:textId="20288057" w:rsidR="00EF7DCE" w:rsidRPr="00AD1B85" w:rsidRDefault="00000000" w:rsidP="00EF7DCE">
      <w:pPr>
        <w:spacing w:after="0"/>
        <w:rPr>
          <w:rFonts w:ascii="Arial" w:hAnsi="Arial" w:cs="Arial"/>
          <w:color w:val="E30918"/>
          <w:sz w:val="24"/>
          <w:szCs w:val="24"/>
        </w:rPr>
      </w:pPr>
      <w:hyperlink w:anchor="_7.0_Related_Policy" w:history="1">
        <w:r w:rsidR="00EF7DCE" w:rsidRPr="00AD1B85">
          <w:rPr>
            <w:rStyle w:val="Hyperlink"/>
            <w:rFonts w:ascii="Arial" w:hAnsi="Arial" w:cs="Arial"/>
            <w:sz w:val="24"/>
            <w:szCs w:val="24"/>
            <w:u w:val="none"/>
          </w:rPr>
          <w:t>7.0 Related policy documents and support documents</w:t>
        </w:r>
      </w:hyperlink>
      <w:r w:rsidR="00EF7DCE" w:rsidRPr="00AD1B85">
        <w:rPr>
          <w:rFonts w:ascii="Arial" w:hAnsi="Arial" w:cs="Arial"/>
          <w:color w:val="E30918"/>
          <w:sz w:val="24"/>
          <w:szCs w:val="24"/>
        </w:rPr>
        <w:t xml:space="preserve"> </w:t>
      </w:r>
    </w:p>
    <w:p w14:paraId="2E800012" w14:textId="62861BCA" w:rsidR="00BC55CF" w:rsidRPr="00AD1B85" w:rsidRDefault="00902125" w:rsidP="00B40415">
      <w:pPr>
        <w:pStyle w:val="Heading2"/>
        <w:spacing w:before="120" w:line="240" w:lineRule="auto"/>
        <w:rPr>
          <w:rFonts w:ascii="Arial" w:hAnsi="Arial" w:cs="Arial"/>
          <w:b/>
          <w:bCs/>
          <w:sz w:val="32"/>
          <w:szCs w:val="32"/>
        </w:rPr>
      </w:pPr>
      <w:bookmarkStart w:id="0" w:name="_Ref20321537"/>
      <w:r w:rsidRPr="00AD1B85">
        <w:rPr>
          <w:rFonts w:ascii="Arial" w:hAnsi="Arial" w:cs="Arial"/>
          <w:b/>
          <w:bCs/>
          <w:sz w:val="32"/>
          <w:szCs w:val="32"/>
        </w:rPr>
        <w:t xml:space="preserve">1.0 </w:t>
      </w:r>
      <w:r w:rsidR="00BC55CF" w:rsidRPr="00AD1B85">
        <w:rPr>
          <w:rFonts w:ascii="Arial" w:hAnsi="Arial" w:cs="Arial"/>
          <w:b/>
          <w:bCs/>
          <w:sz w:val="32"/>
          <w:szCs w:val="32"/>
        </w:rPr>
        <w:t>Purpose</w:t>
      </w:r>
      <w:bookmarkEnd w:id="0"/>
    </w:p>
    <w:p w14:paraId="59A619C9" w14:textId="6178F9C5" w:rsidR="00560079" w:rsidRPr="00AD1B85" w:rsidRDefault="006B6691" w:rsidP="00B40415">
      <w:pPr>
        <w:spacing w:before="120" w:after="120" w:line="240" w:lineRule="auto"/>
        <w:rPr>
          <w:rFonts w:ascii="Arial" w:hAnsi="Arial" w:cs="Arial"/>
          <w:sz w:val="22"/>
          <w:shd w:val="clear" w:color="auto" w:fill="FFFFFF"/>
        </w:rPr>
      </w:pPr>
      <w:r w:rsidRPr="00AD1B85">
        <w:rPr>
          <w:rFonts w:ascii="Arial" w:hAnsi="Arial" w:cs="Arial"/>
          <w:sz w:val="22"/>
          <w:shd w:val="clear" w:color="auto" w:fill="FFFFFF"/>
        </w:rPr>
        <w:t>This policy</w:t>
      </w:r>
      <w:r w:rsidR="00782EC5" w:rsidRPr="00AD1B85">
        <w:rPr>
          <w:rFonts w:ascii="Arial" w:hAnsi="Arial" w:cs="Arial"/>
          <w:sz w:val="22"/>
          <w:shd w:val="clear" w:color="auto" w:fill="FFFFFF"/>
        </w:rPr>
        <w:t xml:space="preserve"> </w:t>
      </w:r>
      <w:r w:rsidR="00C20F81" w:rsidRPr="00AD1B85">
        <w:rPr>
          <w:rFonts w:ascii="Arial" w:hAnsi="Arial" w:cs="Arial"/>
          <w:sz w:val="22"/>
          <w:shd w:val="clear" w:color="auto" w:fill="FFFFFF"/>
        </w:rPr>
        <w:t xml:space="preserve">guides and </w:t>
      </w:r>
      <w:r w:rsidR="00782EC5" w:rsidRPr="00AD1B85">
        <w:rPr>
          <w:rFonts w:ascii="Arial" w:hAnsi="Arial" w:cs="Arial"/>
          <w:sz w:val="22"/>
          <w:shd w:val="clear" w:color="auto" w:fill="FFFFFF"/>
        </w:rPr>
        <w:t xml:space="preserve">promotes </w:t>
      </w:r>
      <w:r w:rsidR="00A60ADD" w:rsidRPr="00AD1B85">
        <w:rPr>
          <w:rFonts w:ascii="Arial" w:hAnsi="Arial" w:cs="Arial"/>
          <w:sz w:val="22"/>
          <w:shd w:val="clear" w:color="auto" w:fill="FFFFFF"/>
        </w:rPr>
        <w:t xml:space="preserve">quality </w:t>
      </w:r>
      <w:r w:rsidR="002113BB" w:rsidRPr="00AD1B85">
        <w:rPr>
          <w:rFonts w:ascii="Arial" w:hAnsi="Arial" w:cs="Arial"/>
          <w:sz w:val="22"/>
          <w:shd w:val="clear" w:color="auto" w:fill="FFFFFF"/>
        </w:rPr>
        <w:t xml:space="preserve">assurance and </w:t>
      </w:r>
      <w:r w:rsidR="00A60ADD" w:rsidRPr="00AD1B85">
        <w:rPr>
          <w:rFonts w:ascii="Arial" w:hAnsi="Arial" w:cs="Arial"/>
          <w:sz w:val="22"/>
          <w:shd w:val="clear" w:color="auto" w:fill="FFFFFF"/>
        </w:rPr>
        <w:t xml:space="preserve">enhancement </w:t>
      </w:r>
      <w:r w:rsidR="00845E4C" w:rsidRPr="00AD1B85">
        <w:rPr>
          <w:rFonts w:ascii="Arial" w:hAnsi="Arial" w:cs="Arial"/>
          <w:sz w:val="22"/>
          <w:shd w:val="clear" w:color="auto" w:fill="FFFFFF"/>
        </w:rPr>
        <w:t xml:space="preserve">activities </w:t>
      </w:r>
      <w:r w:rsidR="00A60ADD" w:rsidRPr="00AD1B85">
        <w:rPr>
          <w:rFonts w:ascii="Arial" w:hAnsi="Arial" w:cs="Arial"/>
          <w:sz w:val="22"/>
          <w:shd w:val="clear" w:color="auto" w:fill="FFFFFF"/>
        </w:rPr>
        <w:t>at Griffith University</w:t>
      </w:r>
      <w:r w:rsidR="0069494B" w:rsidRPr="00AD1B85">
        <w:rPr>
          <w:rFonts w:ascii="Arial" w:hAnsi="Arial" w:cs="Arial"/>
          <w:sz w:val="22"/>
          <w:shd w:val="clear" w:color="auto" w:fill="FFFFFF"/>
        </w:rPr>
        <w:t>.</w:t>
      </w:r>
      <w:r w:rsidR="00A60ADD" w:rsidRPr="00AD1B85">
        <w:rPr>
          <w:rFonts w:ascii="Arial" w:hAnsi="Arial" w:cs="Arial"/>
          <w:sz w:val="22"/>
          <w:shd w:val="clear" w:color="auto" w:fill="FFFFFF"/>
        </w:rPr>
        <w:t xml:space="preserve"> It outlines the University’s academic quality assurance principles and provides an overview of the quality management system.</w:t>
      </w:r>
      <w:r w:rsidR="0077511F" w:rsidRPr="00AD1B85">
        <w:rPr>
          <w:rFonts w:ascii="Arial" w:hAnsi="Arial" w:cs="Arial"/>
          <w:sz w:val="22"/>
          <w:shd w:val="clear" w:color="auto" w:fill="FFFFFF"/>
        </w:rPr>
        <w:t xml:space="preserve"> </w:t>
      </w:r>
    </w:p>
    <w:p w14:paraId="65297E40" w14:textId="61DFADD6" w:rsidR="00F97A5A" w:rsidRPr="00AD1B85" w:rsidRDefault="00902125" w:rsidP="00B40415">
      <w:pPr>
        <w:pStyle w:val="Heading2"/>
        <w:spacing w:before="120" w:line="240" w:lineRule="auto"/>
        <w:rPr>
          <w:rFonts w:ascii="Arial" w:hAnsi="Arial" w:cs="Arial"/>
          <w:b/>
          <w:bCs/>
          <w:sz w:val="32"/>
          <w:szCs w:val="32"/>
        </w:rPr>
      </w:pPr>
      <w:bookmarkStart w:id="1" w:name="_Ref20318879"/>
      <w:r w:rsidRPr="00AD1B85">
        <w:rPr>
          <w:rFonts w:ascii="Arial" w:hAnsi="Arial" w:cs="Arial"/>
          <w:b/>
          <w:bCs/>
          <w:sz w:val="32"/>
          <w:szCs w:val="32"/>
        </w:rPr>
        <w:t xml:space="preserve">2.0 </w:t>
      </w:r>
      <w:r w:rsidR="00F97A5A" w:rsidRPr="00AD1B85">
        <w:rPr>
          <w:rFonts w:ascii="Arial" w:hAnsi="Arial" w:cs="Arial"/>
          <w:b/>
          <w:bCs/>
          <w:sz w:val="32"/>
          <w:szCs w:val="32"/>
        </w:rPr>
        <w:t>Scope</w:t>
      </w:r>
      <w:bookmarkEnd w:id="1"/>
    </w:p>
    <w:p w14:paraId="7BCEA859" w14:textId="77777777" w:rsidR="002A166B" w:rsidRPr="00AD1B85" w:rsidRDefault="00A71C3E" w:rsidP="00B40415">
      <w:pPr>
        <w:spacing w:before="120" w:after="120" w:line="240" w:lineRule="auto"/>
        <w:rPr>
          <w:rFonts w:ascii="Arial" w:hAnsi="Arial" w:cs="Arial"/>
          <w:sz w:val="22"/>
        </w:rPr>
      </w:pPr>
      <w:r w:rsidRPr="00AD1B85">
        <w:rPr>
          <w:rFonts w:ascii="Arial" w:hAnsi="Arial" w:cs="Arial"/>
          <w:sz w:val="22"/>
        </w:rPr>
        <w:t xml:space="preserve">This policy applies to </w:t>
      </w:r>
      <w:r w:rsidR="00287529" w:rsidRPr="00AD1B85">
        <w:rPr>
          <w:rFonts w:ascii="Arial" w:hAnsi="Arial" w:cs="Arial"/>
          <w:sz w:val="22"/>
        </w:rPr>
        <w:t>all academic areas and administr</w:t>
      </w:r>
      <w:r w:rsidR="008E2AD5" w:rsidRPr="00AD1B85">
        <w:rPr>
          <w:rFonts w:ascii="Arial" w:hAnsi="Arial" w:cs="Arial"/>
          <w:sz w:val="22"/>
        </w:rPr>
        <w:t xml:space="preserve">ative elements within Griffith University. </w:t>
      </w:r>
      <w:r w:rsidR="008F4AE1" w:rsidRPr="00AD1B85">
        <w:rPr>
          <w:rFonts w:ascii="Arial" w:hAnsi="Arial" w:cs="Arial"/>
          <w:sz w:val="22"/>
        </w:rPr>
        <w:t xml:space="preserve">Staff and students employed by, or studying at, Griffith University are subject to this policy. </w:t>
      </w:r>
    </w:p>
    <w:p w14:paraId="59A619CC" w14:textId="68C2BEBF" w:rsidR="00560079" w:rsidRPr="00AD1B85" w:rsidRDefault="00C73416" w:rsidP="00B40415">
      <w:pPr>
        <w:spacing w:before="120" w:after="120" w:line="240" w:lineRule="auto"/>
        <w:rPr>
          <w:rFonts w:ascii="Arial" w:hAnsi="Arial" w:cs="Arial"/>
          <w:sz w:val="22"/>
        </w:rPr>
      </w:pPr>
      <w:r w:rsidRPr="00AD1B85">
        <w:rPr>
          <w:rFonts w:ascii="Arial" w:hAnsi="Arial" w:cs="Arial"/>
          <w:sz w:val="22"/>
        </w:rPr>
        <w:t>Th</w:t>
      </w:r>
      <w:r w:rsidR="003D61CB" w:rsidRPr="00AD1B85">
        <w:rPr>
          <w:rFonts w:ascii="Arial" w:hAnsi="Arial" w:cs="Arial"/>
          <w:sz w:val="22"/>
        </w:rPr>
        <w:t>is</w:t>
      </w:r>
      <w:r w:rsidRPr="00AD1B85">
        <w:rPr>
          <w:rFonts w:ascii="Arial" w:hAnsi="Arial" w:cs="Arial"/>
          <w:sz w:val="22"/>
        </w:rPr>
        <w:t xml:space="preserve"> policy applies to </w:t>
      </w:r>
      <w:r w:rsidR="009B5E2C" w:rsidRPr="00AD1B85">
        <w:rPr>
          <w:rFonts w:ascii="Arial" w:hAnsi="Arial" w:cs="Arial"/>
          <w:sz w:val="22"/>
        </w:rPr>
        <w:t xml:space="preserve">learning, teaching, and other activities </w:t>
      </w:r>
      <w:r w:rsidR="00134DF4" w:rsidRPr="00AD1B85">
        <w:rPr>
          <w:rFonts w:ascii="Arial" w:hAnsi="Arial" w:cs="Arial"/>
          <w:sz w:val="22"/>
        </w:rPr>
        <w:t>associated with a</w:t>
      </w:r>
      <w:r w:rsidRPr="00AD1B85">
        <w:rPr>
          <w:rFonts w:ascii="Arial" w:hAnsi="Arial" w:cs="Arial"/>
          <w:sz w:val="22"/>
        </w:rPr>
        <w:t>ward programs that the University self-accredits</w:t>
      </w:r>
      <w:r w:rsidR="00D97554" w:rsidRPr="00AD1B85">
        <w:rPr>
          <w:rFonts w:ascii="Arial" w:hAnsi="Arial" w:cs="Arial"/>
          <w:sz w:val="22"/>
        </w:rPr>
        <w:t xml:space="preserve"> that lead to higher education awards</w:t>
      </w:r>
      <w:r w:rsidR="00E27340" w:rsidRPr="00AD1B85">
        <w:rPr>
          <w:rFonts w:ascii="Arial" w:hAnsi="Arial" w:cs="Arial"/>
          <w:sz w:val="22"/>
        </w:rPr>
        <w:t xml:space="preserve">, </w:t>
      </w:r>
      <w:r w:rsidR="00B9776A" w:rsidRPr="00AD1B85">
        <w:rPr>
          <w:rFonts w:ascii="Arial" w:hAnsi="Arial" w:cs="Arial"/>
          <w:sz w:val="22"/>
        </w:rPr>
        <w:t xml:space="preserve">and </w:t>
      </w:r>
      <w:r w:rsidR="43D789C9" w:rsidRPr="00AD1B85">
        <w:rPr>
          <w:rFonts w:ascii="Arial" w:hAnsi="Arial" w:cs="Arial"/>
          <w:sz w:val="22"/>
        </w:rPr>
        <w:t>non-</w:t>
      </w:r>
      <w:r w:rsidR="00B03858" w:rsidRPr="00AD1B85">
        <w:rPr>
          <w:rFonts w:ascii="Arial" w:hAnsi="Arial" w:cs="Arial"/>
          <w:sz w:val="22"/>
        </w:rPr>
        <w:t>awar</w:t>
      </w:r>
      <w:r w:rsidR="000F17EE" w:rsidRPr="00AD1B85">
        <w:rPr>
          <w:rFonts w:ascii="Arial" w:hAnsi="Arial" w:cs="Arial"/>
          <w:sz w:val="22"/>
        </w:rPr>
        <w:t>d programs (</w:t>
      </w:r>
      <w:r w:rsidR="00E17C61" w:rsidRPr="00AD1B85">
        <w:rPr>
          <w:rFonts w:ascii="Arial" w:hAnsi="Arial" w:cs="Arial"/>
          <w:sz w:val="22"/>
        </w:rPr>
        <w:t>including micro-credentials and</w:t>
      </w:r>
      <w:r w:rsidR="000F17EE" w:rsidRPr="00AD1B85">
        <w:rPr>
          <w:rFonts w:ascii="Arial" w:hAnsi="Arial" w:cs="Arial"/>
          <w:sz w:val="22"/>
        </w:rPr>
        <w:t xml:space="preserve"> ELICOS</w:t>
      </w:r>
      <w:r w:rsidR="00E17C61" w:rsidRPr="00AD1B85">
        <w:rPr>
          <w:rFonts w:ascii="Arial" w:hAnsi="Arial" w:cs="Arial"/>
          <w:sz w:val="22"/>
        </w:rPr>
        <w:t xml:space="preserve"> programs</w:t>
      </w:r>
      <w:r w:rsidR="00E27340" w:rsidRPr="00AD1B85">
        <w:rPr>
          <w:rFonts w:ascii="Arial" w:hAnsi="Arial" w:cs="Arial"/>
          <w:sz w:val="22"/>
        </w:rPr>
        <w:t>)</w:t>
      </w:r>
      <w:r w:rsidR="00B9776A" w:rsidRPr="00AD1B85">
        <w:rPr>
          <w:rFonts w:ascii="Arial" w:hAnsi="Arial" w:cs="Arial"/>
          <w:sz w:val="22"/>
        </w:rPr>
        <w:t>.</w:t>
      </w:r>
      <w:r w:rsidR="00E22052" w:rsidRPr="00AD1B85">
        <w:rPr>
          <w:rFonts w:ascii="Arial" w:hAnsi="Arial" w:cs="Arial"/>
          <w:sz w:val="22"/>
        </w:rPr>
        <w:t xml:space="preserve"> It applies to research and related activities, including</w:t>
      </w:r>
      <w:r w:rsidR="00B9776A" w:rsidRPr="00AD1B85">
        <w:rPr>
          <w:rFonts w:ascii="Arial" w:hAnsi="Arial" w:cs="Arial"/>
          <w:sz w:val="22"/>
        </w:rPr>
        <w:t xml:space="preserve"> </w:t>
      </w:r>
      <w:r w:rsidR="00E22052" w:rsidRPr="00AD1B85">
        <w:rPr>
          <w:rFonts w:ascii="Arial" w:hAnsi="Arial" w:cs="Arial"/>
          <w:sz w:val="22"/>
        </w:rPr>
        <w:t xml:space="preserve">government evaluations </w:t>
      </w:r>
      <w:r w:rsidR="0047414E" w:rsidRPr="00AD1B85">
        <w:rPr>
          <w:rFonts w:ascii="Arial" w:hAnsi="Arial" w:cs="Arial"/>
          <w:sz w:val="22"/>
        </w:rPr>
        <w:t xml:space="preserve">of research quality </w:t>
      </w:r>
      <w:r w:rsidR="00E22052" w:rsidRPr="00AD1B85">
        <w:rPr>
          <w:rFonts w:ascii="Arial" w:hAnsi="Arial" w:cs="Arial"/>
          <w:sz w:val="22"/>
        </w:rPr>
        <w:t xml:space="preserve">and </w:t>
      </w:r>
      <w:r w:rsidR="00A200A1" w:rsidRPr="00AD1B85">
        <w:rPr>
          <w:rFonts w:ascii="Arial" w:hAnsi="Arial" w:cs="Arial"/>
          <w:sz w:val="22"/>
        </w:rPr>
        <w:t>Research Block Grant arrangements</w:t>
      </w:r>
      <w:r w:rsidR="00B9776A" w:rsidRPr="00AD1B85">
        <w:rPr>
          <w:rFonts w:ascii="Arial" w:hAnsi="Arial" w:cs="Arial"/>
          <w:sz w:val="22"/>
        </w:rPr>
        <w:t>.</w:t>
      </w:r>
    </w:p>
    <w:p w14:paraId="16734CDB" w14:textId="5872CFCA" w:rsidR="00C91165" w:rsidRPr="00AD1B85" w:rsidRDefault="00902125" w:rsidP="00B40415">
      <w:pPr>
        <w:pStyle w:val="Heading2"/>
        <w:spacing w:before="120" w:line="240" w:lineRule="auto"/>
        <w:rPr>
          <w:rFonts w:ascii="Arial" w:hAnsi="Arial" w:cs="Arial"/>
          <w:b/>
          <w:bCs/>
          <w:sz w:val="32"/>
          <w:szCs w:val="32"/>
        </w:rPr>
      </w:pPr>
      <w:bookmarkStart w:id="2" w:name="_Ref20318910"/>
      <w:r w:rsidRPr="00AD1B85">
        <w:rPr>
          <w:rFonts w:ascii="Arial" w:hAnsi="Arial" w:cs="Arial"/>
          <w:b/>
          <w:bCs/>
          <w:sz w:val="32"/>
          <w:szCs w:val="32"/>
        </w:rPr>
        <w:t xml:space="preserve">3.0 </w:t>
      </w:r>
      <w:r w:rsidR="00C91165" w:rsidRPr="00AD1B85">
        <w:rPr>
          <w:rFonts w:ascii="Arial" w:hAnsi="Arial" w:cs="Arial"/>
          <w:b/>
          <w:bCs/>
          <w:sz w:val="32"/>
          <w:szCs w:val="32"/>
        </w:rPr>
        <w:t xml:space="preserve">Policy </w:t>
      </w:r>
      <w:r w:rsidR="00C655EF" w:rsidRPr="00AD1B85">
        <w:rPr>
          <w:rFonts w:ascii="Arial" w:hAnsi="Arial" w:cs="Arial"/>
          <w:b/>
          <w:bCs/>
          <w:sz w:val="32"/>
          <w:szCs w:val="32"/>
        </w:rPr>
        <w:t>s</w:t>
      </w:r>
      <w:r w:rsidR="00C91165" w:rsidRPr="00AD1B85">
        <w:rPr>
          <w:rFonts w:ascii="Arial" w:hAnsi="Arial" w:cs="Arial"/>
          <w:b/>
          <w:bCs/>
          <w:sz w:val="32"/>
          <w:szCs w:val="32"/>
        </w:rPr>
        <w:t>tatement</w:t>
      </w:r>
      <w:bookmarkEnd w:id="2"/>
    </w:p>
    <w:p w14:paraId="33D52680" w14:textId="261D75D8" w:rsidR="000214B8" w:rsidRPr="00AD1B85" w:rsidRDefault="00AB544F" w:rsidP="00B40415">
      <w:pPr>
        <w:spacing w:before="120" w:after="120" w:line="240" w:lineRule="auto"/>
        <w:rPr>
          <w:rFonts w:ascii="Arial" w:hAnsi="Arial" w:cs="Arial"/>
          <w:sz w:val="22"/>
        </w:rPr>
      </w:pPr>
      <w:r w:rsidRPr="00AD1B85">
        <w:rPr>
          <w:rFonts w:ascii="Arial" w:hAnsi="Arial" w:cs="Arial"/>
          <w:sz w:val="22"/>
        </w:rPr>
        <w:t xml:space="preserve">Griffith is committed to </w:t>
      </w:r>
      <w:r w:rsidR="00F908E7" w:rsidRPr="00AD1B85">
        <w:rPr>
          <w:rFonts w:ascii="Arial" w:hAnsi="Arial" w:cs="Arial"/>
          <w:sz w:val="22"/>
        </w:rPr>
        <w:t xml:space="preserve">continuous </w:t>
      </w:r>
      <w:r w:rsidR="00DA3A61" w:rsidRPr="00AD1B85">
        <w:rPr>
          <w:rFonts w:ascii="Arial" w:hAnsi="Arial" w:cs="Arial"/>
          <w:sz w:val="22"/>
        </w:rPr>
        <w:t xml:space="preserve">quality </w:t>
      </w:r>
      <w:r w:rsidR="0083455B" w:rsidRPr="00AD1B85">
        <w:rPr>
          <w:rFonts w:ascii="Arial" w:hAnsi="Arial" w:cs="Arial"/>
          <w:sz w:val="22"/>
        </w:rPr>
        <w:t xml:space="preserve">assurance and </w:t>
      </w:r>
      <w:r w:rsidR="00DA3A61" w:rsidRPr="00AD1B85">
        <w:rPr>
          <w:rFonts w:ascii="Arial" w:hAnsi="Arial" w:cs="Arial"/>
          <w:sz w:val="22"/>
        </w:rPr>
        <w:t xml:space="preserve">enhancement of </w:t>
      </w:r>
      <w:r w:rsidR="002A1B79" w:rsidRPr="00AD1B85">
        <w:rPr>
          <w:rFonts w:ascii="Arial" w:hAnsi="Arial" w:cs="Arial"/>
          <w:sz w:val="22"/>
        </w:rPr>
        <w:t>its</w:t>
      </w:r>
      <w:r w:rsidR="000605CD" w:rsidRPr="00AD1B85">
        <w:rPr>
          <w:rFonts w:ascii="Arial" w:hAnsi="Arial" w:cs="Arial"/>
          <w:sz w:val="22"/>
        </w:rPr>
        <w:t xml:space="preserve"> </w:t>
      </w:r>
      <w:r w:rsidR="00243081" w:rsidRPr="00AD1B85">
        <w:rPr>
          <w:rFonts w:ascii="Arial" w:hAnsi="Arial" w:cs="Arial"/>
          <w:sz w:val="22"/>
        </w:rPr>
        <w:t xml:space="preserve">academic activities, including teaching, learning, scholarship, </w:t>
      </w:r>
      <w:r w:rsidR="00642C61" w:rsidRPr="00AD1B85">
        <w:rPr>
          <w:rFonts w:ascii="Arial" w:hAnsi="Arial" w:cs="Arial"/>
          <w:sz w:val="22"/>
        </w:rPr>
        <w:t>research,</w:t>
      </w:r>
      <w:r w:rsidR="00243081" w:rsidRPr="00AD1B85">
        <w:rPr>
          <w:rFonts w:ascii="Arial" w:hAnsi="Arial" w:cs="Arial"/>
          <w:sz w:val="22"/>
        </w:rPr>
        <w:t xml:space="preserve"> and research training</w:t>
      </w:r>
      <w:r w:rsidR="00FC3D97" w:rsidRPr="00AD1B85">
        <w:rPr>
          <w:rFonts w:ascii="Arial" w:hAnsi="Arial" w:cs="Arial"/>
          <w:sz w:val="22"/>
        </w:rPr>
        <w:t xml:space="preserve">, as well as the </w:t>
      </w:r>
      <w:r w:rsidR="00E912CB" w:rsidRPr="00AD1B85">
        <w:rPr>
          <w:rFonts w:ascii="Arial" w:hAnsi="Arial" w:cs="Arial"/>
          <w:sz w:val="22"/>
        </w:rPr>
        <w:t>administrative</w:t>
      </w:r>
      <w:r w:rsidR="00FC3D97" w:rsidRPr="00AD1B85">
        <w:rPr>
          <w:rFonts w:ascii="Arial" w:hAnsi="Arial" w:cs="Arial"/>
          <w:sz w:val="22"/>
        </w:rPr>
        <w:t xml:space="preserve">, management and governance </w:t>
      </w:r>
      <w:r w:rsidR="00E912CB" w:rsidRPr="00AD1B85">
        <w:rPr>
          <w:rFonts w:ascii="Arial" w:hAnsi="Arial" w:cs="Arial"/>
          <w:sz w:val="22"/>
        </w:rPr>
        <w:t xml:space="preserve">structures involved in supporting </w:t>
      </w:r>
      <w:r w:rsidR="006676FB" w:rsidRPr="00AD1B85">
        <w:rPr>
          <w:rFonts w:ascii="Arial" w:hAnsi="Arial" w:cs="Arial"/>
          <w:sz w:val="22"/>
        </w:rPr>
        <w:t xml:space="preserve">these </w:t>
      </w:r>
      <w:r w:rsidR="00243081" w:rsidRPr="00AD1B85">
        <w:rPr>
          <w:rFonts w:ascii="Arial" w:hAnsi="Arial" w:cs="Arial"/>
          <w:sz w:val="22"/>
        </w:rPr>
        <w:t>activities</w:t>
      </w:r>
      <w:r w:rsidR="00E912CB" w:rsidRPr="00AD1B85">
        <w:rPr>
          <w:rFonts w:ascii="Arial" w:hAnsi="Arial" w:cs="Arial"/>
          <w:sz w:val="22"/>
        </w:rPr>
        <w:t>.</w:t>
      </w:r>
    </w:p>
    <w:p w14:paraId="78EBE171" w14:textId="43AFCACA" w:rsidR="007E7482" w:rsidRPr="00AD1B85" w:rsidRDefault="00902125" w:rsidP="00B40415">
      <w:pPr>
        <w:pStyle w:val="Heading3"/>
        <w:spacing w:before="120" w:line="240" w:lineRule="auto"/>
        <w:ind w:left="567"/>
        <w:rPr>
          <w:rFonts w:ascii="Arial" w:hAnsi="Arial" w:cs="Arial"/>
          <w:b/>
          <w:bCs/>
          <w:sz w:val="28"/>
          <w:szCs w:val="28"/>
        </w:rPr>
      </w:pPr>
      <w:r w:rsidRPr="00AD1B85">
        <w:rPr>
          <w:rFonts w:ascii="Arial" w:hAnsi="Arial" w:cs="Arial"/>
          <w:b/>
          <w:bCs/>
          <w:sz w:val="28"/>
          <w:szCs w:val="28"/>
        </w:rPr>
        <w:t xml:space="preserve">3.1 </w:t>
      </w:r>
      <w:r w:rsidR="003A0071" w:rsidRPr="00AD1B85">
        <w:rPr>
          <w:rFonts w:ascii="Arial" w:hAnsi="Arial" w:cs="Arial"/>
          <w:b/>
          <w:bCs/>
          <w:sz w:val="28"/>
          <w:szCs w:val="28"/>
        </w:rPr>
        <w:t xml:space="preserve">Principles </w:t>
      </w:r>
    </w:p>
    <w:p w14:paraId="31C2E7F9" w14:textId="43B22C1A" w:rsidR="00C87FBA" w:rsidRPr="00AD1B85" w:rsidRDefault="2B679094" w:rsidP="00B40415">
      <w:pPr>
        <w:pStyle w:val="NormalWhite"/>
        <w:spacing w:before="120" w:after="120" w:line="240" w:lineRule="auto"/>
        <w:ind w:left="567"/>
        <w:rPr>
          <w:rFonts w:ascii="Arial" w:hAnsi="Arial" w:cs="Arial"/>
          <w:color w:val="000000" w:themeColor="text1"/>
          <w:sz w:val="22"/>
        </w:rPr>
      </w:pPr>
      <w:r w:rsidRPr="00AD1B85">
        <w:rPr>
          <w:rFonts w:ascii="Arial" w:hAnsi="Arial" w:cs="Arial"/>
          <w:color w:val="000000" w:themeColor="text1"/>
          <w:sz w:val="22"/>
        </w:rPr>
        <w:t xml:space="preserve">Quality assurance principles </w:t>
      </w:r>
      <w:r w:rsidR="002417AF" w:rsidRPr="00AD1B85">
        <w:rPr>
          <w:rFonts w:ascii="Arial" w:hAnsi="Arial" w:cs="Arial"/>
          <w:color w:val="000000" w:themeColor="text1"/>
          <w:sz w:val="22"/>
        </w:rPr>
        <w:t>inform</w:t>
      </w:r>
      <w:r w:rsidRPr="00AD1B85">
        <w:rPr>
          <w:rFonts w:ascii="Arial" w:hAnsi="Arial" w:cs="Arial"/>
          <w:color w:val="000000" w:themeColor="text1"/>
          <w:sz w:val="22"/>
        </w:rPr>
        <w:t xml:space="preserve"> all activities at the University </w:t>
      </w:r>
      <w:proofErr w:type="gramStart"/>
      <w:r w:rsidRPr="00AD1B85">
        <w:rPr>
          <w:rFonts w:ascii="Arial" w:hAnsi="Arial" w:cs="Arial"/>
          <w:color w:val="000000" w:themeColor="text1"/>
          <w:sz w:val="22"/>
        </w:rPr>
        <w:t>in order to</w:t>
      </w:r>
      <w:proofErr w:type="gramEnd"/>
      <w:r w:rsidRPr="00AD1B85">
        <w:rPr>
          <w:rFonts w:ascii="Arial" w:hAnsi="Arial" w:cs="Arial"/>
          <w:color w:val="000000" w:themeColor="text1"/>
          <w:sz w:val="22"/>
        </w:rPr>
        <w:t xml:space="preserve"> </w:t>
      </w:r>
      <w:r w:rsidR="008870A7" w:rsidRPr="00AD1B85">
        <w:rPr>
          <w:rFonts w:ascii="Arial" w:hAnsi="Arial" w:cs="Arial"/>
          <w:color w:val="000000" w:themeColor="text1"/>
          <w:sz w:val="22"/>
        </w:rPr>
        <w:t xml:space="preserve">maintain </w:t>
      </w:r>
      <w:r w:rsidRPr="00AD1B85">
        <w:rPr>
          <w:rFonts w:ascii="Arial" w:hAnsi="Arial" w:cs="Arial"/>
          <w:color w:val="000000" w:themeColor="text1"/>
          <w:sz w:val="22"/>
        </w:rPr>
        <w:t xml:space="preserve">excellent </w:t>
      </w:r>
      <w:r w:rsidR="002A09AA" w:rsidRPr="00AD1B85">
        <w:rPr>
          <w:rFonts w:ascii="Arial" w:hAnsi="Arial" w:cs="Arial"/>
          <w:color w:val="000000" w:themeColor="text1"/>
          <w:sz w:val="22"/>
        </w:rPr>
        <w:t>standards as a higher education provider</w:t>
      </w:r>
      <w:r w:rsidRPr="00AD1B85">
        <w:rPr>
          <w:rFonts w:ascii="Arial" w:hAnsi="Arial" w:cs="Arial"/>
          <w:color w:val="000000" w:themeColor="text1"/>
          <w:sz w:val="22"/>
        </w:rPr>
        <w:t xml:space="preserve">. </w:t>
      </w:r>
      <w:r w:rsidR="00FA35F3" w:rsidRPr="00AD1B85">
        <w:rPr>
          <w:rFonts w:ascii="Arial" w:hAnsi="Arial" w:cs="Arial"/>
          <w:color w:val="000000" w:themeColor="text1"/>
          <w:sz w:val="22"/>
        </w:rPr>
        <w:t>Quality assurance:</w:t>
      </w:r>
      <w:bookmarkStart w:id="3" w:name="_Hlk134453498"/>
    </w:p>
    <w:p w14:paraId="62CE255B" w14:textId="773A7186" w:rsidR="00C04CA1" w:rsidRPr="00AD1B85" w:rsidRDefault="00C04CA1" w:rsidP="00CB3F50">
      <w:pPr>
        <w:pStyle w:val="NormalWhite"/>
        <w:numPr>
          <w:ilvl w:val="0"/>
          <w:numId w:val="4"/>
        </w:numPr>
        <w:spacing w:before="120" w:after="120" w:line="240" w:lineRule="auto"/>
        <w:ind w:left="851" w:hanging="284"/>
        <w:rPr>
          <w:rFonts w:ascii="Arial" w:hAnsi="Arial" w:cs="Arial"/>
          <w:color w:val="000000" w:themeColor="text1"/>
          <w:sz w:val="22"/>
        </w:rPr>
      </w:pPr>
      <w:bookmarkStart w:id="4" w:name="_Hlk76388102"/>
      <w:bookmarkEnd w:id="3"/>
      <w:r w:rsidRPr="00AD1B85">
        <w:rPr>
          <w:rFonts w:ascii="Arial" w:hAnsi="Arial" w:cs="Arial"/>
          <w:color w:val="000000" w:themeColor="text1"/>
          <w:sz w:val="22"/>
        </w:rPr>
        <w:t xml:space="preserve">aligns with Griffith’s vision and </w:t>
      </w:r>
      <w:r w:rsidR="00642C61" w:rsidRPr="00AD1B85">
        <w:rPr>
          <w:rFonts w:ascii="Arial" w:hAnsi="Arial" w:cs="Arial"/>
          <w:color w:val="000000" w:themeColor="text1"/>
          <w:sz w:val="22"/>
        </w:rPr>
        <w:t>values.</w:t>
      </w:r>
    </w:p>
    <w:p w14:paraId="32EB3F8A" w14:textId="116F80AE" w:rsidR="003A4200" w:rsidRPr="00AD1B85" w:rsidRDefault="00FA35F3" w:rsidP="00CB3F50">
      <w:pPr>
        <w:pStyle w:val="NormalWhite"/>
        <w:numPr>
          <w:ilvl w:val="0"/>
          <w:numId w:val="4"/>
        </w:numPr>
        <w:spacing w:before="120" w:after="120" w:line="240" w:lineRule="auto"/>
        <w:ind w:left="851" w:hanging="284"/>
        <w:rPr>
          <w:rFonts w:ascii="Arial" w:hAnsi="Arial" w:cs="Arial"/>
          <w:color w:val="000000" w:themeColor="text1"/>
          <w:sz w:val="22"/>
        </w:rPr>
      </w:pPr>
      <w:r w:rsidRPr="00AD1B85">
        <w:rPr>
          <w:rFonts w:ascii="Arial" w:hAnsi="Arial" w:cs="Arial"/>
          <w:color w:val="000000" w:themeColor="text1"/>
          <w:sz w:val="22"/>
        </w:rPr>
        <w:t xml:space="preserve">ensures </w:t>
      </w:r>
      <w:r w:rsidR="009B5E2C" w:rsidRPr="00AD1B85">
        <w:rPr>
          <w:rFonts w:ascii="Arial" w:hAnsi="Arial" w:cs="Arial"/>
          <w:color w:val="000000" w:themeColor="text1"/>
          <w:sz w:val="22"/>
        </w:rPr>
        <w:t>University</w:t>
      </w:r>
      <w:r w:rsidR="00E469AB" w:rsidRPr="00AD1B85">
        <w:rPr>
          <w:rFonts w:ascii="Arial" w:hAnsi="Arial" w:cs="Arial"/>
          <w:color w:val="000000" w:themeColor="text1"/>
          <w:sz w:val="22"/>
        </w:rPr>
        <w:t xml:space="preserve"> activities </w:t>
      </w:r>
      <w:r w:rsidR="00FF55F5" w:rsidRPr="00AD1B85">
        <w:rPr>
          <w:rFonts w:ascii="Arial" w:hAnsi="Arial" w:cs="Arial"/>
          <w:color w:val="000000" w:themeColor="text1"/>
          <w:sz w:val="22"/>
        </w:rPr>
        <w:t xml:space="preserve">comply with </w:t>
      </w:r>
      <w:r w:rsidR="7C96FEB9" w:rsidRPr="00AD1B85">
        <w:rPr>
          <w:rFonts w:ascii="Arial" w:hAnsi="Arial" w:cs="Arial"/>
          <w:color w:val="000000" w:themeColor="text1"/>
          <w:sz w:val="22"/>
        </w:rPr>
        <w:t xml:space="preserve">the </w:t>
      </w:r>
      <w:r w:rsidR="7C96FEB9" w:rsidRPr="00AD1B85">
        <w:rPr>
          <w:rFonts w:ascii="Arial" w:hAnsi="Arial" w:cs="Arial"/>
          <w:i/>
          <w:iCs/>
          <w:color w:val="000000" w:themeColor="text1"/>
          <w:sz w:val="22"/>
        </w:rPr>
        <w:t>Higher Education Standards Framework (Threshold Standards) 202</w:t>
      </w:r>
      <w:r w:rsidR="0083455B" w:rsidRPr="00AD1B85">
        <w:rPr>
          <w:rFonts w:ascii="Arial" w:hAnsi="Arial" w:cs="Arial"/>
          <w:i/>
          <w:iCs/>
          <w:color w:val="000000" w:themeColor="text1"/>
          <w:sz w:val="22"/>
        </w:rPr>
        <w:t>1</w:t>
      </w:r>
      <w:r w:rsidR="00E1206F" w:rsidRPr="00AD1B85">
        <w:rPr>
          <w:rFonts w:ascii="Arial" w:hAnsi="Arial" w:cs="Arial"/>
          <w:i/>
          <w:iCs/>
          <w:color w:val="000000" w:themeColor="text1"/>
          <w:sz w:val="22"/>
        </w:rPr>
        <w:t xml:space="preserve">, the National Code of Practice </w:t>
      </w:r>
      <w:r w:rsidR="002D1D92" w:rsidRPr="00AD1B85">
        <w:rPr>
          <w:rFonts w:ascii="Arial" w:hAnsi="Arial" w:cs="Arial"/>
          <w:i/>
          <w:iCs/>
          <w:color w:val="000000" w:themeColor="text1"/>
          <w:sz w:val="22"/>
        </w:rPr>
        <w:t xml:space="preserve">for Providers of Education and </w:t>
      </w:r>
      <w:r w:rsidR="0083455B" w:rsidRPr="00AD1B85">
        <w:rPr>
          <w:rFonts w:ascii="Arial" w:hAnsi="Arial" w:cs="Arial"/>
          <w:i/>
          <w:iCs/>
          <w:color w:val="000000" w:themeColor="text1"/>
          <w:sz w:val="22"/>
        </w:rPr>
        <w:t>Training to Overseas Students 2018</w:t>
      </w:r>
      <w:r w:rsidR="00257238" w:rsidRPr="00AD1B85">
        <w:rPr>
          <w:rFonts w:ascii="Arial" w:hAnsi="Arial" w:cs="Arial"/>
          <w:i/>
          <w:iCs/>
          <w:color w:val="000000" w:themeColor="text1"/>
          <w:sz w:val="22"/>
        </w:rPr>
        <w:t>,</w:t>
      </w:r>
      <w:r w:rsidR="7C96FEB9" w:rsidRPr="00AD1B85">
        <w:rPr>
          <w:rFonts w:ascii="Arial" w:hAnsi="Arial" w:cs="Arial"/>
          <w:color w:val="000000" w:themeColor="text1"/>
          <w:sz w:val="22"/>
        </w:rPr>
        <w:t xml:space="preserve"> and other </w:t>
      </w:r>
      <w:r w:rsidR="00FF55F5" w:rsidRPr="00AD1B85">
        <w:rPr>
          <w:rFonts w:ascii="Arial" w:hAnsi="Arial" w:cs="Arial"/>
          <w:color w:val="000000" w:themeColor="text1"/>
          <w:sz w:val="22"/>
        </w:rPr>
        <w:t xml:space="preserve">relevant regulatory </w:t>
      </w:r>
      <w:r w:rsidR="00642C61" w:rsidRPr="00AD1B85">
        <w:rPr>
          <w:rFonts w:ascii="Arial" w:hAnsi="Arial" w:cs="Arial"/>
          <w:color w:val="000000" w:themeColor="text1"/>
          <w:sz w:val="22"/>
        </w:rPr>
        <w:t>frameworks.</w:t>
      </w:r>
    </w:p>
    <w:p w14:paraId="76BB3F95" w14:textId="446DECFD" w:rsidR="00EE646E" w:rsidRPr="00AD1B85" w:rsidRDefault="00413139" w:rsidP="00CB3F50">
      <w:pPr>
        <w:pStyle w:val="NormalWhite"/>
        <w:numPr>
          <w:ilvl w:val="0"/>
          <w:numId w:val="4"/>
        </w:numPr>
        <w:spacing w:before="120" w:after="120" w:line="240" w:lineRule="auto"/>
        <w:ind w:left="851" w:hanging="284"/>
        <w:rPr>
          <w:rFonts w:ascii="Arial" w:hAnsi="Arial" w:cs="Arial"/>
          <w:color w:val="000000" w:themeColor="text1"/>
          <w:sz w:val="22"/>
        </w:rPr>
      </w:pPr>
      <w:r w:rsidRPr="00AD1B85">
        <w:rPr>
          <w:rFonts w:ascii="Arial" w:hAnsi="Arial" w:cs="Arial"/>
          <w:color w:val="000000" w:themeColor="text1"/>
          <w:sz w:val="22"/>
        </w:rPr>
        <w:t xml:space="preserve">is an inherent, </w:t>
      </w:r>
      <w:r w:rsidR="00C04CA1" w:rsidRPr="00AD1B85">
        <w:rPr>
          <w:rFonts w:ascii="Arial" w:hAnsi="Arial" w:cs="Arial"/>
          <w:color w:val="000000" w:themeColor="text1"/>
          <w:sz w:val="22"/>
        </w:rPr>
        <w:t>visible,</w:t>
      </w:r>
      <w:r w:rsidRPr="00AD1B85">
        <w:rPr>
          <w:rFonts w:ascii="Arial" w:hAnsi="Arial" w:cs="Arial"/>
          <w:color w:val="000000" w:themeColor="text1"/>
          <w:sz w:val="22"/>
        </w:rPr>
        <w:t xml:space="preserve"> and </w:t>
      </w:r>
      <w:r w:rsidR="5A014103" w:rsidRPr="00AD1B85">
        <w:rPr>
          <w:rFonts w:ascii="Arial" w:hAnsi="Arial" w:cs="Arial"/>
          <w:color w:val="000000" w:themeColor="text1"/>
          <w:sz w:val="22"/>
        </w:rPr>
        <w:t>enhancement</w:t>
      </w:r>
      <w:r w:rsidR="00C04CA1" w:rsidRPr="00AD1B85">
        <w:rPr>
          <w:rFonts w:ascii="Arial" w:hAnsi="Arial" w:cs="Arial"/>
          <w:color w:val="000000" w:themeColor="text1"/>
          <w:sz w:val="22"/>
        </w:rPr>
        <w:t>-</w:t>
      </w:r>
      <w:r w:rsidR="5A014103" w:rsidRPr="00AD1B85">
        <w:rPr>
          <w:rFonts w:ascii="Arial" w:hAnsi="Arial" w:cs="Arial"/>
          <w:color w:val="000000" w:themeColor="text1"/>
          <w:sz w:val="22"/>
        </w:rPr>
        <w:t>based</w:t>
      </w:r>
      <w:r w:rsidRPr="00AD1B85">
        <w:rPr>
          <w:rFonts w:ascii="Arial" w:hAnsi="Arial" w:cs="Arial"/>
          <w:color w:val="000000" w:themeColor="text1"/>
          <w:sz w:val="22"/>
        </w:rPr>
        <w:t xml:space="preserve"> part of </w:t>
      </w:r>
      <w:r w:rsidR="777466AB" w:rsidRPr="00AD1B85">
        <w:rPr>
          <w:rFonts w:ascii="Arial" w:hAnsi="Arial" w:cs="Arial"/>
          <w:color w:val="000000" w:themeColor="text1"/>
          <w:sz w:val="22"/>
        </w:rPr>
        <w:t xml:space="preserve">the delivery of </w:t>
      </w:r>
      <w:r w:rsidRPr="00AD1B85">
        <w:rPr>
          <w:rFonts w:ascii="Arial" w:hAnsi="Arial" w:cs="Arial"/>
          <w:color w:val="000000" w:themeColor="text1"/>
          <w:sz w:val="22"/>
        </w:rPr>
        <w:t xml:space="preserve">all learning, </w:t>
      </w:r>
      <w:proofErr w:type="gramStart"/>
      <w:r w:rsidRPr="00AD1B85">
        <w:rPr>
          <w:rFonts w:ascii="Arial" w:hAnsi="Arial" w:cs="Arial"/>
          <w:color w:val="000000" w:themeColor="text1"/>
          <w:sz w:val="22"/>
        </w:rPr>
        <w:t>teaching</w:t>
      </w:r>
      <w:proofErr w:type="gramEnd"/>
      <w:r w:rsidRPr="00AD1B85">
        <w:rPr>
          <w:rFonts w:ascii="Arial" w:hAnsi="Arial" w:cs="Arial"/>
          <w:color w:val="000000" w:themeColor="text1"/>
          <w:sz w:val="22"/>
        </w:rPr>
        <w:t xml:space="preserve"> and research </w:t>
      </w:r>
      <w:r w:rsidR="00642C61" w:rsidRPr="00AD1B85">
        <w:rPr>
          <w:rFonts w:ascii="Arial" w:hAnsi="Arial" w:cs="Arial"/>
          <w:color w:val="000000" w:themeColor="text1"/>
          <w:sz w:val="22"/>
        </w:rPr>
        <w:t>activities.</w:t>
      </w:r>
    </w:p>
    <w:p w14:paraId="52264FD8" w14:textId="696B9856" w:rsidR="00413139" w:rsidRPr="00AD1B85" w:rsidRDefault="00C04CA1" w:rsidP="00CB3F50">
      <w:pPr>
        <w:pStyle w:val="NormalWhite"/>
        <w:numPr>
          <w:ilvl w:val="0"/>
          <w:numId w:val="4"/>
        </w:numPr>
        <w:spacing w:before="120" w:after="120" w:line="240" w:lineRule="auto"/>
        <w:ind w:left="851" w:hanging="284"/>
        <w:rPr>
          <w:rFonts w:ascii="Arial" w:hAnsi="Arial" w:cs="Arial"/>
          <w:color w:val="000000" w:themeColor="text1"/>
          <w:sz w:val="22"/>
        </w:rPr>
      </w:pPr>
      <w:r w:rsidRPr="00AD1B85">
        <w:rPr>
          <w:rFonts w:ascii="Arial" w:hAnsi="Arial" w:cs="Arial"/>
          <w:color w:val="000000" w:themeColor="text1"/>
          <w:sz w:val="22"/>
        </w:rPr>
        <w:t xml:space="preserve">is </w:t>
      </w:r>
      <w:r w:rsidR="007815B4" w:rsidRPr="00AD1B85">
        <w:rPr>
          <w:rFonts w:ascii="Arial" w:hAnsi="Arial" w:cs="Arial"/>
          <w:color w:val="000000" w:themeColor="text1"/>
          <w:sz w:val="22"/>
        </w:rPr>
        <w:t xml:space="preserve">coherent and </w:t>
      </w:r>
      <w:r w:rsidR="00642C61" w:rsidRPr="00AD1B85">
        <w:rPr>
          <w:rFonts w:ascii="Arial" w:hAnsi="Arial" w:cs="Arial"/>
          <w:color w:val="000000" w:themeColor="text1"/>
          <w:sz w:val="22"/>
        </w:rPr>
        <w:t>streamlined.</w:t>
      </w:r>
    </w:p>
    <w:p w14:paraId="03129FE7" w14:textId="40C22BF3" w:rsidR="00C1796D" w:rsidRPr="00AD1B85" w:rsidRDefault="007F3770" w:rsidP="00CB3F50">
      <w:pPr>
        <w:pStyle w:val="NormalWhite"/>
        <w:numPr>
          <w:ilvl w:val="0"/>
          <w:numId w:val="4"/>
        </w:numPr>
        <w:spacing w:before="120" w:after="120" w:line="240" w:lineRule="auto"/>
        <w:ind w:left="851" w:hanging="284"/>
        <w:rPr>
          <w:rFonts w:ascii="Arial" w:hAnsi="Arial" w:cs="Arial"/>
          <w:color w:val="000000" w:themeColor="text1"/>
          <w:sz w:val="22"/>
        </w:rPr>
      </w:pPr>
      <w:r w:rsidRPr="00AD1B85">
        <w:rPr>
          <w:rFonts w:ascii="Arial" w:hAnsi="Arial" w:cs="Arial"/>
          <w:color w:val="000000" w:themeColor="text1"/>
          <w:sz w:val="22"/>
        </w:rPr>
        <w:t>is</w:t>
      </w:r>
      <w:r w:rsidR="34D54D87" w:rsidRPr="00AD1B85">
        <w:rPr>
          <w:rFonts w:ascii="Arial" w:hAnsi="Arial" w:cs="Arial"/>
          <w:color w:val="000000" w:themeColor="text1"/>
          <w:sz w:val="22"/>
        </w:rPr>
        <w:t xml:space="preserve"> evidence-based</w:t>
      </w:r>
      <w:r w:rsidR="00010543" w:rsidRPr="00AD1B85">
        <w:rPr>
          <w:rFonts w:ascii="Arial" w:hAnsi="Arial" w:cs="Arial"/>
          <w:color w:val="000000" w:themeColor="text1"/>
          <w:sz w:val="22"/>
        </w:rPr>
        <w:t xml:space="preserve"> and draw</w:t>
      </w:r>
      <w:r w:rsidRPr="00AD1B85">
        <w:rPr>
          <w:rFonts w:ascii="Arial" w:hAnsi="Arial" w:cs="Arial"/>
          <w:color w:val="000000" w:themeColor="text1"/>
          <w:sz w:val="22"/>
        </w:rPr>
        <w:t>s</w:t>
      </w:r>
      <w:r w:rsidR="00010543" w:rsidRPr="00AD1B85">
        <w:rPr>
          <w:rFonts w:ascii="Arial" w:hAnsi="Arial" w:cs="Arial"/>
          <w:color w:val="000000" w:themeColor="text1"/>
          <w:sz w:val="22"/>
        </w:rPr>
        <w:t xml:space="preserve"> on multiple sources of dat</w:t>
      </w:r>
      <w:r w:rsidR="00C73416" w:rsidRPr="00AD1B85">
        <w:rPr>
          <w:rFonts w:ascii="Arial" w:hAnsi="Arial" w:cs="Arial"/>
          <w:color w:val="000000" w:themeColor="text1"/>
          <w:sz w:val="22"/>
        </w:rPr>
        <w:t>a</w:t>
      </w:r>
      <w:r w:rsidR="00565AB0" w:rsidRPr="00AD1B85">
        <w:rPr>
          <w:rFonts w:ascii="Arial" w:hAnsi="Arial" w:cs="Arial"/>
          <w:color w:val="000000" w:themeColor="text1"/>
          <w:sz w:val="22"/>
        </w:rPr>
        <w:t>, including student feedback, industry feedback and external data to compare Griffith’s performance to other institutions</w:t>
      </w:r>
      <w:r w:rsidR="007F0440" w:rsidRPr="00AD1B85">
        <w:rPr>
          <w:rFonts w:ascii="Arial" w:hAnsi="Arial" w:cs="Arial"/>
          <w:color w:val="000000" w:themeColor="text1"/>
          <w:sz w:val="22"/>
        </w:rPr>
        <w:t>.</w:t>
      </w:r>
    </w:p>
    <w:p w14:paraId="1C264232" w14:textId="68702B27" w:rsidR="00DC16A9" w:rsidRPr="00AD1B85" w:rsidRDefault="00C04CA1" w:rsidP="00CB3F50">
      <w:pPr>
        <w:pStyle w:val="NormalWhite"/>
        <w:numPr>
          <w:ilvl w:val="0"/>
          <w:numId w:val="4"/>
        </w:numPr>
        <w:spacing w:before="120" w:after="120" w:line="240" w:lineRule="auto"/>
        <w:ind w:left="851" w:hanging="284"/>
        <w:rPr>
          <w:rFonts w:ascii="Arial" w:hAnsi="Arial" w:cs="Arial"/>
          <w:color w:val="000000" w:themeColor="text1"/>
          <w:sz w:val="22"/>
        </w:rPr>
      </w:pPr>
      <w:r w:rsidRPr="00AD1B85">
        <w:rPr>
          <w:rFonts w:ascii="Arial" w:hAnsi="Arial" w:cs="Arial"/>
          <w:color w:val="000000" w:themeColor="text1"/>
          <w:sz w:val="22"/>
        </w:rPr>
        <w:t xml:space="preserve">is supported by an enabling culture which engages </w:t>
      </w:r>
      <w:r w:rsidR="008707FF" w:rsidRPr="00AD1B85">
        <w:rPr>
          <w:rFonts w:ascii="Arial" w:hAnsi="Arial" w:cs="Arial"/>
          <w:color w:val="000000" w:themeColor="text1"/>
          <w:sz w:val="22"/>
        </w:rPr>
        <w:t xml:space="preserve">staff and students and </w:t>
      </w:r>
      <w:r w:rsidRPr="00AD1B85">
        <w:rPr>
          <w:rFonts w:ascii="Arial" w:hAnsi="Arial" w:cs="Arial"/>
          <w:color w:val="000000" w:themeColor="text1"/>
          <w:sz w:val="22"/>
        </w:rPr>
        <w:t xml:space="preserve">supports continuous </w:t>
      </w:r>
      <w:r w:rsidR="004E5C41" w:rsidRPr="00AD1B85">
        <w:rPr>
          <w:rFonts w:ascii="Arial" w:hAnsi="Arial" w:cs="Arial"/>
          <w:color w:val="000000" w:themeColor="text1"/>
          <w:sz w:val="22"/>
        </w:rPr>
        <w:t>improvement</w:t>
      </w:r>
      <w:r w:rsidRPr="00AD1B85">
        <w:rPr>
          <w:rFonts w:ascii="Arial" w:hAnsi="Arial" w:cs="Arial"/>
          <w:color w:val="000000" w:themeColor="text1"/>
          <w:sz w:val="22"/>
        </w:rPr>
        <w:t>.</w:t>
      </w:r>
    </w:p>
    <w:p w14:paraId="7169E8C9" w14:textId="71620E50" w:rsidR="003A0071" w:rsidRPr="00AD1B85" w:rsidRDefault="003A0071" w:rsidP="00B40415">
      <w:pPr>
        <w:pStyle w:val="Heading3"/>
        <w:spacing w:before="120" w:line="240" w:lineRule="auto"/>
        <w:ind w:left="567"/>
        <w:rPr>
          <w:rFonts w:ascii="Arial" w:hAnsi="Arial" w:cs="Arial"/>
          <w:b/>
          <w:bCs/>
          <w:sz w:val="28"/>
          <w:szCs w:val="28"/>
        </w:rPr>
      </w:pPr>
      <w:bookmarkStart w:id="5" w:name="_Hlk134452678"/>
      <w:bookmarkStart w:id="6" w:name="_Hlk76388129"/>
      <w:bookmarkEnd w:id="4"/>
      <w:r w:rsidRPr="00AD1B85">
        <w:rPr>
          <w:rFonts w:ascii="Arial" w:hAnsi="Arial" w:cs="Arial"/>
          <w:b/>
          <w:bCs/>
          <w:sz w:val="28"/>
          <w:szCs w:val="28"/>
        </w:rPr>
        <w:lastRenderedPageBreak/>
        <w:t xml:space="preserve">3.2 </w:t>
      </w:r>
      <w:r w:rsidR="00D943A7" w:rsidRPr="00AD1B85">
        <w:rPr>
          <w:rFonts w:ascii="Arial" w:hAnsi="Arial" w:cs="Arial"/>
          <w:b/>
          <w:bCs/>
          <w:sz w:val="28"/>
          <w:szCs w:val="28"/>
        </w:rPr>
        <w:t xml:space="preserve">Institutional Quality </w:t>
      </w:r>
      <w:r w:rsidR="0083455B" w:rsidRPr="00AD1B85">
        <w:rPr>
          <w:rFonts w:ascii="Arial" w:hAnsi="Arial" w:cs="Arial"/>
          <w:b/>
          <w:bCs/>
          <w:sz w:val="28"/>
          <w:szCs w:val="28"/>
        </w:rPr>
        <w:t xml:space="preserve">Management System </w:t>
      </w:r>
    </w:p>
    <w:bookmarkEnd w:id="5"/>
    <w:p w14:paraId="2B3186DF" w14:textId="6EDD1B85" w:rsidR="00DF26F5" w:rsidRPr="00AD1B85" w:rsidRDefault="00D943A7" w:rsidP="00B40415">
      <w:pPr>
        <w:spacing w:before="120" w:after="120" w:line="240" w:lineRule="auto"/>
        <w:ind w:left="567"/>
        <w:rPr>
          <w:rFonts w:ascii="Arial" w:hAnsi="Arial" w:cs="Arial"/>
          <w:sz w:val="22"/>
        </w:rPr>
      </w:pPr>
      <w:r w:rsidRPr="00AD1B85">
        <w:rPr>
          <w:rFonts w:ascii="Arial" w:hAnsi="Arial" w:cs="Arial"/>
          <w:sz w:val="22"/>
        </w:rPr>
        <w:t>Griffith’s institutional quality assurance mechanisms</w:t>
      </w:r>
      <w:r w:rsidR="0050492F" w:rsidRPr="00AD1B85">
        <w:rPr>
          <w:rFonts w:ascii="Arial" w:hAnsi="Arial" w:cs="Arial"/>
          <w:sz w:val="22"/>
        </w:rPr>
        <w:t xml:space="preserve"> provide for the </w:t>
      </w:r>
      <w:r w:rsidR="0050492F" w:rsidRPr="00AD1B85">
        <w:rPr>
          <w:rStyle w:val="cf01"/>
          <w:rFonts w:ascii="Arial" w:hAnsi="Arial" w:cs="Arial"/>
          <w:sz w:val="22"/>
          <w:szCs w:val="22"/>
        </w:rPr>
        <w:t xml:space="preserve">systematic review and evaluation of </w:t>
      </w:r>
      <w:r w:rsidR="00FA201F" w:rsidRPr="00AD1B85">
        <w:rPr>
          <w:rStyle w:val="cf01"/>
          <w:rFonts w:ascii="Arial" w:hAnsi="Arial" w:cs="Arial"/>
          <w:sz w:val="22"/>
          <w:szCs w:val="22"/>
        </w:rPr>
        <w:t xml:space="preserve">academic </w:t>
      </w:r>
      <w:r w:rsidR="0050492F" w:rsidRPr="00AD1B85">
        <w:rPr>
          <w:rStyle w:val="cf01"/>
          <w:rFonts w:ascii="Arial" w:hAnsi="Arial" w:cs="Arial"/>
          <w:sz w:val="22"/>
          <w:szCs w:val="22"/>
        </w:rPr>
        <w:t xml:space="preserve">activities </w:t>
      </w:r>
      <w:r w:rsidR="00FA201F" w:rsidRPr="00AD1B85">
        <w:rPr>
          <w:rStyle w:val="cf01"/>
          <w:rFonts w:ascii="Arial" w:hAnsi="Arial" w:cs="Arial"/>
          <w:sz w:val="22"/>
          <w:szCs w:val="22"/>
        </w:rPr>
        <w:t xml:space="preserve">and supporting functions </w:t>
      </w:r>
      <w:r w:rsidR="0050492F" w:rsidRPr="00AD1B85">
        <w:rPr>
          <w:rStyle w:val="cf01"/>
          <w:rFonts w:ascii="Arial" w:hAnsi="Arial" w:cs="Arial"/>
          <w:sz w:val="22"/>
          <w:szCs w:val="22"/>
        </w:rPr>
        <w:t xml:space="preserve">to achieve performance improvements through a </w:t>
      </w:r>
      <w:r w:rsidR="00654466" w:rsidRPr="00AD1B85">
        <w:rPr>
          <w:rStyle w:val="cf01"/>
          <w:rFonts w:ascii="Arial" w:hAnsi="Arial" w:cs="Arial"/>
          <w:sz w:val="22"/>
          <w:szCs w:val="22"/>
        </w:rPr>
        <w:t xml:space="preserve">cyclical continuous improvement </w:t>
      </w:r>
      <w:r w:rsidR="00C04CA1" w:rsidRPr="00AD1B85">
        <w:rPr>
          <w:rStyle w:val="cf01"/>
          <w:rFonts w:ascii="Arial" w:hAnsi="Arial" w:cs="Arial"/>
          <w:sz w:val="22"/>
          <w:szCs w:val="22"/>
        </w:rPr>
        <w:t>process of</w:t>
      </w:r>
      <w:r w:rsidR="0050492F" w:rsidRPr="00AD1B85">
        <w:rPr>
          <w:rStyle w:val="cf01"/>
          <w:rFonts w:ascii="Arial" w:hAnsi="Arial" w:cs="Arial"/>
          <w:sz w:val="22"/>
          <w:szCs w:val="22"/>
        </w:rPr>
        <w:t xml:space="preserve"> planning, implementing, </w:t>
      </w:r>
      <w:r w:rsidR="00AE0F01" w:rsidRPr="00AD1B85">
        <w:rPr>
          <w:rStyle w:val="cf01"/>
          <w:rFonts w:ascii="Arial" w:hAnsi="Arial" w:cs="Arial"/>
          <w:sz w:val="22"/>
          <w:szCs w:val="22"/>
        </w:rPr>
        <w:t>reviewing,</w:t>
      </w:r>
      <w:r w:rsidR="0050492F" w:rsidRPr="00AD1B85">
        <w:rPr>
          <w:rStyle w:val="cf01"/>
          <w:rFonts w:ascii="Arial" w:hAnsi="Arial" w:cs="Arial"/>
          <w:sz w:val="22"/>
          <w:szCs w:val="22"/>
        </w:rPr>
        <w:t xml:space="preserve"> and improving.</w:t>
      </w:r>
      <w:bookmarkStart w:id="7" w:name="_Hlk135149983"/>
      <w:r w:rsidR="00F36587" w:rsidRPr="00AD1B85">
        <w:rPr>
          <w:rStyle w:val="cf01"/>
          <w:rFonts w:ascii="Arial" w:hAnsi="Arial" w:cs="Arial"/>
          <w:sz w:val="22"/>
          <w:szCs w:val="22"/>
        </w:rPr>
        <w:t xml:space="preserve"> C</w:t>
      </w:r>
      <w:r w:rsidR="00FA40A2" w:rsidRPr="00AD1B85">
        <w:rPr>
          <w:rStyle w:val="cf01"/>
          <w:rFonts w:ascii="Arial" w:hAnsi="Arial" w:cs="Arial"/>
          <w:sz w:val="22"/>
          <w:szCs w:val="22"/>
        </w:rPr>
        <w:t>ore principles and requirements of a</w:t>
      </w:r>
      <w:r w:rsidR="0070226D" w:rsidRPr="00AD1B85">
        <w:rPr>
          <w:rStyle w:val="cf01"/>
          <w:rFonts w:ascii="Arial" w:hAnsi="Arial" w:cs="Arial"/>
          <w:sz w:val="22"/>
          <w:szCs w:val="22"/>
        </w:rPr>
        <w:t xml:space="preserve">cademic activities and supporting functions are </w:t>
      </w:r>
      <w:r w:rsidR="00FA40A2" w:rsidRPr="00AD1B85">
        <w:rPr>
          <w:rStyle w:val="cf01"/>
          <w:rFonts w:ascii="Arial" w:hAnsi="Arial" w:cs="Arial"/>
          <w:sz w:val="22"/>
          <w:szCs w:val="22"/>
        </w:rPr>
        <w:t xml:space="preserve">informed </w:t>
      </w:r>
      <w:r w:rsidR="008D70DF" w:rsidRPr="00AD1B85">
        <w:rPr>
          <w:rStyle w:val="cf01"/>
          <w:rFonts w:ascii="Arial" w:hAnsi="Arial" w:cs="Arial"/>
          <w:sz w:val="22"/>
          <w:szCs w:val="22"/>
        </w:rPr>
        <w:t xml:space="preserve">by </w:t>
      </w:r>
      <w:r w:rsidR="00720388" w:rsidRPr="00AD1B85">
        <w:rPr>
          <w:rStyle w:val="cf01"/>
          <w:rFonts w:ascii="Arial" w:hAnsi="Arial" w:cs="Arial"/>
          <w:sz w:val="22"/>
          <w:szCs w:val="22"/>
        </w:rPr>
        <w:t xml:space="preserve">relevant legislation and University </w:t>
      </w:r>
      <w:r w:rsidR="00DE2660" w:rsidRPr="00AD1B85">
        <w:rPr>
          <w:rStyle w:val="cf01"/>
          <w:rFonts w:ascii="Arial" w:hAnsi="Arial" w:cs="Arial"/>
          <w:sz w:val="22"/>
          <w:szCs w:val="22"/>
        </w:rPr>
        <w:t xml:space="preserve">quality </w:t>
      </w:r>
      <w:r w:rsidR="00D83FB0" w:rsidRPr="00AD1B85">
        <w:rPr>
          <w:rStyle w:val="cf01"/>
          <w:rFonts w:ascii="Arial" w:hAnsi="Arial" w:cs="Arial"/>
          <w:sz w:val="22"/>
          <w:szCs w:val="22"/>
        </w:rPr>
        <w:t>frameworks</w:t>
      </w:r>
      <w:bookmarkEnd w:id="7"/>
      <w:r w:rsidR="00E32AD9" w:rsidRPr="00AD1B85">
        <w:rPr>
          <w:rStyle w:val="cf01"/>
          <w:rFonts w:ascii="Arial" w:hAnsi="Arial" w:cs="Arial"/>
          <w:sz w:val="22"/>
          <w:szCs w:val="22"/>
        </w:rPr>
        <w:t>.</w:t>
      </w:r>
      <w:r w:rsidR="00A840E6" w:rsidRPr="00AD1B85">
        <w:rPr>
          <w:rStyle w:val="cf01"/>
          <w:rFonts w:ascii="Arial" w:hAnsi="Arial" w:cs="Arial"/>
          <w:sz w:val="22"/>
          <w:szCs w:val="22"/>
        </w:rPr>
        <w:t xml:space="preserve"> </w:t>
      </w:r>
      <w:r w:rsidR="0035080C" w:rsidRPr="00AD1B85">
        <w:rPr>
          <w:rStyle w:val="cf01"/>
          <w:rFonts w:ascii="Arial" w:hAnsi="Arial" w:cs="Arial"/>
          <w:sz w:val="22"/>
          <w:szCs w:val="22"/>
        </w:rPr>
        <w:t>Qu</w:t>
      </w:r>
      <w:r w:rsidR="00B23349" w:rsidRPr="00AD1B85">
        <w:rPr>
          <w:rStyle w:val="cf01"/>
          <w:rFonts w:ascii="Arial" w:hAnsi="Arial" w:cs="Arial"/>
          <w:sz w:val="22"/>
          <w:szCs w:val="22"/>
        </w:rPr>
        <w:t>a</w:t>
      </w:r>
      <w:r w:rsidR="00F70BB1" w:rsidRPr="00AD1B85">
        <w:rPr>
          <w:rStyle w:val="cf01"/>
          <w:rFonts w:ascii="Arial" w:hAnsi="Arial" w:cs="Arial"/>
          <w:sz w:val="22"/>
          <w:szCs w:val="22"/>
        </w:rPr>
        <w:t xml:space="preserve">lity </w:t>
      </w:r>
      <w:r w:rsidR="008223D8" w:rsidRPr="00AD1B85">
        <w:rPr>
          <w:rStyle w:val="cf01"/>
          <w:rFonts w:ascii="Arial" w:hAnsi="Arial" w:cs="Arial"/>
          <w:sz w:val="22"/>
          <w:szCs w:val="22"/>
        </w:rPr>
        <w:t xml:space="preserve">assurance is supported </w:t>
      </w:r>
      <w:r w:rsidR="00143210" w:rsidRPr="00AD1B85">
        <w:rPr>
          <w:rStyle w:val="cf01"/>
          <w:rFonts w:ascii="Arial" w:hAnsi="Arial" w:cs="Arial"/>
          <w:sz w:val="22"/>
          <w:szCs w:val="22"/>
        </w:rPr>
        <w:t>through</w:t>
      </w:r>
      <w:r w:rsidR="00680F26" w:rsidRPr="00AD1B85">
        <w:rPr>
          <w:rStyle w:val="cf01"/>
          <w:rFonts w:ascii="Arial" w:hAnsi="Arial" w:cs="Arial"/>
          <w:sz w:val="22"/>
          <w:szCs w:val="22"/>
        </w:rPr>
        <w:t xml:space="preserve"> </w:t>
      </w:r>
      <w:proofErr w:type="gramStart"/>
      <w:r w:rsidR="00680F26" w:rsidRPr="00AD1B85">
        <w:rPr>
          <w:rStyle w:val="cf01"/>
          <w:rFonts w:ascii="Arial" w:hAnsi="Arial" w:cs="Arial"/>
          <w:sz w:val="22"/>
          <w:szCs w:val="22"/>
        </w:rPr>
        <w:t>University</w:t>
      </w:r>
      <w:proofErr w:type="gramEnd"/>
      <w:r w:rsidR="00680F26" w:rsidRPr="00AD1B85">
        <w:rPr>
          <w:rStyle w:val="cf01"/>
          <w:rFonts w:ascii="Arial" w:hAnsi="Arial" w:cs="Arial"/>
          <w:sz w:val="22"/>
          <w:szCs w:val="22"/>
        </w:rPr>
        <w:t xml:space="preserve"> governance structures</w:t>
      </w:r>
      <w:r w:rsidR="00694E95" w:rsidRPr="00AD1B85">
        <w:rPr>
          <w:rStyle w:val="cf01"/>
          <w:rFonts w:ascii="Arial" w:hAnsi="Arial" w:cs="Arial"/>
          <w:sz w:val="22"/>
          <w:szCs w:val="22"/>
        </w:rPr>
        <w:t>,</w:t>
      </w:r>
      <w:r w:rsidR="00680F26" w:rsidRPr="00AD1B85">
        <w:rPr>
          <w:rStyle w:val="cf01"/>
          <w:rFonts w:ascii="Arial" w:hAnsi="Arial" w:cs="Arial"/>
          <w:sz w:val="22"/>
          <w:szCs w:val="22"/>
        </w:rPr>
        <w:t xml:space="preserve"> accountability, policies</w:t>
      </w:r>
      <w:r w:rsidR="008A2445" w:rsidRPr="00AD1B85">
        <w:rPr>
          <w:rStyle w:val="cf01"/>
          <w:rFonts w:ascii="Arial" w:hAnsi="Arial" w:cs="Arial"/>
          <w:sz w:val="22"/>
          <w:szCs w:val="22"/>
        </w:rPr>
        <w:t>,</w:t>
      </w:r>
      <w:r w:rsidR="00680F26" w:rsidRPr="00AD1B85">
        <w:rPr>
          <w:rStyle w:val="cf01"/>
          <w:rFonts w:ascii="Arial" w:hAnsi="Arial" w:cs="Arial"/>
          <w:sz w:val="22"/>
          <w:szCs w:val="22"/>
        </w:rPr>
        <w:t xml:space="preserve"> </w:t>
      </w:r>
      <w:r w:rsidR="00E41E89" w:rsidRPr="00AD1B85">
        <w:rPr>
          <w:rStyle w:val="cf01"/>
          <w:rFonts w:ascii="Arial" w:hAnsi="Arial" w:cs="Arial"/>
          <w:sz w:val="22"/>
          <w:szCs w:val="22"/>
        </w:rPr>
        <w:t xml:space="preserve">and </w:t>
      </w:r>
      <w:r w:rsidR="00680F26" w:rsidRPr="00AD1B85">
        <w:rPr>
          <w:rStyle w:val="cf01"/>
          <w:rFonts w:ascii="Arial" w:hAnsi="Arial" w:cs="Arial"/>
          <w:sz w:val="22"/>
          <w:szCs w:val="22"/>
        </w:rPr>
        <w:t>procedures</w:t>
      </w:r>
      <w:r w:rsidR="00694E95" w:rsidRPr="00AD1B85">
        <w:rPr>
          <w:rStyle w:val="cf01"/>
          <w:rFonts w:ascii="Arial" w:hAnsi="Arial" w:cs="Arial"/>
          <w:sz w:val="22"/>
          <w:szCs w:val="22"/>
        </w:rPr>
        <w:t xml:space="preserve">. </w:t>
      </w:r>
    </w:p>
    <w:p w14:paraId="55794F67" w14:textId="169FF6F0" w:rsidR="000E5E79" w:rsidRPr="00AD1B85" w:rsidRDefault="00EA715D" w:rsidP="00B40415">
      <w:pPr>
        <w:pStyle w:val="Heading4"/>
        <w:spacing w:before="120" w:line="240" w:lineRule="auto"/>
        <w:ind w:left="851"/>
        <w:rPr>
          <w:rFonts w:ascii="Arial" w:hAnsi="Arial" w:cs="Arial"/>
          <w:sz w:val="22"/>
        </w:rPr>
      </w:pPr>
      <w:r w:rsidRPr="00AD1B85">
        <w:rPr>
          <w:rFonts w:ascii="Arial" w:hAnsi="Arial" w:cs="Arial"/>
          <w:sz w:val="22"/>
        </w:rPr>
        <w:t xml:space="preserve">3.2.1 </w:t>
      </w:r>
      <w:r w:rsidR="008201A7" w:rsidRPr="00AD1B85">
        <w:rPr>
          <w:rFonts w:ascii="Arial" w:hAnsi="Arial" w:cs="Arial"/>
          <w:sz w:val="22"/>
        </w:rPr>
        <w:t xml:space="preserve">Legislative and University Frameworks </w:t>
      </w:r>
    </w:p>
    <w:p w14:paraId="051DEE8F" w14:textId="1B9A0DAA" w:rsidR="008201A7" w:rsidRPr="00AD1B85" w:rsidRDefault="00E15277" w:rsidP="00B40415">
      <w:pPr>
        <w:spacing w:before="120" w:after="120" w:line="240" w:lineRule="auto"/>
        <w:ind w:left="851"/>
        <w:rPr>
          <w:rFonts w:ascii="Arial" w:hAnsi="Arial" w:cs="Arial"/>
          <w:sz w:val="22"/>
        </w:rPr>
      </w:pPr>
      <w:r w:rsidRPr="00AD1B85">
        <w:rPr>
          <w:rFonts w:ascii="Arial" w:hAnsi="Arial" w:cs="Arial"/>
          <w:sz w:val="22"/>
        </w:rPr>
        <w:t xml:space="preserve">Griffith’s </w:t>
      </w:r>
      <w:r w:rsidR="00803487" w:rsidRPr="00AD1B85">
        <w:rPr>
          <w:rFonts w:ascii="Arial" w:hAnsi="Arial" w:cs="Arial"/>
          <w:sz w:val="22"/>
        </w:rPr>
        <w:t xml:space="preserve">institutional quality assurance is informed by </w:t>
      </w:r>
      <w:r w:rsidR="00E16827" w:rsidRPr="00AD1B85">
        <w:rPr>
          <w:rFonts w:ascii="Arial" w:hAnsi="Arial" w:cs="Arial"/>
          <w:sz w:val="22"/>
        </w:rPr>
        <w:t xml:space="preserve">relevant legislation and </w:t>
      </w:r>
      <w:r w:rsidR="00803487" w:rsidRPr="00AD1B85">
        <w:rPr>
          <w:rFonts w:ascii="Arial" w:hAnsi="Arial" w:cs="Arial"/>
          <w:sz w:val="22"/>
        </w:rPr>
        <w:t xml:space="preserve">legislative </w:t>
      </w:r>
      <w:r w:rsidR="003414B6" w:rsidRPr="00AD1B85">
        <w:rPr>
          <w:rFonts w:ascii="Arial" w:hAnsi="Arial" w:cs="Arial"/>
          <w:sz w:val="22"/>
        </w:rPr>
        <w:t>frameworks</w:t>
      </w:r>
      <w:r w:rsidR="00E16827" w:rsidRPr="00AD1B85">
        <w:rPr>
          <w:rFonts w:ascii="Arial" w:hAnsi="Arial" w:cs="Arial"/>
          <w:sz w:val="22"/>
        </w:rPr>
        <w:t>, including th</w:t>
      </w:r>
      <w:r w:rsidR="00952079" w:rsidRPr="00AD1B85">
        <w:rPr>
          <w:rFonts w:ascii="Arial" w:hAnsi="Arial" w:cs="Arial"/>
          <w:sz w:val="22"/>
        </w:rPr>
        <w:t xml:space="preserve">e </w:t>
      </w:r>
      <w:r w:rsidR="00E16827" w:rsidRPr="00AD1B85">
        <w:rPr>
          <w:rFonts w:ascii="Arial" w:hAnsi="Arial" w:cs="Arial"/>
          <w:i/>
          <w:iCs/>
          <w:sz w:val="22"/>
        </w:rPr>
        <w:t>Higher Education Standards Framework (Threshold Standards) 2021</w:t>
      </w:r>
      <w:r w:rsidR="00DD4804" w:rsidRPr="00AD1B85">
        <w:rPr>
          <w:rFonts w:ascii="Arial" w:hAnsi="Arial" w:cs="Arial"/>
          <w:i/>
          <w:iCs/>
          <w:sz w:val="22"/>
        </w:rPr>
        <w:t>,</w:t>
      </w:r>
      <w:r w:rsidR="0066374E" w:rsidRPr="00AD1B85">
        <w:rPr>
          <w:rFonts w:ascii="Arial" w:hAnsi="Arial" w:cs="Arial"/>
          <w:i/>
          <w:iCs/>
          <w:sz w:val="22"/>
        </w:rPr>
        <w:t xml:space="preserve"> National Code of Practice</w:t>
      </w:r>
      <w:r w:rsidR="00FE3C79" w:rsidRPr="00AD1B85">
        <w:rPr>
          <w:rFonts w:ascii="Arial" w:hAnsi="Arial" w:cs="Arial"/>
          <w:i/>
          <w:iCs/>
          <w:sz w:val="22"/>
        </w:rPr>
        <w:t xml:space="preserve"> for Providers of Education and Training to overseas Students 2018</w:t>
      </w:r>
      <w:r w:rsidR="00C7522C" w:rsidRPr="00AD1B85">
        <w:rPr>
          <w:rFonts w:ascii="Arial" w:hAnsi="Arial" w:cs="Arial"/>
          <w:i/>
          <w:iCs/>
          <w:sz w:val="22"/>
        </w:rPr>
        <w:t>,</w:t>
      </w:r>
      <w:r w:rsidR="00DD4804" w:rsidRPr="00AD1B85">
        <w:rPr>
          <w:rFonts w:ascii="Arial" w:hAnsi="Arial" w:cs="Arial"/>
          <w:i/>
          <w:iCs/>
          <w:sz w:val="22"/>
        </w:rPr>
        <w:t xml:space="preserve"> </w:t>
      </w:r>
      <w:r w:rsidR="00DD4804" w:rsidRPr="00AD1B85">
        <w:rPr>
          <w:rFonts w:ascii="Arial" w:hAnsi="Arial" w:cs="Arial"/>
          <w:sz w:val="22"/>
        </w:rPr>
        <w:t>and the</w:t>
      </w:r>
      <w:r w:rsidR="00DD4804" w:rsidRPr="00AD1B85">
        <w:rPr>
          <w:rFonts w:ascii="Arial" w:hAnsi="Arial" w:cs="Arial"/>
          <w:i/>
          <w:iCs/>
          <w:sz w:val="22"/>
        </w:rPr>
        <w:t xml:space="preserve"> </w:t>
      </w:r>
      <w:r w:rsidR="00C7522C" w:rsidRPr="00AD1B85">
        <w:rPr>
          <w:rFonts w:ascii="Arial" w:hAnsi="Arial" w:cs="Arial"/>
          <w:i/>
          <w:iCs/>
          <w:sz w:val="22"/>
        </w:rPr>
        <w:t>Australian Code for the Responsible Conduct of Research</w:t>
      </w:r>
      <w:r w:rsidR="00FE3C79" w:rsidRPr="00AD1B85">
        <w:rPr>
          <w:rFonts w:ascii="Arial" w:hAnsi="Arial" w:cs="Arial"/>
          <w:sz w:val="22"/>
        </w:rPr>
        <w:t xml:space="preserve">. </w:t>
      </w:r>
      <w:r w:rsidR="007B4B61" w:rsidRPr="00AD1B85">
        <w:rPr>
          <w:rFonts w:ascii="Arial" w:hAnsi="Arial" w:cs="Arial"/>
          <w:sz w:val="22"/>
        </w:rPr>
        <w:t xml:space="preserve">Core principles and standards of academic activities and supporting functions are further informed by a series of </w:t>
      </w:r>
      <w:proofErr w:type="gramStart"/>
      <w:r w:rsidR="007B4B61" w:rsidRPr="00AD1B85">
        <w:rPr>
          <w:rFonts w:ascii="Arial" w:hAnsi="Arial" w:cs="Arial"/>
          <w:sz w:val="22"/>
        </w:rPr>
        <w:t>University</w:t>
      </w:r>
      <w:proofErr w:type="gramEnd"/>
      <w:r w:rsidR="007B4B61" w:rsidRPr="00AD1B85">
        <w:rPr>
          <w:rFonts w:ascii="Arial" w:hAnsi="Arial" w:cs="Arial"/>
          <w:sz w:val="22"/>
        </w:rPr>
        <w:t xml:space="preserve"> policies, processes and plans.</w:t>
      </w:r>
    </w:p>
    <w:p w14:paraId="0B49F231" w14:textId="761A8124" w:rsidR="008201A7" w:rsidRPr="00AD1B85" w:rsidRDefault="008201A7" w:rsidP="00B40415">
      <w:pPr>
        <w:pStyle w:val="Heading4"/>
        <w:spacing w:before="120" w:line="240" w:lineRule="auto"/>
        <w:ind w:left="851"/>
        <w:rPr>
          <w:rFonts w:ascii="Arial" w:hAnsi="Arial" w:cs="Arial"/>
          <w:sz w:val="22"/>
        </w:rPr>
      </w:pPr>
      <w:r w:rsidRPr="00AD1B85">
        <w:rPr>
          <w:rFonts w:ascii="Arial" w:hAnsi="Arial" w:cs="Arial"/>
          <w:sz w:val="22"/>
        </w:rPr>
        <w:t>3.</w:t>
      </w:r>
      <w:r w:rsidR="00EA715D" w:rsidRPr="00AD1B85">
        <w:rPr>
          <w:rFonts w:ascii="Arial" w:hAnsi="Arial" w:cs="Arial"/>
          <w:sz w:val="22"/>
        </w:rPr>
        <w:t xml:space="preserve">2.2 </w:t>
      </w:r>
      <w:r w:rsidRPr="00AD1B85">
        <w:rPr>
          <w:rFonts w:ascii="Arial" w:hAnsi="Arial" w:cs="Arial"/>
          <w:sz w:val="22"/>
        </w:rPr>
        <w:t>Plan</w:t>
      </w:r>
      <w:r w:rsidR="00E860E2" w:rsidRPr="00AD1B85">
        <w:rPr>
          <w:rFonts w:ascii="Arial" w:hAnsi="Arial" w:cs="Arial"/>
          <w:sz w:val="22"/>
        </w:rPr>
        <w:t xml:space="preserve"> &amp; Implement </w:t>
      </w:r>
    </w:p>
    <w:p w14:paraId="1DB3AE19" w14:textId="1B0BB217" w:rsidR="00AB7A53" w:rsidRPr="00AD1B85" w:rsidRDefault="00AB7A53" w:rsidP="00B40415">
      <w:pPr>
        <w:spacing w:before="120" w:after="120" w:line="240" w:lineRule="auto"/>
        <w:ind w:left="851"/>
        <w:rPr>
          <w:rFonts w:ascii="Arial" w:hAnsi="Arial" w:cs="Arial"/>
          <w:sz w:val="22"/>
        </w:rPr>
      </w:pPr>
      <w:r w:rsidRPr="00AD1B85">
        <w:rPr>
          <w:rFonts w:ascii="Arial" w:hAnsi="Arial" w:cs="Arial"/>
          <w:sz w:val="22"/>
        </w:rPr>
        <w:t>Griffith's planning framework consists of a series of linked plans and policies that guide the implementation of the University's strategic</w:t>
      </w:r>
      <w:r w:rsidR="00C04CA1" w:rsidRPr="00AD1B85">
        <w:rPr>
          <w:rFonts w:ascii="Arial" w:hAnsi="Arial" w:cs="Arial"/>
          <w:sz w:val="22"/>
        </w:rPr>
        <w:t xml:space="preserve"> </w:t>
      </w:r>
      <w:r w:rsidRPr="00AD1B85">
        <w:rPr>
          <w:rFonts w:ascii="Arial" w:hAnsi="Arial" w:cs="Arial"/>
          <w:sz w:val="22"/>
        </w:rPr>
        <w:t>priorities. Th</w:t>
      </w:r>
      <w:r w:rsidR="00C85D1F" w:rsidRPr="00AD1B85">
        <w:rPr>
          <w:rFonts w:ascii="Arial" w:hAnsi="Arial" w:cs="Arial"/>
          <w:sz w:val="22"/>
        </w:rPr>
        <w:t>is</w:t>
      </w:r>
      <w:r w:rsidRPr="00AD1B85">
        <w:rPr>
          <w:rFonts w:ascii="Arial" w:hAnsi="Arial" w:cs="Arial"/>
          <w:sz w:val="22"/>
        </w:rPr>
        <w:t xml:space="preserve"> </w:t>
      </w:r>
      <w:r w:rsidR="008201A7" w:rsidRPr="00AD1B85">
        <w:rPr>
          <w:rFonts w:ascii="Arial" w:hAnsi="Arial" w:cs="Arial"/>
          <w:sz w:val="22"/>
        </w:rPr>
        <w:t>includes</w:t>
      </w:r>
      <w:r w:rsidRPr="00AD1B85">
        <w:rPr>
          <w:rFonts w:ascii="Arial" w:hAnsi="Arial" w:cs="Arial"/>
          <w:sz w:val="22"/>
        </w:rPr>
        <w:t xml:space="preserve">: </w:t>
      </w:r>
    </w:p>
    <w:p w14:paraId="33F55533" w14:textId="669711AF" w:rsidR="00122641" w:rsidRPr="00AD1B85" w:rsidRDefault="00122641" w:rsidP="002B79F5">
      <w:pPr>
        <w:pStyle w:val="ListParagraph"/>
        <w:numPr>
          <w:ilvl w:val="0"/>
          <w:numId w:val="5"/>
        </w:numPr>
        <w:spacing w:before="120" w:after="120" w:line="240" w:lineRule="auto"/>
        <w:ind w:left="1134" w:hanging="283"/>
        <w:rPr>
          <w:rFonts w:ascii="Arial" w:hAnsi="Arial" w:cs="Arial"/>
          <w:sz w:val="22"/>
        </w:rPr>
      </w:pPr>
      <w:r w:rsidRPr="00AD1B85">
        <w:rPr>
          <w:rFonts w:ascii="Arial" w:hAnsi="Arial" w:cs="Arial"/>
          <w:sz w:val="22"/>
        </w:rPr>
        <w:t>t</w:t>
      </w:r>
      <w:r w:rsidR="00AB7A53" w:rsidRPr="00AD1B85">
        <w:rPr>
          <w:rFonts w:ascii="Arial" w:hAnsi="Arial" w:cs="Arial"/>
          <w:sz w:val="22"/>
        </w:rPr>
        <w:t>he University's Strategic Plan that sets targets benchmarked against publicly available sector</w:t>
      </w:r>
      <w:r w:rsidRPr="00AD1B85">
        <w:rPr>
          <w:rFonts w:ascii="Arial" w:hAnsi="Arial" w:cs="Arial"/>
          <w:sz w:val="22"/>
        </w:rPr>
        <w:t>-</w:t>
      </w:r>
      <w:r w:rsidR="00AB7A53" w:rsidRPr="00AD1B85">
        <w:rPr>
          <w:rFonts w:ascii="Arial" w:hAnsi="Arial" w:cs="Arial"/>
          <w:sz w:val="22"/>
        </w:rPr>
        <w:t xml:space="preserve">wide performance </w:t>
      </w:r>
      <w:proofErr w:type="gramStart"/>
      <w:r w:rsidR="007F0440" w:rsidRPr="00AD1B85">
        <w:rPr>
          <w:rFonts w:ascii="Arial" w:hAnsi="Arial" w:cs="Arial"/>
          <w:sz w:val="22"/>
        </w:rPr>
        <w:t>data;</w:t>
      </w:r>
      <w:proofErr w:type="gramEnd"/>
    </w:p>
    <w:p w14:paraId="15A09AEC" w14:textId="22575917" w:rsidR="00EB1549" w:rsidRPr="00AD1B85" w:rsidRDefault="00AB7A53" w:rsidP="002B79F5">
      <w:pPr>
        <w:pStyle w:val="ListParagraph"/>
        <w:numPr>
          <w:ilvl w:val="0"/>
          <w:numId w:val="5"/>
        </w:numPr>
        <w:spacing w:before="120" w:after="120" w:line="240" w:lineRule="auto"/>
        <w:ind w:left="1134" w:hanging="283"/>
        <w:rPr>
          <w:rFonts w:ascii="Arial" w:hAnsi="Arial" w:cs="Arial"/>
          <w:sz w:val="22"/>
        </w:rPr>
      </w:pPr>
      <w:r w:rsidRPr="00AD1B85">
        <w:rPr>
          <w:rFonts w:ascii="Arial" w:hAnsi="Arial" w:cs="Arial"/>
          <w:sz w:val="22"/>
        </w:rPr>
        <w:t xml:space="preserve">operational plans and key performance indicators within </w:t>
      </w:r>
      <w:proofErr w:type="gramStart"/>
      <w:r w:rsidR="002E7C62" w:rsidRPr="00AD1B85">
        <w:rPr>
          <w:rFonts w:ascii="Arial" w:hAnsi="Arial" w:cs="Arial"/>
          <w:sz w:val="22"/>
        </w:rPr>
        <w:t>U</w:t>
      </w:r>
      <w:r w:rsidR="00C04CA1" w:rsidRPr="00AD1B85">
        <w:rPr>
          <w:rFonts w:ascii="Arial" w:hAnsi="Arial" w:cs="Arial"/>
          <w:sz w:val="22"/>
        </w:rPr>
        <w:t>niversity</w:t>
      </w:r>
      <w:proofErr w:type="gramEnd"/>
      <w:r w:rsidRPr="00AD1B85">
        <w:rPr>
          <w:rFonts w:ascii="Arial" w:hAnsi="Arial" w:cs="Arial"/>
          <w:sz w:val="22"/>
        </w:rPr>
        <w:t>-wide portfolios of research, equity and learning and teaching, and those of academic groups and administrative divisions. In turn, the strategic and operational plans and targets of each academic group inform the targets and improvement plans of the academic elements (the Schools/Departments)</w:t>
      </w:r>
      <w:r w:rsidR="00C04CA1" w:rsidRPr="00AD1B85">
        <w:rPr>
          <w:rFonts w:ascii="Arial" w:hAnsi="Arial" w:cs="Arial"/>
          <w:sz w:val="22"/>
        </w:rPr>
        <w:t>; and</w:t>
      </w:r>
    </w:p>
    <w:p w14:paraId="199526DF" w14:textId="28066FE2" w:rsidR="007E0EFB" w:rsidRPr="00AD1B85" w:rsidRDefault="00C04CA1" w:rsidP="002B79F5">
      <w:pPr>
        <w:pStyle w:val="ListParagraph"/>
        <w:numPr>
          <w:ilvl w:val="0"/>
          <w:numId w:val="5"/>
        </w:numPr>
        <w:spacing w:before="120" w:after="120" w:line="240" w:lineRule="auto"/>
        <w:ind w:left="1134" w:hanging="283"/>
        <w:rPr>
          <w:rFonts w:ascii="Arial" w:hAnsi="Arial" w:cs="Arial"/>
          <w:sz w:val="22"/>
        </w:rPr>
      </w:pPr>
      <w:r w:rsidRPr="00AD1B85">
        <w:rPr>
          <w:rFonts w:ascii="Arial" w:hAnsi="Arial" w:cs="Arial"/>
          <w:sz w:val="22"/>
        </w:rPr>
        <w:t>strategic program planning that informs new and major ch</w:t>
      </w:r>
      <w:r w:rsidR="00536BAD" w:rsidRPr="00AD1B85">
        <w:rPr>
          <w:rFonts w:ascii="Arial" w:hAnsi="Arial" w:cs="Arial"/>
          <w:sz w:val="22"/>
        </w:rPr>
        <w:t>an</w:t>
      </w:r>
      <w:r w:rsidRPr="00AD1B85">
        <w:rPr>
          <w:rFonts w:ascii="Arial" w:hAnsi="Arial" w:cs="Arial"/>
          <w:sz w:val="22"/>
        </w:rPr>
        <w:t>ges to existing offerings.</w:t>
      </w:r>
    </w:p>
    <w:p w14:paraId="27A7F6CE" w14:textId="03230108" w:rsidR="2F580BB5" w:rsidRPr="00AD1B85" w:rsidRDefault="004B6CA2" w:rsidP="002B79F5">
      <w:pPr>
        <w:spacing w:before="120" w:after="120" w:line="240" w:lineRule="auto"/>
        <w:ind w:left="1134" w:hanging="283"/>
        <w:rPr>
          <w:rFonts w:ascii="Arial" w:eastAsia="Calibri" w:hAnsi="Arial" w:cs="Arial"/>
          <w:sz w:val="22"/>
        </w:rPr>
      </w:pPr>
      <w:r w:rsidRPr="00AD1B85">
        <w:rPr>
          <w:rFonts w:ascii="Arial" w:eastAsia="Calibri" w:hAnsi="Arial" w:cs="Arial"/>
          <w:sz w:val="22"/>
        </w:rPr>
        <w:t xml:space="preserve">The </w:t>
      </w:r>
      <w:r w:rsidR="2F580BB5" w:rsidRPr="00AD1B85">
        <w:rPr>
          <w:rFonts w:ascii="Arial" w:eastAsia="Calibri" w:hAnsi="Arial" w:cs="Arial"/>
          <w:sz w:val="22"/>
        </w:rPr>
        <w:t>Planning and Statistics Portal provides data to inform Plans and targets.</w:t>
      </w:r>
    </w:p>
    <w:p w14:paraId="4780E8E4" w14:textId="218CB951" w:rsidR="00B30716" w:rsidRPr="00AD1B85" w:rsidRDefault="00873DAD" w:rsidP="00B40415">
      <w:pPr>
        <w:spacing w:before="120" w:after="120" w:line="240" w:lineRule="auto"/>
        <w:ind w:left="851"/>
        <w:rPr>
          <w:rFonts w:ascii="Arial" w:hAnsi="Arial" w:cs="Arial"/>
          <w:sz w:val="22"/>
        </w:rPr>
      </w:pPr>
      <w:r w:rsidRPr="00AD1B85">
        <w:rPr>
          <w:rFonts w:ascii="Arial" w:hAnsi="Arial" w:cs="Arial"/>
          <w:sz w:val="22"/>
        </w:rPr>
        <w:t xml:space="preserve">Consideration </w:t>
      </w:r>
      <w:r w:rsidR="0094707C" w:rsidRPr="00AD1B85">
        <w:rPr>
          <w:rFonts w:ascii="Arial" w:hAnsi="Arial" w:cs="Arial"/>
          <w:sz w:val="22"/>
        </w:rPr>
        <w:t xml:space="preserve">of new coursework and higher degree programs is overseen by Program Strategy Board which assesses the strategic alignment, </w:t>
      </w:r>
      <w:r w:rsidR="007F0440" w:rsidRPr="00AD1B85">
        <w:rPr>
          <w:rFonts w:ascii="Arial" w:hAnsi="Arial" w:cs="Arial"/>
          <w:sz w:val="22"/>
        </w:rPr>
        <w:t>competitiveness,</w:t>
      </w:r>
      <w:r w:rsidR="0094707C" w:rsidRPr="00AD1B85">
        <w:rPr>
          <w:rFonts w:ascii="Arial" w:hAnsi="Arial" w:cs="Arial"/>
          <w:sz w:val="22"/>
        </w:rPr>
        <w:t xml:space="preserve"> and financial sustainability of a proposed new program. The quality, academic rigour and regulatory compliance of Griffith’s program suite is overseen by Programs Committee. All new programs and major changes to programs are approved by Programs Committee.</w:t>
      </w:r>
    </w:p>
    <w:p w14:paraId="7885F225" w14:textId="67AA8E16" w:rsidR="005A3F65" w:rsidRPr="00AD1B85" w:rsidRDefault="00B84B4B" w:rsidP="00B40415">
      <w:pPr>
        <w:spacing w:before="120" w:after="120" w:line="240" w:lineRule="auto"/>
        <w:ind w:left="851"/>
        <w:rPr>
          <w:rFonts w:ascii="Arial" w:hAnsi="Arial" w:cs="Arial"/>
          <w:b/>
          <w:sz w:val="22"/>
        </w:rPr>
      </w:pPr>
      <w:r w:rsidRPr="00AD1B85">
        <w:rPr>
          <w:rFonts w:ascii="Arial" w:hAnsi="Arial" w:cs="Arial"/>
          <w:b/>
          <w:sz w:val="22"/>
        </w:rPr>
        <w:t>3.</w:t>
      </w:r>
      <w:r w:rsidR="00EA715D" w:rsidRPr="00AD1B85">
        <w:rPr>
          <w:rFonts w:ascii="Arial" w:hAnsi="Arial" w:cs="Arial"/>
          <w:b/>
          <w:sz w:val="22"/>
        </w:rPr>
        <w:t>2.</w:t>
      </w:r>
      <w:r w:rsidR="005A3F65" w:rsidRPr="00AD1B85">
        <w:rPr>
          <w:rFonts w:ascii="Arial" w:hAnsi="Arial" w:cs="Arial"/>
          <w:b/>
          <w:sz w:val="22"/>
        </w:rPr>
        <w:t>3</w:t>
      </w:r>
      <w:r w:rsidR="00C04CA1" w:rsidRPr="00AD1B85" w:rsidDel="00D17A22">
        <w:rPr>
          <w:rFonts w:ascii="Arial" w:hAnsi="Arial" w:cs="Arial"/>
          <w:b/>
          <w:sz w:val="22"/>
        </w:rPr>
        <w:t xml:space="preserve"> </w:t>
      </w:r>
      <w:r w:rsidR="005A3F65" w:rsidRPr="00AD1B85">
        <w:rPr>
          <w:rFonts w:ascii="Arial" w:hAnsi="Arial" w:cs="Arial"/>
          <w:b/>
          <w:sz w:val="22"/>
        </w:rPr>
        <w:t>Review</w:t>
      </w:r>
      <w:r w:rsidR="0094707C" w:rsidRPr="00AD1B85">
        <w:rPr>
          <w:rFonts w:ascii="Arial" w:hAnsi="Arial" w:cs="Arial"/>
          <w:b/>
          <w:sz w:val="22"/>
        </w:rPr>
        <w:t xml:space="preserve"> &amp; Evaluate</w:t>
      </w:r>
      <w:r w:rsidR="005A3F65" w:rsidRPr="00AD1B85">
        <w:rPr>
          <w:rFonts w:ascii="Arial" w:hAnsi="Arial" w:cs="Arial"/>
          <w:b/>
          <w:sz w:val="22"/>
        </w:rPr>
        <w:t xml:space="preserve"> </w:t>
      </w:r>
    </w:p>
    <w:p w14:paraId="2874350A" w14:textId="65364D6B" w:rsidR="0001231E" w:rsidRPr="00AD1B85" w:rsidRDefault="0001231E" w:rsidP="00B40415">
      <w:pPr>
        <w:spacing w:before="120" w:after="120" w:line="240" w:lineRule="auto"/>
        <w:ind w:left="851"/>
        <w:rPr>
          <w:rFonts w:ascii="Arial" w:hAnsi="Arial" w:cs="Arial"/>
          <w:sz w:val="22"/>
        </w:rPr>
      </w:pPr>
      <w:r w:rsidRPr="00AD1B85">
        <w:rPr>
          <w:rFonts w:ascii="Arial" w:hAnsi="Arial" w:cs="Arial"/>
          <w:sz w:val="22"/>
        </w:rPr>
        <w:t xml:space="preserve">The University makes provision for regular quality assurance of academic activities and supporting functions, including: </w:t>
      </w:r>
      <w:bookmarkStart w:id="8" w:name="_Hlk135149125"/>
    </w:p>
    <w:bookmarkEnd w:id="8"/>
    <w:p w14:paraId="6D86B321" w14:textId="39617C29" w:rsidR="00D36D0D" w:rsidRPr="00AD1B85" w:rsidRDefault="008F19BA" w:rsidP="00CB3F50">
      <w:pPr>
        <w:pStyle w:val="ListParagraph"/>
        <w:numPr>
          <w:ilvl w:val="0"/>
          <w:numId w:val="6"/>
        </w:numPr>
        <w:spacing w:before="120" w:after="120" w:line="240" w:lineRule="auto"/>
        <w:ind w:left="1134" w:hanging="283"/>
        <w:rPr>
          <w:rFonts w:ascii="Arial" w:eastAsia="Calibri" w:hAnsi="Arial" w:cs="Arial"/>
          <w:sz w:val="22"/>
        </w:rPr>
      </w:pPr>
      <w:r w:rsidRPr="00AD1B85">
        <w:rPr>
          <w:rFonts w:ascii="Arial" w:hAnsi="Arial" w:cs="Arial"/>
          <w:b/>
          <w:bCs/>
          <w:sz w:val="22"/>
        </w:rPr>
        <w:t>Assessment</w:t>
      </w:r>
      <w:r w:rsidR="00D63509" w:rsidRPr="00AD1B85">
        <w:rPr>
          <w:rFonts w:ascii="Arial" w:hAnsi="Arial" w:cs="Arial"/>
          <w:b/>
          <w:bCs/>
          <w:sz w:val="22"/>
        </w:rPr>
        <w:t xml:space="preserve"> consensus</w:t>
      </w:r>
      <w:r w:rsidRPr="00AD1B85">
        <w:rPr>
          <w:rFonts w:ascii="Arial" w:hAnsi="Arial" w:cs="Arial"/>
          <w:b/>
          <w:bCs/>
          <w:sz w:val="22"/>
        </w:rPr>
        <w:t xml:space="preserve"> moderation </w:t>
      </w:r>
      <w:r w:rsidRPr="00AD1B85">
        <w:rPr>
          <w:rFonts w:ascii="Arial" w:hAnsi="Arial" w:cs="Arial"/>
          <w:sz w:val="22"/>
        </w:rPr>
        <w:t>–</w:t>
      </w:r>
      <w:r w:rsidR="00D63509" w:rsidRPr="00AD1B85">
        <w:rPr>
          <w:rFonts w:ascii="Arial" w:hAnsi="Arial" w:cs="Arial"/>
          <w:sz w:val="22"/>
        </w:rPr>
        <w:t xml:space="preserve"> ensures maintenance of standards, reliability and validity of assessments</w:t>
      </w:r>
      <w:r w:rsidR="00157F78" w:rsidRPr="00AD1B85">
        <w:rPr>
          <w:rFonts w:ascii="Arial" w:hAnsi="Arial" w:cs="Arial"/>
          <w:sz w:val="22"/>
        </w:rPr>
        <w:t xml:space="preserve"> and contributes to the </w:t>
      </w:r>
      <w:r w:rsidR="00D63509" w:rsidRPr="00AD1B85">
        <w:rPr>
          <w:rFonts w:ascii="Arial" w:hAnsi="Arial" w:cs="Arial"/>
          <w:sz w:val="22"/>
        </w:rPr>
        <w:t>develop</w:t>
      </w:r>
      <w:r w:rsidR="00157F78" w:rsidRPr="00AD1B85">
        <w:rPr>
          <w:rFonts w:ascii="Arial" w:hAnsi="Arial" w:cs="Arial"/>
          <w:sz w:val="22"/>
        </w:rPr>
        <w:t xml:space="preserve">ment of </w:t>
      </w:r>
      <w:r w:rsidR="00D63509" w:rsidRPr="00AD1B85">
        <w:rPr>
          <w:rFonts w:ascii="Arial" w:hAnsi="Arial" w:cs="Arial"/>
          <w:sz w:val="22"/>
        </w:rPr>
        <w:t>a common disciplinary understanding of the course standards that underpin comparability and ensure consistency of marking.</w:t>
      </w:r>
    </w:p>
    <w:p w14:paraId="362F416C" w14:textId="63DC466D" w:rsidR="00536BAD" w:rsidRPr="00AD1B85" w:rsidRDefault="008223D8" w:rsidP="00CB3F50">
      <w:pPr>
        <w:pStyle w:val="ListParagraph"/>
        <w:numPr>
          <w:ilvl w:val="0"/>
          <w:numId w:val="6"/>
        </w:numPr>
        <w:spacing w:before="120" w:after="120" w:line="240" w:lineRule="auto"/>
        <w:ind w:left="1134" w:hanging="283"/>
        <w:rPr>
          <w:rFonts w:ascii="Arial" w:hAnsi="Arial" w:cs="Arial"/>
          <w:sz w:val="22"/>
        </w:rPr>
      </w:pPr>
      <w:r w:rsidRPr="00AD1B85">
        <w:rPr>
          <w:rFonts w:ascii="Arial" w:hAnsi="Arial" w:cs="Arial"/>
          <w:b/>
          <w:bCs/>
          <w:sz w:val="22"/>
        </w:rPr>
        <w:t>External referencing</w:t>
      </w:r>
      <w:r w:rsidR="7D19600D" w:rsidRPr="00AD1B85">
        <w:rPr>
          <w:rFonts w:ascii="Arial" w:hAnsi="Arial" w:cs="Arial"/>
          <w:b/>
          <w:bCs/>
          <w:sz w:val="22"/>
        </w:rPr>
        <w:t xml:space="preserve"> </w:t>
      </w:r>
      <w:r w:rsidR="7D19600D" w:rsidRPr="00AD1B85">
        <w:rPr>
          <w:rFonts w:ascii="Arial" w:hAnsi="Arial" w:cs="Arial"/>
          <w:sz w:val="22"/>
        </w:rPr>
        <w:t>–</w:t>
      </w:r>
      <w:r w:rsidR="6894A80A" w:rsidRPr="00AD1B85">
        <w:rPr>
          <w:rFonts w:ascii="Arial" w:hAnsi="Arial" w:cs="Arial"/>
          <w:sz w:val="22"/>
        </w:rPr>
        <w:t xml:space="preserve"> </w:t>
      </w:r>
      <w:r w:rsidR="7EF988CC" w:rsidRPr="00AD1B85">
        <w:rPr>
          <w:rFonts w:ascii="Arial" w:hAnsi="Arial" w:cs="Arial"/>
          <w:sz w:val="22"/>
        </w:rPr>
        <w:t xml:space="preserve">includes </w:t>
      </w:r>
      <w:r w:rsidR="008E33B9" w:rsidRPr="00AD1B85">
        <w:rPr>
          <w:rFonts w:ascii="Arial" w:hAnsi="Arial" w:cs="Arial"/>
          <w:sz w:val="22"/>
        </w:rPr>
        <w:t>benchmarki</w:t>
      </w:r>
      <w:r w:rsidRPr="00AD1B85">
        <w:rPr>
          <w:rFonts w:ascii="Arial" w:hAnsi="Arial" w:cs="Arial"/>
          <w:sz w:val="22"/>
        </w:rPr>
        <w:t>ng</w:t>
      </w:r>
      <w:r w:rsidR="7FD504D7" w:rsidRPr="00AD1B85">
        <w:rPr>
          <w:rFonts w:ascii="Arial" w:hAnsi="Arial" w:cs="Arial"/>
          <w:sz w:val="22"/>
        </w:rPr>
        <w:t xml:space="preserve"> and</w:t>
      </w:r>
      <w:r w:rsidRPr="00AD1B85">
        <w:rPr>
          <w:rFonts w:ascii="Arial" w:hAnsi="Arial" w:cs="Arial"/>
          <w:sz w:val="22"/>
        </w:rPr>
        <w:t xml:space="preserve"> </w:t>
      </w:r>
      <w:r w:rsidR="4224C25A" w:rsidRPr="00AD1B85">
        <w:rPr>
          <w:rFonts w:ascii="Arial" w:hAnsi="Arial" w:cs="Arial"/>
          <w:sz w:val="22"/>
        </w:rPr>
        <w:t xml:space="preserve">peer review </w:t>
      </w:r>
      <w:r w:rsidRPr="00AD1B85">
        <w:rPr>
          <w:rFonts w:ascii="Arial" w:hAnsi="Arial" w:cs="Arial"/>
          <w:sz w:val="22"/>
        </w:rPr>
        <w:t xml:space="preserve">to compare </w:t>
      </w:r>
      <w:r w:rsidR="513B988F" w:rsidRPr="00AD1B85">
        <w:rPr>
          <w:rFonts w:ascii="Arial" w:hAnsi="Arial" w:cs="Arial"/>
          <w:sz w:val="22"/>
        </w:rPr>
        <w:t xml:space="preserve">Griffith’s </w:t>
      </w:r>
      <w:r w:rsidR="004B00C4" w:rsidRPr="00AD1B85">
        <w:rPr>
          <w:rFonts w:ascii="Arial" w:hAnsi="Arial" w:cs="Arial"/>
          <w:sz w:val="22"/>
        </w:rPr>
        <w:t>academic activities</w:t>
      </w:r>
      <w:r w:rsidR="0A33F060" w:rsidRPr="00AD1B85">
        <w:rPr>
          <w:rFonts w:ascii="Arial" w:hAnsi="Arial" w:cs="Arial"/>
          <w:sz w:val="22"/>
        </w:rPr>
        <w:t xml:space="preserve"> </w:t>
      </w:r>
      <w:r w:rsidR="513B988F" w:rsidRPr="00AD1B85">
        <w:rPr>
          <w:rFonts w:ascii="Arial" w:hAnsi="Arial" w:cs="Arial"/>
          <w:sz w:val="22"/>
        </w:rPr>
        <w:t xml:space="preserve">against equivalent </w:t>
      </w:r>
      <w:r w:rsidR="005E77C3" w:rsidRPr="00AD1B85">
        <w:rPr>
          <w:rFonts w:ascii="Arial" w:hAnsi="Arial" w:cs="Arial"/>
          <w:sz w:val="22"/>
        </w:rPr>
        <w:t>activities</w:t>
      </w:r>
      <w:r w:rsidR="002161C6" w:rsidRPr="00AD1B85">
        <w:rPr>
          <w:rFonts w:ascii="Arial" w:hAnsi="Arial" w:cs="Arial"/>
          <w:sz w:val="22"/>
        </w:rPr>
        <w:t xml:space="preserve"> in the sector</w:t>
      </w:r>
      <w:r w:rsidRPr="00AD1B85">
        <w:rPr>
          <w:rFonts w:ascii="Arial" w:hAnsi="Arial" w:cs="Arial"/>
          <w:sz w:val="22"/>
        </w:rPr>
        <w:t xml:space="preserve"> </w:t>
      </w:r>
      <w:r w:rsidR="513B988F" w:rsidRPr="00AD1B85">
        <w:rPr>
          <w:rFonts w:ascii="Arial" w:hAnsi="Arial" w:cs="Arial"/>
          <w:sz w:val="22"/>
        </w:rPr>
        <w:t xml:space="preserve">to provide </w:t>
      </w:r>
      <w:r w:rsidR="1BE450F4" w:rsidRPr="00AD1B85">
        <w:rPr>
          <w:rFonts w:ascii="Arial" w:hAnsi="Arial" w:cs="Arial"/>
          <w:sz w:val="22"/>
        </w:rPr>
        <w:t xml:space="preserve">evidence-based </w:t>
      </w:r>
      <w:r w:rsidR="513B988F" w:rsidRPr="00AD1B85">
        <w:rPr>
          <w:rFonts w:ascii="Arial" w:hAnsi="Arial" w:cs="Arial"/>
          <w:sz w:val="22"/>
        </w:rPr>
        <w:t>insight</w:t>
      </w:r>
      <w:r w:rsidR="1B9A3001" w:rsidRPr="00AD1B85">
        <w:rPr>
          <w:rFonts w:ascii="Arial" w:hAnsi="Arial" w:cs="Arial"/>
          <w:sz w:val="22"/>
        </w:rPr>
        <w:t xml:space="preserve"> into the University’s standard</w:t>
      </w:r>
      <w:r w:rsidR="78DF638A" w:rsidRPr="00AD1B85">
        <w:rPr>
          <w:rFonts w:ascii="Arial" w:hAnsi="Arial" w:cs="Arial"/>
          <w:sz w:val="22"/>
        </w:rPr>
        <w:t>s</w:t>
      </w:r>
      <w:r w:rsidR="1B9A3001" w:rsidRPr="00AD1B85">
        <w:rPr>
          <w:rFonts w:ascii="Arial" w:hAnsi="Arial" w:cs="Arial"/>
          <w:sz w:val="22"/>
        </w:rPr>
        <w:t xml:space="preserve"> and perfor</w:t>
      </w:r>
      <w:r w:rsidR="004B00C4" w:rsidRPr="00AD1B85">
        <w:rPr>
          <w:rFonts w:ascii="Arial" w:hAnsi="Arial" w:cs="Arial"/>
          <w:sz w:val="22"/>
        </w:rPr>
        <w:t xml:space="preserve">mance. </w:t>
      </w:r>
    </w:p>
    <w:p w14:paraId="43C1A69F" w14:textId="3B423AD2" w:rsidR="00536BAD" w:rsidRPr="00AD1B85" w:rsidRDefault="05C3C88D" w:rsidP="00CB3F50">
      <w:pPr>
        <w:pStyle w:val="ListParagraph"/>
        <w:numPr>
          <w:ilvl w:val="0"/>
          <w:numId w:val="6"/>
        </w:numPr>
        <w:spacing w:before="120" w:after="120" w:line="240" w:lineRule="auto"/>
        <w:ind w:left="1134" w:hanging="283"/>
        <w:rPr>
          <w:rFonts w:ascii="Arial" w:hAnsi="Arial" w:cs="Arial"/>
          <w:sz w:val="22"/>
        </w:rPr>
      </w:pPr>
      <w:r w:rsidRPr="00AD1B85">
        <w:rPr>
          <w:rFonts w:ascii="Arial" w:hAnsi="Arial" w:cs="Arial"/>
          <w:b/>
          <w:bCs/>
          <w:sz w:val="22"/>
        </w:rPr>
        <w:t xml:space="preserve">New </w:t>
      </w:r>
      <w:r w:rsidR="004B1790" w:rsidRPr="00AD1B85">
        <w:rPr>
          <w:rFonts w:ascii="Arial" w:hAnsi="Arial" w:cs="Arial"/>
          <w:b/>
          <w:bCs/>
          <w:sz w:val="22"/>
        </w:rPr>
        <w:t>p</w:t>
      </w:r>
      <w:r w:rsidRPr="00AD1B85">
        <w:rPr>
          <w:rFonts w:ascii="Arial" w:hAnsi="Arial" w:cs="Arial"/>
          <w:b/>
          <w:bCs/>
          <w:sz w:val="22"/>
        </w:rPr>
        <w:t xml:space="preserve">rogram </w:t>
      </w:r>
      <w:r w:rsidR="004B1790" w:rsidRPr="00AD1B85">
        <w:rPr>
          <w:rFonts w:ascii="Arial" w:hAnsi="Arial" w:cs="Arial"/>
          <w:b/>
          <w:bCs/>
          <w:sz w:val="22"/>
        </w:rPr>
        <w:t>r</w:t>
      </w:r>
      <w:r w:rsidRPr="00AD1B85">
        <w:rPr>
          <w:rFonts w:ascii="Arial" w:hAnsi="Arial" w:cs="Arial"/>
          <w:b/>
          <w:bCs/>
          <w:sz w:val="22"/>
        </w:rPr>
        <w:t xml:space="preserve">eview </w:t>
      </w:r>
      <w:r w:rsidRPr="00AD1B85">
        <w:rPr>
          <w:rFonts w:ascii="Arial" w:hAnsi="Arial" w:cs="Arial"/>
          <w:sz w:val="22"/>
        </w:rPr>
        <w:t>– monitoring of the market and financial performance of new coursework</w:t>
      </w:r>
      <w:r w:rsidR="005B0A47" w:rsidRPr="00AD1B85">
        <w:rPr>
          <w:rFonts w:ascii="Arial" w:hAnsi="Arial" w:cs="Arial"/>
          <w:sz w:val="22"/>
        </w:rPr>
        <w:t xml:space="preserve"> and higher degree by research (HDR)</w:t>
      </w:r>
      <w:r w:rsidRPr="00AD1B85">
        <w:rPr>
          <w:rFonts w:ascii="Arial" w:hAnsi="Arial" w:cs="Arial"/>
          <w:sz w:val="22"/>
        </w:rPr>
        <w:t xml:space="preserve"> programs within the first five years of offer. </w:t>
      </w:r>
    </w:p>
    <w:p w14:paraId="7721F920" w14:textId="380DA714" w:rsidR="00536BAD" w:rsidRPr="00AD1B85" w:rsidRDefault="00536BAD" w:rsidP="00CB3F50">
      <w:pPr>
        <w:pStyle w:val="ListParagraph"/>
        <w:numPr>
          <w:ilvl w:val="0"/>
          <w:numId w:val="6"/>
        </w:numPr>
        <w:spacing w:before="120" w:after="120" w:line="240" w:lineRule="auto"/>
        <w:ind w:left="1134" w:hanging="283"/>
        <w:rPr>
          <w:rFonts w:ascii="Arial" w:hAnsi="Arial" w:cs="Arial"/>
          <w:sz w:val="22"/>
        </w:rPr>
      </w:pPr>
      <w:r w:rsidRPr="00AD1B85">
        <w:rPr>
          <w:rFonts w:ascii="Arial" w:hAnsi="Arial" w:cs="Arial"/>
          <w:b/>
          <w:bCs/>
          <w:sz w:val="22"/>
        </w:rPr>
        <w:t xml:space="preserve">Annual </w:t>
      </w:r>
      <w:r w:rsidR="004B1790" w:rsidRPr="00AD1B85">
        <w:rPr>
          <w:rFonts w:ascii="Arial" w:hAnsi="Arial" w:cs="Arial"/>
          <w:b/>
          <w:bCs/>
          <w:sz w:val="22"/>
        </w:rPr>
        <w:t>p</w:t>
      </w:r>
      <w:r w:rsidRPr="00AD1B85">
        <w:rPr>
          <w:rFonts w:ascii="Arial" w:hAnsi="Arial" w:cs="Arial"/>
          <w:b/>
          <w:bCs/>
          <w:sz w:val="22"/>
        </w:rPr>
        <w:t xml:space="preserve">rogram and </w:t>
      </w:r>
      <w:r w:rsidR="004B1790" w:rsidRPr="00AD1B85">
        <w:rPr>
          <w:rFonts w:ascii="Arial" w:hAnsi="Arial" w:cs="Arial"/>
          <w:b/>
          <w:bCs/>
          <w:sz w:val="22"/>
        </w:rPr>
        <w:t>c</w:t>
      </w:r>
      <w:r w:rsidRPr="00AD1B85">
        <w:rPr>
          <w:rFonts w:ascii="Arial" w:hAnsi="Arial" w:cs="Arial"/>
          <w:b/>
          <w:bCs/>
          <w:sz w:val="22"/>
        </w:rPr>
        <w:t xml:space="preserve">ourse </w:t>
      </w:r>
      <w:r w:rsidR="004B1790" w:rsidRPr="00AD1B85">
        <w:rPr>
          <w:rFonts w:ascii="Arial" w:hAnsi="Arial" w:cs="Arial"/>
          <w:b/>
          <w:bCs/>
          <w:sz w:val="22"/>
        </w:rPr>
        <w:t>r</w:t>
      </w:r>
      <w:r w:rsidRPr="00AD1B85">
        <w:rPr>
          <w:rFonts w:ascii="Arial" w:hAnsi="Arial" w:cs="Arial"/>
          <w:b/>
          <w:bCs/>
          <w:sz w:val="22"/>
        </w:rPr>
        <w:t xml:space="preserve">eview </w:t>
      </w:r>
      <w:r w:rsidRPr="00AD1B85">
        <w:rPr>
          <w:rFonts w:ascii="Arial" w:hAnsi="Arial" w:cs="Arial"/>
          <w:sz w:val="22"/>
        </w:rPr>
        <w:t xml:space="preserve">– interim monitoring encompassing the evaluation </w:t>
      </w:r>
      <w:r w:rsidR="009F130E" w:rsidRPr="00AD1B85">
        <w:rPr>
          <w:rFonts w:ascii="Arial" w:hAnsi="Arial" w:cs="Arial"/>
          <w:sz w:val="22"/>
        </w:rPr>
        <w:t xml:space="preserve">of </w:t>
      </w:r>
      <w:r w:rsidRPr="00AD1B85">
        <w:rPr>
          <w:rFonts w:ascii="Arial" w:hAnsi="Arial" w:cs="Arial"/>
          <w:sz w:val="22"/>
        </w:rPr>
        <w:t xml:space="preserve">the design and delivery of programs and courses, which is evidence-based and draws </w:t>
      </w:r>
      <w:r w:rsidRPr="00AD1B85">
        <w:rPr>
          <w:rFonts w:ascii="Arial" w:hAnsi="Arial" w:cs="Arial"/>
          <w:sz w:val="22"/>
        </w:rPr>
        <w:lastRenderedPageBreak/>
        <w:t xml:space="preserve">on staff reflection and student feedback, performance data and </w:t>
      </w:r>
      <w:r w:rsidR="00FF0164" w:rsidRPr="00AD1B85">
        <w:rPr>
          <w:rFonts w:ascii="Arial" w:hAnsi="Arial" w:cs="Arial"/>
          <w:sz w:val="22"/>
        </w:rPr>
        <w:t xml:space="preserve">external </w:t>
      </w:r>
      <w:r w:rsidR="00151066" w:rsidRPr="00AD1B85">
        <w:rPr>
          <w:rFonts w:ascii="Arial" w:hAnsi="Arial" w:cs="Arial"/>
          <w:sz w:val="22"/>
        </w:rPr>
        <w:t>referencing against comparable programs</w:t>
      </w:r>
      <w:r w:rsidRPr="00AD1B85">
        <w:rPr>
          <w:rFonts w:ascii="Arial" w:hAnsi="Arial" w:cs="Arial"/>
          <w:sz w:val="22"/>
        </w:rPr>
        <w:t>.</w:t>
      </w:r>
      <w:r w:rsidR="00B94279" w:rsidRPr="00AD1B85">
        <w:rPr>
          <w:rFonts w:ascii="Arial" w:hAnsi="Arial" w:cs="Arial"/>
          <w:sz w:val="22"/>
        </w:rPr>
        <w:t xml:space="preserve"> Where relevant consideration is given to </w:t>
      </w:r>
      <w:r w:rsidR="00980C5B" w:rsidRPr="00AD1B85">
        <w:rPr>
          <w:rFonts w:ascii="Arial" w:hAnsi="Arial" w:cs="Arial"/>
          <w:sz w:val="22"/>
        </w:rPr>
        <w:t>delivery with other parties</w:t>
      </w:r>
      <w:r w:rsidR="00FA00E4" w:rsidRPr="00AD1B85">
        <w:rPr>
          <w:rFonts w:ascii="Arial" w:hAnsi="Arial" w:cs="Arial"/>
          <w:sz w:val="22"/>
        </w:rPr>
        <w:t xml:space="preserve">. </w:t>
      </w:r>
    </w:p>
    <w:p w14:paraId="269BF410" w14:textId="3CD28B43" w:rsidR="005A3F65" w:rsidRPr="00AD1B85" w:rsidRDefault="1023B3CF" w:rsidP="00CB3F50">
      <w:pPr>
        <w:pStyle w:val="ListParagraph"/>
        <w:numPr>
          <w:ilvl w:val="0"/>
          <w:numId w:val="6"/>
        </w:numPr>
        <w:spacing w:before="120" w:after="120" w:line="240" w:lineRule="auto"/>
        <w:ind w:left="1134" w:hanging="283"/>
        <w:rPr>
          <w:rFonts w:ascii="Arial" w:hAnsi="Arial" w:cs="Arial"/>
          <w:sz w:val="22"/>
        </w:rPr>
      </w:pPr>
      <w:r w:rsidRPr="00AD1B85">
        <w:rPr>
          <w:rFonts w:ascii="Arial" w:hAnsi="Arial" w:cs="Arial"/>
          <w:b/>
          <w:bCs/>
          <w:sz w:val="22"/>
        </w:rPr>
        <w:t>In-depth</w:t>
      </w:r>
      <w:r w:rsidR="5005991C" w:rsidRPr="00AD1B85">
        <w:rPr>
          <w:rFonts w:ascii="Arial" w:hAnsi="Arial" w:cs="Arial"/>
          <w:b/>
          <w:bCs/>
          <w:sz w:val="22"/>
        </w:rPr>
        <w:t xml:space="preserve"> </w:t>
      </w:r>
      <w:r w:rsidR="004B1790" w:rsidRPr="00AD1B85">
        <w:rPr>
          <w:rFonts w:ascii="Arial" w:hAnsi="Arial" w:cs="Arial"/>
          <w:b/>
          <w:bCs/>
          <w:sz w:val="22"/>
        </w:rPr>
        <w:t>p</w:t>
      </w:r>
      <w:r w:rsidR="00536BAD" w:rsidRPr="00AD1B85">
        <w:rPr>
          <w:rFonts w:ascii="Arial" w:hAnsi="Arial" w:cs="Arial"/>
          <w:b/>
          <w:bCs/>
          <w:sz w:val="22"/>
        </w:rPr>
        <w:t xml:space="preserve">rogram </w:t>
      </w:r>
      <w:r w:rsidR="004B1790" w:rsidRPr="00AD1B85">
        <w:rPr>
          <w:rFonts w:ascii="Arial" w:hAnsi="Arial" w:cs="Arial"/>
          <w:b/>
          <w:bCs/>
          <w:sz w:val="22"/>
        </w:rPr>
        <w:t>r</w:t>
      </w:r>
      <w:r w:rsidR="00536BAD" w:rsidRPr="00AD1B85">
        <w:rPr>
          <w:rFonts w:ascii="Arial" w:hAnsi="Arial" w:cs="Arial"/>
          <w:b/>
          <w:bCs/>
          <w:sz w:val="22"/>
        </w:rPr>
        <w:t xml:space="preserve">eview </w:t>
      </w:r>
      <w:r w:rsidR="00536BAD" w:rsidRPr="00AD1B85">
        <w:rPr>
          <w:rFonts w:ascii="Arial" w:hAnsi="Arial" w:cs="Arial"/>
          <w:sz w:val="22"/>
        </w:rPr>
        <w:t xml:space="preserve">– comprehensive review encompassing </w:t>
      </w:r>
      <w:r w:rsidR="00536BAD" w:rsidRPr="00AD1B85">
        <w:rPr>
          <w:rFonts w:ascii="Arial" w:hAnsi="Arial" w:cs="Arial"/>
          <w:sz w:val="22"/>
          <w:lang w:val="en-US"/>
        </w:rPr>
        <w:t xml:space="preserve">overarching academic scrutiny of the design, delivery, </w:t>
      </w:r>
      <w:r w:rsidR="00F12883" w:rsidRPr="00AD1B85">
        <w:rPr>
          <w:rFonts w:ascii="Arial" w:hAnsi="Arial" w:cs="Arial"/>
          <w:sz w:val="22"/>
          <w:lang w:val="en-US"/>
        </w:rPr>
        <w:t>assessment,</w:t>
      </w:r>
      <w:r w:rsidR="00536BAD" w:rsidRPr="00AD1B85">
        <w:rPr>
          <w:rFonts w:ascii="Arial" w:hAnsi="Arial" w:cs="Arial"/>
          <w:sz w:val="22"/>
          <w:lang w:val="en-US"/>
        </w:rPr>
        <w:t xml:space="preserve"> and performance of each program, </w:t>
      </w:r>
      <w:r w:rsidR="004B751F" w:rsidRPr="00AD1B85">
        <w:rPr>
          <w:rFonts w:ascii="Arial" w:hAnsi="Arial" w:cs="Arial"/>
          <w:sz w:val="22"/>
          <w:lang w:val="en-US"/>
        </w:rPr>
        <w:t>which includes</w:t>
      </w:r>
      <w:r w:rsidR="00536BAD" w:rsidRPr="00AD1B85">
        <w:rPr>
          <w:rFonts w:ascii="Arial" w:hAnsi="Arial" w:cs="Arial"/>
          <w:sz w:val="22"/>
          <w:lang w:val="en-US"/>
        </w:rPr>
        <w:t xml:space="preserve"> external referencing. </w:t>
      </w:r>
    </w:p>
    <w:p w14:paraId="6E8EC337" w14:textId="60B66ABE" w:rsidR="02179E95" w:rsidRPr="00AD1B85" w:rsidRDefault="02179E95" w:rsidP="00CB3F50">
      <w:pPr>
        <w:pStyle w:val="ListParagraph"/>
        <w:numPr>
          <w:ilvl w:val="0"/>
          <w:numId w:val="6"/>
        </w:numPr>
        <w:spacing w:before="120" w:after="120" w:line="240" w:lineRule="auto"/>
        <w:ind w:left="1134" w:hanging="283"/>
        <w:rPr>
          <w:rFonts w:ascii="Arial" w:eastAsia="Calibri" w:hAnsi="Arial" w:cs="Arial"/>
          <w:sz w:val="22"/>
        </w:rPr>
      </w:pPr>
      <w:r w:rsidRPr="00AD1B85">
        <w:rPr>
          <w:rFonts w:ascii="Arial" w:eastAsia="Calibri" w:hAnsi="Arial" w:cs="Arial"/>
          <w:b/>
          <w:bCs/>
          <w:sz w:val="22"/>
        </w:rPr>
        <w:t xml:space="preserve">Research performance </w:t>
      </w:r>
      <w:r w:rsidR="00D67ECF" w:rsidRPr="00AD1B85">
        <w:rPr>
          <w:rFonts w:ascii="Arial" w:eastAsia="Calibri" w:hAnsi="Arial" w:cs="Arial"/>
          <w:b/>
          <w:bCs/>
          <w:sz w:val="22"/>
        </w:rPr>
        <w:t>monitoring</w:t>
      </w:r>
      <w:r w:rsidR="00D67ECF" w:rsidRPr="00AD1B85">
        <w:rPr>
          <w:rFonts w:ascii="Arial" w:eastAsia="Calibri" w:hAnsi="Arial" w:cs="Arial"/>
          <w:sz w:val="22"/>
        </w:rPr>
        <w:t xml:space="preserve"> </w:t>
      </w:r>
      <w:r w:rsidR="00D67ECF" w:rsidRPr="00AD1B85">
        <w:rPr>
          <w:rFonts w:ascii="Arial" w:hAnsi="Arial" w:cs="Arial"/>
          <w:sz w:val="22"/>
        </w:rPr>
        <w:t>–</w:t>
      </w:r>
      <w:r w:rsidR="00D67ECF" w:rsidRPr="00AD1B85">
        <w:rPr>
          <w:rFonts w:ascii="Arial" w:eastAsia="Calibri" w:hAnsi="Arial" w:cs="Arial"/>
          <w:sz w:val="22"/>
        </w:rPr>
        <w:t xml:space="preserve"> </w:t>
      </w:r>
      <w:r w:rsidRPr="00AD1B85">
        <w:rPr>
          <w:rFonts w:ascii="Arial" w:eastAsia="Calibri" w:hAnsi="Arial" w:cs="Arial"/>
          <w:sz w:val="22"/>
        </w:rPr>
        <w:t>based on</w:t>
      </w:r>
      <w:r w:rsidR="616A112D" w:rsidRPr="00AD1B85">
        <w:rPr>
          <w:rFonts w:ascii="Arial" w:eastAsia="Calibri" w:hAnsi="Arial" w:cs="Arial"/>
          <w:sz w:val="22"/>
        </w:rPr>
        <w:t xml:space="preserve"> University’s </w:t>
      </w:r>
      <w:r w:rsidRPr="00AD1B85">
        <w:rPr>
          <w:rFonts w:ascii="Arial" w:eastAsia="Calibri" w:hAnsi="Arial" w:cs="Arial"/>
          <w:sz w:val="22"/>
        </w:rPr>
        <w:t>key performance indicators and strategic priorities</w:t>
      </w:r>
      <w:r w:rsidR="705B0856" w:rsidRPr="00AD1B85">
        <w:rPr>
          <w:rFonts w:ascii="Arial" w:eastAsia="Calibri" w:hAnsi="Arial" w:cs="Arial"/>
          <w:sz w:val="22"/>
        </w:rPr>
        <w:t>.</w:t>
      </w:r>
    </w:p>
    <w:p w14:paraId="0C8EAF4A" w14:textId="30457737" w:rsidR="00D41D14" w:rsidRPr="00AD1B85" w:rsidRDefault="00D41D14" w:rsidP="00CB3F50">
      <w:pPr>
        <w:pStyle w:val="ListParagraph"/>
        <w:numPr>
          <w:ilvl w:val="0"/>
          <w:numId w:val="6"/>
        </w:numPr>
        <w:spacing w:before="120" w:after="120" w:line="240" w:lineRule="auto"/>
        <w:ind w:left="1134" w:hanging="283"/>
        <w:rPr>
          <w:rFonts w:ascii="Arial" w:hAnsi="Arial" w:cs="Arial"/>
          <w:sz w:val="22"/>
        </w:rPr>
      </w:pPr>
      <w:r w:rsidRPr="00AD1B85">
        <w:rPr>
          <w:rFonts w:ascii="Arial" w:hAnsi="Arial" w:cs="Arial"/>
          <w:b/>
          <w:bCs/>
          <w:sz w:val="22"/>
        </w:rPr>
        <w:t xml:space="preserve">Annual </w:t>
      </w:r>
      <w:r w:rsidR="00EC62A5" w:rsidRPr="00AD1B85">
        <w:rPr>
          <w:rFonts w:ascii="Arial" w:hAnsi="Arial" w:cs="Arial"/>
          <w:b/>
          <w:bCs/>
          <w:sz w:val="22"/>
        </w:rPr>
        <w:t>R</w:t>
      </w:r>
      <w:r w:rsidRPr="00AD1B85">
        <w:rPr>
          <w:rFonts w:ascii="Arial" w:hAnsi="Arial" w:cs="Arial"/>
          <w:b/>
          <w:bCs/>
          <w:sz w:val="22"/>
        </w:rPr>
        <w:t xml:space="preserve">esearch </w:t>
      </w:r>
      <w:r w:rsidR="00EC62A5" w:rsidRPr="00AD1B85">
        <w:rPr>
          <w:rFonts w:ascii="Arial" w:hAnsi="Arial" w:cs="Arial"/>
          <w:b/>
          <w:bCs/>
          <w:sz w:val="22"/>
        </w:rPr>
        <w:t>C</w:t>
      </w:r>
      <w:r w:rsidR="00B94F6B" w:rsidRPr="00AD1B85">
        <w:rPr>
          <w:rFonts w:ascii="Arial" w:hAnsi="Arial" w:cs="Arial"/>
          <w:b/>
          <w:bCs/>
          <w:sz w:val="22"/>
        </w:rPr>
        <w:t xml:space="preserve">entre and </w:t>
      </w:r>
      <w:r w:rsidR="00EC62A5" w:rsidRPr="00AD1B85">
        <w:rPr>
          <w:rFonts w:ascii="Arial" w:hAnsi="Arial" w:cs="Arial"/>
          <w:b/>
          <w:bCs/>
          <w:sz w:val="22"/>
        </w:rPr>
        <w:t>I</w:t>
      </w:r>
      <w:r w:rsidR="00B94F6B" w:rsidRPr="00AD1B85">
        <w:rPr>
          <w:rFonts w:ascii="Arial" w:hAnsi="Arial" w:cs="Arial"/>
          <w:b/>
          <w:bCs/>
          <w:sz w:val="22"/>
        </w:rPr>
        <w:t xml:space="preserve">nstitute reviews </w:t>
      </w:r>
      <w:r w:rsidR="00B94F6B" w:rsidRPr="00AD1B85">
        <w:rPr>
          <w:rFonts w:ascii="Arial" w:hAnsi="Arial" w:cs="Arial"/>
          <w:sz w:val="22"/>
        </w:rPr>
        <w:t>–</w:t>
      </w:r>
      <w:r w:rsidR="001D58FF" w:rsidRPr="00AD1B85">
        <w:rPr>
          <w:rFonts w:ascii="Arial" w:hAnsi="Arial" w:cs="Arial"/>
          <w:sz w:val="22"/>
        </w:rPr>
        <w:t xml:space="preserve"> monitoring</w:t>
      </w:r>
      <w:r w:rsidR="00BC4362" w:rsidRPr="00AD1B85">
        <w:rPr>
          <w:rFonts w:ascii="Arial" w:hAnsi="Arial" w:cs="Arial"/>
          <w:sz w:val="22"/>
        </w:rPr>
        <w:t xml:space="preserve"> </w:t>
      </w:r>
      <w:r w:rsidR="05E7CDA0" w:rsidRPr="00AD1B85">
        <w:rPr>
          <w:rFonts w:ascii="Arial" w:hAnsi="Arial" w:cs="Arial"/>
          <w:sz w:val="22"/>
        </w:rPr>
        <w:t xml:space="preserve">and funding allocation </w:t>
      </w:r>
      <w:r w:rsidR="00BC4362" w:rsidRPr="00AD1B85">
        <w:rPr>
          <w:rFonts w:ascii="Arial" w:hAnsi="Arial" w:cs="Arial"/>
          <w:sz w:val="22"/>
        </w:rPr>
        <w:t xml:space="preserve">encompassing </w:t>
      </w:r>
      <w:r w:rsidR="00B440D3" w:rsidRPr="00AD1B85">
        <w:rPr>
          <w:rFonts w:ascii="Arial" w:hAnsi="Arial" w:cs="Arial"/>
          <w:sz w:val="22"/>
        </w:rPr>
        <w:t xml:space="preserve">strategy, </w:t>
      </w:r>
      <w:r w:rsidR="007F0440" w:rsidRPr="00AD1B85">
        <w:rPr>
          <w:rFonts w:ascii="Arial" w:hAnsi="Arial" w:cs="Arial"/>
          <w:sz w:val="22"/>
        </w:rPr>
        <w:t>quality,</w:t>
      </w:r>
      <w:r w:rsidR="00B440D3" w:rsidRPr="00AD1B85">
        <w:rPr>
          <w:rFonts w:ascii="Arial" w:hAnsi="Arial" w:cs="Arial"/>
          <w:sz w:val="22"/>
        </w:rPr>
        <w:t xml:space="preserve"> </w:t>
      </w:r>
      <w:r w:rsidR="00D84674" w:rsidRPr="00AD1B85">
        <w:rPr>
          <w:rFonts w:ascii="Arial" w:hAnsi="Arial" w:cs="Arial"/>
          <w:sz w:val="22"/>
        </w:rPr>
        <w:t xml:space="preserve">and </w:t>
      </w:r>
      <w:r w:rsidR="00541DEC" w:rsidRPr="00AD1B85">
        <w:rPr>
          <w:rFonts w:ascii="Arial" w:hAnsi="Arial" w:cs="Arial"/>
          <w:sz w:val="22"/>
        </w:rPr>
        <w:t>performance</w:t>
      </w:r>
      <w:r w:rsidR="00B440D3" w:rsidRPr="00AD1B85">
        <w:rPr>
          <w:rFonts w:ascii="Arial" w:hAnsi="Arial" w:cs="Arial"/>
          <w:sz w:val="22"/>
        </w:rPr>
        <w:t xml:space="preserve">. </w:t>
      </w:r>
    </w:p>
    <w:p w14:paraId="3A701239" w14:textId="10554C9F" w:rsidR="004413BB" w:rsidRPr="00AD1B85" w:rsidRDefault="004413BB" w:rsidP="00CB3F50">
      <w:pPr>
        <w:pStyle w:val="ListParagraph"/>
        <w:numPr>
          <w:ilvl w:val="0"/>
          <w:numId w:val="6"/>
        </w:numPr>
        <w:spacing w:before="120" w:after="120" w:line="240" w:lineRule="auto"/>
        <w:ind w:left="1134" w:hanging="283"/>
        <w:rPr>
          <w:rFonts w:ascii="Arial" w:hAnsi="Arial" w:cs="Arial"/>
          <w:sz w:val="22"/>
        </w:rPr>
      </w:pPr>
      <w:r w:rsidRPr="00AD1B85">
        <w:rPr>
          <w:rFonts w:ascii="Arial" w:hAnsi="Arial" w:cs="Arial"/>
          <w:b/>
          <w:bCs/>
          <w:sz w:val="22"/>
        </w:rPr>
        <w:t xml:space="preserve">Internal </w:t>
      </w:r>
      <w:r w:rsidR="007A796E" w:rsidRPr="00AD1B85">
        <w:rPr>
          <w:rFonts w:ascii="Arial" w:hAnsi="Arial" w:cs="Arial"/>
          <w:b/>
          <w:bCs/>
          <w:sz w:val="22"/>
        </w:rPr>
        <w:t>a</w:t>
      </w:r>
      <w:r w:rsidRPr="00AD1B85">
        <w:rPr>
          <w:rFonts w:ascii="Arial" w:hAnsi="Arial" w:cs="Arial"/>
          <w:b/>
          <w:bCs/>
          <w:sz w:val="22"/>
        </w:rPr>
        <w:t xml:space="preserve">udits </w:t>
      </w:r>
      <w:r w:rsidRPr="00AD1B85">
        <w:rPr>
          <w:rFonts w:ascii="Arial" w:hAnsi="Arial" w:cs="Arial"/>
          <w:sz w:val="22"/>
        </w:rPr>
        <w:t xml:space="preserve">– ad hoc independent internal evaluation of the effectiveness of governance, risk management and internal controls within the University. </w:t>
      </w:r>
    </w:p>
    <w:p w14:paraId="2DF06E79" w14:textId="632EF031" w:rsidR="004413BB" w:rsidRPr="00AD1B85" w:rsidRDefault="004413BB" w:rsidP="00CB3F50">
      <w:pPr>
        <w:pStyle w:val="ListParagraph"/>
        <w:numPr>
          <w:ilvl w:val="0"/>
          <w:numId w:val="6"/>
        </w:numPr>
        <w:spacing w:before="120" w:after="120" w:line="240" w:lineRule="auto"/>
        <w:ind w:left="1134" w:hanging="283"/>
        <w:rPr>
          <w:rFonts w:ascii="Arial" w:hAnsi="Arial" w:cs="Arial"/>
          <w:sz w:val="22"/>
        </w:rPr>
      </w:pPr>
      <w:r w:rsidRPr="00AD1B85">
        <w:rPr>
          <w:rFonts w:ascii="Arial" w:hAnsi="Arial" w:cs="Arial"/>
          <w:b/>
          <w:bCs/>
          <w:sz w:val="22"/>
        </w:rPr>
        <w:t xml:space="preserve">External </w:t>
      </w:r>
      <w:r w:rsidR="007A796E" w:rsidRPr="00AD1B85">
        <w:rPr>
          <w:rFonts w:ascii="Arial" w:hAnsi="Arial" w:cs="Arial"/>
          <w:b/>
          <w:bCs/>
          <w:sz w:val="22"/>
        </w:rPr>
        <w:t>a</w:t>
      </w:r>
      <w:r w:rsidRPr="00AD1B85">
        <w:rPr>
          <w:rFonts w:ascii="Arial" w:hAnsi="Arial" w:cs="Arial"/>
          <w:b/>
          <w:bCs/>
          <w:sz w:val="22"/>
        </w:rPr>
        <w:t xml:space="preserve">udits </w:t>
      </w:r>
      <w:r w:rsidRPr="00AD1B85">
        <w:rPr>
          <w:rFonts w:ascii="Arial" w:hAnsi="Arial" w:cs="Arial"/>
          <w:sz w:val="22"/>
        </w:rPr>
        <w:t>– ad hoc independent external evaluation of the effectiveness of governance, risk management and internal controls within the University.</w:t>
      </w:r>
    </w:p>
    <w:p w14:paraId="64359DE3" w14:textId="35A7A930" w:rsidR="004413BB" w:rsidRPr="00AD1B85" w:rsidRDefault="004413BB" w:rsidP="00CB3F50">
      <w:pPr>
        <w:pStyle w:val="ListParagraph"/>
        <w:numPr>
          <w:ilvl w:val="0"/>
          <w:numId w:val="6"/>
        </w:numPr>
        <w:spacing w:before="120" w:after="120" w:line="240" w:lineRule="auto"/>
        <w:ind w:left="1134" w:hanging="283"/>
        <w:rPr>
          <w:rFonts w:ascii="Arial" w:hAnsi="Arial" w:cs="Arial"/>
          <w:sz w:val="22"/>
        </w:rPr>
      </w:pPr>
      <w:r w:rsidRPr="00AD1B85">
        <w:rPr>
          <w:rFonts w:ascii="Arial" w:hAnsi="Arial" w:cs="Arial"/>
          <w:b/>
          <w:bCs/>
          <w:sz w:val="22"/>
        </w:rPr>
        <w:t xml:space="preserve">Professional </w:t>
      </w:r>
      <w:r w:rsidR="000A73C8" w:rsidRPr="00AD1B85">
        <w:rPr>
          <w:rFonts w:ascii="Arial" w:hAnsi="Arial" w:cs="Arial"/>
          <w:b/>
          <w:bCs/>
          <w:sz w:val="22"/>
        </w:rPr>
        <w:t>a</w:t>
      </w:r>
      <w:r w:rsidRPr="00AD1B85">
        <w:rPr>
          <w:rFonts w:ascii="Arial" w:hAnsi="Arial" w:cs="Arial"/>
          <w:b/>
          <w:bCs/>
          <w:sz w:val="22"/>
        </w:rPr>
        <w:t>ccreditation</w:t>
      </w:r>
      <w:r w:rsidRPr="00AD1B85">
        <w:rPr>
          <w:rFonts w:ascii="Arial" w:hAnsi="Arial" w:cs="Arial"/>
          <w:sz w:val="22"/>
        </w:rPr>
        <w:t xml:space="preserve"> – w</w:t>
      </w:r>
      <w:r w:rsidRPr="00AD1B85">
        <w:rPr>
          <w:rFonts w:ascii="Arial" w:hAnsi="Arial" w:cs="Arial"/>
          <w:color w:val="000000" w:themeColor="text1"/>
          <w:sz w:val="22"/>
        </w:rPr>
        <w:t xml:space="preserve">here required, quality assurance activities are undertaken by Academic Groups to meet professional accreditation and recognition requirements. </w:t>
      </w:r>
    </w:p>
    <w:p w14:paraId="799C8729" w14:textId="0BC815C0" w:rsidR="00216DFF" w:rsidRPr="00AD1B85" w:rsidRDefault="00216DFF" w:rsidP="00CB3F50">
      <w:pPr>
        <w:pStyle w:val="ListParagraph"/>
        <w:numPr>
          <w:ilvl w:val="0"/>
          <w:numId w:val="6"/>
        </w:numPr>
        <w:spacing w:before="120" w:after="120" w:line="240" w:lineRule="auto"/>
        <w:ind w:left="1134" w:hanging="283"/>
        <w:rPr>
          <w:rFonts w:ascii="Arial" w:hAnsi="Arial" w:cs="Arial"/>
          <w:sz w:val="22"/>
        </w:rPr>
      </w:pPr>
      <w:r w:rsidRPr="00AD1B85">
        <w:rPr>
          <w:rFonts w:ascii="Arial" w:hAnsi="Arial" w:cs="Arial"/>
          <w:b/>
          <w:bCs/>
          <w:sz w:val="22"/>
        </w:rPr>
        <w:t xml:space="preserve">University </w:t>
      </w:r>
      <w:r w:rsidR="00B506FC" w:rsidRPr="00AD1B85">
        <w:rPr>
          <w:rFonts w:ascii="Arial" w:hAnsi="Arial" w:cs="Arial"/>
          <w:b/>
          <w:bCs/>
          <w:sz w:val="22"/>
        </w:rPr>
        <w:t>org</w:t>
      </w:r>
      <w:r w:rsidR="00781B58" w:rsidRPr="00AD1B85">
        <w:rPr>
          <w:rFonts w:ascii="Arial" w:hAnsi="Arial" w:cs="Arial"/>
          <w:b/>
          <w:bCs/>
          <w:sz w:val="22"/>
        </w:rPr>
        <w:t xml:space="preserve">anisational </w:t>
      </w:r>
      <w:r w:rsidR="000A0D52" w:rsidRPr="00AD1B85">
        <w:rPr>
          <w:rFonts w:ascii="Arial" w:hAnsi="Arial" w:cs="Arial"/>
          <w:b/>
          <w:bCs/>
          <w:sz w:val="22"/>
        </w:rPr>
        <w:t>r</w:t>
      </w:r>
      <w:r w:rsidRPr="00AD1B85">
        <w:rPr>
          <w:rFonts w:ascii="Arial" w:hAnsi="Arial" w:cs="Arial"/>
          <w:b/>
          <w:bCs/>
          <w:sz w:val="22"/>
        </w:rPr>
        <w:t xml:space="preserve">eviews </w:t>
      </w:r>
      <w:r w:rsidRPr="00AD1B85">
        <w:rPr>
          <w:rFonts w:ascii="Arial" w:hAnsi="Arial" w:cs="Arial"/>
          <w:sz w:val="22"/>
        </w:rPr>
        <w:t xml:space="preserve">– periodic comprehensive reviews that are externally referenced, encompassing academic and administrative elements and thematic elements, ensuring adherence with relevant legislation, alignment with the University’s values and contribution to the achievement of its strategic goals. </w:t>
      </w:r>
    </w:p>
    <w:p w14:paraId="61F99D75" w14:textId="327C4293" w:rsidR="00F12883" w:rsidRPr="00AD1B85" w:rsidRDefault="004413BB" w:rsidP="00CB3F50">
      <w:pPr>
        <w:pStyle w:val="ListParagraph"/>
        <w:numPr>
          <w:ilvl w:val="0"/>
          <w:numId w:val="6"/>
        </w:numPr>
        <w:spacing w:before="120" w:after="120" w:line="240" w:lineRule="auto"/>
        <w:ind w:left="1134" w:hanging="283"/>
        <w:rPr>
          <w:rFonts w:ascii="Arial" w:hAnsi="Arial" w:cs="Arial"/>
          <w:sz w:val="22"/>
        </w:rPr>
      </w:pPr>
      <w:r w:rsidRPr="00AD1B85">
        <w:rPr>
          <w:rFonts w:ascii="Arial" w:hAnsi="Arial" w:cs="Arial"/>
          <w:b/>
          <w:bCs/>
          <w:sz w:val="22"/>
        </w:rPr>
        <w:t xml:space="preserve">HDR </w:t>
      </w:r>
      <w:r w:rsidR="009D5E3A" w:rsidRPr="00AD1B85">
        <w:rPr>
          <w:rFonts w:ascii="Arial" w:hAnsi="Arial" w:cs="Arial"/>
          <w:b/>
          <w:bCs/>
          <w:sz w:val="22"/>
        </w:rPr>
        <w:t xml:space="preserve">supervisor </w:t>
      </w:r>
      <w:r w:rsidR="1D1B26E8" w:rsidRPr="00AD1B85">
        <w:rPr>
          <w:rFonts w:ascii="Arial" w:hAnsi="Arial" w:cs="Arial"/>
          <w:b/>
          <w:bCs/>
          <w:sz w:val="22"/>
        </w:rPr>
        <w:t xml:space="preserve">accreditation and </w:t>
      </w:r>
      <w:r w:rsidR="0003464D" w:rsidRPr="00AD1B85">
        <w:rPr>
          <w:rFonts w:ascii="Arial" w:hAnsi="Arial" w:cs="Arial"/>
          <w:b/>
          <w:bCs/>
          <w:sz w:val="22"/>
        </w:rPr>
        <w:t>registration</w:t>
      </w:r>
      <w:r w:rsidR="009D5E3A" w:rsidRPr="00AD1B85">
        <w:rPr>
          <w:rFonts w:ascii="Arial" w:hAnsi="Arial" w:cs="Arial"/>
          <w:b/>
          <w:bCs/>
          <w:sz w:val="22"/>
        </w:rPr>
        <w:t xml:space="preserve"> </w:t>
      </w:r>
      <w:r w:rsidRPr="00AD1B85">
        <w:rPr>
          <w:rFonts w:ascii="Arial" w:hAnsi="Arial" w:cs="Arial"/>
          <w:sz w:val="22"/>
        </w:rPr>
        <w:t xml:space="preserve">– </w:t>
      </w:r>
      <w:r w:rsidR="001713A5" w:rsidRPr="00AD1B85">
        <w:rPr>
          <w:rFonts w:ascii="Arial" w:hAnsi="Arial" w:cs="Arial"/>
          <w:sz w:val="22"/>
        </w:rPr>
        <w:t xml:space="preserve">sector bench-marked, regulatory aligned </w:t>
      </w:r>
      <w:r w:rsidR="00BB23C2" w:rsidRPr="00AD1B85">
        <w:rPr>
          <w:rFonts w:ascii="Arial" w:hAnsi="Arial" w:cs="Arial"/>
          <w:sz w:val="22"/>
        </w:rPr>
        <w:t>requirements</w:t>
      </w:r>
      <w:r w:rsidR="00FC184D" w:rsidRPr="00AD1B85">
        <w:rPr>
          <w:rFonts w:ascii="Arial" w:hAnsi="Arial" w:cs="Arial"/>
          <w:sz w:val="22"/>
        </w:rPr>
        <w:t xml:space="preserve"> that must be met by HDR supervisors. </w:t>
      </w:r>
      <w:r w:rsidRPr="00AD1B85">
        <w:rPr>
          <w:rFonts w:ascii="Arial" w:hAnsi="Arial" w:cs="Arial"/>
          <w:sz w:val="22"/>
        </w:rPr>
        <w:t xml:space="preserve"> </w:t>
      </w:r>
    </w:p>
    <w:p w14:paraId="4D57EFFD" w14:textId="2200DEE7" w:rsidR="00051D85" w:rsidRPr="00AD1B85" w:rsidRDefault="00051D85" w:rsidP="00CB3F50">
      <w:pPr>
        <w:pStyle w:val="ListParagraph"/>
        <w:numPr>
          <w:ilvl w:val="0"/>
          <w:numId w:val="6"/>
        </w:numPr>
        <w:spacing w:before="120" w:after="120" w:line="240" w:lineRule="auto"/>
        <w:ind w:left="1134" w:hanging="283"/>
        <w:rPr>
          <w:rFonts w:ascii="Arial" w:hAnsi="Arial" w:cs="Arial"/>
          <w:sz w:val="22"/>
        </w:rPr>
      </w:pPr>
      <w:r w:rsidRPr="00AD1B85">
        <w:rPr>
          <w:rFonts w:ascii="Arial" w:hAnsi="Arial" w:cs="Arial"/>
          <w:b/>
          <w:bCs/>
          <w:sz w:val="22"/>
        </w:rPr>
        <w:t>Research ethics</w:t>
      </w:r>
      <w:r w:rsidRPr="00AD1B85">
        <w:rPr>
          <w:rFonts w:ascii="Arial" w:hAnsi="Arial" w:cs="Arial"/>
          <w:sz w:val="22"/>
        </w:rPr>
        <w:t xml:space="preserve"> </w:t>
      </w:r>
      <w:r w:rsidR="00351909" w:rsidRPr="00AD1B85">
        <w:rPr>
          <w:rFonts w:ascii="Arial" w:hAnsi="Arial" w:cs="Arial"/>
          <w:sz w:val="22"/>
        </w:rPr>
        <w:t xml:space="preserve">– </w:t>
      </w:r>
      <w:r w:rsidR="00A34D4A" w:rsidRPr="00AD1B85">
        <w:rPr>
          <w:rFonts w:ascii="Arial" w:hAnsi="Arial" w:cs="Arial"/>
          <w:sz w:val="22"/>
        </w:rPr>
        <w:t xml:space="preserve">processes to educate and monitor </w:t>
      </w:r>
      <w:r w:rsidR="009A1410" w:rsidRPr="00AD1B85">
        <w:rPr>
          <w:rFonts w:ascii="Arial" w:hAnsi="Arial" w:cs="Arial"/>
          <w:sz w:val="22"/>
        </w:rPr>
        <w:t xml:space="preserve">that </w:t>
      </w:r>
      <w:r w:rsidR="002658EB" w:rsidRPr="00AD1B85">
        <w:rPr>
          <w:rFonts w:ascii="Arial" w:hAnsi="Arial" w:cs="Arial"/>
          <w:sz w:val="22"/>
        </w:rPr>
        <w:t xml:space="preserve">research </w:t>
      </w:r>
      <w:r w:rsidR="00B05A39" w:rsidRPr="00AD1B85">
        <w:rPr>
          <w:rFonts w:ascii="Arial" w:hAnsi="Arial" w:cs="Arial"/>
          <w:sz w:val="22"/>
        </w:rPr>
        <w:t xml:space="preserve">conducted by Griffith staff, students and partners </w:t>
      </w:r>
      <w:r w:rsidR="0011394F" w:rsidRPr="00AD1B85">
        <w:rPr>
          <w:rFonts w:ascii="Arial" w:hAnsi="Arial" w:cs="Arial"/>
          <w:sz w:val="22"/>
        </w:rPr>
        <w:t xml:space="preserve">meets </w:t>
      </w:r>
      <w:r w:rsidR="00B05A39" w:rsidRPr="00AD1B85">
        <w:rPr>
          <w:rFonts w:ascii="Arial" w:hAnsi="Arial" w:cs="Arial"/>
          <w:sz w:val="22"/>
        </w:rPr>
        <w:t>high ethical standard</w:t>
      </w:r>
      <w:r w:rsidR="0011394F" w:rsidRPr="00AD1B85">
        <w:rPr>
          <w:rFonts w:ascii="Arial" w:hAnsi="Arial" w:cs="Arial"/>
          <w:sz w:val="22"/>
        </w:rPr>
        <w:t>s</w:t>
      </w:r>
      <w:r w:rsidR="00B05A39" w:rsidRPr="00AD1B85">
        <w:rPr>
          <w:rFonts w:ascii="Arial" w:hAnsi="Arial" w:cs="Arial"/>
          <w:sz w:val="22"/>
        </w:rPr>
        <w:t xml:space="preserve">. </w:t>
      </w:r>
    </w:p>
    <w:p w14:paraId="1A658166" w14:textId="394E7A9A" w:rsidR="007C0BC8" w:rsidRPr="00AD1B85" w:rsidRDefault="7CAB335A" w:rsidP="00CB3F50">
      <w:pPr>
        <w:pStyle w:val="ListParagraph"/>
        <w:numPr>
          <w:ilvl w:val="0"/>
          <w:numId w:val="6"/>
        </w:numPr>
        <w:spacing w:before="120" w:after="120" w:line="240" w:lineRule="auto"/>
        <w:ind w:left="1134" w:hanging="283"/>
        <w:rPr>
          <w:rFonts w:ascii="Arial" w:eastAsia="Calibri" w:hAnsi="Arial" w:cs="Arial"/>
          <w:sz w:val="22"/>
        </w:rPr>
      </w:pPr>
      <w:r w:rsidRPr="00AD1B85">
        <w:rPr>
          <w:rFonts w:ascii="Arial" w:hAnsi="Arial" w:cs="Arial"/>
          <w:b/>
          <w:bCs/>
          <w:sz w:val="22"/>
        </w:rPr>
        <w:t xml:space="preserve">External research </w:t>
      </w:r>
      <w:r w:rsidR="4DA3405D" w:rsidRPr="00AD1B85">
        <w:rPr>
          <w:rFonts w:ascii="Arial" w:hAnsi="Arial" w:cs="Arial"/>
          <w:b/>
          <w:bCs/>
          <w:sz w:val="22"/>
        </w:rPr>
        <w:t xml:space="preserve">income </w:t>
      </w:r>
      <w:r w:rsidR="004413BB" w:rsidRPr="00AD1B85">
        <w:rPr>
          <w:rFonts w:ascii="Arial" w:hAnsi="Arial" w:cs="Arial"/>
          <w:b/>
          <w:bCs/>
          <w:sz w:val="22"/>
        </w:rPr>
        <w:t xml:space="preserve">activities </w:t>
      </w:r>
      <w:r w:rsidR="004413BB" w:rsidRPr="00AD1B85">
        <w:rPr>
          <w:rFonts w:ascii="Arial" w:hAnsi="Arial" w:cs="Arial"/>
          <w:sz w:val="22"/>
        </w:rPr>
        <w:t xml:space="preserve">– </w:t>
      </w:r>
      <w:r w:rsidR="00522F7B" w:rsidRPr="00AD1B85">
        <w:rPr>
          <w:rFonts w:ascii="Arial" w:hAnsi="Arial" w:cs="Arial"/>
          <w:sz w:val="22"/>
        </w:rPr>
        <w:t xml:space="preserve">highly competitive processes </w:t>
      </w:r>
      <w:r w:rsidR="00C904EF" w:rsidRPr="00AD1B85">
        <w:rPr>
          <w:rFonts w:ascii="Arial" w:hAnsi="Arial" w:cs="Arial"/>
          <w:sz w:val="22"/>
        </w:rPr>
        <w:t xml:space="preserve">that </w:t>
      </w:r>
      <w:r w:rsidR="00AC1AA3" w:rsidRPr="00AD1B85">
        <w:rPr>
          <w:rFonts w:ascii="Arial" w:hAnsi="Arial" w:cs="Arial"/>
          <w:sz w:val="22"/>
        </w:rPr>
        <w:t>include</w:t>
      </w:r>
      <w:r w:rsidR="00C904EF" w:rsidRPr="00AD1B85">
        <w:rPr>
          <w:rFonts w:ascii="Arial" w:hAnsi="Arial" w:cs="Arial"/>
          <w:sz w:val="22"/>
        </w:rPr>
        <w:t xml:space="preserve"> quality ass</w:t>
      </w:r>
      <w:r w:rsidR="00EC6457" w:rsidRPr="00AD1B85">
        <w:rPr>
          <w:rFonts w:ascii="Arial" w:hAnsi="Arial" w:cs="Arial"/>
          <w:sz w:val="22"/>
        </w:rPr>
        <w:t xml:space="preserve">urance </w:t>
      </w:r>
      <w:r w:rsidR="00536506" w:rsidRPr="00AD1B85">
        <w:rPr>
          <w:rFonts w:ascii="Arial" w:hAnsi="Arial" w:cs="Arial"/>
          <w:sz w:val="22"/>
        </w:rPr>
        <w:t xml:space="preserve">as part of </w:t>
      </w:r>
      <w:r w:rsidR="008E52F4" w:rsidRPr="00AD1B85">
        <w:rPr>
          <w:rFonts w:ascii="Arial" w:hAnsi="Arial" w:cs="Arial"/>
          <w:sz w:val="22"/>
        </w:rPr>
        <w:t>grants, contract research, and consultancy</w:t>
      </w:r>
      <w:r w:rsidR="00A705D7" w:rsidRPr="00AD1B85">
        <w:rPr>
          <w:rFonts w:ascii="Arial" w:hAnsi="Arial" w:cs="Arial"/>
          <w:sz w:val="22"/>
        </w:rPr>
        <w:t xml:space="preserve"> submissions and management</w:t>
      </w:r>
      <w:r w:rsidR="008E52F4" w:rsidRPr="00AD1B85">
        <w:rPr>
          <w:rFonts w:ascii="Arial" w:hAnsi="Arial" w:cs="Arial"/>
          <w:sz w:val="22"/>
        </w:rPr>
        <w:t>.</w:t>
      </w:r>
    </w:p>
    <w:p w14:paraId="1D066AD5" w14:textId="5C1485FF" w:rsidR="00261C91" w:rsidRPr="00AD1B85" w:rsidRDefault="00C1119C" w:rsidP="00B40415">
      <w:pPr>
        <w:spacing w:before="120" w:after="120" w:line="240" w:lineRule="auto"/>
        <w:ind w:left="851"/>
        <w:rPr>
          <w:rFonts w:ascii="Arial" w:hAnsi="Arial" w:cs="Arial"/>
          <w:sz w:val="22"/>
        </w:rPr>
      </w:pPr>
      <w:r w:rsidRPr="00AD1B85">
        <w:rPr>
          <w:rFonts w:ascii="Arial" w:hAnsi="Arial" w:cs="Arial"/>
          <w:sz w:val="22"/>
        </w:rPr>
        <w:t>These q</w:t>
      </w:r>
      <w:r w:rsidR="002F2F6B" w:rsidRPr="00AD1B85">
        <w:rPr>
          <w:rFonts w:ascii="Arial" w:hAnsi="Arial" w:cs="Arial"/>
          <w:sz w:val="22"/>
        </w:rPr>
        <w:t xml:space="preserve">uality assurance activities are </w:t>
      </w:r>
      <w:r w:rsidR="00261C91" w:rsidRPr="00AD1B85">
        <w:rPr>
          <w:rFonts w:ascii="Arial" w:hAnsi="Arial" w:cs="Arial"/>
          <w:sz w:val="22"/>
        </w:rPr>
        <w:t xml:space="preserve">informed by: </w:t>
      </w:r>
    </w:p>
    <w:p w14:paraId="26F8D28B" w14:textId="77777777" w:rsidR="00606C84" w:rsidRPr="00AD1B85" w:rsidRDefault="00606C84" w:rsidP="00CB3F50">
      <w:pPr>
        <w:pStyle w:val="ListParagraph"/>
        <w:numPr>
          <w:ilvl w:val="0"/>
          <w:numId w:val="7"/>
        </w:numPr>
        <w:spacing w:before="120" w:after="120" w:line="240" w:lineRule="auto"/>
        <w:ind w:left="1134" w:hanging="283"/>
        <w:rPr>
          <w:rFonts w:ascii="Arial" w:hAnsi="Arial" w:cs="Arial"/>
          <w:sz w:val="22"/>
        </w:rPr>
      </w:pPr>
      <w:r w:rsidRPr="00AD1B85">
        <w:rPr>
          <w:rFonts w:ascii="Arial" w:hAnsi="Arial" w:cs="Arial"/>
          <w:b/>
          <w:bCs/>
          <w:sz w:val="22"/>
        </w:rPr>
        <w:t>Planning and statistics</w:t>
      </w:r>
      <w:r w:rsidRPr="00AD1B85">
        <w:rPr>
          <w:rFonts w:ascii="Arial" w:hAnsi="Arial" w:cs="Arial"/>
          <w:sz w:val="22"/>
        </w:rPr>
        <w:t xml:space="preserve"> – reports to enable review and evaluation activities.</w:t>
      </w:r>
    </w:p>
    <w:p w14:paraId="3F24EDA4" w14:textId="0E051EA3" w:rsidR="004B1790" w:rsidRPr="00AD1B85" w:rsidRDefault="00606C84" w:rsidP="00CB3F50">
      <w:pPr>
        <w:pStyle w:val="ListParagraph"/>
        <w:numPr>
          <w:ilvl w:val="0"/>
          <w:numId w:val="7"/>
        </w:numPr>
        <w:spacing w:before="120" w:after="120" w:line="240" w:lineRule="auto"/>
        <w:ind w:left="1134" w:hanging="283"/>
        <w:rPr>
          <w:rFonts w:ascii="Arial" w:hAnsi="Arial" w:cs="Arial"/>
          <w:sz w:val="22"/>
        </w:rPr>
      </w:pPr>
      <w:r w:rsidRPr="00AD1B85">
        <w:rPr>
          <w:rFonts w:ascii="Arial" w:hAnsi="Arial" w:cs="Arial"/>
          <w:b/>
          <w:bCs/>
          <w:sz w:val="22"/>
        </w:rPr>
        <w:t xml:space="preserve">Student feedback </w:t>
      </w:r>
      <w:bookmarkStart w:id="9" w:name="_Hlk136352077"/>
      <w:r w:rsidRPr="00AD1B85">
        <w:rPr>
          <w:rFonts w:ascii="Arial" w:hAnsi="Arial" w:cs="Arial"/>
          <w:sz w:val="22"/>
        </w:rPr>
        <w:t xml:space="preserve">– students are provided with opportunities to give feedback on their experience through scheduled surveys </w:t>
      </w:r>
      <w:bookmarkEnd w:id="9"/>
      <w:r w:rsidRPr="00AD1B85">
        <w:rPr>
          <w:rFonts w:ascii="Arial" w:hAnsi="Arial" w:cs="Arial"/>
          <w:sz w:val="22"/>
        </w:rPr>
        <w:t xml:space="preserve">on courses and teaching, </w:t>
      </w:r>
      <w:r w:rsidR="00FA1E4B" w:rsidRPr="00AD1B85">
        <w:rPr>
          <w:rFonts w:ascii="Arial" w:hAnsi="Arial" w:cs="Arial"/>
          <w:sz w:val="22"/>
        </w:rPr>
        <w:t xml:space="preserve">HDR candidate experience, </w:t>
      </w:r>
      <w:r w:rsidRPr="00AD1B85">
        <w:rPr>
          <w:rFonts w:ascii="Arial" w:hAnsi="Arial" w:cs="Arial"/>
          <w:sz w:val="22"/>
        </w:rPr>
        <w:t xml:space="preserve">and ad hoc student engagement surveys and activities on campus. </w:t>
      </w:r>
    </w:p>
    <w:p w14:paraId="1100B006" w14:textId="443C85D3" w:rsidR="002B5AD8" w:rsidRPr="00AD1B85" w:rsidRDefault="006E62BF" w:rsidP="00CB3F50">
      <w:pPr>
        <w:pStyle w:val="ListParagraph"/>
        <w:numPr>
          <w:ilvl w:val="0"/>
          <w:numId w:val="7"/>
        </w:numPr>
        <w:spacing w:before="120" w:after="120" w:line="240" w:lineRule="auto"/>
        <w:ind w:left="1134" w:hanging="283"/>
        <w:rPr>
          <w:rFonts w:ascii="Arial" w:hAnsi="Arial" w:cs="Arial"/>
          <w:sz w:val="22"/>
        </w:rPr>
      </w:pPr>
      <w:r w:rsidRPr="00AD1B85">
        <w:rPr>
          <w:rFonts w:ascii="Arial" w:hAnsi="Arial" w:cs="Arial"/>
          <w:b/>
          <w:bCs/>
          <w:sz w:val="22"/>
        </w:rPr>
        <w:t xml:space="preserve">Stakeholder feedback </w:t>
      </w:r>
      <w:r w:rsidRPr="00AD1B85">
        <w:rPr>
          <w:rFonts w:ascii="Arial" w:hAnsi="Arial" w:cs="Arial"/>
          <w:sz w:val="22"/>
        </w:rPr>
        <w:t xml:space="preserve">– </w:t>
      </w:r>
      <w:r w:rsidR="00BF262D" w:rsidRPr="00AD1B85">
        <w:rPr>
          <w:rFonts w:ascii="Arial" w:hAnsi="Arial" w:cs="Arial"/>
          <w:sz w:val="22"/>
        </w:rPr>
        <w:t xml:space="preserve">University or </w:t>
      </w:r>
      <w:r w:rsidR="008E55EA" w:rsidRPr="00AD1B85">
        <w:rPr>
          <w:rFonts w:ascii="Arial" w:hAnsi="Arial" w:cs="Arial"/>
          <w:sz w:val="22"/>
        </w:rPr>
        <w:t>sector-initiated</w:t>
      </w:r>
      <w:r w:rsidR="00BF262D" w:rsidRPr="00AD1B85">
        <w:rPr>
          <w:rFonts w:ascii="Arial" w:hAnsi="Arial" w:cs="Arial"/>
          <w:sz w:val="22"/>
        </w:rPr>
        <w:t xml:space="preserve"> </w:t>
      </w:r>
      <w:r w:rsidRPr="00AD1B85">
        <w:rPr>
          <w:rFonts w:ascii="Arial" w:hAnsi="Arial" w:cs="Arial"/>
          <w:sz w:val="22"/>
        </w:rPr>
        <w:t xml:space="preserve">stakeholder feedback </w:t>
      </w:r>
      <w:r w:rsidR="00F17E8B" w:rsidRPr="00AD1B85">
        <w:rPr>
          <w:rFonts w:ascii="Arial" w:hAnsi="Arial" w:cs="Arial"/>
          <w:sz w:val="22"/>
        </w:rPr>
        <w:t xml:space="preserve">surveys </w:t>
      </w:r>
      <w:r w:rsidR="008E55EA" w:rsidRPr="00AD1B85">
        <w:rPr>
          <w:rFonts w:ascii="Arial" w:hAnsi="Arial" w:cs="Arial"/>
          <w:sz w:val="22"/>
        </w:rPr>
        <w:t>that include insights on</w:t>
      </w:r>
      <w:r w:rsidR="00BF262D" w:rsidRPr="00AD1B85">
        <w:rPr>
          <w:rFonts w:ascii="Arial" w:hAnsi="Arial" w:cs="Arial"/>
          <w:sz w:val="22"/>
        </w:rPr>
        <w:t xml:space="preserve"> graduate outcomes,</w:t>
      </w:r>
      <w:r w:rsidR="00306C05" w:rsidRPr="00AD1B85">
        <w:rPr>
          <w:rFonts w:ascii="Arial" w:hAnsi="Arial" w:cs="Arial"/>
          <w:sz w:val="22"/>
        </w:rPr>
        <w:t xml:space="preserve"> student experience, </w:t>
      </w:r>
      <w:r w:rsidR="009B2C96" w:rsidRPr="00AD1B85">
        <w:rPr>
          <w:rFonts w:ascii="Arial" w:hAnsi="Arial" w:cs="Arial"/>
          <w:sz w:val="22"/>
        </w:rPr>
        <w:t>industry relevance</w:t>
      </w:r>
      <w:r w:rsidR="008E55EA" w:rsidRPr="00AD1B85">
        <w:rPr>
          <w:rFonts w:ascii="Arial" w:hAnsi="Arial" w:cs="Arial"/>
          <w:sz w:val="22"/>
        </w:rPr>
        <w:t>.</w:t>
      </w:r>
    </w:p>
    <w:p w14:paraId="762A53ED" w14:textId="74356307" w:rsidR="00261C91" w:rsidRPr="00AD1B85" w:rsidRDefault="002F2F6B" w:rsidP="00CB3F50">
      <w:pPr>
        <w:pStyle w:val="ListParagraph"/>
        <w:numPr>
          <w:ilvl w:val="0"/>
          <w:numId w:val="7"/>
        </w:numPr>
        <w:spacing w:before="120" w:after="120" w:line="240" w:lineRule="auto"/>
        <w:ind w:left="1134" w:hanging="283"/>
        <w:rPr>
          <w:rFonts w:ascii="Arial" w:hAnsi="Arial" w:cs="Arial"/>
          <w:sz w:val="22"/>
        </w:rPr>
      </w:pPr>
      <w:r w:rsidRPr="00AD1B85">
        <w:rPr>
          <w:rFonts w:ascii="Arial" w:hAnsi="Arial" w:cs="Arial"/>
          <w:b/>
          <w:bCs/>
          <w:sz w:val="22"/>
        </w:rPr>
        <w:t xml:space="preserve">Industry advice </w:t>
      </w:r>
      <w:r w:rsidRPr="00AD1B85">
        <w:rPr>
          <w:rFonts w:ascii="Arial" w:hAnsi="Arial" w:cs="Arial"/>
          <w:sz w:val="22"/>
        </w:rPr>
        <w:t xml:space="preserve">– regular engagement with Industry Advisory Boards and Reference Groups to ensure alignment with industry and professional needs. </w:t>
      </w:r>
    </w:p>
    <w:p w14:paraId="57629DFE" w14:textId="6D4810A5" w:rsidR="00D67ECF" w:rsidRPr="00AD1B85" w:rsidRDefault="00D67ECF" w:rsidP="00CB3F50">
      <w:pPr>
        <w:pStyle w:val="ListParagraph"/>
        <w:numPr>
          <w:ilvl w:val="0"/>
          <w:numId w:val="7"/>
        </w:numPr>
        <w:spacing w:before="120" w:after="120" w:line="240" w:lineRule="auto"/>
        <w:ind w:left="1134" w:hanging="283"/>
        <w:rPr>
          <w:rFonts w:ascii="Arial" w:eastAsia="Calibri" w:hAnsi="Arial" w:cs="Arial"/>
          <w:sz w:val="22"/>
        </w:rPr>
      </w:pPr>
      <w:r w:rsidRPr="00AD1B85">
        <w:rPr>
          <w:rFonts w:ascii="Arial" w:eastAsia="Calibri" w:hAnsi="Arial" w:cs="Arial"/>
          <w:b/>
          <w:bCs/>
          <w:sz w:val="22"/>
        </w:rPr>
        <w:t>Research Performance Guidelines and benchmarking</w:t>
      </w:r>
      <w:r w:rsidRPr="00AD1B85">
        <w:rPr>
          <w:rFonts w:ascii="Arial" w:eastAsia="Calibri" w:hAnsi="Arial" w:cs="Arial"/>
          <w:sz w:val="22"/>
        </w:rPr>
        <w:t xml:space="preserve"> –</w:t>
      </w:r>
      <w:r w:rsidR="008457F3" w:rsidRPr="00AD1B85">
        <w:rPr>
          <w:rFonts w:ascii="Arial" w:eastAsia="Calibri" w:hAnsi="Arial" w:cs="Arial"/>
          <w:sz w:val="22"/>
        </w:rPr>
        <w:t xml:space="preserve"> </w:t>
      </w:r>
      <w:r w:rsidRPr="00AD1B85">
        <w:rPr>
          <w:rFonts w:ascii="Arial" w:eastAsia="Calibri" w:hAnsi="Arial" w:cs="Arial"/>
          <w:sz w:val="22"/>
        </w:rPr>
        <w:t xml:space="preserve">metrics and analysis of research performance at individual, </w:t>
      </w:r>
      <w:r w:rsidR="007F0440" w:rsidRPr="00AD1B85">
        <w:rPr>
          <w:rFonts w:ascii="Arial" w:eastAsia="Calibri" w:hAnsi="Arial" w:cs="Arial"/>
          <w:sz w:val="22"/>
        </w:rPr>
        <w:t>element,</w:t>
      </w:r>
      <w:r w:rsidRPr="00AD1B85">
        <w:rPr>
          <w:rFonts w:ascii="Arial" w:eastAsia="Calibri" w:hAnsi="Arial" w:cs="Arial"/>
          <w:sz w:val="22"/>
        </w:rPr>
        <w:t xml:space="preserve"> and institution levels.</w:t>
      </w:r>
    </w:p>
    <w:p w14:paraId="56731508" w14:textId="41573B41" w:rsidR="00BF3C2B" w:rsidRPr="00AD1B85" w:rsidRDefault="00BF3C2B" w:rsidP="00CB3F50">
      <w:pPr>
        <w:pStyle w:val="ListParagraph"/>
        <w:numPr>
          <w:ilvl w:val="0"/>
          <w:numId w:val="7"/>
        </w:numPr>
        <w:spacing w:before="120" w:after="120" w:line="240" w:lineRule="auto"/>
        <w:ind w:left="1134" w:hanging="283"/>
        <w:rPr>
          <w:rFonts w:ascii="Arial" w:hAnsi="Arial" w:cs="Arial"/>
          <w:sz w:val="22"/>
        </w:rPr>
      </w:pPr>
      <w:r w:rsidRPr="00AD1B85">
        <w:rPr>
          <w:rFonts w:ascii="Arial" w:hAnsi="Arial" w:cs="Arial"/>
          <w:b/>
          <w:bCs/>
          <w:sz w:val="22"/>
        </w:rPr>
        <w:t>External ranking</w:t>
      </w:r>
      <w:r w:rsidR="61630871" w:rsidRPr="00AD1B85">
        <w:rPr>
          <w:rFonts w:ascii="Arial" w:hAnsi="Arial" w:cs="Arial"/>
          <w:b/>
          <w:bCs/>
          <w:sz w:val="22"/>
        </w:rPr>
        <w:t>s</w:t>
      </w:r>
      <w:r w:rsidR="004A79F2" w:rsidRPr="00AD1B85">
        <w:rPr>
          <w:rFonts w:ascii="Arial" w:hAnsi="Arial" w:cs="Arial"/>
          <w:b/>
          <w:bCs/>
          <w:sz w:val="22"/>
        </w:rPr>
        <w:t xml:space="preserve"> </w:t>
      </w:r>
      <w:r w:rsidR="008A2C12" w:rsidRPr="00AD1B85">
        <w:rPr>
          <w:rFonts w:ascii="Arial" w:hAnsi="Arial" w:cs="Arial"/>
          <w:sz w:val="22"/>
        </w:rPr>
        <w:t>–</w:t>
      </w:r>
      <w:r w:rsidRPr="00AD1B85">
        <w:rPr>
          <w:rFonts w:ascii="Arial" w:hAnsi="Arial" w:cs="Arial"/>
          <w:sz w:val="22"/>
        </w:rPr>
        <w:t xml:space="preserve"> </w:t>
      </w:r>
      <w:r w:rsidR="008A2C12" w:rsidRPr="00AD1B85">
        <w:rPr>
          <w:rFonts w:ascii="Arial" w:hAnsi="Arial" w:cs="Arial"/>
          <w:sz w:val="22"/>
        </w:rPr>
        <w:t xml:space="preserve">external validation of </w:t>
      </w:r>
      <w:r w:rsidR="00295B3B" w:rsidRPr="00AD1B85">
        <w:rPr>
          <w:rFonts w:ascii="Arial" w:hAnsi="Arial" w:cs="Arial"/>
          <w:sz w:val="22"/>
        </w:rPr>
        <w:t xml:space="preserve">academic </w:t>
      </w:r>
      <w:r w:rsidR="001E6176" w:rsidRPr="00AD1B85">
        <w:rPr>
          <w:rFonts w:ascii="Arial" w:hAnsi="Arial" w:cs="Arial"/>
          <w:sz w:val="22"/>
        </w:rPr>
        <w:t xml:space="preserve">quality through </w:t>
      </w:r>
      <w:r w:rsidR="007B3E48" w:rsidRPr="00AD1B85">
        <w:rPr>
          <w:rFonts w:ascii="Arial" w:hAnsi="Arial" w:cs="Arial"/>
          <w:sz w:val="22"/>
        </w:rPr>
        <w:t>national and global ranking</w:t>
      </w:r>
      <w:r w:rsidR="004A79F2" w:rsidRPr="00AD1B85">
        <w:rPr>
          <w:rFonts w:ascii="Arial" w:hAnsi="Arial" w:cs="Arial"/>
          <w:sz w:val="22"/>
        </w:rPr>
        <w:t>s and data</w:t>
      </w:r>
      <w:r w:rsidR="00BC4B59" w:rsidRPr="00AD1B85">
        <w:rPr>
          <w:rFonts w:ascii="Arial" w:hAnsi="Arial" w:cs="Arial"/>
          <w:sz w:val="22"/>
        </w:rPr>
        <w:t>.</w:t>
      </w:r>
      <w:r w:rsidR="00E55B86" w:rsidRPr="00AD1B85">
        <w:rPr>
          <w:rFonts w:ascii="Arial" w:hAnsi="Arial" w:cs="Arial"/>
          <w:sz w:val="22"/>
        </w:rPr>
        <w:t xml:space="preserve"> </w:t>
      </w:r>
    </w:p>
    <w:p w14:paraId="774957C5" w14:textId="13E8B51A" w:rsidR="25EA51E5" w:rsidRPr="00AD1B85" w:rsidRDefault="25EA51E5" w:rsidP="00CB3F50">
      <w:pPr>
        <w:pStyle w:val="ListParagraph"/>
        <w:numPr>
          <w:ilvl w:val="0"/>
          <w:numId w:val="7"/>
        </w:numPr>
        <w:spacing w:before="120" w:after="120" w:line="240" w:lineRule="auto"/>
        <w:ind w:left="1134" w:hanging="283"/>
        <w:rPr>
          <w:rFonts w:ascii="Arial" w:eastAsia="Calibri" w:hAnsi="Arial" w:cs="Arial"/>
          <w:sz w:val="22"/>
        </w:rPr>
      </w:pPr>
      <w:r w:rsidRPr="00AD1B85">
        <w:rPr>
          <w:rFonts w:ascii="Arial" w:eastAsia="Calibri" w:hAnsi="Arial" w:cs="Arial"/>
          <w:b/>
          <w:bCs/>
          <w:sz w:val="22"/>
        </w:rPr>
        <w:t xml:space="preserve">Government evaluations </w:t>
      </w:r>
      <w:r w:rsidRPr="00AD1B85">
        <w:rPr>
          <w:rFonts w:ascii="Arial" w:eastAsia="Calibri" w:hAnsi="Arial" w:cs="Arial"/>
          <w:sz w:val="22"/>
        </w:rPr>
        <w:t>–</w:t>
      </w:r>
      <w:r w:rsidR="00FC09FC" w:rsidRPr="00AD1B85">
        <w:rPr>
          <w:rFonts w:ascii="Arial" w:eastAsia="Calibri" w:hAnsi="Arial" w:cs="Arial"/>
          <w:sz w:val="22"/>
        </w:rPr>
        <w:t xml:space="preserve"> </w:t>
      </w:r>
      <w:r w:rsidR="00C36998" w:rsidRPr="00AD1B85">
        <w:rPr>
          <w:rFonts w:ascii="Arial" w:eastAsia="Calibri" w:hAnsi="Arial" w:cs="Arial"/>
          <w:sz w:val="22"/>
        </w:rPr>
        <w:t xml:space="preserve">relevant government </w:t>
      </w:r>
      <w:r w:rsidRPr="00AD1B85">
        <w:rPr>
          <w:rFonts w:ascii="Arial" w:eastAsia="Calibri" w:hAnsi="Arial" w:cs="Arial"/>
          <w:sz w:val="22"/>
        </w:rPr>
        <w:t>evaluation</w:t>
      </w:r>
      <w:r w:rsidR="00CC3FE4" w:rsidRPr="00AD1B85">
        <w:rPr>
          <w:rFonts w:ascii="Arial" w:eastAsia="Calibri" w:hAnsi="Arial" w:cs="Arial"/>
          <w:sz w:val="22"/>
        </w:rPr>
        <w:t>s of research quality and outcomes</w:t>
      </w:r>
      <w:r w:rsidR="00571B2F" w:rsidRPr="00AD1B85">
        <w:rPr>
          <w:rFonts w:ascii="Arial" w:eastAsia="Calibri" w:hAnsi="Arial" w:cs="Arial"/>
          <w:sz w:val="22"/>
        </w:rPr>
        <w:t xml:space="preserve">, </w:t>
      </w:r>
      <w:r w:rsidRPr="00AD1B85">
        <w:rPr>
          <w:rFonts w:ascii="Arial" w:eastAsia="Calibri" w:hAnsi="Arial" w:cs="Arial"/>
          <w:sz w:val="22"/>
        </w:rPr>
        <w:t xml:space="preserve">and </w:t>
      </w:r>
      <w:r w:rsidR="0051359D" w:rsidRPr="00AD1B85">
        <w:rPr>
          <w:rFonts w:ascii="Arial" w:eastAsia="Calibri" w:hAnsi="Arial" w:cs="Arial"/>
          <w:sz w:val="22"/>
        </w:rPr>
        <w:t xml:space="preserve">annual </w:t>
      </w:r>
      <w:r w:rsidR="00840D11" w:rsidRPr="00AD1B85">
        <w:rPr>
          <w:rFonts w:ascii="Arial" w:eastAsia="Calibri" w:hAnsi="Arial" w:cs="Arial"/>
          <w:sz w:val="22"/>
        </w:rPr>
        <w:t>R</w:t>
      </w:r>
      <w:r w:rsidRPr="00AD1B85">
        <w:rPr>
          <w:rFonts w:ascii="Arial" w:eastAsia="Calibri" w:hAnsi="Arial" w:cs="Arial"/>
          <w:sz w:val="22"/>
        </w:rPr>
        <w:t xml:space="preserve">esearch </w:t>
      </w:r>
      <w:r w:rsidR="00840D11" w:rsidRPr="00AD1B85">
        <w:rPr>
          <w:rFonts w:ascii="Arial" w:eastAsia="Calibri" w:hAnsi="Arial" w:cs="Arial"/>
          <w:sz w:val="22"/>
        </w:rPr>
        <w:t>B</w:t>
      </w:r>
      <w:r w:rsidRPr="00AD1B85">
        <w:rPr>
          <w:rFonts w:ascii="Arial" w:eastAsia="Calibri" w:hAnsi="Arial" w:cs="Arial"/>
          <w:sz w:val="22"/>
        </w:rPr>
        <w:t xml:space="preserve">lock </w:t>
      </w:r>
      <w:r w:rsidR="00840D11" w:rsidRPr="00AD1B85">
        <w:rPr>
          <w:rFonts w:ascii="Arial" w:eastAsia="Calibri" w:hAnsi="Arial" w:cs="Arial"/>
          <w:sz w:val="22"/>
        </w:rPr>
        <w:t>G</w:t>
      </w:r>
      <w:r w:rsidRPr="00AD1B85">
        <w:rPr>
          <w:rFonts w:ascii="Arial" w:eastAsia="Calibri" w:hAnsi="Arial" w:cs="Arial"/>
          <w:sz w:val="22"/>
        </w:rPr>
        <w:t>rant</w:t>
      </w:r>
      <w:r w:rsidR="0BA35AE2" w:rsidRPr="00AD1B85">
        <w:rPr>
          <w:rFonts w:ascii="Arial" w:eastAsia="Calibri" w:hAnsi="Arial" w:cs="Arial"/>
          <w:sz w:val="22"/>
        </w:rPr>
        <w:t xml:space="preserve"> allocation</w:t>
      </w:r>
      <w:r w:rsidR="0051359D" w:rsidRPr="00AD1B85">
        <w:rPr>
          <w:rFonts w:ascii="Arial" w:eastAsia="Calibri" w:hAnsi="Arial" w:cs="Arial"/>
          <w:sz w:val="22"/>
        </w:rPr>
        <w:t>s</w:t>
      </w:r>
      <w:r w:rsidR="0BA35AE2" w:rsidRPr="00AD1B85">
        <w:rPr>
          <w:rFonts w:ascii="Arial" w:eastAsia="Calibri" w:hAnsi="Arial" w:cs="Arial"/>
          <w:sz w:val="22"/>
        </w:rPr>
        <w:t xml:space="preserve"> based on </w:t>
      </w:r>
      <w:r w:rsidR="000F3A1B" w:rsidRPr="00AD1B85">
        <w:rPr>
          <w:rFonts w:ascii="Arial" w:eastAsia="Calibri" w:hAnsi="Arial" w:cs="Arial"/>
          <w:sz w:val="22"/>
        </w:rPr>
        <w:t xml:space="preserve">key </w:t>
      </w:r>
      <w:r w:rsidR="0BA35AE2" w:rsidRPr="00AD1B85">
        <w:rPr>
          <w:rFonts w:ascii="Arial" w:eastAsia="Calibri" w:hAnsi="Arial" w:cs="Arial"/>
          <w:sz w:val="22"/>
        </w:rPr>
        <w:t>performance</w:t>
      </w:r>
      <w:r w:rsidR="000F3A1B" w:rsidRPr="00AD1B85">
        <w:rPr>
          <w:rFonts w:ascii="Arial" w:eastAsia="Calibri" w:hAnsi="Arial" w:cs="Arial"/>
          <w:sz w:val="22"/>
        </w:rPr>
        <w:t xml:space="preserve"> measures</w:t>
      </w:r>
      <w:r w:rsidR="0BA35AE2" w:rsidRPr="00AD1B85">
        <w:rPr>
          <w:rFonts w:ascii="Arial" w:eastAsia="Calibri" w:hAnsi="Arial" w:cs="Arial"/>
          <w:sz w:val="22"/>
        </w:rPr>
        <w:t xml:space="preserve">. </w:t>
      </w:r>
    </w:p>
    <w:p w14:paraId="40185E10" w14:textId="207B347F" w:rsidR="00DA587A" w:rsidRPr="00AD1B85" w:rsidRDefault="00F72816" w:rsidP="00B40415">
      <w:pPr>
        <w:pStyle w:val="Heading4"/>
        <w:spacing w:before="120" w:line="240" w:lineRule="auto"/>
        <w:ind w:left="851"/>
        <w:rPr>
          <w:rFonts w:ascii="Arial" w:hAnsi="Arial" w:cs="Arial"/>
          <w:sz w:val="22"/>
        </w:rPr>
      </w:pPr>
      <w:r w:rsidRPr="00AD1B85">
        <w:rPr>
          <w:rFonts w:ascii="Arial" w:hAnsi="Arial" w:cs="Arial"/>
          <w:sz w:val="22"/>
        </w:rPr>
        <w:t>3.</w:t>
      </w:r>
      <w:r w:rsidR="00EA715D" w:rsidRPr="00AD1B85">
        <w:rPr>
          <w:rFonts w:ascii="Arial" w:hAnsi="Arial" w:cs="Arial"/>
          <w:sz w:val="22"/>
        </w:rPr>
        <w:t>2.</w:t>
      </w:r>
      <w:r w:rsidR="005A3F65" w:rsidRPr="00AD1B85">
        <w:rPr>
          <w:rFonts w:ascii="Arial" w:hAnsi="Arial" w:cs="Arial"/>
          <w:sz w:val="22"/>
        </w:rPr>
        <w:t>4</w:t>
      </w:r>
      <w:r w:rsidR="00C04CA1" w:rsidRPr="00AD1B85">
        <w:rPr>
          <w:rFonts w:ascii="Arial" w:hAnsi="Arial" w:cs="Arial"/>
          <w:sz w:val="22"/>
        </w:rPr>
        <w:t xml:space="preserve"> </w:t>
      </w:r>
      <w:r w:rsidR="004413BB" w:rsidRPr="00AD1B85">
        <w:rPr>
          <w:rFonts w:ascii="Arial" w:hAnsi="Arial" w:cs="Arial"/>
          <w:sz w:val="22"/>
        </w:rPr>
        <w:t xml:space="preserve">Improve &amp; Develop </w:t>
      </w:r>
      <w:r w:rsidR="00DD72C9" w:rsidRPr="00AD1B85">
        <w:rPr>
          <w:rFonts w:ascii="Arial" w:hAnsi="Arial" w:cs="Arial"/>
          <w:sz w:val="22"/>
        </w:rPr>
        <w:t xml:space="preserve"> </w:t>
      </w:r>
    </w:p>
    <w:p w14:paraId="3D8CB27E" w14:textId="5FACCAB2" w:rsidR="006F655F" w:rsidRPr="00AD1B85" w:rsidRDefault="006F655F" w:rsidP="00B40415">
      <w:pPr>
        <w:pStyle w:val="NormalWhite"/>
        <w:spacing w:before="120" w:after="120" w:line="240" w:lineRule="auto"/>
        <w:ind w:left="851"/>
        <w:rPr>
          <w:rFonts w:ascii="Arial" w:hAnsi="Arial" w:cs="Arial"/>
          <w:color w:val="000000" w:themeColor="text1"/>
          <w:sz w:val="22"/>
        </w:rPr>
      </w:pPr>
      <w:r w:rsidRPr="00AD1B85">
        <w:rPr>
          <w:rFonts w:ascii="Arial" w:hAnsi="Arial" w:cs="Arial"/>
          <w:color w:val="000000" w:themeColor="text1"/>
          <w:sz w:val="22"/>
        </w:rPr>
        <w:t xml:space="preserve">Outcomes from </w:t>
      </w:r>
      <w:r w:rsidR="00B77C61" w:rsidRPr="00AD1B85">
        <w:rPr>
          <w:rFonts w:ascii="Arial" w:hAnsi="Arial" w:cs="Arial"/>
          <w:color w:val="000000" w:themeColor="text1"/>
          <w:sz w:val="22"/>
        </w:rPr>
        <w:t xml:space="preserve">academic and supporting function </w:t>
      </w:r>
      <w:r w:rsidRPr="00AD1B85">
        <w:rPr>
          <w:rFonts w:ascii="Arial" w:hAnsi="Arial" w:cs="Arial"/>
          <w:color w:val="000000" w:themeColor="text1"/>
          <w:sz w:val="22"/>
        </w:rPr>
        <w:t xml:space="preserve">quality assurance </w:t>
      </w:r>
      <w:r w:rsidR="00B77C61" w:rsidRPr="00AD1B85">
        <w:rPr>
          <w:rFonts w:ascii="Arial" w:hAnsi="Arial" w:cs="Arial"/>
          <w:color w:val="000000" w:themeColor="text1"/>
          <w:sz w:val="22"/>
        </w:rPr>
        <w:t>activities</w:t>
      </w:r>
      <w:r w:rsidR="00BB72BF" w:rsidRPr="00AD1B85">
        <w:rPr>
          <w:rFonts w:ascii="Arial" w:hAnsi="Arial" w:cs="Arial"/>
          <w:color w:val="000000" w:themeColor="text1"/>
          <w:sz w:val="22"/>
        </w:rPr>
        <w:t xml:space="preserve"> are reported </w:t>
      </w:r>
      <w:r w:rsidR="00045B39" w:rsidRPr="00AD1B85">
        <w:rPr>
          <w:rFonts w:ascii="Arial" w:hAnsi="Arial" w:cs="Arial"/>
          <w:color w:val="000000" w:themeColor="text1"/>
          <w:sz w:val="22"/>
        </w:rPr>
        <w:t xml:space="preserve">and monitored </w:t>
      </w:r>
      <w:r w:rsidR="00BB72BF" w:rsidRPr="00AD1B85">
        <w:rPr>
          <w:rFonts w:ascii="Arial" w:hAnsi="Arial" w:cs="Arial"/>
          <w:color w:val="000000" w:themeColor="text1"/>
          <w:sz w:val="22"/>
        </w:rPr>
        <w:t xml:space="preserve">in line with </w:t>
      </w:r>
      <w:r w:rsidR="00B21418" w:rsidRPr="00AD1B85">
        <w:rPr>
          <w:rFonts w:ascii="Arial" w:hAnsi="Arial" w:cs="Arial"/>
          <w:color w:val="000000" w:themeColor="text1"/>
          <w:sz w:val="22"/>
        </w:rPr>
        <w:t xml:space="preserve">relevant </w:t>
      </w:r>
      <w:r w:rsidR="00516BBB" w:rsidRPr="00AD1B85">
        <w:rPr>
          <w:rFonts w:ascii="Arial" w:hAnsi="Arial" w:cs="Arial"/>
          <w:color w:val="000000" w:themeColor="text1"/>
          <w:sz w:val="22"/>
        </w:rPr>
        <w:t xml:space="preserve">governance and </w:t>
      </w:r>
      <w:r w:rsidR="00B21418" w:rsidRPr="00AD1B85">
        <w:rPr>
          <w:rFonts w:ascii="Arial" w:hAnsi="Arial" w:cs="Arial"/>
          <w:color w:val="000000" w:themeColor="text1"/>
          <w:sz w:val="22"/>
        </w:rPr>
        <w:t xml:space="preserve">internal business processes. </w:t>
      </w:r>
      <w:r w:rsidR="00B77C61" w:rsidRPr="00AD1B85">
        <w:rPr>
          <w:rFonts w:ascii="Arial" w:hAnsi="Arial" w:cs="Arial"/>
          <w:color w:val="000000" w:themeColor="text1"/>
          <w:sz w:val="22"/>
        </w:rPr>
        <w:t xml:space="preserve"> </w:t>
      </w:r>
      <w:r w:rsidRPr="00AD1B85">
        <w:rPr>
          <w:rFonts w:ascii="Arial" w:hAnsi="Arial" w:cs="Arial"/>
          <w:color w:val="000000" w:themeColor="text1"/>
          <w:sz w:val="22"/>
        </w:rPr>
        <w:t xml:space="preserve"> </w:t>
      </w:r>
    </w:p>
    <w:p w14:paraId="39F84A73" w14:textId="32C4BBD0" w:rsidR="00A21E2C" w:rsidRPr="00AD1B85" w:rsidRDefault="00071666" w:rsidP="00B40415">
      <w:pPr>
        <w:pStyle w:val="NormalWhite"/>
        <w:spacing w:before="120" w:after="120" w:line="240" w:lineRule="auto"/>
        <w:ind w:left="851"/>
        <w:rPr>
          <w:rFonts w:ascii="Arial" w:hAnsi="Arial" w:cs="Arial"/>
          <w:color w:val="000000" w:themeColor="text1"/>
          <w:sz w:val="22"/>
        </w:rPr>
      </w:pPr>
      <w:r w:rsidRPr="00AD1B85">
        <w:rPr>
          <w:rFonts w:ascii="Arial" w:hAnsi="Arial" w:cs="Arial"/>
          <w:color w:val="000000" w:themeColor="text1"/>
          <w:sz w:val="22"/>
        </w:rPr>
        <w:t>Students and staff</w:t>
      </w:r>
      <w:r w:rsidR="00025BF5" w:rsidRPr="00AD1B85">
        <w:rPr>
          <w:rFonts w:ascii="Arial" w:hAnsi="Arial" w:cs="Arial"/>
          <w:color w:val="000000" w:themeColor="text1"/>
          <w:sz w:val="22"/>
        </w:rPr>
        <w:t xml:space="preserve"> </w:t>
      </w:r>
      <w:r w:rsidR="00B8434E" w:rsidRPr="00AD1B85">
        <w:rPr>
          <w:rFonts w:ascii="Arial" w:hAnsi="Arial" w:cs="Arial"/>
          <w:color w:val="000000" w:themeColor="text1"/>
          <w:sz w:val="22"/>
        </w:rPr>
        <w:t xml:space="preserve">are </w:t>
      </w:r>
      <w:r w:rsidR="00A21E2C" w:rsidRPr="00AD1B85">
        <w:rPr>
          <w:rFonts w:ascii="Arial" w:hAnsi="Arial" w:cs="Arial"/>
          <w:color w:val="000000" w:themeColor="text1"/>
          <w:sz w:val="22"/>
        </w:rPr>
        <w:t>enabled to engage in</w:t>
      </w:r>
      <w:r w:rsidR="00EE3B01" w:rsidRPr="00AD1B85">
        <w:rPr>
          <w:rFonts w:ascii="Arial" w:hAnsi="Arial" w:cs="Arial"/>
          <w:color w:val="000000" w:themeColor="text1"/>
          <w:sz w:val="22"/>
        </w:rPr>
        <w:t>,</w:t>
      </w:r>
      <w:r w:rsidR="00A21E2C" w:rsidRPr="00AD1B85">
        <w:rPr>
          <w:rFonts w:ascii="Arial" w:hAnsi="Arial" w:cs="Arial"/>
          <w:color w:val="000000" w:themeColor="text1"/>
          <w:sz w:val="22"/>
        </w:rPr>
        <w:t xml:space="preserve"> and strive for</w:t>
      </w:r>
      <w:r w:rsidR="00480CF8" w:rsidRPr="00AD1B85">
        <w:rPr>
          <w:rFonts w:ascii="Arial" w:hAnsi="Arial" w:cs="Arial"/>
          <w:color w:val="000000" w:themeColor="text1"/>
          <w:sz w:val="22"/>
        </w:rPr>
        <w:t>,</w:t>
      </w:r>
      <w:r w:rsidR="00A21E2C" w:rsidRPr="00AD1B85">
        <w:rPr>
          <w:rFonts w:ascii="Arial" w:hAnsi="Arial" w:cs="Arial"/>
          <w:color w:val="000000" w:themeColor="text1"/>
          <w:sz w:val="22"/>
        </w:rPr>
        <w:t xml:space="preserve"> </w:t>
      </w:r>
      <w:r w:rsidR="00E514DB" w:rsidRPr="00AD1B85">
        <w:rPr>
          <w:rFonts w:ascii="Arial" w:hAnsi="Arial" w:cs="Arial"/>
          <w:color w:val="000000" w:themeColor="text1"/>
          <w:sz w:val="22"/>
        </w:rPr>
        <w:t xml:space="preserve">quality </w:t>
      </w:r>
      <w:r w:rsidR="00F31F9F" w:rsidRPr="00AD1B85">
        <w:rPr>
          <w:rFonts w:ascii="Arial" w:hAnsi="Arial" w:cs="Arial"/>
          <w:color w:val="000000" w:themeColor="text1"/>
          <w:sz w:val="22"/>
        </w:rPr>
        <w:t>enhancement</w:t>
      </w:r>
      <w:r w:rsidR="00A21E2C" w:rsidRPr="00AD1B85">
        <w:rPr>
          <w:rFonts w:ascii="Arial" w:hAnsi="Arial" w:cs="Arial"/>
          <w:color w:val="000000" w:themeColor="text1"/>
          <w:sz w:val="22"/>
        </w:rPr>
        <w:t xml:space="preserve"> through a range of activities, including: </w:t>
      </w:r>
    </w:p>
    <w:p w14:paraId="1F08185C" w14:textId="1FE608C0" w:rsidR="00CC2E1C" w:rsidRPr="00AD1B85" w:rsidRDefault="00A21E2C" w:rsidP="00CB3F50">
      <w:pPr>
        <w:pStyle w:val="ListParagraph"/>
        <w:numPr>
          <w:ilvl w:val="0"/>
          <w:numId w:val="8"/>
        </w:numPr>
        <w:spacing w:before="120" w:after="120" w:line="240" w:lineRule="auto"/>
        <w:ind w:left="1134" w:hanging="283"/>
        <w:rPr>
          <w:rFonts w:ascii="Arial" w:hAnsi="Arial" w:cs="Arial"/>
          <w:sz w:val="22"/>
        </w:rPr>
      </w:pPr>
      <w:r w:rsidRPr="00AD1B85">
        <w:rPr>
          <w:rFonts w:ascii="Arial" w:hAnsi="Arial" w:cs="Arial"/>
          <w:b/>
          <w:bCs/>
          <w:sz w:val="22"/>
        </w:rPr>
        <w:lastRenderedPageBreak/>
        <w:t xml:space="preserve">Professional development </w:t>
      </w:r>
      <w:r w:rsidRPr="00AD1B85">
        <w:rPr>
          <w:rFonts w:ascii="Arial" w:hAnsi="Arial" w:cs="Arial"/>
          <w:sz w:val="22"/>
        </w:rPr>
        <w:t>– induction</w:t>
      </w:r>
      <w:r w:rsidR="0018703B" w:rsidRPr="00AD1B85">
        <w:rPr>
          <w:rFonts w:ascii="Arial" w:hAnsi="Arial" w:cs="Arial"/>
          <w:sz w:val="22"/>
        </w:rPr>
        <w:t>, mandatory and optional</w:t>
      </w:r>
      <w:r w:rsidRPr="00AD1B85">
        <w:rPr>
          <w:rFonts w:ascii="Arial" w:hAnsi="Arial" w:cs="Arial"/>
          <w:sz w:val="22"/>
        </w:rPr>
        <w:t xml:space="preserve"> professional development </w:t>
      </w:r>
      <w:r w:rsidR="0018703B" w:rsidRPr="00AD1B85">
        <w:rPr>
          <w:rFonts w:ascii="Arial" w:hAnsi="Arial" w:cs="Arial"/>
          <w:sz w:val="22"/>
        </w:rPr>
        <w:t xml:space="preserve">is </w:t>
      </w:r>
      <w:r w:rsidRPr="00AD1B85">
        <w:rPr>
          <w:rFonts w:ascii="Arial" w:hAnsi="Arial" w:cs="Arial"/>
          <w:sz w:val="22"/>
        </w:rPr>
        <w:t xml:space="preserve">offered to professional and academic staff </w:t>
      </w:r>
      <w:r w:rsidR="0018703B" w:rsidRPr="00AD1B85">
        <w:rPr>
          <w:rFonts w:ascii="Arial" w:hAnsi="Arial" w:cs="Arial"/>
          <w:sz w:val="22"/>
        </w:rPr>
        <w:t xml:space="preserve">to </w:t>
      </w:r>
      <w:r w:rsidR="006E7972" w:rsidRPr="00AD1B85">
        <w:rPr>
          <w:rFonts w:ascii="Arial" w:hAnsi="Arial" w:cs="Arial"/>
          <w:sz w:val="22"/>
        </w:rPr>
        <w:t xml:space="preserve">ensure staff are </w:t>
      </w:r>
      <w:r w:rsidR="00A90742" w:rsidRPr="00AD1B85">
        <w:rPr>
          <w:rFonts w:ascii="Arial" w:hAnsi="Arial" w:cs="Arial"/>
          <w:sz w:val="22"/>
        </w:rPr>
        <w:t xml:space="preserve">provided with the information they require </w:t>
      </w:r>
      <w:r w:rsidR="00C0157C" w:rsidRPr="00AD1B85">
        <w:rPr>
          <w:rFonts w:ascii="Arial" w:hAnsi="Arial" w:cs="Arial"/>
          <w:sz w:val="22"/>
        </w:rPr>
        <w:t xml:space="preserve">and are </w:t>
      </w:r>
      <w:r w:rsidR="006E7972" w:rsidRPr="00AD1B85">
        <w:rPr>
          <w:rFonts w:ascii="Arial" w:hAnsi="Arial" w:cs="Arial"/>
          <w:sz w:val="22"/>
        </w:rPr>
        <w:t>equipped for their roles</w:t>
      </w:r>
      <w:r w:rsidR="00FA1A89" w:rsidRPr="00AD1B85">
        <w:rPr>
          <w:rFonts w:ascii="Arial" w:hAnsi="Arial" w:cs="Arial"/>
          <w:sz w:val="22"/>
        </w:rPr>
        <w:t xml:space="preserve">. </w:t>
      </w:r>
    </w:p>
    <w:p w14:paraId="4CA210A0" w14:textId="68C4CC82" w:rsidR="00A90742" w:rsidRPr="00AD1B85" w:rsidRDefault="00A90742" w:rsidP="00CB3F50">
      <w:pPr>
        <w:pStyle w:val="ListParagraph"/>
        <w:numPr>
          <w:ilvl w:val="0"/>
          <w:numId w:val="8"/>
        </w:numPr>
        <w:spacing w:before="120" w:after="120" w:line="240" w:lineRule="auto"/>
        <w:ind w:left="1134" w:hanging="283"/>
        <w:rPr>
          <w:rFonts w:ascii="Arial" w:hAnsi="Arial" w:cs="Arial"/>
          <w:sz w:val="22"/>
        </w:rPr>
      </w:pPr>
      <w:r w:rsidRPr="00AD1B85">
        <w:rPr>
          <w:rFonts w:ascii="Arial" w:hAnsi="Arial" w:cs="Arial"/>
          <w:b/>
          <w:bCs/>
          <w:sz w:val="22"/>
        </w:rPr>
        <w:t>Peer mentoring</w:t>
      </w:r>
      <w:r w:rsidRPr="00AD1B85">
        <w:rPr>
          <w:rFonts w:ascii="Arial" w:hAnsi="Arial" w:cs="Arial"/>
          <w:sz w:val="22"/>
        </w:rPr>
        <w:t xml:space="preserve"> – </w:t>
      </w:r>
      <w:r w:rsidR="00C0157C" w:rsidRPr="00AD1B85">
        <w:rPr>
          <w:rFonts w:ascii="Arial" w:hAnsi="Arial" w:cs="Arial"/>
          <w:sz w:val="22"/>
        </w:rPr>
        <w:t xml:space="preserve">experienced practitioners and </w:t>
      </w:r>
      <w:r w:rsidR="002A5990" w:rsidRPr="00AD1B85">
        <w:rPr>
          <w:rFonts w:ascii="Arial" w:hAnsi="Arial" w:cs="Arial"/>
          <w:sz w:val="22"/>
        </w:rPr>
        <w:t xml:space="preserve">academic staff undergoing training have their teaching guided and overseen by </w:t>
      </w:r>
      <w:r w:rsidR="000D42BC" w:rsidRPr="00AD1B85">
        <w:rPr>
          <w:rFonts w:ascii="Arial" w:hAnsi="Arial" w:cs="Arial"/>
          <w:sz w:val="22"/>
        </w:rPr>
        <w:t xml:space="preserve">peer mentors. </w:t>
      </w:r>
    </w:p>
    <w:p w14:paraId="21B2567B" w14:textId="2DB67B39" w:rsidR="009A3F56" w:rsidRPr="00AD1B85" w:rsidRDefault="00E30A98" w:rsidP="00CB3F50">
      <w:pPr>
        <w:pStyle w:val="ListParagraph"/>
        <w:numPr>
          <w:ilvl w:val="0"/>
          <w:numId w:val="8"/>
        </w:numPr>
        <w:spacing w:before="120" w:after="120" w:line="240" w:lineRule="auto"/>
        <w:ind w:left="1134" w:hanging="283"/>
        <w:rPr>
          <w:rFonts w:ascii="Arial" w:hAnsi="Arial" w:cs="Arial"/>
          <w:sz w:val="22"/>
        </w:rPr>
      </w:pPr>
      <w:r w:rsidRPr="00AD1B85">
        <w:rPr>
          <w:rFonts w:ascii="Arial" w:hAnsi="Arial" w:cs="Arial"/>
          <w:b/>
          <w:bCs/>
          <w:sz w:val="22"/>
        </w:rPr>
        <w:t xml:space="preserve">Academic and </w:t>
      </w:r>
      <w:r w:rsidR="00CE2C76" w:rsidRPr="00AD1B85">
        <w:rPr>
          <w:rFonts w:ascii="Arial" w:hAnsi="Arial" w:cs="Arial"/>
          <w:b/>
          <w:bCs/>
          <w:sz w:val="22"/>
        </w:rPr>
        <w:t>p</w:t>
      </w:r>
      <w:r w:rsidRPr="00AD1B85">
        <w:rPr>
          <w:rFonts w:ascii="Arial" w:hAnsi="Arial" w:cs="Arial"/>
          <w:b/>
          <w:bCs/>
          <w:sz w:val="22"/>
        </w:rPr>
        <w:t xml:space="preserve">rofessional </w:t>
      </w:r>
      <w:r w:rsidR="00CE2C76" w:rsidRPr="00AD1B85">
        <w:rPr>
          <w:rFonts w:ascii="Arial" w:hAnsi="Arial" w:cs="Arial"/>
          <w:b/>
          <w:bCs/>
          <w:sz w:val="22"/>
        </w:rPr>
        <w:t>staff career development</w:t>
      </w:r>
      <w:r w:rsidR="00CE2C76" w:rsidRPr="00AD1B85">
        <w:rPr>
          <w:rFonts w:ascii="Arial" w:hAnsi="Arial" w:cs="Arial"/>
          <w:sz w:val="22"/>
        </w:rPr>
        <w:t xml:space="preserve"> </w:t>
      </w:r>
      <w:r w:rsidR="00CE2C76" w:rsidRPr="00AD1B85">
        <w:rPr>
          <w:rFonts w:ascii="Arial" w:hAnsi="Arial" w:cs="Arial"/>
          <w:sz w:val="22"/>
          <w:highlight w:val="yellow"/>
        </w:rPr>
        <w:softHyphen/>
      </w:r>
      <w:r w:rsidR="00CE2C76" w:rsidRPr="00AD1B85">
        <w:rPr>
          <w:rFonts w:ascii="Arial" w:hAnsi="Arial" w:cs="Arial"/>
          <w:sz w:val="22"/>
        </w:rPr>
        <w:t>– a</w:t>
      </w:r>
      <w:r w:rsidR="00635730" w:rsidRPr="00AD1B85">
        <w:rPr>
          <w:rFonts w:ascii="Arial" w:hAnsi="Arial" w:cs="Arial"/>
          <w:sz w:val="22"/>
        </w:rPr>
        <w:t xml:space="preserve">nnual performance review process which </w:t>
      </w:r>
      <w:r w:rsidR="00CC2E1C" w:rsidRPr="00AD1B85">
        <w:rPr>
          <w:rFonts w:ascii="Arial" w:hAnsi="Arial" w:cs="Arial"/>
          <w:sz w:val="22"/>
        </w:rPr>
        <w:t>may identify opportunities for development.</w:t>
      </w:r>
    </w:p>
    <w:p w14:paraId="318A1AC4" w14:textId="23F6C12D" w:rsidR="00836CA0" w:rsidRPr="00AD1B85" w:rsidRDefault="0028133A" w:rsidP="00CB3F50">
      <w:pPr>
        <w:pStyle w:val="ListParagraph"/>
        <w:numPr>
          <w:ilvl w:val="0"/>
          <w:numId w:val="8"/>
        </w:numPr>
        <w:spacing w:before="120" w:after="120" w:line="240" w:lineRule="auto"/>
        <w:ind w:left="1134" w:hanging="283"/>
        <w:rPr>
          <w:rFonts w:ascii="Arial" w:hAnsi="Arial" w:cs="Arial"/>
          <w:b/>
          <w:bCs/>
          <w:sz w:val="22"/>
        </w:rPr>
      </w:pPr>
      <w:r w:rsidRPr="00AD1B85">
        <w:rPr>
          <w:rFonts w:ascii="Arial" w:hAnsi="Arial" w:cs="Arial"/>
          <w:b/>
          <w:bCs/>
          <w:sz w:val="22"/>
        </w:rPr>
        <w:t xml:space="preserve">Academic </w:t>
      </w:r>
      <w:r w:rsidR="00470F64" w:rsidRPr="00AD1B85">
        <w:rPr>
          <w:rFonts w:ascii="Arial" w:hAnsi="Arial" w:cs="Arial"/>
          <w:b/>
          <w:bCs/>
          <w:sz w:val="22"/>
        </w:rPr>
        <w:t>o</w:t>
      </w:r>
      <w:r w:rsidR="00AF26C6" w:rsidRPr="00AD1B85">
        <w:rPr>
          <w:rFonts w:ascii="Arial" w:hAnsi="Arial" w:cs="Arial"/>
          <w:b/>
          <w:bCs/>
          <w:sz w:val="22"/>
        </w:rPr>
        <w:t xml:space="preserve">rientation </w:t>
      </w:r>
      <w:r w:rsidRPr="00AD1B85">
        <w:rPr>
          <w:rFonts w:ascii="Arial" w:hAnsi="Arial" w:cs="Arial"/>
          <w:b/>
          <w:bCs/>
          <w:sz w:val="22"/>
        </w:rPr>
        <w:t xml:space="preserve">– </w:t>
      </w:r>
      <w:r w:rsidRPr="00AD1B85">
        <w:rPr>
          <w:rFonts w:ascii="Arial" w:hAnsi="Arial" w:cs="Arial"/>
          <w:sz w:val="22"/>
        </w:rPr>
        <w:t xml:space="preserve">mandatory and optional </w:t>
      </w:r>
      <w:r w:rsidR="00443DA8" w:rsidRPr="00AD1B85">
        <w:rPr>
          <w:rFonts w:ascii="Arial" w:hAnsi="Arial" w:cs="Arial"/>
          <w:sz w:val="22"/>
        </w:rPr>
        <w:t xml:space="preserve">orientation programs for commencing students and HDR candidates. </w:t>
      </w:r>
      <w:r w:rsidR="00AF26C6" w:rsidRPr="00AD1B85">
        <w:rPr>
          <w:rFonts w:ascii="Arial" w:hAnsi="Arial" w:cs="Arial"/>
          <w:sz w:val="22"/>
        </w:rPr>
        <w:t xml:space="preserve"> </w:t>
      </w:r>
    </w:p>
    <w:p w14:paraId="0444BFCA" w14:textId="080B6ABF" w:rsidR="00443DA8" w:rsidRPr="00AD1B85" w:rsidRDefault="00443DA8" w:rsidP="00CB3F50">
      <w:pPr>
        <w:pStyle w:val="ListParagraph"/>
        <w:numPr>
          <w:ilvl w:val="0"/>
          <w:numId w:val="8"/>
        </w:numPr>
        <w:spacing w:before="120" w:after="120" w:line="240" w:lineRule="auto"/>
        <w:ind w:left="1134" w:hanging="283"/>
        <w:rPr>
          <w:rFonts w:ascii="Arial" w:eastAsia="Calibri" w:hAnsi="Arial" w:cs="Arial"/>
          <w:sz w:val="22"/>
        </w:rPr>
      </w:pPr>
      <w:r w:rsidRPr="00AD1B85">
        <w:rPr>
          <w:rFonts w:ascii="Arial" w:eastAsia="Calibri" w:hAnsi="Arial" w:cs="Arial"/>
          <w:b/>
          <w:bCs/>
          <w:sz w:val="22"/>
        </w:rPr>
        <w:t>Internal Communication</w:t>
      </w:r>
      <w:r w:rsidRPr="00AD1B85">
        <w:rPr>
          <w:rFonts w:ascii="Arial" w:eastAsia="Calibri" w:hAnsi="Arial" w:cs="Arial"/>
          <w:sz w:val="22"/>
        </w:rPr>
        <w:t xml:space="preserve"> for implementation of </w:t>
      </w:r>
      <w:r w:rsidR="00B07FCB" w:rsidRPr="00AD1B85">
        <w:rPr>
          <w:rFonts w:ascii="Arial" w:eastAsia="Calibri" w:hAnsi="Arial" w:cs="Arial"/>
          <w:sz w:val="22"/>
        </w:rPr>
        <w:t>d</w:t>
      </w:r>
      <w:r w:rsidRPr="00AD1B85">
        <w:rPr>
          <w:rFonts w:ascii="Arial" w:eastAsia="Calibri" w:hAnsi="Arial" w:cs="Arial"/>
          <w:sz w:val="22"/>
        </w:rPr>
        <w:t xml:space="preserve">evelopment and </w:t>
      </w:r>
      <w:r w:rsidR="00B07FCB" w:rsidRPr="00AD1B85">
        <w:rPr>
          <w:rFonts w:ascii="Arial" w:eastAsia="Calibri" w:hAnsi="Arial" w:cs="Arial"/>
          <w:sz w:val="22"/>
        </w:rPr>
        <w:t>m</w:t>
      </w:r>
      <w:r w:rsidRPr="00AD1B85">
        <w:rPr>
          <w:rFonts w:ascii="Arial" w:eastAsia="Calibri" w:hAnsi="Arial" w:cs="Arial"/>
          <w:sz w:val="22"/>
        </w:rPr>
        <w:t>entoring activities</w:t>
      </w:r>
      <w:r w:rsidR="005D3F7D" w:rsidRPr="00AD1B85">
        <w:rPr>
          <w:rFonts w:ascii="Arial" w:eastAsia="Calibri" w:hAnsi="Arial" w:cs="Arial"/>
          <w:sz w:val="22"/>
        </w:rPr>
        <w:t>.</w:t>
      </w:r>
    </w:p>
    <w:p w14:paraId="5C7E5ACF" w14:textId="6EF8ECC7" w:rsidR="00443DA8" w:rsidRPr="00AD1B85" w:rsidRDefault="00443DA8" w:rsidP="00CB3F50">
      <w:pPr>
        <w:pStyle w:val="ListParagraph"/>
        <w:numPr>
          <w:ilvl w:val="0"/>
          <w:numId w:val="8"/>
        </w:numPr>
        <w:spacing w:before="120" w:after="120" w:line="240" w:lineRule="auto"/>
        <w:ind w:left="1134" w:hanging="283"/>
        <w:rPr>
          <w:rFonts w:ascii="Arial" w:eastAsia="Calibri" w:hAnsi="Arial" w:cs="Arial"/>
          <w:sz w:val="22"/>
        </w:rPr>
      </w:pPr>
      <w:r w:rsidRPr="00AD1B85">
        <w:rPr>
          <w:rFonts w:ascii="Arial" w:eastAsia="Calibri" w:hAnsi="Arial" w:cs="Arial"/>
          <w:b/>
          <w:bCs/>
          <w:sz w:val="22"/>
        </w:rPr>
        <w:t>Resources</w:t>
      </w:r>
      <w:r w:rsidRPr="00AD1B85">
        <w:rPr>
          <w:rFonts w:ascii="Arial" w:eastAsia="Calibri" w:hAnsi="Arial" w:cs="Arial"/>
          <w:sz w:val="22"/>
        </w:rPr>
        <w:t xml:space="preserve"> for </w:t>
      </w:r>
      <w:r w:rsidR="00B07FCB" w:rsidRPr="00AD1B85">
        <w:rPr>
          <w:rFonts w:ascii="Arial" w:eastAsia="Calibri" w:hAnsi="Arial" w:cs="Arial"/>
          <w:sz w:val="22"/>
        </w:rPr>
        <w:t>d</w:t>
      </w:r>
      <w:r w:rsidRPr="00AD1B85">
        <w:rPr>
          <w:rFonts w:ascii="Arial" w:eastAsia="Calibri" w:hAnsi="Arial" w:cs="Arial"/>
          <w:sz w:val="22"/>
        </w:rPr>
        <w:t xml:space="preserve">evelopment and </w:t>
      </w:r>
      <w:r w:rsidR="00A578CD" w:rsidRPr="00AD1B85">
        <w:rPr>
          <w:rFonts w:ascii="Arial" w:eastAsia="Calibri" w:hAnsi="Arial" w:cs="Arial"/>
          <w:sz w:val="22"/>
        </w:rPr>
        <w:t>mentoring</w:t>
      </w:r>
      <w:r w:rsidRPr="00AD1B85">
        <w:rPr>
          <w:rFonts w:ascii="Arial" w:eastAsia="Calibri" w:hAnsi="Arial" w:cs="Arial"/>
          <w:sz w:val="22"/>
        </w:rPr>
        <w:t xml:space="preserve"> activities</w:t>
      </w:r>
      <w:r w:rsidR="005D3F7D" w:rsidRPr="00AD1B85">
        <w:rPr>
          <w:rFonts w:ascii="Arial" w:eastAsia="Calibri" w:hAnsi="Arial" w:cs="Arial"/>
          <w:sz w:val="22"/>
        </w:rPr>
        <w:t>.</w:t>
      </w:r>
      <w:r w:rsidRPr="00AD1B85">
        <w:rPr>
          <w:rFonts w:ascii="Arial" w:eastAsia="Calibri" w:hAnsi="Arial" w:cs="Arial"/>
          <w:sz w:val="22"/>
        </w:rPr>
        <w:t xml:space="preserve"> </w:t>
      </w:r>
    </w:p>
    <w:p w14:paraId="06F961CF" w14:textId="23D7C39B" w:rsidR="00676E5C" w:rsidRPr="00AD1B85" w:rsidRDefault="00902125" w:rsidP="00B40415">
      <w:pPr>
        <w:pStyle w:val="Heading2"/>
        <w:spacing w:before="120" w:line="240" w:lineRule="auto"/>
        <w:rPr>
          <w:rFonts w:ascii="Arial" w:hAnsi="Arial" w:cs="Arial"/>
          <w:b/>
          <w:bCs/>
          <w:sz w:val="32"/>
          <w:szCs w:val="32"/>
        </w:rPr>
      </w:pPr>
      <w:bookmarkStart w:id="10" w:name="_Ref20320710"/>
      <w:bookmarkStart w:id="11" w:name="_Ref21613385"/>
      <w:bookmarkEnd w:id="6"/>
      <w:r w:rsidRPr="00AD1B85">
        <w:rPr>
          <w:rFonts w:ascii="Arial" w:hAnsi="Arial" w:cs="Arial"/>
          <w:b/>
          <w:bCs/>
          <w:sz w:val="32"/>
          <w:szCs w:val="32"/>
        </w:rPr>
        <w:t xml:space="preserve">4.0 </w:t>
      </w:r>
      <w:r w:rsidR="00DA348D" w:rsidRPr="00AD1B85">
        <w:rPr>
          <w:rFonts w:ascii="Arial" w:hAnsi="Arial" w:cs="Arial"/>
          <w:b/>
          <w:bCs/>
          <w:sz w:val="32"/>
          <w:szCs w:val="32"/>
        </w:rPr>
        <w:t>Roles</w:t>
      </w:r>
      <w:r w:rsidR="00AB5659" w:rsidRPr="00AD1B85">
        <w:rPr>
          <w:rFonts w:ascii="Arial" w:hAnsi="Arial" w:cs="Arial"/>
          <w:b/>
          <w:bCs/>
          <w:sz w:val="32"/>
          <w:szCs w:val="32"/>
        </w:rPr>
        <w:t>,</w:t>
      </w:r>
      <w:r w:rsidR="00DA348D" w:rsidRPr="00AD1B85">
        <w:rPr>
          <w:rFonts w:ascii="Arial" w:hAnsi="Arial" w:cs="Arial"/>
          <w:b/>
          <w:bCs/>
          <w:sz w:val="32"/>
          <w:szCs w:val="32"/>
        </w:rPr>
        <w:t xml:space="preserve"> </w:t>
      </w:r>
      <w:bookmarkEnd w:id="10"/>
      <w:r w:rsidR="007F0440" w:rsidRPr="00AD1B85">
        <w:rPr>
          <w:rFonts w:ascii="Arial" w:hAnsi="Arial" w:cs="Arial"/>
          <w:b/>
          <w:bCs/>
          <w:sz w:val="32"/>
          <w:szCs w:val="32"/>
        </w:rPr>
        <w:t>responsibilities,</w:t>
      </w:r>
      <w:r w:rsidR="00AB5659" w:rsidRPr="00AD1B85">
        <w:rPr>
          <w:rFonts w:ascii="Arial" w:hAnsi="Arial" w:cs="Arial"/>
          <w:b/>
          <w:bCs/>
          <w:sz w:val="32"/>
          <w:szCs w:val="32"/>
        </w:rPr>
        <w:t xml:space="preserve"> and delegations</w:t>
      </w:r>
      <w:bookmarkEnd w:id="11"/>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35"/>
        <w:gridCol w:w="7023"/>
      </w:tblGrid>
      <w:tr w:rsidR="00B40415" w:rsidRPr="00AD1B85" w14:paraId="0D9BCA1F" w14:textId="77777777" w:rsidTr="002518CF">
        <w:trPr>
          <w:trHeight w:val="454"/>
          <w:tblHeader/>
        </w:trPr>
        <w:tc>
          <w:tcPr>
            <w:tcW w:w="5000" w:type="pct"/>
            <w:gridSpan w:val="2"/>
            <w:shd w:val="clear" w:color="auto" w:fill="auto"/>
          </w:tcPr>
          <w:p w14:paraId="61802F19" w14:textId="4BFCEF0A" w:rsidR="00C04CA1" w:rsidRPr="00AD1B85" w:rsidRDefault="00C04CA1" w:rsidP="00B40415">
            <w:pPr>
              <w:spacing w:before="120" w:after="120" w:line="240" w:lineRule="auto"/>
              <w:rPr>
                <w:rFonts w:ascii="Arial" w:hAnsi="Arial" w:cs="Arial"/>
                <w:color w:val="000000" w:themeColor="text1"/>
                <w:sz w:val="24"/>
                <w:szCs w:val="24"/>
              </w:rPr>
            </w:pPr>
            <w:r w:rsidRPr="00AD1B85">
              <w:rPr>
                <w:rFonts w:ascii="Arial" w:hAnsi="Arial" w:cs="Arial"/>
                <w:b/>
                <w:bCs/>
                <w:color w:val="000000" w:themeColor="text1"/>
                <w:sz w:val="24"/>
                <w:szCs w:val="24"/>
              </w:rPr>
              <w:t>ROLE RESPONSIBILITY</w:t>
            </w:r>
          </w:p>
        </w:tc>
      </w:tr>
      <w:tr w:rsidR="004D0EE6" w:rsidRPr="00AD1B85" w14:paraId="614AA826" w14:textId="77777777" w:rsidTr="00B40415">
        <w:tc>
          <w:tcPr>
            <w:tcW w:w="1438" w:type="pct"/>
            <w:shd w:val="clear" w:color="auto" w:fill="auto"/>
          </w:tcPr>
          <w:p w14:paraId="2CA5BA4A" w14:textId="1D71D644" w:rsidR="004D0EE6" w:rsidRPr="00AD1B85" w:rsidRDefault="00C04CA1" w:rsidP="00B40415">
            <w:pPr>
              <w:spacing w:before="120" w:after="120" w:line="240" w:lineRule="auto"/>
              <w:rPr>
                <w:rFonts w:ascii="Arial" w:hAnsi="Arial" w:cs="Arial"/>
                <w:sz w:val="22"/>
              </w:rPr>
            </w:pPr>
            <w:r w:rsidRPr="00AD1B85">
              <w:rPr>
                <w:rFonts w:ascii="Arial" w:hAnsi="Arial" w:cs="Arial"/>
                <w:sz w:val="22"/>
              </w:rPr>
              <w:t xml:space="preserve">Council </w:t>
            </w:r>
          </w:p>
        </w:tc>
        <w:tc>
          <w:tcPr>
            <w:tcW w:w="3562" w:type="pct"/>
            <w:shd w:val="clear" w:color="auto" w:fill="auto"/>
          </w:tcPr>
          <w:p w14:paraId="2D2E38ED" w14:textId="577F2937" w:rsidR="004D0EE6" w:rsidRPr="00AD1B85" w:rsidRDefault="00C04CA1" w:rsidP="00B40415">
            <w:pPr>
              <w:spacing w:before="120" w:after="120" w:line="240" w:lineRule="auto"/>
              <w:rPr>
                <w:rFonts w:ascii="Arial" w:hAnsi="Arial" w:cs="Arial"/>
                <w:sz w:val="22"/>
              </w:rPr>
            </w:pPr>
            <w:r w:rsidRPr="00AD1B85">
              <w:rPr>
                <w:rFonts w:ascii="Arial" w:hAnsi="Arial" w:cs="Arial"/>
                <w:sz w:val="22"/>
              </w:rPr>
              <w:t>Accountable for direction setting, performance monitoring, risk identification and mitigation, monitoring financial viability and sustainability, and influencing the corporate culture of the University.</w:t>
            </w:r>
          </w:p>
        </w:tc>
      </w:tr>
      <w:tr w:rsidR="004D0EE6" w:rsidRPr="00AD1B85" w14:paraId="0FEB9BBE" w14:textId="77777777" w:rsidTr="00B40415">
        <w:tc>
          <w:tcPr>
            <w:tcW w:w="1438" w:type="pct"/>
            <w:shd w:val="clear" w:color="auto" w:fill="auto"/>
          </w:tcPr>
          <w:p w14:paraId="0821A1A9" w14:textId="18AD9F04" w:rsidR="004D0EE6" w:rsidRPr="00AD1B85" w:rsidRDefault="00C04CA1" w:rsidP="00B40415">
            <w:pPr>
              <w:spacing w:before="120" w:after="120" w:line="240" w:lineRule="auto"/>
              <w:rPr>
                <w:rFonts w:ascii="Arial" w:hAnsi="Arial" w:cs="Arial"/>
                <w:sz w:val="22"/>
              </w:rPr>
            </w:pPr>
            <w:r w:rsidRPr="00AD1B85">
              <w:rPr>
                <w:rFonts w:ascii="Arial" w:hAnsi="Arial" w:cs="Arial"/>
                <w:sz w:val="22"/>
              </w:rPr>
              <w:t>Academic Committee</w:t>
            </w:r>
          </w:p>
        </w:tc>
        <w:tc>
          <w:tcPr>
            <w:tcW w:w="3562" w:type="pct"/>
            <w:shd w:val="clear" w:color="auto" w:fill="auto"/>
          </w:tcPr>
          <w:p w14:paraId="70BCA3FA" w14:textId="34A16716" w:rsidR="004D0EE6" w:rsidRPr="00AD1B85" w:rsidRDefault="00C04CA1" w:rsidP="00B40415">
            <w:pPr>
              <w:spacing w:before="120" w:after="120" w:line="240" w:lineRule="auto"/>
              <w:rPr>
                <w:rFonts w:ascii="Arial" w:hAnsi="Arial" w:cs="Arial"/>
                <w:sz w:val="22"/>
              </w:rPr>
            </w:pPr>
            <w:r w:rsidRPr="00AD1B85">
              <w:rPr>
                <w:rFonts w:ascii="Arial" w:hAnsi="Arial" w:cs="Arial"/>
                <w:sz w:val="22"/>
              </w:rPr>
              <w:t>Responsible to the Council for assuring the quality of the University’s academic standards through its oversight of learning and teaching and research processes and outcomes, as set down in the Strategic Plan and its supporting plans, in particular its monitoring of the effectiveness of policies, systems and procedures related to program and course management and research management.</w:t>
            </w:r>
          </w:p>
        </w:tc>
      </w:tr>
      <w:tr w:rsidR="004D0EE6" w:rsidRPr="00AD1B85" w14:paraId="7880D5C3" w14:textId="77777777" w:rsidTr="00B40415">
        <w:tc>
          <w:tcPr>
            <w:tcW w:w="1438" w:type="pct"/>
            <w:shd w:val="clear" w:color="auto" w:fill="auto"/>
          </w:tcPr>
          <w:p w14:paraId="5CC28D7B" w14:textId="078050C1" w:rsidR="004D0EE6" w:rsidRPr="00AD1B85" w:rsidRDefault="00C04CA1" w:rsidP="00B40415">
            <w:pPr>
              <w:spacing w:before="120" w:after="120" w:line="240" w:lineRule="auto"/>
              <w:rPr>
                <w:rFonts w:ascii="Arial" w:hAnsi="Arial" w:cs="Arial"/>
                <w:sz w:val="22"/>
              </w:rPr>
            </w:pPr>
            <w:r w:rsidRPr="00AD1B85">
              <w:rPr>
                <w:rFonts w:ascii="Arial" w:hAnsi="Arial" w:cs="Arial"/>
                <w:sz w:val="22"/>
              </w:rPr>
              <w:t xml:space="preserve">University Learning &amp; Teaching Committee </w:t>
            </w:r>
          </w:p>
        </w:tc>
        <w:tc>
          <w:tcPr>
            <w:tcW w:w="3562" w:type="pct"/>
            <w:shd w:val="clear" w:color="auto" w:fill="auto"/>
          </w:tcPr>
          <w:p w14:paraId="46384A22" w14:textId="6CCBD7DC" w:rsidR="004D0EE6" w:rsidRPr="00AD1B85" w:rsidRDefault="00C04CA1" w:rsidP="00B40415">
            <w:pPr>
              <w:spacing w:before="120" w:after="120" w:line="240" w:lineRule="auto"/>
              <w:rPr>
                <w:rFonts w:ascii="Arial" w:hAnsi="Arial" w:cs="Arial"/>
                <w:sz w:val="22"/>
              </w:rPr>
            </w:pPr>
            <w:r w:rsidRPr="00AD1B85">
              <w:rPr>
                <w:rFonts w:ascii="Arial" w:hAnsi="Arial" w:cs="Arial"/>
                <w:sz w:val="22"/>
              </w:rPr>
              <w:t xml:space="preserve">Monitoring the University's learning and teaching performance routinely against established benchmarks and standards, including the </w:t>
            </w:r>
            <w:r w:rsidRPr="00AD1B85">
              <w:rPr>
                <w:rFonts w:ascii="Arial" w:hAnsi="Arial" w:cs="Arial"/>
                <w:i/>
                <w:iCs/>
                <w:sz w:val="22"/>
              </w:rPr>
              <w:t>Higher Education Standards Framework</w:t>
            </w:r>
            <w:r w:rsidRPr="00AD1B85">
              <w:rPr>
                <w:rFonts w:ascii="Arial" w:hAnsi="Arial" w:cs="Arial"/>
                <w:sz w:val="22"/>
              </w:rPr>
              <w:t>, and advising on their effectiveness as measures of performance</w:t>
            </w:r>
            <w:r w:rsidR="00A23964" w:rsidRPr="00AD1B85">
              <w:rPr>
                <w:rFonts w:ascii="Arial" w:hAnsi="Arial" w:cs="Arial"/>
                <w:sz w:val="22"/>
              </w:rPr>
              <w:t>.</w:t>
            </w:r>
          </w:p>
        </w:tc>
      </w:tr>
      <w:tr w:rsidR="00C04CA1" w:rsidRPr="00AD1B85" w14:paraId="14B3BBFD" w14:textId="77777777" w:rsidTr="00B40415">
        <w:tc>
          <w:tcPr>
            <w:tcW w:w="1438" w:type="pct"/>
            <w:shd w:val="clear" w:color="auto" w:fill="auto"/>
          </w:tcPr>
          <w:p w14:paraId="601812E2" w14:textId="254E947E" w:rsidR="00C04CA1" w:rsidRPr="00AD1B85" w:rsidRDefault="00C04CA1" w:rsidP="00B40415">
            <w:pPr>
              <w:spacing w:before="120" w:after="120" w:line="240" w:lineRule="auto"/>
              <w:rPr>
                <w:rFonts w:ascii="Arial" w:hAnsi="Arial" w:cs="Arial"/>
                <w:sz w:val="22"/>
              </w:rPr>
            </w:pPr>
            <w:r w:rsidRPr="00AD1B85">
              <w:rPr>
                <w:rFonts w:ascii="Arial" w:hAnsi="Arial" w:cs="Arial"/>
                <w:sz w:val="22"/>
              </w:rPr>
              <w:t>Research Committee</w:t>
            </w:r>
          </w:p>
        </w:tc>
        <w:tc>
          <w:tcPr>
            <w:tcW w:w="3562" w:type="pct"/>
            <w:shd w:val="clear" w:color="auto" w:fill="auto"/>
          </w:tcPr>
          <w:p w14:paraId="16995DE4" w14:textId="747F122F" w:rsidR="00C04CA1" w:rsidRPr="00AD1B85" w:rsidRDefault="00C04CA1" w:rsidP="00B40415">
            <w:pPr>
              <w:spacing w:before="120" w:after="120" w:line="240" w:lineRule="auto"/>
              <w:rPr>
                <w:rFonts w:ascii="Arial" w:hAnsi="Arial" w:cs="Arial"/>
                <w:sz w:val="22"/>
              </w:rPr>
            </w:pPr>
            <w:r w:rsidRPr="00AD1B85">
              <w:rPr>
                <w:rFonts w:ascii="Arial" w:hAnsi="Arial" w:cs="Arial"/>
                <w:sz w:val="22"/>
              </w:rPr>
              <w:t xml:space="preserve">Makes recommendations </w:t>
            </w:r>
            <w:r w:rsidR="17B84088" w:rsidRPr="00AD1B85">
              <w:rPr>
                <w:rFonts w:ascii="Arial" w:hAnsi="Arial" w:cs="Arial"/>
                <w:sz w:val="22"/>
              </w:rPr>
              <w:t xml:space="preserve">and provides </w:t>
            </w:r>
            <w:r w:rsidR="44AEC895" w:rsidRPr="00AD1B85">
              <w:rPr>
                <w:rFonts w:ascii="Arial" w:eastAsia="Calibri" w:hAnsi="Arial" w:cs="Arial"/>
                <w:sz w:val="22"/>
              </w:rPr>
              <w:t>advice to the Deputy Vice Chancellor Research and Academic Committee on the University’s research policies and strategies</w:t>
            </w:r>
            <w:r w:rsidR="74D17F47" w:rsidRPr="00AD1B85">
              <w:rPr>
                <w:rFonts w:ascii="Arial" w:eastAsia="Calibri" w:hAnsi="Arial" w:cs="Arial"/>
                <w:sz w:val="22"/>
              </w:rPr>
              <w:t>;</w:t>
            </w:r>
            <w:r w:rsidR="44AEC895" w:rsidRPr="00AD1B85">
              <w:rPr>
                <w:rFonts w:ascii="Arial" w:eastAsia="Calibri" w:hAnsi="Arial" w:cs="Arial"/>
                <w:sz w:val="22"/>
              </w:rPr>
              <w:t xml:space="preserve"> monitoring progress towards the University’s research goals; promoting human research and animal ethics, </w:t>
            </w:r>
            <w:proofErr w:type="gramStart"/>
            <w:r w:rsidR="44AEC895" w:rsidRPr="00AD1B85">
              <w:rPr>
                <w:rFonts w:ascii="Arial" w:eastAsia="Calibri" w:hAnsi="Arial" w:cs="Arial"/>
                <w:sz w:val="22"/>
              </w:rPr>
              <w:t>biosafety</w:t>
            </w:r>
            <w:proofErr w:type="gramEnd"/>
            <w:r w:rsidR="44AEC895" w:rsidRPr="00AD1B85">
              <w:rPr>
                <w:rFonts w:ascii="Arial" w:eastAsia="Calibri" w:hAnsi="Arial" w:cs="Arial"/>
                <w:sz w:val="22"/>
              </w:rPr>
              <w:t xml:space="preserve"> and the responsible conduct of research; and reviewing responses to State and Commonwealth research policies and evaluations.</w:t>
            </w:r>
          </w:p>
        </w:tc>
      </w:tr>
      <w:tr w:rsidR="00443DA8" w:rsidRPr="00AD1B85" w14:paraId="14E0269A" w14:textId="77777777" w:rsidTr="00B40415">
        <w:tc>
          <w:tcPr>
            <w:tcW w:w="1438" w:type="pct"/>
            <w:shd w:val="clear" w:color="auto" w:fill="auto"/>
          </w:tcPr>
          <w:p w14:paraId="0B9779E1" w14:textId="6E38E18C" w:rsidR="00443DA8" w:rsidRPr="00AD1B85" w:rsidRDefault="00443DA8" w:rsidP="00B40415">
            <w:pPr>
              <w:spacing w:before="120" w:after="120" w:line="240" w:lineRule="auto"/>
              <w:rPr>
                <w:rFonts w:ascii="Arial" w:hAnsi="Arial" w:cs="Arial"/>
                <w:sz w:val="22"/>
              </w:rPr>
            </w:pPr>
            <w:r w:rsidRPr="00AD1B85">
              <w:rPr>
                <w:rFonts w:ascii="Arial" w:hAnsi="Arial" w:cs="Arial"/>
                <w:sz w:val="22"/>
              </w:rPr>
              <w:t xml:space="preserve">Board of Graduate Research </w:t>
            </w:r>
          </w:p>
        </w:tc>
        <w:tc>
          <w:tcPr>
            <w:tcW w:w="3562" w:type="pct"/>
            <w:shd w:val="clear" w:color="auto" w:fill="auto"/>
          </w:tcPr>
          <w:p w14:paraId="4D2B6575" w14:textId="7EF87BB7" w:rsidR="00443DA8" w:rsidRPr="00AD1B85" w:rsidRDefault="001F5876" w:rsidP="00B40415">
            <w:pPr>
              <w:spacing w:before="120" w:after="120" w:line="240" w:lineRule="auto"/>
              <w:rPr>
                <w:rFonts w:ascii="Arial" w:hAnsi="Arial" w:cs="Arial"/>
                <w:sz w:val="22"/>
              </w:rPr>
            </w:pPr>
            <w:r w:rsidRPr="00AD1B85">
              <w:rPr>
                <w:rFonts w:ascii="Arial" w:hAnsi="Arial" w:cs="Arial"/>
                <w:sz w:val="22"/>
              </w:rPr>
              <w:t>Makes recommendations to Academic Committee and advises the Deputy Vice Chancellor (Research) on strategic planning, policy and quality assurance matters concerning higher degree by research (HDR) programs and candidature, research training and higher doctorate arrangements.</w:t>
            </w:r>
          </w:p>
        </w:tc>
      </w:tr>
      <w:tr w:rsidR="00C04CA1" w:rsidRPr="00AD1B85" w14:paraId="3DFF94CB" w14:textId="77777777" w:rsidTr="00B40415">
        <w:tc>
          <w:tcPr>
            <w:tcW w:w="1438" w:type="pct"/>
            <w:shd w:val="clear" w:color="auto" w:fill="auto"/>
          </w:tcPr>
          <w:p w14:paraId="30900C42" w14:textId="57BA2488" w:rsidR="00C04CA1" w:rsidRPr="00AD1B85" w:rsidRDefault="00C04CA1" w:rsidP="00B40415">
            <w:pPr>
              <w:spacing w:before="120" w:after="120" w:line="240" w:lineRule="auto"/>
              <w:rPr>
                <w:rFonts w:ascii="Arial" w:hAnsi="Arial" w:cs="Arial"/>
                <w:sz w:val="22"/>
              </w:rPr>
            </w:pPr>
            <w:r w:rsidRPr="00AD1B85">
              <w:rPr>
                <w:rFonts w:ascii="Arial" w:hAnsi="Arial" w:cs="Arial"/>
                <w:sz w:val="22"/>
              </w:rPr>
              <w:t>Programs Committee</w:t>
            </w:r>
          </w:p>
        </w:tc>
        <w:tc>
          <w:tcPr>
            <w:tcW w:w="3562" w:type="pct"/>
            <w:shd w:val="clear" w:color="auto" w:fill="auto"/>
          </w:tcPr>
          <w:p w14:paraId="7FCD3E2F" w14:textId="698C9E17" w:rsidR="00C04CA1" w:rsidRPr="00AD1B85" w:rsidRDefault="00C04CA1" w:rsidP="00B40415">
            <w:pPr>
              <w:spacing w:before="120" w:after="120" w:line="240" w:lineRule="auto"/>
              <w:rPr>
                <w:rFonts w:ascii="Arial" w:hAnsi="Arial" w:cs="Arial"/>
                <w:sz w:val="22"/>
              </w:rPr>
            </w:pPr>
            <w:r w:rsidRPr="00AD1B85">
              <w:rPr>
                <w:rFonts w:ascii="Arial" w:hAnsi="Arial" w:cs="Arial"/>
                <w:sz w:val="22"/>
              </w:rPr>
              <w:t xml:space="preserve">Through </w:t>
            </w:r>
            <w:r w:rsidR="00D533BF" w:rsidRPr="00AD1B85">
              <w:rPr>
                <w:rFonts w:ascii="Arial" w:hAnsi="Arial" w:cs="Arial"/>
                <w:sz w:val="22"/>
              </w:rPr>
              <w:t>Academic</w:t>
            </w:r>
            <w:r w:rsidRPr="00AD1B85">
              <w:rPr>
                <w:rFonts w:ascii="Arial" w:hAnsi="Arial" w:cs="Arial"/>
                <w:sz w:val="22"/>
              </w:rPr>
              <w:t xml:space="preserve"> Committee, has delegated authority to discharge the following functions:</w:t>
            </w:r>
          </w:p>
          <w:p w14:paraId="0D405348" w14:textId="7CE5147B" w:rsidR="00C04CA1" w:rsidRPr="00AD1B85" w:rsidRDefault="00C04CA1" w:rsidP="006041E8">
            <w:pPr>
              <w:pStyle w:val="ListParagraph"/>
              <w:numPr>
                <w:ilvl w:val="0"/>
                <w:numId w:val="3"/>
              </w:numPr>
              <w:spacing w:before="120" w:after="120" w:line="240" w:lineRule="auto"/>
              <w:ind w:left="462"/>
              <w:rPr>
                <w:rFonts w:ascii="Arial" w:hAnsi="Arial" w:cs="Arial"/>
                <w:sz w:val="22"/>
              </w:rPr>
            </w:pPr>
            <w:r w:rsidRPr="00AD1B85">
              <w:rPr>
                <w:rFonts w:ascii="Arial" w:hAnsi="Arial" w:cs="Arial"/>
                <w:sz w:val="22"/>
              </w:rPr>
              <w:t xml:space="preserve">approve new awards, including degree requirements, program structure and content and changes to existing </w:t>
            </w:r>
            <w:proofErr w:type="gramStart"/>
            <w:r w:rsidRPr="00AD1B85">
              <w:rPr>
                <w:rFonts w:ascii="Arial" w:hAnsi="Arial" w:cs="Arial"/>
                <w:sz w:val="22"/>
              </w:rPr>
              <w:t>awards</w:t>
            </w:r>
            <w:proofErr w:type="gramEnd"/>
          </w:p>
          <w:p w14:paraId="43DDCBAD" w14:textId="0DB74041" w:rsidR="00C04CA1" w:rsidRPr="00AD1B85" w:rsidRDefault="00C04CA1" w:rsidP="006041E8">
            <w:pPr>
              <w:pStyle w:val="ListParagraph"/>
              <w:numPr>
                <w:ilvl w:val="0"/>
                <w:numId w:val="3"/>
              </w:numPr>
              <w:spacing w:before="120" w:after="120" w:line="240" w:lineRule="auto"/>
              <w:ind w:left="462"/>
              <w:rPr>
                <w:rFonts w:ascii="Arial" w:hAnsi="Arial" w:cs="Arial"/>
                <w:sz w:val="22"/>
              </w:rPr>
            </w:pPr>
            <w:r w:rsidRPr="00AD1B85">
              <w:rPr>
                <w:rFonts w:ascii="Arial" w:hAnsi="Arial" w:cs="Arial"/>
                <w:sz w:val="22"/>
              </w:rPr>
              <w:t xml:space="preserve">approve the withdrawal of </w:t>
            </w:r>
            <w:proofErr w:type="gramStart"/>
            <w:r w:rsidRPr="00AD1B85">
              <w:rPr>
                <w:rFonts w:ascii="Arial" w:hAnsi="Arial" w:cs="Arial"/>
                <w:sz w:val="22"/>
              </w:rPr>
              <w:t>programs</w:t>
            </w:r>
            <w:proofErr w:type="gramEnd"/>
          </w:p>
          <w:p w14:paraId="2133097C" w14:textId="5CDC85CB" w:rsidR="00C04CA1" w:rsidRPr="00AD1B85" w:rsidRDefault="00C04CA1" w:rsidP="006041E8">
            <w:pPr>
              <w:pStyle w:val="ListParagraph"/>
              <w:numPr>
                <w:ilvl w:val="0"/>
                <w:numId w:val="3"/>
              </w:numPr>
              <w:spacing w:before="120" w:after="120" w:line="240" w:lineRule="auto"/>
              <w:ind w:left="462"/>
              <w:rPr>
                <w:rFonts w:ascii="Arial" w:hAnsi="Arial" w:cs="Arial"/>
                <w:sz w:val="22"/>
              </w:rPr>
            </w:pPr>
            <w:r w:rsidRPr="00AD1B85">
              <w:rPr>
                <w:rFonts w:ascii="Arial" w:hAnsi="Arial" w:cs="Arial"/>
                <w:sz w:val="22"/>
              </w:rPr>
              <w:lastRenderedPageBreak/>
              <w:t>establish standing sub-committees from time to time and approve proposed changes to the respective constitution for each sub-committee.</w:t>
            </w:r>
          </w:p>
        </w:tc>
      </w:tr>
      <w:tr w:rsidR="00C04CA1" w:rsidRPr="00AD1B85" w14:paraId="7E77EB10" w14:textId="77777777" w:rsidTr="00B40415">
        <w:tc>
          <w:tcPr>
            <w:tcW w:w="1438" w:type="pct"/>
            <w:shd w:val="clear" w:color="auto" w:fill="auto"/>
          </w:tcPr>
          <w:p w14:paraId="53DBDFB7" w14:textId="662EB5CC" w:rsidR="00C04CA1" w:rsidRPr="00AD1B85" w:rsidRDefault="00C04CA1" w:rsidP="00B40415">
            <w:pPr>
              <w:spacing w:before="120" w:after="120" w:line="240" w:lineRule="auto"/>
              <w:rPr>
                <w:rFonts w:ascii="Arial" w:hAnsi="Arial" w:cs="Arial"/>
                <w:sz w:val="22"/>
              </w:rPr>
            </w:pPr>
            <w:r w:rsidRPr="00AD1B85">
              <w:rPr>
                <w:rFonts w:ascii="Arial" w:hAnsi="Arial" w:cs="Arial"/>
                <w:sz w:val="22"/>
              </w:rPr>
              <w:lastRenderedPageBreak/>
              <w:t>Program Strategy Board</w:t>
            </w:r>
          </w:p>
        </w:tc>
        <w:tc>
          <w:tcPr>
            <w:tcW w:w="3562" w:type="pct"/>
            <w:shd w:val="clear" w:color="auto" w:fill="auto"/>
          </w:tcPr>
          <w:p w14:paraId="3522432D" w14:textId="26BB2AA0" w:rsidR="00C04CA1" w:rsidRPr="00AD1B85" w:rsidRDefault="00C04CA1" w:rsidP="00B40415">
            <w:pPr>
              <w:spacing w:before="120" w:after="120" w:line="240" w:lineRule="auto"/>
              <w:rPr>
                <w:rFonts w:ascii="Arial" w:hAnsi="Arial" w:cs="Arial"/>
                <w:sz w:val="22"/>
              </w:rPr>
            </w:pPr>
            <w:r w:rsidRPr="00AD1B85">
              <w:rPr>
                <w:rFonts w:ascii="Arial" w:hAnsi="Arial" w:cs="Arial"/>
                <w:sz w:val="22"/>
              </w:rPr>
              <w:t xml:space="preserve">On behalf of Executive Group ensures Griffith’s program portfolio of programs are strategically aligned, successful in the market and financially sustainable. </w:t>
            </w:r>
          </w:p>
        </w:tc>
      </w:tr>
      <w:tr w:rsidR="00C04CA1" w:rsidRPr="00AD1B85" w14:paraId="7D71F3A9" w14:textId="77777777" w:rsidTr="00B40415">
        <w:tc>
          <w:tcPr>
            <w:tcW w:w="1438" w:type="pct"/>
            <w:shd w:val="clear" w:color="auto" w:fill="auto"/>
          </w:tcPr>
          <w:p w14:paraId="658E6B6C" w14:textId="191D8AC5" w:rsidR="00C04CA1" w:rsidRPr="00AD1B85" w:rsidRDefault="00C04CA1" w:rsidP="00B40415">
            <w:pPr>
              <w:spacing w:before="120" w:after="120" w:line="240" w:lineRule="auto"/>
              <w:rPr>
                <w:rFonts w:ascii="Arial" w:hAnsi="Arial" w:cs="Arial"/>
                <w:sz w:val="22"/>
              </w:rPr>
            </w:pPr>
            <w:r w:rsidRPr="00AD1B85">
              <w:rPr>
                <w:rFonts w:ascii="Arial" w:hAnsi="Arial" w:cs="Arial"/>
                <w:sz w:val="22"/>
              </w:rPr>
              <w:t xml:space="preserve">Group </w:t>
            </w:r>
            <w:r w:rsidR="00067949" w:rsidRPr="00AD1B85">
              <w:rPr>
                <w:rFonts w:ascii="Arial" w:hAnsi="Arial" w:cs="Arial"/>
                <w:sz w:val="22"/>
              </w:rPr>
              <w:t>Board</w:t>
            </w:r>
            <w:r w:rsidRPr="00AD1B85">
              <w:rPr>
                <w:rFonts w:ascii="Arial" w:hAnsi="Arial" w:cs="Arial"/>
                <w:sz w:val="22"/>
              </w:rPr>
              <w:t xml:space="preserve"> </w:t>
            </w:r>
          </w:p>
        </w:tc>
        <w:tc>
          <w:tcPr>
            <w:tcW w:w="3562" w:type="pct"/>
            <w:shd w:val="clear" w:color="auto" w:fill="auto"/>
          </w:tcPr>
          <w:p w14:paraId="23BBF9FC" w14:textId="143CA273" w:rsidR="00C04CA1" w:rsidRPr="00AD1B85" w:rsidRDefault="002E2A4C" w:rsidP="00B40415">
            <w:pPr>
              <w:spacing w:before="120" w:after="120" w:line="240" w:lineRule="auto"/>
              <w:rPr>
                <w:rFonts w:ascii="Arial" w:hAnsi="Arial" w:cs="Arial"/>
                <w:sz w:val="22"/>
              </w:rPr>
            </w:pPr>
            <w:r w:rsidRPr="00AD1B85">
              <w:rPr>
                <w:rFonts w:ascii="Arial" w:hAnsi="Arial" w:cs="Arial"/>
                <w:color w:val="000000"/>
                <w:sz w:val="22"/>
              </w:rPr>
              <w:t>A</w:t>
            </w:r>
            <w:r w:rsidR="00F33A41" w:rsidRPr="00AD1B85">
              <w:rPr>
                <w:rFonts w:ascii="Arial" w:hAnsi="Arial" w:cs="Arial"/>
                <w:color w:val="000000"/>
                <w:sz w:val="22"/>
              </w:rPr>
              <w:t>dvise on learning and teaching policy and practice and the management of learning and teaching, including</w:t>
            </w:r>
            <w:r w:rsidR="00863A68" w:rsidRPr="00AD1B85">
              <w:rPr>
                <w:rFonts w:ascii="Arial" w:eastAsia="Calibri" w:hAnsi="Arial" w:cs="Arial"/>
                <w:color w:val="000000"/>
                <w:sz w:val="22"/>
              </w:rPr>
              <w:t xml:space="preserve"> strategies for promoting high quality and innovative teaching across the Group.</w:t>
            </w:r>
            <w:r w:rsidRPr="00AD1B85">
              <w:rPr>
                <w:rFonts w:ascii="Arial" w:eastAsia="Calibri" w:hAnsi="Arial" w:cs="Arial"/>
                <w:color w:val="000000"/>
                <w:sz w:val="22"/>
              </w:rPr>
              <w:t xml:space="preserve"> Advise on </w:t>
            </w:r>
            <w:r w:rsidRPr="00AD1B85">
              <w:rPr>
                <w:rFonts w:ascii="Arial" w:hAnsi="Arial" w:cs="Arial"/>
                <w:color w:val="000000"/>
                <w:sz w:val="22"/>
              </w:rPr>
              <w:t>research policy, the management of research and research training</w:t>
            </w:r>
            <w:r w:rsidR="00B464E0" w:rsidRPr="00AD1B85">
              <w:rPr>
                <w:rFonts w:ascii="Arial" w:hAnsi="Arial" w:cs="Arial"/>
                <w:color w:val="000000"/>
                <w:sz w:val="22"/>
              </w:rPr>
              <w:t>, including development of strategies to enhance the impact of the Group's research and the quality of research publications</w:t>
            </w:r>
            <w:r w:rsidR="005668A1" w:rsidRPr="00AD1B85">
              <w:rPr>
                <w:rFonts w:ascii="Arial" w:hAnsi="Arial" w:cs="Arial"/>
                <w:color w:val="000000"/>
                <w:sz w:val="22"/>
              </w:rPr>
              <w:t>.</w:t>
            </w:r>
          </w:p>
        </w:tc>
      </w:tr>
      <w:tr w:rsidR="008F6C14" w:rsidRPr="00AD1B85" w14:paraId="540AD98D" w14:textId="77777777" w:rsidTr="00B40415">
        <w:tc>
          <w:tcPr>
            <w:tcW w:w="1438" w:type="pct"/>
            <w:shd w:val="clear" w:color="auto" w:fill="auto"/>
          </w:tcPr>
          <w:p w14:paraId="3FB23074" w14:textId="448A68FC" w:rsidR="008F6C14" w:rsidRPr="00AD1B85" w:rsidRDefault="00DE2DBF" w:rsidP="00B40415">
            <w:pPr>
              <w:spacing w:before="120" w:after="120" w:line="240" w:lineRule="auto"/>
              <w:rPr>
                <w:rFonts w:ascii="Arial" w:hAnsi="Arial" w:cs="Arial"/>
                <w:sz w:val="22"/>
              </w:rPr>
            </w:pPr>
            <w:r w:rsidRPr="00AD1B85">
              <w:rPr>
                <w:rFonts w:ascii="Arial" w:hAnsi="Arial" w:cs="Arial"/>
                <w:sz w:val="22"/>
              </w:rPr>
              <w:t>Provo</w:t>
            </w:r>
            <w:r w:rsidR="00133B49" w:rsidRPr="00AD1B85">
              <w:rPr>
                <w:rFonts w:ascii="Arial" w:hAnsi="Arial" w:cs="Arial"/>
                <w:sz w:val="22"/>
              </w:rPr>
              <w:t xml:space="preserve">st </w:t>
            </w:r>
          </w:p>
        </w:tc>
        <w:tc>
          <w:tcPr>
            <w:tcW w:w="3562" w:type="pct"/>
            <w:shd w:val="clear" w:color="auto" w:fill="auto"/>
          </w:tcPr>
          <w:p w14:paraId="31F9B7BF" w14:textId="4F8FA0F9" w:rsidR="008F6C14" w:rsidRPr="00AD1B85" w:rsidRDefault="00CC7E9D" w:rsidP="00B40415">
            <w:pPr>
              <w:spacing w:before="120" w:after="120" w:line="240" w:lineRule="auto"/>
              <w:rPr>
                <w:rFonts w:ascii="Arial" w:hAnsi="Arial" w:cs="Arial"/>
                <w:color w:val="000000"/>
                <w:sz w:val="22"/>
              </w:rPr>
            </w:pPr>
            <w:r w:rsidRPr="00AD1B85">
              <w:rPr>
                <w:rFonts w:ascii="Arial" w:hAnsi="Arial" w:cs="Arial"/>
                <w:color w:val="000000"/>
                <w:sz w:val="22"/>
              </w:rPr>
              <w:t xml:space="preserve">Establishing clear accountabilities for the monitoring and review of academic and administrative elements, programs, </w:t>
            </w:r>
            <w:r w:rsidR="007F0440" w:rsidRPr="00AD1B85">
              <w:rPr>
                <w:rFonts w:ascii="Arial" w:hAnsi="Arial" w:cs="Arial"/>
                <w:color w:val="000000"/>
                <w:sz w:val="22"/>
              </w:rPr>
              <w:t>courses,</w:t>
            </w:r>
            <w:r w:rsidRPr="00AD1B85">
              <w:rPr>
                <w:rFonts w:ascii="Arial" w:hAnsi="Arial" w:cs="Arial"/>
                <w:color w:val="000000"/>
                <w:sz w:val="22"/>
              </w:rPr>
              <w:t xml:space="preserve"> and teaching.</w:t>
            </w:r>
            <w:r w:rsidR="00994184" w:rsidRPr="00AD1B85">
              <w:rPr>
                <w:rFonts w:ascii="Arial" w:hAnsi="Arial" w:cs="Arial"/>
                <w:sz w:val="22"/>
              </w:rPr>
              <w:t xml:space="preserve"> </w:t>
            </w:r>
            <w:r w:rsidR="00994184" w:rsidRPr="00AD1B85">
              <w:rPr>
                <w:rFonts w:ascii="Arial" w:hAnsi="Arial" w:cs="Arial"/>
                <w:color w:val="000000"/>
                <w:sz w:val="22"/>
              </w:rPr>
              <w:t>Ensuring University reviews of academic elements and administrative divisions take place (</w:t>
            </w:r>
            <w:r w:rsidR="007F0440" w:rsidRPr="00AD1B85">
              <w:rPr>
                <w:rFonts w:ascii="Arial" w:hAnsi="Arial" w:cs="Arial"/>
                <w:color w:val="000000"/>
                <w:sz w:val="22"/>
              </w:rPr>
              <w:t>i.e.,</w:t>
            </w:r>
            <w:r w:rsidR="00994184" w:rsidRPr="00AD1B85">
              <w:rPr>
                <w:rFonts w:ascii="Arial" w:hAnsi="Arial" w:cs="Arial"/>
                <w:color w:val="000000"/>
                <w:sz w:val="22"/>
              </w:rPr>
              <w:t xml:space="preserve"> that policies and guidelines are implemented).</w:t>
            </w:r>
          </w:p>
        </w:tc>
      </w:tr>
      <w:tr w:rsidR="008F6C14" w:rsidRPr="00AD1B85" w14:paraId="42119C15" w14:textId="77777777" w:rsidTr="00B40415">
        <w:tc>
          <w:tcPr>
            <w:tcW w:w="1438" w:type="pct"/>
            <w:shd w:val="clear" w:color="auto" w:fill="auto"/>
          </w:tcPr>
          <w:p w14:paraId="76DFC88C" w14:textId="0FCB713D" w:rsidR="008F6C14" w:rsidRPr="00AD1B85" w:rsidRDefault="00994184" w:rsidP="00B40415">
            <w:pPr>
              <w:spacing w:before="120" w:after="120" w:line="240" w:lineRule="auto"/>
              <w:rPr>
                <w:rFonts w:ascii="Arial" w:hAnsi="Arial" w:cs="Arial"/>
                <w:sz w:val="22"/>
              </w:rPr>
            </w:pPr>
            <w:r w:rsidRPr="00AD1B85">
              <w:rPr>
                <w:rFonts w:ascii="Arial" w:hAnsi="Arial" w:cs="Arial"/>
                <w:sz w:val="22"/>
              </w:rPr>
              <w:t xml:space="preserve">Chief Operating Officer </w:t>
            </w:r>
          </w:p>
        </w:tc>
        <w:tc>
          <w:tcPr>
            <w:tcW w:w="3562" w:type="pct"/>
            <w:shd w:val="clear" w:color="auto" w:fill="auto"/>
          </w:tcPr>
          <w:p w14:paraId="021D88B1" w14:textId="4B5A9CCC" w:rsidR="008F6C14" w:rsidRPr="00AD1B85" w:rsidRDefault="009B4CB5" w:rsidP="00B40415">
            <w:pPr>
              <w:spacing w:before="120" w:after="120" w:line="240" w:lineRule="auto"/>
              <w:rPr>
                <w:rFonts w:ascii="Arial" w:hAnsi="Arial" w:cs="Arial"/>
                <w:color w:val="000000"/>
                <w:sz w:val="22"/>
              </w:rPr>
            </w:pPr>
            <w:r w:rsidRPr="00AD1B85">
              <w:rPr>
                <w:rFonts w:ascii="Arial" w:hAnsi="Arial" w:cs="Arial"/>
                <w:color w:val="000000"/>
                <w:sz w:val="22"/>
              </w:rPr>
              <w:t xml:space="preserve">The management of data systems to collate and report performance data at the levels of group, school, program, </w:t>
            </w:r>
            <w:r w:rsidR="007F0440" w:rsidRPr="00AD1B85">
              <w:rPr>
                <w:rFonts w:ascii="Arial" w:hAnsi="Arial" w:cs="Arial"/>
                <w:color w:val="000000"/>
                <w:sz w:val="22"/>
              </w:rPr>
              <w:t>course,</w:t>
            </w:r>
            <w:r w:rsidRPr="00AD1B85">
              <w:rPr>
                <w:rFonts w:ascii="Arial" w:hAnsi="Arial" w:cs="Arial"/>
                <w:color w:val="000000"/>
                <w:sz w:val="22"/>
              </w:rPr>
              <w:t xml:space="preserve"> and individual teacher in a useable form. The management of administrative support for implementation of the University’s planning and review policies and processes.</w:t>
            </w:r>
          </w:p>
        </w:tc>
      </w:tr>
      <w:tr w:rsidR="000936E5" w:rsidRPr="00AD1B85" w14:paraId="5293A619" w14:textId="77777777" w:rsidTr="00B40415">
        <w:tc>
          <w:tcPr>
            <w:tcW w:w="1438" w:type="pct"/>
            <w:shd w:val="clear" w:color="auto" w:fill="auto"/>
          </w:tcPr>
          <w:p w14:paraId="641588E0" w14:textId="04BA983B" w:rsidR="000936E5" w:rsidRPr="00AD1B85" w:rsidRDefault="00FF4DB7" w:rsidP="00B40415">
            <w:pPr>
              <w:spacing w:before="120" w:after="120" w:line="240" w:lineRule="auto"/>
              <w:rPr>
                <w:rFonts w:ascii="Arial" w:hAnsi="Arial" w:cs="Arial"/>
                <w:sz w:val="22"/>
              </w:rPr>
            </w:pPr>
            <w:r w:rsidRPr="00AD1B85">
              <w:rPr>
                <w:rFonts w:ascii="Arial" w:hAnsi="Arial" w:cs="Arial"/>
                <w:sz w:val="22"/>
              </w:rPr>
              <w:t>Group PVCs, Deans, Heads of Schools, Directors</w:t>
            </w:r>
          </w:p>
        </w:tc>
        <w:tc>
          <w:tcPr>
            <w:tcW w:w="3562" w:type="pct"/>
            <w:shd w:val="clear" w:color="auto" w:fill="auto"/>
          </w:tcPr>
          <w:p w14:paraId="2930DCCE" w14:textId="7182746C" w:rsidR="000936E5" w:rsidRPr="00AD1B85" w:rsidRDefault="00946B98" w:rsidP="00B40415">
            <w:pPr>
              <w:spacing w:before="120" w:after="120" w:line="240" w:lineRule="auto"/>
              <w:rPr>
                <w:rFonts w:ascii="Arial" w:hAnsi="Arial" w:cs="Arial"/>
                <w:color w:val="000000"/>
                <w:sz w:val="22"/>
              </w:rPr>
            </w:pPr>
            <w:r w:rsidRPr="00AD1B85">
              <w:rPr>
                <w:rFonts w:ascii="Arial" w:hAnsi="Arial" w:cs="Arial"/>
                <w:color w:val="000000"/>
                <w:sz w:val="22"/>
              </w:rPr>
              <w:t xml:space="preserve">Ensuring implementation of quality assurance and enhancement activities within academic or administrative elements. Ensuring preparation of the </w:t>
            </w:r>
            <w:r w:rsidR="00DD34E6" w:rsidRPr="00AD1B85">
              <w:rPr>
                <w:rFonts w:ascii="Arial" w:hAnsi="Arial" w:cs="Arial"/>
                <w:color w:val="000000"/>
                <w:sz w:val="22"/>
              </w:rPr>
              <w:t>review submission,</w:t>
            </w:r>
            <w:r w:rsidR="00BB010F" w:rsidRPr="00AD1B85">
              <w:rPr>
                <w:rFonts w:ascii="Arial" w:hAnsi="Arial" w:cs="Arial"/>
                <w:color w:val="000000"/>
                <w:sz w:val="22"/>
              </w:rPr>
              <w:t xml:space="preserve"> </w:t>
            </w:r>
            <w:r w:rsidRPr="00AD1B85">
              <w:rPr>
                <w:rFonts w:ascii="Arial" w:hAnsi="Arial" w:cs="Arial"/>
                <w:color w:val="000000"/>
                <w:sz w:val="22"/>
              </w:rPr>
              <w:t>implementation of recommendations</w:t>
            </w:r>
            <w:r w:rsidR="00412648" w:rsidRPr="00AD1B85">
              <w:rPr>
                <w:rFonts w:ascii="Arial" w:hAnsi="Arial" w:cs="Arial"/>
                <w:color w:val="000000"/>
                <w:sz w:val="22"/>
              </w:rPr>
              <w:t xml:space="preserve">, </w:t>
            </w:r>
            <w:proofErr w:type="gramStart"/>
            <w:r w:rsidR="008C7BB9" w:rsidRPr="00AD1B85">
              <w:rPr>
                <w:rFonts w:ascii="Arial" w:hAnsi="Arial" w:cs="Arial"/>
                <w:color w:val="000000"/>
                <w:sz w:val="22"/>
              </w:rPr>
              <w:t>monitoring</w:t>
            </w:r>
            <w:proofErr w:type="gramEnd"/>
            <w:r w:rsidR="008C7BB9" w:rsidRPr="00AD1B85">
              <w:rPr>
                <w:rFonts w:ascii="Arial" w:hAnsi="Arial" w:cs="Arial"/>
                <w:color w:val="000000"/>
                <w:sz w:val="22"/>
              </w:rPr>
              <w:t xml:space="preserve"> and reporting. </w:t>
            </w:r>
          </w:p>
        </w:tc>
      </w:tr>
      <w:tr w:rsidR="000936E5" w:rsidRPr="00AD1B85" w14:paraId="77276C62" w14:textId="77777777" w:rsidTr="00B40415">
        <w:tc>
          <w:tcPr>
            <w:tcW w:w="1438" w:type="pct"/>
            <w:shd w:val="clear" w:color="auto" w:fill="auto"/>
          </w:tcPr>
          <w:p w14:paraId="60F78ED4" w14:textId="35F85965" w:rsidR="000936E5" w:rsidRPr="00AD1B85" w:rsidRDefault="00317C1A" w:rsidP="00B40415">
            <w:pPr>
              <w:spacing w:before="120" w:after="120" w:line="240" w:lineRule="auto"/>
              <w:rPr>
                <w:rFonts w:ascii="Arial" w:hAnsi="Arial" w:cs="Arial"/>
                <w:sz w:val="22"/>
              </w:rPr>
            </w:pPr>
            <w:r w:rsidRPr="00AD1B85">
              <w:rPr>
                <w:rFonts w:ascii="Arial" w:hAnsi="Arial" w:cs="Arial"/>
                <w:sz w:val="22"/>
              </w:rPr>
              <w:t>Program Director</w:t>
            </w:r>
            <w:r w:rsidR="006D7E8B" w:rsidRPr="00AD1B85">
              <w:rPr>
                <w:rFonts w:ascii="Arial" w:hAnsi="Arial" w:cs="Arial"/>
                <w:sz w:val="22"/>
              </w:rPr>
              <w:t>, Course Convener</w:t>
            </w:r>
          </w:p>
        </w:tc>
        <w:tc>
          <w:tcPr>
            <w:tcW w:w="3562" w:type="pct"/>
            <w:shd w:val="clear" w:color="auto" w:fill="auto"/>
          </w:tcPr>
          <w:p w14:paraId="142F56F3" w14:textId="636A9DE6" w:rsidR="000936E5" w:rsidRPr="00AD1B85" w:rsidRDefault="003D4B57" w:rsidP="00B40415">
            <w:pPr>
              <w:spacing w:before="120" w:after="120" w:line="240" w:lineRule="auto"/>
              <w:rPr>
                <w:rFonts w:ascii="Arial" w:hAnsi="Arial" w:cs="Arial"/>
                <w:color w:val="000000"/>
                <w:sz w:val="22"/>
              </w:rPr>
            </w:pPr>
            <w:r w:rsidRPr="00AD1B85">
              <w:rPr>
                <w:rFonts w:ascii="Arial" w:hAnsi="Arial" w:cs="Arial"/>
                <w:color w:val="000000"/>
                <w:sz w:val="22"/>
              </w:rPr>
              <w:t xml:space="preserve">Ensuring program </w:t>
            </w:r>
            <w:r w:rsidR="006D7E8B" w:rsidRPr="00AD1B85">
              <w:rPr>
                <w:rFonts w:ascii="Arial" w:hAnsi="Arial" w:cs="Arial"/>
                <w:color w:val="000000"/>
                <w:sz w:val="22"/>
              </w:rPr>
              <w:t xml:space="preserve">and course </w:t>
            </w:r>
            <w:r w:rsidRPr="00AD1B85">
              <w:rPr>
                <w:rFonts w:ascii="Arial" w:hAnsi="Arial" w:cs="Arial"/>
                <w:color w:val="000000"/>
                <w:sz w:val="22"/>
              </w:rPr>
              <w:t>monitoring and review takes place</w:t>
            </w:r>
            <w:r w:rsidR="001474C7" w:rsidRPr="00AD1B85">
              <w:rPr>
                <w:rFonts w:ascii="Arial" w:hAnsi="Arial" w:cs="Arial"/>
                <w:color w:val="000000"/>
                <w:sz w:val="22"/>
              </w:rPr>
              <w:t xml:space="preserve">. Provide constructive analysis and feedback on content, assessment, performance </w:t>
            </w:r>
            <w:r w:rsidR="00947CB7" w:rsidRPr="00AD1B85">
              <w:rPr>
                <w:rFonts w:ascii="Arial" w:hAnsi="Arial" w:cs="Arial"/>
                <w:color w:val="000000"/>
                <w:sz w:val="22"/>
              </w:rPr>
              <w:t xml:space="preserve">of </w:t>
            </w:r>
            <w:r w:rsidR="001474C7" w:rsidRPr="00AD1B85">
              <w:rPr>
                <w:rFonts w:ascii="Arial" w:hAnsi="Arial" w:cs="Arial"/>
                <w:color w:val="000000"/>
                <w:sz w:val="22"/>
              </w:rPr>
              <w:t>teaching,</w:t>
            </w:r>
            <w:r w:rsidR="009C1898" w:rsidRPr="00AD1B85">
              <w:rPr>
                <w:rFonts w:ascii="Arial" w:hAnsi="Arial" w:cs="Arial"/>
                <w:color w:val="000000"/>
                <w:sz w:val="22"/>
              </w:rPr>
              <w:t xml:space="preserve"> </w:t>
            </w:r>
            <w:r w:rsidR="001474C7" w:rsidRPr="00AD1B85">
              <w:rPr>
                <w:rFonts w:ascii="Arial" w:hAnsi="Arial" w:cs="Arial"/>
                <w:color w:val="000000"/>
                <w:sz w:val="22"/>
              </w:rPr>
              <w:t>and other academic activities.</w:t>
            </w:r>
          </w:p>
        </w:tc>
      </w:tr>
      <w:tr w:rsidR="006D7E8B" w:rsidRPr="00AD1B85" w14:paraId="3175699E" w14:textId="77777777" w:rsidTr="00B40415">
        <w:tc>
          <w:tcPr>
            <w:tcW w:w="1438" w:type="pct"/>
            <w:tcBorders>
              <w:bottom w:val="single" w:sz="4" w:space="0" w:color="auto"/>
            </w:tcBorders>
            <w:shd w:val="clear" w:color="auto" w:fill="auto"/>
          </w:tcPr>
          <w:p w14:paraId="1EF0203F" w14:textId="66970CE5" w:rsidR="006D7E8B" w:rsidRPr="00AD1B85" w:rsidRDefault="006D7E8B" w:rsidP="00B40415">
            <w:pPr>
              <w:spacing w:before="120" w:after="120" w:line="240" w:lineRule="auto"/>
              <w:rPr>
                <w:rFonts w:ascii="Arial" w:hAnsi="Arial" w:cs="Arial"/>
                <w:sz w:val="22"/>
              </w:rPr>
            </w:pPr>
            <w:r w:rsidRPr="00AD1B85">
              <w:rPr>
                <w:rFonts w:ascii="Arial" w:hAnsi="Arial" w:cs="Arial"/>
                <w:sz w:val="22"/>
              </w:rPr>
              <w:t xml:space="preserve">Students </w:t>
            </w:r>
          </w:p>
        </w:tc>
        <w:tc>
          <w:tcPr>
            <w:tcW w:w="3562" w:type="pct"/>
            <w:tcBorders>
              <w:bottom w:val="single" w:sz="4" w:space="0" w:color="auto"/>
            </w:tcBorders>
            <w:shd w:val="clear" w:color="auto" w:fill="auto"/>
          </w:tcPr>
          <w:p w14:paraId="7D11DDC2" w14:textId="538393C4" w:rsidR="006D7E8B" w:rsidRPr="00AD1B85" w:rsidRDefault="001474C7" w:rsidP="00B40415">
            <w:pPr>
              <w:spacing w:before="120" w:after="120" w:line="240" w:lineRule="auto"/>
              <w:rPr>
                <w:rFonts w:ascii="Arial" w:hAnsi="Arial" w:cs="Arial"/>
                <w:color w:val="000000"/>
                <w:sz w:val="22"/>
              </w:rPr>
            </w:pPr>
            <w:r w:rsidRPr="00AD1B85">
              <w:rPr>
                <w:rFonts w:ascii="Arial" w:hAnsi="Arial" w:cs="Arial"/>
                <w:color w:val="000000"/>
                <w:sz w:val="22"/>
              </w:rPr>
              <w:t xml:space="preserve">Under the Griffith University </w:t>
            </w:r>
            <w:r w:rsidRPr="00AD1B85">
              <w:rPr>
                <w:rFonts w:ascii="Arial" w:hAnsi="Arial" w:cs="Arial"/>
                <w:i/>
                <w:iCs/>
                <w:color w:val="000000"/>
                <w:sz w:val="22"/>
              </w:rPr>
              <w:t>Student Charte</w:t>
            </w:r>
            <w:r w:rsidR="00492215" w:rsidRPr="00AD1B85">
              <w:rPr>
                <w:rFonts w:ascii="Arial" w:hAnsi="Arial" w:cs="Arial"/>
                <w:i/>
                <w:iCs/>
                <w:color w:val="000000"/>
                <w:sz w:val="22"/>
              </w:rPr>
              <w:t>r Framework</w:t>
            </w:r>
            <w:r w:rsidR="00AE4D55" w:rsidRPr="00AD1B85">
              <w:rPr>
                <w:rFonts w:ascii="Arial" w:hAnsi="Arial" w:cs="Arial"/>
                <w:i/>
                <w:iCs/>
                <w:color w:val="000000"/>
                <w:sz w:val="22"/>
              </w:rPr>
              <w:t>,</w:t>
            </w:r>
            <w:r w:rsidRPr="00AD1B85">
              <w:rPr>
                <w:rFonts w:ascii="Arial" w:hAnsi="Arial" w:cs="Arial"/>
                <w:color w:val="000000"/>
                <w:sz w:val="22"/>
              </w:rPr>
              <w:t xml:space="preserve"> students are expected to provide constructive feedback on teaching, learning and other academic activities.</w:t>
            </w:r>
          </w:p>
        </w:tc>
      </w:tr>
      <w:tr w:rsidR="00D62BAD" w:rsidRPr="00AD1B85" w14:paraId="5ADB9B74" w14:textId="77777777" w:rsidTr="00B40415">
        <w:tc>
          <w:tcPr>
            <w:tcW w:w="1438" w:type="pct"/>
            <w:tcBorders>
              <w:top w:val="single" w:sz="4" w:space="0" w:color="auto"/>
              <w:bottom w:val="single" w:sz="4" w:space="0" w:color="auto"/>
            </w:tcBorders>
            <w:shd w:val="clear" w:color="auto" w:fill="auto"/>
          </w:tcPr>
          <w:p w14:paraId="7F4E0084" w14:textId="2B6F0310" w:rsidR="00D62BAD" w:rsidRPr="00AD1B85" w:rsidRDefault="00D62BAD" w:rsidP="00B40415">
            <w:pPr>
              <w:spacing w:before="120" w:after="120" w:line="240" w:lineRule="auto"/>
              <w:rPr>
                <w:rFonts w:ascii="Arial" w:hAnsi="Arial" w:cs="Arial"/>
                <w:sz w:val="22"/>
              </w:rPr>
            </w:pPr>
            <w:r w:rsidRPr="00AD1B85">
              <w:rPr>
                <w:rFonts w:ascii="Arial" w:hAnsi="Arial" w:cs="Arial"/>
                <w:sz w:val="22"/>
              </w:rPr>
              <w:t xml:space="preserve">Staff </w:t>
            </w:r>
          </w:p>
        </w:tc>
        <w:tc>
          <w:tcPr>
            <w:tcW w:w="3562" w:type="pct"/>
            <w:tcBorders>
              <w:top w:val="single" w:sz="4" w:space="0" w:color="auto"/>
              <w:bottom w:val="single" w:sz="4" w:space="0" w:color="auto"/>
            </w:tcBorders>
            <w:shd w:val="clear" w:color="auto" w:fill="auto"/>
          </w:tcPr>
          <w:p w14:paraId="6E76B3C6" w14:textId="3DED9F19" w:rsidR="00D62BAD" w:rsidRPr="00AD1B85" w:rsidRDefault="00887CC0" w:rsidP="00B40415">
            <w:pPr>
              <w:spacing w:before="120" w:after="120" w:line="240" w:lineRule="auto"/>
              <w:rPr>
                <w:rFonts w:ascii="Arial" w:hAnsi="Arial" w:cs="Arial"/>
                <w:color w:val="000000"/>
                <w:sz w:val="22"/>
              </w:rPr>
            </w:pPr>
            <w:r w:rsidRPr="00AD1B85">
              <w:rPr>
                <w:rFonts w:ascii="Arial" w:hAnsi="Arial" w:cs="Arial"/>
                <w:color w:val="000000"/>
                <w:sz w:val="22"/>
              </w:rPr>
              <w:t xml:space="preserve">Under the </w:t>
            </w:r>
            <w:r w:rsidRPr="00AD1B85">
              <w:rPr>
                <w:rFonts w:ascii="Arial" w:hAnsi="Arial" w:cs="Arial"/>
                <w:i/>
                <w:iCs/>
                <w:color w:val="000000"/>
                <w:sz w:val="22"/>
              </w:rPr>
              <w:t>Code of Conduct</w:t>
            </w:r>
            <w:r w:rsidRPr="00AD1B85">
              <w:rPr>
                <w:rFonts w:ascii="Arial" w:hAnsi="Arial" w:cs="Arial"/>
                <w:color w:val="000000"/>
                <w:sz w:val="22"/>
              </w:rPr>
              <w:t xml:space="preserve">, </w:t>
            </w:r>
            <w:r w:rsidR="0025019C" w:rsidRPr="00AD1B85">
              <w:rPr>
                <w:rFonts w:ascii="Arial" w:hAnsi="Arial" w:cs="Arial"/>
                <w:color w:val="000000"/>
                <w:sz w:val="22"/>
              </w:rPr>
              <w:t>staff are expected to conduct themselves</w:t>
            </w:r>
            <w:r w:rsidR="00E551BB" w:rsidRPr="00AD1B85">
              <w:rPr>
                <w:rFonts w:ascii="Arial" w:hAnsi="Arial" w:cs="Arial"/>
                <w:color w:val="000000"/>
                <w:sz w:val="22"/>
              </w:rPr>
              <w:t xml:space="preserve"> with integrity in a way that upholds the </w:t>
            </w:r>
            <w:r w:rsidR="00690974" w:rsidRPr="00AD1B85">
              <w:rPr>
                <w:rFonts w:ascii="Arial" w:hAnsi="Arial" w:cs="Arial"/>
                <w:color w:val="000000"/>
                <w:sz w:val="22"/>
              </w:rPr>
              <w:t xml:space="preserve">values and reputation of the University and comply with ethical standards and legal </w:t>
            </w:r>
            <w:r w:rsidR="00AE4D55" w:rsidRPr="00AD1B85">
              <w:rPr>
                <w:rFonts w:ascii="Arial" w:hAnsi="Arial" w:cs="Arial"/>
                <w:color w:val="000000"/>
                <w:sz w:val="22"/>
              </w:rPr>
              <w:t xml:space="preserve">requirements. The University expects its staff to remain informed about, act within the spirit of, and comply with </w:t>
            </w:r>
            <w:proofErr w:type="gramStart"/>
            <w:r w:rsidR="00AE4D55" w:rsidRPr="00AD1B85">
              <w:rPr>
                <w:rFonts w:ascii="Arial" w:hAnsi="Arial" w:cs="Arial"/>
                <w:color w:val="000000"/>
                <w:sz w:val="22"/>
              </w:rPr>
              <w:t>University</w:t>
            </w:r>
            <w:proofErr w:type="gramEnd"/>
            <w:r w:rsidR="00AE4D55" w:rsidRPr="00AD1B85">
              <w:rPr>
                <w:rFonts w:ascii="Arial" w:hAnsi="Arial" w:cs="Arial"/>
                <w:color w:val="000000"/>
                <w:sz w:val="22"/>
              </w:rPr>
              <w:t xml:space="preserve"> policies, directions and relevant legislation, as well as any regulatory requirements of their discipline or profession.</w:t>
            </w:r>
            <w:r w:rsidR="0025019C" w:rsidRPr="00AD1B85">
              <w:rPr>
                <w:rFonts w:ascii="Arial" w:hAnsi="Arial" w:cs="Arial"/>
                <w:color w:val="000000"/>
                <w:sz w:val="22"/>
              </w:rPr>
              <w:t xml:space="preserve"> </w:t>
            </w:r>
          </w:p>
        </w:tc>
      </w:tr>
    </w:tbl>
    <w:p w14:paraId="34009791" w14:textId="208E6D77" w:rsidR="003E0B6D" w:rsidRPr="00AD1B85" w:rsidRDefault="00DA348D" w:rsidP="00B40415">
      <w:pPr>
        <w:pStyle w:val="Heading2"/>
        <w:spacing w:before="120" w:line="240" w:lineRule="auto"/>
        <w:rPr>
          <w:rFonts w:ascii="Arial" w:hAnsi="Arial" w:cs="Arial"/>
          <w:b/>
          <w:bCs/>
          <w:sz w:val="32"/>
          <w:szCs w:val="32"/>
        </w:rPr>
      </w:pPr>
      <w:bookmarkStart w:id="12" w:name="_5.0_Definitions"/>
      <w:bookmarkStart w:id="13" w:name="_Ref20320732"/>
      <w:bookmarkEnd w:id="12"/>
      <w:r w:rsidRPr="00AD1B85">
        <w:rPr>
          <w:rFonts w:ascii="Arial" w:hAnsi="Arial" w:cs="Arial"/>
          <w:b/>
          <w:bCs/>
          <w:sz w:val="32"/>
          <w:szCs w:val="32"/>
        </w:rPr>
        <w:t>5</w:t>
      </w:r>
      <w:r w:rsidR="003E0B6D" w:rsidRPr="00AD1B85">
        <w:rPr>
          <w:rFonts w:ascii="Arial" w:hAnsi="Arial" w:cs="Arial"/>
          <w:b/>
          <w:bCs/>
          <w:sz w:val="32"/>
          <w:szCs w:val="32"/>
        </w:rPr>
        <w:t>.0 Definitions</w:t>
      </w:r>
      <w:bookmarkEnd w:id="13"/>
    </w:p>
    <w:p w14:paraId="77000652" w14:textId="77777777" w:rsidR="00227B79" w:rsidRPr="00AD1B85" w:rsidRDefault="004835A0" w:rsidP="00B40415">
      <w:pPr>
        <w:spacing w:before="120" w:after="120" w:line="240" w:lineRule="auto"/>
        <w:rPr>
          <w:rFonts w:ascii="Arial" w:hAnsi="Arial" w:cs="Arial"/>
          <w:sz w:val="22"/>
        </w:rPr>
      </w:pPr>
      <w:r w:rsidRPr="00AD1B85">
        <w:rPr>
          <w:rFonts w:ascii="Arial" w:hAnsi="Arial" w:cs="Arial"/>
          <w:sz w:val="22"/>
        </w:rPr>
        <w:t>For the p</w:t>
      </w:r>
      <w:r w:rsidR="003C7446" w:rsidRPr="00AD1B85">
        <w:rPr>
          <w:rFonts w:ascii="Arial" w:hAnsi="Arial" w:cs="Arial"/>
          <w:sz w:val="22"/>
        </w:rPr>
        <w:t xml:space="preserve">urposes of this policy, the following definitions apply: </w:t>
      </w:r>
    </w:p>
    <w:p w14:paraId="6357291D" w14:textId="6E611E65" w:rsidR="00E12191" w:rsidRPr="00AD1B85" w:rsidRDefault="00E12191" w:rsidP="00B40415">
      <w:pPr>
        <w:spacing w:before="120" w:after="120" w:line="240" w:lineRule="auto"/>
        <w:rPr>
          <w:rFonts w:ascii="Arial" w:hAnsi="Arial" w:cs="Arial"/>
          <w:sz w:val="22"/>
        </w:rPr>
      </w:pPr>
      <w:r w:rsidRPr="00AD1B85">
        <w:rPr>
          <w:rFonts w:ascii="Arial" w:hAnsi="Arial" w:cs="Arial"/>
          <w:b/>
          <w:bCs/>
          <w:sz w:val="22"/>
        </w:rPr>
        <w:lastRenderedPageBreak/>
        <w:t xml:space="preserve">Elements </w:t>
      </w:r>
      <w:r w:rsidRPr="00AD1B85">
        <w:rPr>
          <w:rFonts w:ascii="Arial" w:hAnsi="Arial" w:cs="Arial"/>
          <w:sz w:val="22"/>
        </w:rPr>
        <w:t>include Schools, Departments, Research Centres, Colleges, Institutes, other budget elements in which students are enrolled, as well as central administration and support units.</w:t>
      </w:r>
    </w:p>
    <w:p w14:paraId="0DBF820D" w14:textId="1DF8A0F4" w:rsidR="00045D66" w:rsidRPr="00AD1B85" w:rsidRDefault="00045D66" w:rsidP="00B40415">
      <w:pPr>
        <w:spacing w:before="120" w:after="120" w:line="240" w:lineRule="auto"/>
        <w:rPr>
          <w:rFonts w:ascii="Arial" w:hAnsi="Arial" w:cs="Arial"/>
          <w:b/>
          <w:bCs/>
          <w:sz w:val="22"/>
        </w:rPr>
      </w:pPr>
      <w:r w:rsidRPr="00AD1B85">
        <w:rPr>
          <w:rFonts w:ascii="Arial" w:hAnsi="Arial" w:cs="Arial"/>
          <w:b/>
          <w:bCs/>
          <w:sz w:val="22"/>
        </w:rPr>
        <w:t xml:space="preserve">Academic Group </w:t>
      </w:r>
      <w:r w:rsidRPr="00AD1B85">
        <w:rPr>
          <w:rFonts w:ascii="Arial" w:hAnsi="Arial" w:cs="Arial"/>
          <w:sz w:val="22"/>
        </w:rPr>
        <w:t>is the highest and largest element in the academic structure of the University. The Academic Group is the administrative owner of programs offered by its academic elements. There are four Academic Groups: Arts, Education and Law (</w:t>
      </w:r>
      <w:r w:rsidR="00154DBA" w:rsidRPr="00AD1B85">
        <w:rPr>
          <w:rFonts w:ascii="Arial" w:hAnsi="Arial" w:cs="Arial"/>
          <w:sz w:val="22"/>
        </w:rPr>
        <w:t>ARG</w:t>
      </w:r>
      <w:r w:rsidRPr="00AD1B85">
        <w:rPr>
          <w:rFonts w:ascii="Arial" w:hAnsi="Arial" w:cs="Arial"/>
          <w:sz w:val="22"/>
        </w:rPr>
        <w:t>), Business (</w:t>
      </w:r>
      <w:r w:rsidR="00154DBA" w:rsidRPr="00AD1B85">
        <w:rPr>
          <w:rFonts w:ascii="Arial" w:hAnsi="Arial" w:cs="Arial"/>
          <w:sz w:val="22"/>
        </w:rPr>
        <w:t>BUS</w:t>
      </w:r>
      <w:r w:rsidRPr="00AD1B85">
        <w:rPr>
          <w:rFonts w:ascii="Arial" w:hAnsi="Arial" w:cs="Arial"/>
          <w:sz w:val="22"/>
        </w:rPr>
        <w:t>), Health (HTH) and Science, Environment, Engineering and Technology (SCG).</w:t>
      </w:r>
    </w:p>
    <w:p w14:paraId="299E631F" w14:textId="34E6F8A9" w:rsidR="006F23BA" w:rsidRPr="00AD1B85" w:rsidRDefault="006F23BA" w:rsidP="00B40415">
      <w:pPr>
        <w:spacing w:before="120" w:after="120" w:line="240" w:lineRule="auto"/>
        <w:rPr>
          <w:rFonts w:ascii="Arial" w:hAnsi="Arial" w:cs="Arial"/>
          <w:sz w:val="22"/>
        </w:rPr>
      </w:pPr>
      <w:r w:rsidRPr="00AD1B85">
        <w:rPr>
          <w:rFonts w:ascii="Arial" w:hAnsi="Arial" w:cs="Arial"/>
          <w:b/>
          <w:bCs/>
          <w:sz w:val="22"/>
        </w:rPr>
        <w:t>Program</w:t>
      </w:r>
      <w:r w:rsidR="00DB0DFC" w:rsidRPr="00AD1B85">
        <w:rPr>
          <w:rFonts w:ascii="Arial" w:hAnsi="Arial" w:cs="Arial"/>
          <w:sz w:val="22"/>
        </w:rPr>
        <w:t xml:space="preserve"> is an approved course of study leading to an award of the University (a higher education award). A student is admitted to a program, and on successful completion of all program requirements is awarded the degree to which the program relates.</w:t>
      </w:r>
    </w:p>
    <w:p w14:paraId="50599CDF" w14:textId="76A5E2A1" w:rsidR="00994DEE" w:rsidRPr="00AD1B85" w:rsidRDefault="006F2093" w:rsidP="00B40415">
      <w:pPr>
        <w:spacing w:before="120" w:after="120" w:line="240" w:lineRule="auto"/>
        <w:rPr>
          <w:rFonts w:ascii="Arial" w:hAnsi="Arial" w:cs="Arial"/>
          <w:sz w:val="22"/>
        </w:rPr>
      </w:pPr>
      <w:r w:rsidRPr="00AD1B85">
        <w:rPr>
          <w:rFonts w:ascii="Arial" w:hAnsi="Arial" w:cs="Arial"/>
          <w:b/>
          <w:bCs/>
          <w:sz w:val="22"/>
        </w:rPr>
        <w:t xml:space="preserve">Course </w:t>
      </w:r>
      <w:r w:rsidRPr="00AD1B85">
        <w:rPr>
          <w:rFonts w:ascii="Arial" w:hAnsi="Arial" w:cs="Arial"/>
          <w:sz w:val="22"/>
        </w:rPr>
        <w:t xml:space="preserve">refers to a component of a qualification, normally undertaken over a single trimester, in which the student enrols and on completion of which the student is awarded a grade, such grades appearing on a student’s academic transcript. Learning outcomes, assessment </w:t>
      </w:r>
      <w:r w:rsidR="005F5B58" w:rsidRPr="00AD1B85">
        <w:rPr>
          <w:rFonts w:ascii="Arial" w:hAnsi="Arial" w:cs="Arial"/>
          <w:sz w:val="22"/>
        </w:rPr>
        <w:t>tasks and achievement standards are specified for each course appropriate to a level and qualification type.</w:t>
      </w:r>
    </w:p>
    <w:p w14:paraId="1A6ED20A" w14:textId="5E9A06FF" w:rsidR="00F554FF" w:rsidRPr="00AD1B85" w:rsidRDefault="00F554FF" w:rsidP="00B40415">
      <w:pPr>
        <w:spacing w:before="120" w:after="120" w:line="240" w:lineRule="auto"/>
        <w:rPr>
          <w:rFonts w:ascii="Arial" w:hAnsi="Arial" w:cs="Arial"/>
          <w:b/>
          <w:bCs/>
          <w:sz w:val="22"/>
        </w:rPr>
      </w:pPr>
      <w:r w:rsidRPr="00AD1B85">
        <w:rPr>
          <w:rFonts w:ascii="Arial" w:hAnsi="Arial" w:cs="Arial"/>
          <w:b/>
          <w:bCs/>
          <w:sz w:val="22"/>
        </w:rPr>
        <w:t xml:space="preserve">Award program </w:t>
      </w:r>
      <w:r w:rsidRPr="00AD1B85">
        <w:rPr>
          <w:rFonts w:ascii="Arial" w:hAnsi="Arial" w:cs="Arial"/>
          <w:sz w:val="22"/>
        </w:rPr>
        <w:t>is an award which leads to a qualification located at levels 5, 6, 7, 8, 9 or 10 of the Australian Qualifications Framework and meets the corresponding specifications (including the levels criteria and qualification type descriptors).</w:t>
      </w:r>
    </w:p>
    <w:p w14:paraId="1F8FDC18" w14:textId="6D8CA3BF" w:rsidR="00F554FF" w:rsidRPr="00AD1B85" w:rsidRDefault="00F554FF" w:rsidP="00B40415">
      <w:pPr>
        <w:spacing w:before="120" w:after="120" w:line="240" w:lineRule="auto"/>
        <w:rPr>
          <w:rFonts w:ascii="Arial" w:hAnsi="Arial" w:cs="Arial"/>
          <w:sz w:val="22"/>
        </w:rPr>
      </w:pPr>
      <w:r w:rsidRPr="00AD1B85">
        <w:rPr>
          <w:rFonts w:ascii="Arial" w:hAnsi="Arial" w:cs="Arial"/>
          <w:b/>
          <w:bCs/>
          <w:sz w:val="22"/>
        </w:rPr>
        <w:t>Quality assurance</w:t>
      </w:r>
      <w:r w:rsidR="00A72B66" w:rsidRPr="00AD1B85">
        <w:rPr>
          <w:rFonts w:ascii="Arial" w:hAnsi="Arial" w:cs="Arial"/>
          <w:b/>
          <w:bCs/>
          <w:sz w:val="22"/>
        </w:rPr>
        <w:t xml:space="preserve"> </w:t>
      </w:r>
      <w:r w:rsidR="00A72B66" w:rsidRPr="00AD1B85">
        <w:rPr>
          <w:rFonts w:ascii="Arial" w:hAnsi="Arial" w:cs="Arial"/>
          <w:sz w:val="22"/>
        </w:rPr>
        <w:t xml:space="preserve">is the maintenance of a desired level of quality </w:t>
      </w:r>
      <w:r w:rsidR="009F4232" w:rsidRPr="00AD1B85">
        <w:rPr>
          <w:rFonts w:ascii="Arial" w:hAnsi="Arial" w:cs="Arial"/>
          <w:sz w:val="22"/>
        </w:rPr>
        <w:t xml:space="preserve">that </w:t>
      </w:r>
      <w:r w:rsidR="0008592F" w:rsidRPr="00AD1B85">
        <w:rPr>
          <w:rFonts w:ascii="Arial" w:hAnsi="Arial" w:cs="Arial"/>
          <w:sz w:val="22"/>
        </w:rPr>
        <w:t xml:space="preserve">has been attained or </w:t>
      </w:r>
      <w:proofErr w:type="gramStart"/>
      <w:r w:rsidR="0008592F" w:rsidRPr="00AD1B85">
        <w:rPr>
          <w:rFonts w:ascii="Arial" w:hAnsi="Arial" w:cs="Arial"/>
          <w:sz w:val="22"/>
        </w:rPr>
        <w:t>sustained, or</w:t>
      </w:r>
      <w:proofErr w:type="gramEnd"/>
      <w:r w:rsidR="0008592F" w:rsidRPr="00AD1B85">
        <w:rPr>
          <w:rFonts w:ascii="Arial" w:hAnsi="Arial" w:cs="Arial"/>
          <w:sz w:val="22"/>
        </w:rPr>
        <w:t xml:space="preserve"> is highly likely to be attained or sustained.</w:t>
      </w:r>
    </w:p>
    <w:p w14:paraId="6CFB4D2C" w14:textId="41E22708" w:rsidR="00F554FF" w:rsidRPr="00AD1B85" w:rsidRDefault="00F554FF" w:rsidP="00B40415">
      <w:pPr>
        <w:spacing w:before="120" w:after="120" w:line="240" w:lineRule="auto"/>
        <w:rPr>
          <w:rFonts w:ascii="Arial" w:hAnsi="Arial" w:cs="Arial"/>
          <w:sz w:val="22"/>
        </w:rPr>
      </w:pPr>
      <w:r w:rsidRPr="00AD1B85">
        <w:rPr>
          <w:rFonts w:ascii="Arial" w:hAnsi="Arial" w:cs="Arial"/>
          <w:b/>
          <w:bCs/>
          <w:sz w:val="22"/>
        </w:rPr>
        <w:t xml:space="preserve">Quality enhancement </w:t>
      </w:r>
      <w:r w:rsidR="00565156" w:rsidRPr="00AD1B85">
        <w:rPr>
          <w:rFonts w:ascii="Arial" w:hAnsi="Arial" w:cs="Arial"/>
          <w:sz w:val="22"/>
        </w:rPr>
        <w:t xml:space="preserve">is the improvement of quality </w:t>
      </w:r>
      <w:r w:rsidR="00FD0462" w:rsidRPr="00AD1B85">
        <w:rPr>
          <w:rFonts w:ascii="Arial" w:hAnsi="Arial" w:cs="Arial"/>
          <w:sz w:val="22"/>
        </w:rPr>
        <w:t xml:space="preserve">brought about through </w:t>
      </w:r>
      <w:r w:rsidR="008977D6" w:rsidRPr="00AD1B85">
        <w:rPr>
          <w:rFonts w:ascii="Arial" w:hAnsi="Arial" w:cs="Arial"/>
          <w:sz w:val="22"/>
        </w:rPr>
        <w:t xml:space="preserve">ongoing </w:t>
      </w:r>
      <w:r w:rsidR="00FD0462" w:rsidRPr="00AD1B85">
        <w:rPr>
          <w:rFonts w:ascii="Arial" w:hAnsi="Arial" w:cs="Arial"/>
          <w:sz w:val="22"/>
        </w:rPr>
        <w:t xml:space="preserve">cycles of continuous improvement and innovation which is embedded in the culture of an organisation. </w:t>
      </w:r>
    </w:p>
    <w:p w14:paraId="19E08E09" w14:textId="1626E43E" w:rsidR="00654466" w:rsidRPr="00AD1B85" w:rsidRDefault="00654466" w:rsidP="00B40415">
      <w:pPr>
        <w:spacing w:before="120" w:after="120" w:line="240" w:lineRule="auto"/>
        <w:rPr>
          <w:rFonts w:ascii="Arial" w:hAnsi="Arial" w:cs="Arial"/>
          <w:sz w:val="22"/>
        </w:rPr>
      </w:pPr>
      <w:r w:rsidRPr="00AD1B85">
        <w:rPr>
          <w:rFonts w:ascii="Arial" w:hAnsi="Arial" w:cs="Arial"/>
          <w:b/>
          <w:bCs/>
          <w:sz w:val="22"/>
        </w:rPr>
        <w:t xml:space="preserve">Continuous improvement </w:t>
      </w:r>
      <w:r w:rsidRPr="00AD1B85">
        <w:rPr>
          <w:rFonts w:ascii="Arial" w:hAnsi="Arial" w:cs="Arial"/>
          <w:sz w:val="22"/>
        </w:rPr>
        <w:t xml:space="preserve">is based on an on-going reflective feedback cycle involving monitoring, </w:t>
      </w:r>
      <w:proofErr w:type="gramStart"/>
      <w:r w:rsidRPr="00AD1B85">
        <w:rPr>
          <w:rFonts w:ascii="Arial" w:hAnsi="Arial" w:cs="Arial"/>
          <w:sz w:val="22"/>
        </w:rPr>
        <w:t>review</w:t>
      </w:r>
      <w:proofErr w:type="gramEnd"/>
      <w:r w:rsidRPr="00AD1B85">
        <w:rPr>
          <w:rFonts w:ascii="Arial" w:hAnsi="Arial" w:cs="Arial"/>
          <w:sz w:val="22"/>
        </w:rPr>
        <w:t xml:space="preserve"> and consequent evidence-based improvements both of courses and of major controls on academic quality such as assessment policies and procedures.</w:t>
      </w:r>
    </w:p>
    <w:p w14:paraId="59CF90A1" w14:textId="77777777" w:rsidR="00227B79" w:rsidRPr="00AD1B85" w:rsidRDefault="00A57AE6" w:rsidP="00B40415">
      <w:pPr>
        <w:spacing w:before="120" w:after="120" w:line="240" w:lineRule="auto"/>
        <w:rPr>
          <w:rFonts w:ascii="Arial" w:hAnsi="Arial" w:cs="Arial"/>
          <w:sz w:val="22"/>
        </w:rPr>
      </w:pPr>
      <w:r w:rsidRPr="00AD1B85">
        <w:rPr>
          <w:rFonts w:ascii="Arial" w:hAnsi="Arial" w:cs="Arial"/>
          <w:b/>
          <w:bCs/>
          <w:sz w:val="22"/>
        </w:rPr>
        <w:t>Externally referenced</w:t>
      </w:r>
      <w:r w:rsidRPr="00AD1B85">
        <w:rPr>
          <w:rFonts w:ascii="Arial" w:hAnsi="Arial" w:cs="Arial"/>
          <w:sz w:val="22"/>
        </w:rPr>
        <w:t xml:space="preserve"> </w:t>
      </w:r>
      <w:r w:rsidR="000C3BA3" w:rsidRPr="00AD1B85">
        <w:rPr>
          <w:rFonts w:ascii="Arial" w:hAnsi="Arial" w:cs="Arial"/>
          <w:sz w:val="22"/>
        </w:rPr>
        <w:t>is the compar</w:t>
      </w:r>
      <w:r w:rsidR="00510A6B" w:rsidRPr="00AD1B85">
        <w:rPr>
          <w:rFonts w:ascii="Arial" w:hAnsi="Arial" w:cs="Arial"/>
          <w:sz w:val="22"/>
        </w:rPr>
        <w:t>ison of</w:t>
      </w:r>
      <w:r w:rsidR="000C3BA3" w:rsidRPr="00AD1B85">
        <w:rPr>
          <w:rFonts w:ascii="Arial" w:hAnsi="Arial" w:cs="Arial"/>
          <w:sz w:val="22"/>
        </w:rPr>
        <w:t xml:space="preserve"> internal controls with others within or beyond the institution. </w:t>
      </w:r>
      <w:r w:rsidR="00510A6B" w:rsidRPr="00AD1B85">
        <w:rPr>
          <w:rFonts w:ascii="Arial" w:hAnsi="Arial" w:cs="Arial"/>
          <w:sz w:val="22"/>
        </w:rPr>
        <w:t>‘</w:t>
      </w:r>
      <w:r w:rsidR="000C3BA3" w:rsidRPr="00AD1B85">
        <w:rPr>
          <w:rFonts w:ascii="Arial" w:hAnsi="Arial" w:cs="Arial"/>
          <w:sz w:val="22"/>
        </w:rPr>
        <w:t xml:space="preserve">Benchmarking’, ‘moderation’ and ‘peer review’ are common methods of external referencing used for </w:t>
      </w:r>
      <w:proofErr w:type="gramStart"/>
      <w:r w:rsidR="000C3BA3" w:rsidRPr="00AD1B85">
        <w:rPr>
          <w:rFonts w:ascii="Arial" w:hAnsi="Arial" w:cs="Arial"/>
          <w:sz w:val="22"/>
        </w:rPr>
        <w:t>particular purposes</w:t>
      </w:r>
      <w:proofErr w:type="gramEnd"/>
      <w:r w:rsidR="000C3BA3" w:rsidRPr="00AD1B85">
        <w:rPr>
          <w:rFonts w:ascii="Arial" w:hAnsi="Arial" w:cs="Arial"/>
          <w:sz w:val="22"/>
        </w:rPr>
        <w:t>.</w:t>
      </w:r>
    </w:p>
    <w:p w14:paraId="4C15D222" w14:textId="05F7DE1D" w:rsidR="00B307CB" w:rsidRPr="00AD1B85" w:rsidRDefault="00D83588" w:rsidP="00B40415">
      <w:pPr>
        <w:spacing w:before="120" w:after="120" w:line="240" w:lineRule="auto"/>
        <w:rPr>
          <w:rFonts w:ascii="Arial" w:hAnsi="Arial" w:cs="Arial"/>
          <w:sz w:val="22"/>
        </w:rPr>
      </w:pPr>
      <w:proofErr w:type="gramStart"/>
      <w:r w:rsidRPr="00AD1B85">
        <w:rPr>
          <w:rFonts w:ascii="Arial" w:hAnsi="Arial" w:cs="Arial"/>
          <w:b/>
          <w:bCs/>
          <w:sz w:val="22"/>
        </w:rPr>
        <w:t xml:space="preserve">Research </w:t>
      </w:r>
      <w:r w:rsidR="00B307CB" w:rsidRPr="00AD1B85">
        <w:rPr>
          <w:rFonts w:ascii="Arial" w:hAnsi="Arial" w:cs="Arial"/>
          <w:sz w:val="22"/>
        </w:rPr>
        <w:t xml:space="preserve"> is</w:t>
      </w:r>
      <w:proofErr w:type="gramEnd"/>
      <w:r w:rsidR="00B307CB" w:rsidRPr="00AD1B85">
        <w:rPr>
          <w:rFonts w:ascii="Arial" w:hAnsi="Arial" w:cs="Arial"/>
          <w:sz w:val="22"/>
        </w:rPr>
        <w:t xml:space="preserve"> the concept of research is broad and includes the creation of new knowledge and/or the use of existing knowledge in a new and creative way so as to generate new concepts, methodologies, inventions and understandings. This could include synthesis and analysis of previous research to the extent that it is new and creative.</w:t>
      </w:r>
    </w:p>
    <w:p w14:paraId="0C650690" w14:textId="6B34448A" w:rsidR="00B40415" w:rsidRPr="00AD1B85" w:rsidRDefault="00B40415" w:rsidP="00B40415">
      <w:pPr>
        <w:pStyle w:val="Heading2"/>
        <w:spacing w:before="120" w:line="240" w:lineRule="auto"/>
        <w:rPr>
          <w:rFonts w:ascii="Arial" w:hAnsi="Arial" w:cs="Arial"/>
          <w:b/>
          <w:bCs/>
          <w:sz w:val="32"/>
          <w:szCs w:val="32"/>
        </w:rPr>
      </w:pPr>
      <w:bookmarkStart w:id="14" w:name="_6.0_Information"/>
      <w:bookmarkEnd w:id="14"/>
      <w:r w:rsidRPr="00AD1B85">
        <w:rPr>
          <w:rFonts w:ascii="Arial" w:hAnsi="Arial" w:cs="Arial"/>
          <w:b/>
          <w:bCs/>
          <w:sz w:val="32"/>
          <w:szCs w:val="32"/>
        </w:rPr>
        <w:t>6.0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6D1A97" w:rsidRPr="00AD1B85" w14:paraId="732F5140" w14:textId="77777777" w:rsidTr="00CB3F50">
        <w:tc>
          <w:tcPr>
            <w:tcW w:w="1222" w:type="pct"/>
            <w:shd w:val="clear" w:color="auto" w:fill="auto"/>
          </w:tcPr>
          <w:p w14:paraId="5A2D9490" w14:textId="77777777" w:rsidR="006D1A97" w:rsidRPr="00AD1B85" w:rsidRDefault="006D1A97" w:rsidP="00B40415">
            <w:pPr>
              <w:spacing w:before="120" w:after="120" w:line="240" w:lineRule="auto"/>
              <w:rPr>
                <w:rFonts w:ascii="Arial" w:hAnsi="Arial" w:cs="Arial"/>
                <w:sz w:val="22"/>
              </w:rPr>
            </w:pPr>
            <w:r w:rsidRPr="00AD1B85">
              <w:rPr>
                <w:rFonts w:ascii="Arial" w:hAnsi="Arial" w:cs="Arial"/>
                <w:sz w:val="22"/>
              </w:rPr>
              <w:t>Title</w:t>
            </w:r>
          </w:p>
        </w:tc>
        <w:tc>
          <w:tcPr>
            <w:tcW w:w="3778" w:type="pct"/>
            <w:shd w:val="clear" w:color="auto" w:fill="auto"/>
          </w:tcPr>
          <w:p w14:paraId="21A933A7" w14:textId="2ED78CE4" w:rsidR="006D1A97" w:rsidRPr="00AD1B85" w:rsidRDefault="002B37F5" w:rsidP="00B40415">
            <w:pPr>
              <w:spacing w:before="120" w:after="120" w:line="240" w:lineRule="auto"/>
              <w:rPr>
                <w:rFonts w:ascii="Arial" w:hAnsi="Arial" w:cs="Arial"/>
                <w:sz w:val="22"/>
              </w:rPr>
            </w:pPr>
            <w:r w:rsidRPr="00AD1B85">
              <w:rPr>
                <w:rFonts w:ascii="Arial" w:hAnsi="Arial" w:cs="Arial"/>
                <w:sz w:val="22"/>
              </w:rPr>
              <w:t xml:space="preserve">Quality Assurance Policy </w:t>
            </w:r>
          </w:p>
        </w:tc>
      </w:tr>
      <w:tr w:rsidR="006D1A97" w:rsidRPr="00AD1B85" w14:paraId="3397A4DD" w14:textId="77777777" w:rsidTr="00CB3F50">
        <w:tc>
          <w:tcPr>
            <w:tcW w:w="1222" w:type="pct"/>
            <w:shd w:val="clear" w:color="auto" w:fill="auto"/>
          </w:tcPr>
          <w:p w14:paraId="794CFE4E" w14:textId="77777777" w:rsidR="006D1A97" w:rsidRPr="00AD1B85" w:rsidRDefault="006D1A97" w:rsidP="00B40415">
            <w:pPr>
              <w:spacing w:before="120" w:after="120" w:line="240" w:lineRule="auto"/>
              <w:rPr>
                <w:rFonts w:ascii="Arial" w:hAnsi="Arial" w:cs="Arial"/>
                <w:sz w:val="22"/>
              </w:rPr>
            </w:pPr>
            <w:r w:rsidRPr="00AD1B85">
              <w:rPr>
                <w:rFonts w:ascii="Arial" w:hAnsi="Arial" w:cs="Arial"/>
                <w:sz w:val="22"/>
              </w:rPr>
              <w:t>Document number</w:t>
            </w:r>
          </w:p>
        </w:tc>
        <w:tc>
          <w:tcPr>
            <w:tcW w:w="3778" w:type="pct"/>
            <w:shd w:val="clear" w:color="auto" w:fill="auto"/>
          </w:tcPr>
          <w:p w14:paraId="19C4F27F" w14:textId="6D2BE4E3" w:rsidR="006D1A97" w:rsidRPr="00AD1B85" w:rsidRDefault="00CB3F50" w:rsidP="00B40415">
            <w:pPr>
              <w:spacing w:before="120" w:after="120" w:line="240" w:lineRule="auto"/>
              <w:rPr>
                <w:rFonts w:ascii="Arial" w:hAnsi="Arial" w:cs="Arial"/>
                <w:sz w:val="22"/>
              </w:rPr>
            </w:pPr>
            <w:r w:rsidRPr="00AD1B85">
              <w:rPr>
                <w:rFonts w:ascii="Arial" w:hAnsi="Arial" w:cs="Arial"/>
                <w:sz w:val="22"/>
              </w:rPr>
              <w:t>2023/0000402</w:t>
            </w:r>
          </w:p>
        </w:tc>
      </w:tr>
      <w:tr w:rsidR="006D1A97" w:rsidRPr="00AD1B85" w14:paraId="0CF1FDA4" w14:textId="77777777" w:rsidTr="00CB3F50">
        <w:tc>
          <w:tcPr>
            <w:tcW w:w="1222" w:type="pct"/>
            <w:shd w:val="clear" w:color="auto" w:fill="auto"/>
          </w:tcPr>
          <w:p w14:paraId="5B9C8B00" w14:textId="77777777" w:rsidR="006D1A97" w:rsidRPr="00AD1B85" w:rsidRDefault="006D1A97" w:rsidP="00B40415">
            <w:pPr>
              <w:spacing w:before="120" w:after="120" w:line="240" w:lineRule="auto"/>
              <w:rPr>
                <w:rFonts w:ascii="Arial" w:hAnsi="Arial" w:cs="Arial"/>
                <w:sz w:val="22"/>
              </w:rPr>
            </w:pPr>
            <w:r w:rsidRPr="00AD1B85">
              <w:rPr>
                <w:rFonts w:ascii="Arial" w:hAnsi="Arial" w:cs="Arial"/>
                <w:sz w:val="22"/>
              </w:rPr>
              <w:t>Purpose</w:t>
            </w:r>
          </w:p>
        </w:tc>
        <w:tc>
          <w:tcPr>
            <w:tcW w:w="3778" w:type="pct"/>
            <w:shd w:val="clear" w:color="auto" w:fill="auto"/>
          </w:tcPr>
          <w:p w14:paraId="1F8D5B3D" w14:textId="2F48E0A8" w:rsidR="006D1A97" w:rsidRPr="00AD1B85" w:rsidRDefault="00D83588" w:rsidP="00B40415">
            <w:pPr>
              <w:spacing w:before="120" w:after="120" w:line="240" w:lineRule="auto"/>
              <w:rPr>
                <w:rFonts w:ascii="Arial" w:hAnsi="Arial" w:cs="Arial"/>
                <w:sz w:val="22"/>
                <w:shd w:val="clear" w:color="auto" w:fill="FFFFFF"/>
              </w:rPr>
            </w:pPr>
            <w:r w:rsidRPr="00AD1B85">
              <w:rPr>
                <w:rFonts w:ascii="Arial" w:hAnsi="Arial" w:cs="Arial"/>
                <w:sz w:val="22"/>
                <w:shd w:val="clear" w:color="auto" w:fill="FFFFFF"/>
              </w:rPr>
              <w:t>This policy guides and promotes quality assurance and enhancement activities at Griffith University. It outlines the University’s academic quality assurance principles and provides an overview of the quality management system.</w:t>
            </w:r>
          </w:p>
        </w:tc>
      </w:tr>
      <w:tr w:rsidR="006D1A97" w:rsidRPr="00AD1B85" w14:paraId="43F34308" w14:textId="77777777" w:rsidTr="00CB3F50">
        <w:tc>
          <w:tcPr>
            <w:tcW w:w="1222" w:type="pct"/>
            <w:shd w:val="clear" w:color="auto" w:fill="auto"/>
          </w:tcPr>
          <w:p w14:paraId="3A9C452F" w14:textId="77777777" w:rsidR="006D1A97" w:rsidRPr="00AD1B85" w:rsidRDefault="006D1A97" w:rsidP="00B40415">
            <w:pPr>
              <w:spacing w:before="120" w:after="120" w:line="240" w:lineRule="auto"/>
              <w:rPr>
                <w:rFonts w:ascii="Arial" w:hAnsi="Arial" w:cs="Arial"/>
                <w:sz w:val="22"/>
              </w:rPr>
            </w:pPr>
            <w:r w:rsidRPr="00AD1B85">
              <w:rPr>
                <w:rFonts w:ascii="Arial" w:hAnsi="Arial" w:cs="Arial"/>
                <w:sz w:val="22"/>
              </w:rPr>
              <w:t>Audience</w:t>
            </w:r>
          </w:p>
        </w:tc>
        <w:tc>
          <w:tcPr>
            <w:tcW w:w="3778" w:type="pct"/>
            <w:shd w:val="clear" w:color="auto" w:fill="auto"/>
          </w:tcPr>
          <w:p w14:paraId="1816F64A" w14:textId="58AF59D0" w:rsidR="006D1A97" w:rsidRPr="00AD1B85" w:rsidRDefault="000D5843" w:rsidP="00B40415">
            <w:pPr>
              <w:spacing w:before="120" w:after="120" w:line="240" w:lineRule="auto"/>
              <w:rPr>
                <w:rFonts w:ascii="Arial" w:hAnsi="Arial" w:cs="Arial"/>
                <w:sz w:val="22"/>
              </w:rPr>
            </w:pPr>
            <w:r w:rsidRPr="00AD1B85">
              <w:rPr>
                <w:rFonts w:ascii="Arial" w:hAnsi="Arial" w:cs="Arial"/>
                <w:sz w:val="22"/>
              </w:rPr>
              <w:t>Staff; Students</w:t>
            </w:r>
          </w:p>
        </w:tc>
      </w:tr>
      <w:tr w:rsidR="006D1A97" w:rsidRPr="00AD1B85" w14:paraId="4B686D95" w14:textId="77777777" w:rsidTr="00CB3F50">
        <w:tc>
          <w:tcPr>
            <w:tcW w:w="1222" w:type="pct"/>
            <w:shd w:val="clear" w:color="auto" w:fill="auto"/>
          </w:tcPr>
          <w:p w14:paraId="665F750D" w14:textId="77777777" w:rsidR="006D1A97" w:rsidRPr="00AD1B85" w:rsidRDefault="006D1A97" w:rsidP="00B40415">
            <w:pPr>
              <w:spacing w:before="120" w:after="120" w:line="240" w:lineRule="auto"/>
              <w:rPr>
                <w:rFonts w:ascii="Arial" w:hAnsi="Arial" w:cs="Arial"/>
                <w:sz w:val="22"/>
              </w:rPr>
            </w:pPr>
            <w:r w:rsidRPr="00AD1B85">
              <w:rPr>
                <w:rFonts w:ascii="Arial" w:hAnsi="Arial" w:cs="Arial"/>
                <w:sz w:val="22"/>
              </w:rPr>
              <w:t>Category</w:t>
            </w:r>
          </w:p>
        </w:tc>
        <w:tc>
          <w:tcPr>
            <w:tcW w:w="3778" w:type="pct"/>
            <w:shd w:val="clear" w:color="auto" w:fill="auto"/>
          </w:tcPr>
          <w:p w14:paraId="771A6A2E" w14:textId="1739D782" w:rsidR="006D1A97" w:rsidRPr="00AD1B85" w:rsidRDefault="00CC43B2" w:rsidP="00B40415">
            <w:pPr>
              <w:spacing w:before="120" w:after="120" w:line="240" w:lineRule="auto"/>
              <w:rPr>
                <w:rFonts w:ascii="Arial" w:hAnsi="Arial" w:cs="Arial"/>
                <w:sz w:val="22"/>
              </w:rPr>
            </w:pPr>
            <w:r w:rsidRPr="00AD1B85">
              <w:rPr>
                <w:rFonts w:ascii="Arial" w:hAnsi="Arial" w:cs="Arial"/>
                <w:sz w:val="22"/>
              </w:rPr>
              <w:t>Academic</w:t>
            </w:r>
            <w:r w:rsidR="00741E6C" w:rsidRPr="00AD1B85">
              <w:rPr>
                <w:rFonts w:ascii="Arial" w:hAnsi="Arial" w:cs="Arial"/>
                <w:sz w:val="22"/>
              </w:rPr>
              <w:t xml:space="preserve"> </w:t>
            </w:r>
          </w:p>
        </w:tc>
      </w:tr>
      <w:tr w:rsidR="006D1A97" w:rsidRPr="00AD1B85" w14:paraId="5003F038" w14:textId="77777777" w:rsidTr="00DF782E">
        <w:tc>
          <w:tcPr>
            <w:tcW w:w="1222" w:type="pct"/>
            <w:tcBorders>
              <w:bottom w:val="single" w:sz="4" w:space="0" w:color="auto"/>
            </w:tcBorders>
            <w:shd w:val="clear" w:color="auto" w:fill="auto"/>
          </w:tcPr>
          <w:p w14:paraId="0040C52D" w14:textId="65A3D833" w:rsidR="006D1A97" w:rsidRPr="00AD1B85" w:rsidRDefault="006D1A97" w:rsidP="00B40415">
            <w:pPr>
              <w:spacing w:before="120" w:after="120" w:line="240" w:lineRule="auto"/>
              <w:rPr>
                <w:rFonts w:ascii="Arial" w:hAnsi="Arial" w:cs="Arial"/>
                <w:sz w:val="22"/>
              </w:rPr>
            </w:pPr>
            <w:r w:rsidRPr="00AD1B85">
              <w:rPr>
                <w:rFonts w:ascii="Arial" w:hAnsi="Arial" w:cs="Arial"/>
                <w:sz w:val="22"/>
              </w:rPr>
              <w:t>Sub</w:t>
            </w:r>
            <w:r w:rsidR="00AB30DD" w:rsidRPr="00AD1B85">
              <w:rPr>
                <w:rFonts w:ascii="Arial" w:hAnsi="Arial" w:cs="Arial"/>
                <w:sz w:val="22"/>
              </w:rPr>
              <w:t>category</w:t>
            </w:r>
          </w:p>
        </w:tc>
        <w:tc>
          <w:tcPr>
            <w:tcW w:w="3778" w:type="pct"/>
            <w:tcBorders>
              <w:bottom w:val="single" w:sz="4" w:space="0" w:color="auto"/>
            </w:tcBorders>
            <w:shd w:val="clear" w:color="auto" w:fill="auto"/>
          </w:tcPr>
          <w:p w14:paraId="4FD8ECDE" w14:textId="17E28BED" w:rsidR="00AB79FC" w:rsidRPr="00AD1B85" w:rsidRDefault="00AB79FC" w:rsidP="00B40415">
            <w:pPr>
              <w:spacing w:before="120" w:after="120" w:line="240" w:lineRule="auto"/>
              <w:rPr>
                <w:rFonts w:ascii="Arial" w:hAnsi="Arial" w:cs="Arial"/>
                <w:sz w:val="22"/>
              </w:rPr>
            </w:pPr>
            <w:r w:rsidRPr="00AD1B85">
              <w:rPr>
                <w:rFonts w:ascii="Arial" w:hAnsi="Arial" w:cs="Arial"/>
                <w:sz w:val="22"/>
              </w:rPr>
              <w:t>Learning and Teaching</w:t>
            </w:r>
          </w:p>
        </w:tc>
      </w:tr>
      <w:tr w:rsidR="007837D8" w:rsidRPr="00AD1B85" w14:paraId="2215AE91" w14:textId="77777777" w:rsidTr="00DF782E">
        <w:tc>
          <w:tcPr>
            <w:tcW w:w="1222" w:type="pct"/>
            <w:tcBorders>
              <w:top w:val="single" w:sz="4" w:space="0" w:color="auto"/>
              <w:bottom w:val="nil"/>
            </w:tcBorders>
            <w:shd w:val="clear" w:color="auto" w:fill="auto"/>
          </w:tcPr>
          <w:p w14:paraId="126EA693" w14:textId="2E19AE03" w:rsidR="007837D8" w:rsidRPr="00AD1B85" w:rsidRDefault="007837D8" w:rsidP="00B40415">
            <w:pPr>
              <w:spacing w:before="120" w:after="120" w:line="240" w:lineRule="auto"/>
              <w:rPr>
                <w:rFonts w:ascii="Arial" w:hAnsi="Arial" w:cs="Arial"/>
                <w:sz w:val="22"/>
              </w:rPr>
            </w:pPr>
            <w:r w:rsidRPr="00AD1B85">
              <w:rPr>
                <w:rFonts w:ascii="Arial" w:hAnsi="Arial" w:cs="Arial"/>
                <w:sz w:val="22"/>
              </w:rPr>
              <w:t>Approval date</w:t>
            </w:r>
          </w:p>
        </w:tc>
        <w:tc>
          <w:tcPr>
            <w:tcW w:w="3778" w:type="pct"/>
            <w:tcBorders>
              <w:top w:val="single" w:sz="4" w:space="0" w:color="auto"/>
              <w:bottom w:val="nil"/>
            </w:tcBorders>
            <w:shd w:val="clear" w:color="auto" w:fill="auto"/>
          </w:tcPr>
          <w:p w14:paraId="39F90A87" w14:textId="44A37124" w:rsidR="007837D8" w:rsidRPr="00AD1B85" w:rsidRDefault="00EA12F0" w:rsidP="00B40415">
            <w:pPr>
              <w:spacing w:before="120" w:after="120" w:line="240" w:lineRule="auto"/>
              <w:rPr>
                <w:rFonts w:ascii="Arial" w:hAnsi="Arial" w:cs="Arial"/>
                <w:sz w:val="22"/>
              </w:rPr>
            </w:pPr>
            <w:r w:rsidRPr="00AD1B85">
              <w:rPr>
                <w:rFonts w:ascii="Arial" w:hAnsi="Arial" w:cs="Arial"/>
                <w:sz w:val="22"/>
              </w:rPr>
              <w:t xml:space="preserve">16 </w:t>
            </w:r>
            <w:r w:rsidR="00477E23" w:rsidRPr="00AD1B85">
              <w:rPr>
                <w:rFonts w:ascii="Arial" w:hAnsi="Arial" w:cs="Arial"/>
                <w:sz w:val="22"/>
              </w:rPr>
              <w:t>November 2023</w:t>
            </w:r>
          </w:p>
        </w:tc>
      </w:tr>
      <w:tr w:rsidR="006D1A97" w:rsidRPr="00AD1B85" w14:paraId="4B3B6DDA" w14:textId="77777777" w:rsidTr="00DF782E">
        <w:tc>
          <w:tcPr>
            <w:tcW w:w="1222" w:type="pct"/>
            <w:tcBorders>
              <w:top w:val="nil"/>
            </w:tcBorders>
            <w:shd w:val="clear" w:color="auto" w:fill="auto"/>
          </w:tcPr>
          <w:p w14:paraId="422367F7" w14:textId="77777777" w:rsidR="006D1A97" w:rsidRPr="00AD1B85" w:rsidRDefault="006D1A97" w:rsidP="00B40415">
            <w:pPr>
              <w:spacing w:before="120" w:after="120" w:line="240" w:lineRule="auto"/>
              <w:rPr>
                <w:rFonts w:ascii="Arial" w:hAnsi="Arial" w:cs="Arial"/>
                <w:sz w:val="22"/>
              </w:rPr>
            </w:pPr>
            <w:r w:rsidRPr="00AD1B85">
              <w:rPr>
                <w:rFonts w:ascii="Arial" w:hAnsi="Arial" w:cs="Arial"/>
                <w:sz w:val="22"/>
              </w:rPr>
              <w:lastRenderedPageBreak/>
              <w:t>Effective date</w:t>
            </w:r>
          </w:p>
        </w:tc>
        <w:tc>
          <w:tcPr>
            <w:tcW w:w="3778" w:type="pct"/>
            <w:tcBorders>
              <w:top w:val="nil"/>
            </w:tcBorders>
            <w:shd w:val="clear" w:color="auto" w:fill="auto"/>
          </w:tcPr>
          <w:p w14:paraId="63583D7A" w14:textId="73F53715" w:rsidR="006D1A97" w:rsidRPr="00AD1B85" w:rsidRDefault="00EA12F0" w:rsidP="00B40415">
            <w:pPr>
              <w:spacing w:before="120" w:after="120" w:line="240" w:lineRule="auto"/>
              <w:rPr>
                <w:rFonts w:ascii="Arial" w:hAnsi="Arial" w:cs="Arial"/>
                <w:sz w:val="22"/>
              </w:rPr>
            </w:pPr>
            <w:r w:rsidRPr="00AD1B85">
              <w:rPr>
                <w:rFonts w:ascii="Arial" w:hAnsi="Arial" w:cs="Arial"/>
                <w:sz w:val="22"/>
              </w:rPr>
              <w:t>1 January 2024</w:t>
            </w:r>
          </w:p>
        </w:tc>
      </w:tr>
      <w:tr w:rsidR="006D1A97" w:rsidRPr="00AD1B85" w14:paraId="76DDC947" w14:textId="77777777" w:rsidTr="00CB3F50">
        <w:tc>
          <w:tcPr>
            <w:tcW w:w="1222" w:type="pct"/>
            <w:shd w:val="clear" w:color="auto" w:fill="auto"/>
          </w:tcPr>
          <w:p w14:paraId="41F219B0" w14:textId="77777777" w:rsidR="006D1A97" w:rsidRPr="00AD1B85" w:rsidRDefault="006D1A97" w:rsidP="00B40415">
            <w:pPr>
              <w:spacing w:before="120" w:after="120" w:line="240" w:lineRule="auto"/>
              <w:rPr>
                <w:rFonts w:ascii="Arial" w:hAnsi="Arial" w:cs="Arial"/>
                <w:sz w:val="22"/>
              </w:rPr>
            </w:pPr>
            <w:r w:rsidRPr="00AD1B85">
              <w:rPr>
                <w:rFonts w:ascii="Arial" w:hAnsi="Arial" w:cs="Arial"/>
                <w:sz w:val="22"/>
              </w:rPr>
              <w:t>Review date</w:t>
            </w:r>
          </w:p>
        </w:tc>
        <w:tc>
          <w:tcPr>
            <w:tcW w:w="3778" w:type="pct"/>
            <w:shd w:val="clear" w:color="auto" w:fill="auto"/>
          </w:tcPr>
          <w:p w14:paraId="7FD05870" w14:textId="1EBA0DC3" w:rsidR="006D1A97" w:rsidRPr="00AD1B85" w:rsidRDefault="00EA12F0" w:rsidP="00B40415">
            <w:pPr>
              <w:spacing w:before="120" w:after="120" w:line="240" w:lineRule="auto"/>
              <w:rPr>
                <w:rFonts w:ascii="Arial" w:hAnsi="Arial" w:cs="Arial"/>
                <w:sz w:val="22"/>
              </w:rPr>
            </w:pPr>
            <w:r w:rsidRPr="00AD1B85">
              <w:rPr>
                <w:rFonts w:ascii="Arial" w:hAnsi="Arial" w:cs="Arial"/>
                <w:sz w:val="22"/>
              </w:rPr>
              <w:t>2028</w:t>
            </w:r>
          </w:p>
        </w:tc>
      </w:tr>
      <w:tr w:rsidR="006D1A97" w:rsidRPr="00AD1B85" w14:paraId="72CC8086" w14:textId="77777777" w:rsidTr="00CB3F50">
        <w:tc>
          <w:tcPr>
            <w:tcW w:w="1222" w:type="pct"/>
            <w:tcBorders>
              <w:bottom w:val="single" w:sz="4" w:space="0" w:color="auto"/>
            </w:tcBorders>
            <w:shd w:val="clear" w:color="auto" w:fill="auto"/>
          </w:tcPr>
          <w:p w14:paraId="357FAE17" w14:textId="28F73799" w:rsidR="006D1A97" w:rsidRPr="00AD1B85" w:rsidRDefault="00AA227D" w:rsidP="00B40415">
            <w:pPr>
              <w:spacing w:before="120" w:after="120" w:line="240" w:lineRule="auto"/>
              <w:rPr>
                <w:rFonts w:ascii="Arial" w:hAnsi="Arial" w:cs="Arial"/>
                <w:sz w:val="22"/>
              </w:rPr>
            </w:pPr>
            <w:r w:rsidRPr="00AD1B85">
              <w:rPr>
                <w:rFonts w:ascii="Arial" w:hAnsi="Arial" w:cs="Arial"/>
                <w:sz w:val="22"/>
              </w:rPr>
              <w:t xml:space="preserve">Policy </w:t>
            </w:r>
            <w:r w:rsidR="005E4006" w:rsidRPr="00AD1B85">
              <w:rPr>
                <w:rFonts w:ascii="Arial" w:hAnsi="Arial" w:cs="Arial"/>
                <w:sz w:val="22"/>
              </w:rPr>
              <w:t>a</w:t>
            </w:r>
            <w:r w:rsidRPr="00AD1B85">
              <w:rPr>
                <w:rFonts w:ascii="Arial" w:hAnsi="Arial" w:cs="Arial"/>
                <w:sz w:val="22"/>
              </w:rPr>
              <w:t>dvisor</w:t>
            </w:r>
          </w:p>
        </w:tc>
        <w:tc>
          <w:tcPr>
            <w:tcW w:w="3778" w:type="pct"/>
            <w:tcBorders>
              <w:bottom w:val="single" w:sz="4" w:space="0" w:color="auto"/>
            </w:tcBorders>
            <w:shd w:val="clear" w:color="auto" w:fill="auto"/>
          </w:tcPr>
          <w:p w14:paraId="7E468796" w14:textId="5115B231" w:rsidR="006D1A97" w:rsidRPr="00AD1B85" w:rsidRDefault="00990221" w:rsidP="00B40415">
            <w:pPr>
              <w:spacing w:before="120" w:after="120" w:line="240" w:lineRule="auto"/>
              <w:rPr>
                <w:rFonts w:ascii="Arial" w:hAnsi="Arial" w:cs="Arial"/>
                <w:sz w:val="22"/>
              </w:rPr>
            </w:pPr>
            <w:r w:rsidRPr="00AD1B85">
              <w:rPr>
                <w:rFonts w:ascii="Arial" w:hAnsi="Arial" w:cs="Arial"/>
                <w:sz w:val="22"/>
              </w:rPr>
              <w:t>Registrar</w:t>
            </w:r>
          </w:p>
        </w:tc>
      </w:tr>
      <w:tr w:rsidR="006D1A97" w:rsidRPr="00AD1B85" w14:paraId="5F52FDBC" w14:textId="77777777" w:rsidTr="00CB3F50">
        <w:tc>
          <w:tcPr>
            <w:tcW w:w="1222" w:type="pct"/>
            <w:tcBorders>
              <w:top w:val="single" w:sz="4" w:space="0" w:color="auto"/>
              <w:bottom w:val="single" w:sz="4" w:space="0" w:color="auto"/>
            </w:tcBorders>
            <w:shd w:val="clear" w:color="auto" w:fill="auto"/>
          </w:tcPr>
          <w:p w14:paraId="2A6B7869" w14:textId="77777777" w:rsidR="006D1A97" w:rsidRPr="00AD1B85" w:rsidRDefault="006D1A97" w:rsidP="00B40415">
            <w:pPr>
              <w:spacing w:before="120" w:after="120" w:line="240" w:lineRule="auto"/>
              <w:rPr>
                <w:rFonts w:ascii="Arial" w:hAnsi="Arial" w:cs="Arial"/>
                <w:sz w:val="22"/>
              </w:rPr>
            </w:pPr>
            <w:r w:rsidRPr="00AD1B85">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77F724FD" w14:textId="30A7A024" w:rsidR="008B48A8" w:rsidRPr="00AD1B85" w:rsidRDefault="00F2238D" w:rsidP="00B40415">
            <w:pPr>
              <w:spacing w:before="120" w:after="120" w:line="240" w:lineRule="auto"/>
              <w:rPr>
                <w:rFonts w:ascii="Arial" w:hAnsi="Arial" w:cs="Arial"/>
                <w:sz w:val="22"/>
              </w:rPr>
            </w:pPr>
            <w:r w:rsidRPr="00AD1B85">
              <w:rPr>
                <w:rFonts w:ascii="Arial" w:hAnsi="Arial" w:cs="Arial"/>
                <w:sz w:val="22"/>
              </w:rPr>
              <w:t>Academic Committee</w:t>
            </w:r>
            <w:r w:rsidR="00D83588" w:rsidRPr="00AD1B85">
              <w:rPr>
                <w:rFonts w:ascii="Arial" w:hAnsi="Arial" w:cs="Arial"/>
                <w:sz w:val="22"/>
              </w:rPr>
              <w:t xml:space="preserve"> </w:t>
            </w:r>
          </w:p>
        </w:tc>
      </w:tr>
    </w:tbl>
    <w:p w14:paraId="2524195A" w14:textId="2B6C74EF" w:rsidR="00CB3F50" w:rsidRPr="00AD1B85" w:rsidRDefault="00CB3F50" w:rsidP="00CB3F50">
      <w:pPr>
        <w:pStyle w:val="Heading2"/>
        <w:spacing w:before="120" w:line="240" w:lineRule="auto"/>
        <w:rPr>
          <w:rFonts w:ascii="Arial" w:hAnsi="Arial" w:cs="Arial"/>
          <w:b/>
          <w:bCs/>
          <w:sz w:val="32"/>
          <w:szCs w:val="32"/>
        </w:rPr>
      </w:pPr>
      <w:bookmarkStart w:id="15" w:name="_7.0_Related_Policy"/>
      <w:bookmarkEnd w:id="15"/>
      <w:r w:rsidRPr="00AD1B85">
        <w:rPr>
          <w:rFonts w:ascii="Arial" w:hAnsi="Arial" w:cs="Arial"/>
          <w:b/>
          <w:bCs/>
          <w:sz w:val="32"/>
          <w:szCs w:val="32"/>
        </w:rPr>
        <w:t>7.0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B40415" w:rsidRPr="00AD1B85" w14:paraId="20BD5E18" w14:textId="77777777" w:rsidTr="00CB3F50">
        <w:trPr>
          <w:tblHeader/>
        </w:trPr>
        <w:tc>
          <w:tcPr>
            <w:tcW w:w="1222" w:type="pct"/>
            <w:shd w:val="clear" w:color="auto" w:fill="auto"/>
          </w:tcPr>
          <w:p w14:paraId="3EF30F41" w14:textId="77777777" w:rsidR="00B40415" w:rsidRPr="00AD1B85" w:rsidRDefault="00B40415" w:rsidP="00B40415">
            <w:pPr>
              <w:spacing w:before="120" w:after="120" w:line="240" w:lineRule="auto"/>
              <w:rPr>
                <w:rFonts w:ascii="Arial" w:hAnsi="Arial" w:cs="Arial"/>
                <w:sz w:val="22"/>
              </w:rPr>
            </w:pPr>
            <w:r w:rsidRPr="00AD1B85">
              <w:rPr>
                <w:rFonts w:ascii="Arial" w:hAnsi="Arial" w:cs="Arial"/>
                <w:sz w:val="22"/>
              </w:rPr>
              <w:t xml:space="preserve">Legislation </w:t>
            </w:r>
          </w:p>
        </w:tc>
        <w:tc>
          <w:tcPr>
            <w:tcW w:w="3778" w:type="pct"/>
            <w:shd w:val="clear" w:color="auto" w:fill="auto"/>
          </w:tcPr>
          <w:p w14:paraId="0D9D0F40" w14:textId="05329DDB" w:rsidR="00B40415" w:rsidRPr="002518CF" w:rsidRDefault="00000000" w:rsidP="00B40415">
            <w:pPr>
              <w:spacing w:before="120" w:after="120" w:line="240" w:lineRule="auto"/>
              <w:rPr>
                <w:rFonts w:ascii="Arial" w:hAnsi="Arial" w:cs="Arial"/>
                <w:sz w:val="22"/>
              </w:rPr>
            </w:pPr>
            <w:hyperlink r:id="rId11" w:history="1">
              <w:r w:rsidR="00B40415" w:rsidRPr="002D43C0">
                <w:rPr>
                  <w:rStyle w:val="Hyperlink"/>
                  <w:rFonts w:ascii="Arial" w:hAnsi="Arial" w:cs="Arial"/>
                  <w:sz w:val="22"/>
                  <w:u w:val="none"/>
                </w:rPr>
                <w:t xml:space="preserve">Griffith </w:t>
              </w:r>
              <w:r w:rsidR="002D43C0" w:rsidRPr="002D43C0">
                <w:rPr>
                  <w:rStyle w:val="Hyperlink"/>
                  <w:rFonts w:ascii="Arial" w:hAnsi="Arial" w:cs="Arial"/>
                  <w:sz w:val="22"/>
                  <w:u w:val="none"/>
                </w:rPr>
                <w:t xml:space="preserve">University </w:t>
              </w:r>
              <w:r w:rsidR="00B40415" w:rsidRPr="002518CF">
                <w:rPr>
                  <w:rStyle w:val="Hyperlink"/>
                  <w:rFonts w:ascii="Arial" w:hAnsi="Arial" w:cs="Arial"/>
                  <w:sz w:val="22"/>
                  <w:u w:val="none"/>
                </w:rPr>
                <w:t>Act 1998</w:t>
              </w:r>
            </w:hyperlink>
          </w:p>
          <w:p w14:paraId="5D5ECD89" w14:textId="2373C430" w:rsidR="00B40415" w:rsidRPr="002518CF" w:rsidRDefault="00000000" w:rsidP="00B40415">
            <w:pPr>
              <w:spacing w:before="120" w:after="120" w:line="240" w:lineRule="auto"/>
              <w:rPr>
                <w:rFonts w:ascii="Arial" w:hAnsi="Arial" w:cs="Arial"/>
                <w:sz w:val="22"/>
              </w:rPr>
            </w:pPr>
            <w:hyperlink r:id="rId12" w:history="1">
              <w:r w:rsidR="00B40415" w:rsidRPr="002518CF">
                <w:rPr>
                  <w:rStyle w:val="Hyperlink"/>
                  <w:rFonts w:ascii="Arial" w:hAnsi="Arial" w:cs="Arial"/>
                  <w:sz w:val="22"/>
                  <w:u w:val="none"/>
                </w:rPr>
                <w:t xml:space="preserve">Higher Education Standards Act </w:t>
              </w:r>
              <w:r w:rsidR="00935EB6" w:rsidRPr="002518CF">
                <w:rPr>
                  <w:rStyle w:val="Hyperlink"/>
                  <w:rFonts w:ascii="Arial" w:hAnsi="Arial" w:cs="Arial"/>
                  <w:sz w:val="22"/>
                  <w:u w:val="none"/>
                </w:rPr>
                <w:t>2011</w:t>
              </w:r>
            </w:hyperlink>
          </w:p>
          <w:p w14:paraId="18FFDEF5" w14:textId="18FFA0E8" w:rsidR="00B40415" w:rsidRPr="002518CF" w:rsidRDefault="00000000" w:rsidP="00B40415">
            <w:pPr>
              <w:spacing w:before="120" w:after="120" w:line="240" w:lineRule="auto"/>
              <w:rPr>
                <w:rFonts w:ascii="Arial" w:hAnsi="Arial" w:cs="Arial"/>
                <w:sz w:val="22"/>
              </w:rPr>
            </w:pPr>
            <w:hyperlink r:id="rId13" w:history="1">
              <w:r w:rsidR="00B40415" w:rsidRPr="002518CF">
                <w:rPr>
                  <w:rStyle w:val="Hyperlink"/>
                  <w:rFonts w:ascii="Arial" w:hAnsi="Arial" w:cs="Arial"/>
                  <w:sz w:val="22"/>
                  <w:u w:val="none"/>
                </w:rPr>
                <w:t>Higher Education Standards Framework (Threshold Standards) 2021</w:t>
              </w:r>
            </w:hyperlink>
          </w:p>
          <w:p w14:paraId="2B191CD8" w14:textId="119E2F05" w:rsidR="00B40415" w:rsidRPr="002518CF" w:rsidRDefault="00000000" w:rsidP="00B40415">
            <w:pPr>
              <w:spacing w:before="120" w:after="120" w:line="240" w:lineRule="auto"/>
              <w:rPr>
                <w:rFonts w:ascii="Arial" w:hAnsi="Arial" w:cs="Arial"/>
                <w:sz w:val="22"/>
              </w:rPr>
            </w:pPr>
            <w:hyperlink r:id="rId14" w:history="1">
              <w:r w:rsidR="00B40415" w:rsidRPr="002518CF">
                <w:rPr>
                  <w:rStyle w:val="Hyperlink"/>
                  <w:rFonts w:ascii="Arial" w:hAnsi="Arial" w:cs="Arial"/>
                  <w:sz w:val="22"/>
                  <w:u w:val="none"/>
                </w:rPr>
                <w:t>National Code of Practice for Providers of Education and Training to overseas Students 2018</w:t>
              </w:r>
            </w:hyperlink>
          </w:p>
          <w:p w14:paraId="7D745B03" w14:textId="3F9EC6F9" w:rsidR="00B40415" w:rsidRPr="002518CF" w:rsidRDefault="00000000" w:rsidP="00B40415">
            <w:pPr>
              <w:spacing w:before="120" w:after="120" w:line="240" w:lineRule="auto"/>
              <w:rPr>
                <w:rFonts w:ascii="Arial" w:hAnsi="Arial" w:cs="Arial"/>
                <w:sz w:val="22"/>
              </w:rPr>
            </w:pPr>
            <w:hyperlink r:id="rId15" w:history="1">
              <w:r w:rsidR="00B40415" w:rsidRPr="002518CF">
                <w:rPr>
                  <w:rStyle w:val="Hyperlink"/>
                  <w:rFonts w:ascii="Arial" w:hAnsi="Arial" w:cs="Arial"/>
                  <w:sz w:val="22"/>
                  <w:u w:val="none"/>
                </w:rPr>
                <w:t>Australian Research Council Act 2001</w:t>
              </w:r>
            </w:hyperlink>
          </w:p>
          <w:p w14:paraId="73D48C68" w14:textId="32038E95" w:rsidR="00B40415" w:rsidRPr="002518CF" w:rsidRDefault="00000000" w:rsidP="00B40415">
            <w:pPr>
              <w:spacing w:before="120" w:after="120" w:line="240" w:lineRule="auto"/>
              <w:rPr>
                <w:rFonts w:ascii="Arial" w:hAnsi="Arial" w:cs="Arial"/>
                <w:sz w:val="22"/>
              </w:rPr>
            </w:pPr>
            <w:hyperlink r:id="rId16" w:history="1">
              <w:r w:rsidR="00B40415" w:rsidRPr="002518CF">
                <w:rPr>
                  <w:rStyle w:val="Hyperlink"/>
                  <w:rFonts w:ascii="Arial" w:hAnsi="Arial" w:cs="Arial"/>
                  <w:sz w:val="22"/>
                  <w:u w:val="none"/>
                </w:rPr>
                <w:t>Public Sector Ethics Act 1994</w:t>
              </w:r>
            </w:hyperlink>
          </w:p>
          <w:p w14:paraId="3C1B579C" w14:textId="6032EA76" w:rsidR="00B40415" w:rsidRPr="002518CF" w:rsidRDefault="00000000" w:rsidP="00B40415">
            <w:pPr>
              <w:spacing w:before="120" w:after="120" w:line="240" w:lineRule="auto"/>
              <w:rPr>
                <w:rFonts w:ascii="Arial" w:hAnsi="Arial" w:cs="Arial"/>
                <w:sz w:val="22"/>
              </w:rPr>
            </w:pPr>
            <w:hyperlink r:id="rId17" w:history="1">
              <w:r w:rsidR="00B40415" w:rsidRPr="002518CF">
                <w:rPr>
                  <w:rStyle w:val="Hyperlink"/>
                  <w:rFonts w:ascii="Arial" w:hAnsi="Arial" w:cs="Arial"/>
                  <w:sz w:val="22"/>
                  <w:u w:val="none"/>
                </w:rPr>
                <w:t>Integrity Act 2009</w:t>
              </w:r>
            </w:hyperlink>
          </w:p>
          <w:p w14:paraId="7FFCCFD0" w14:textId="6D63D43F" w:rsidR="00B40415" w:rsidRPr="002518CF" w:rsidRDefault="00000000" w:rsidP="00B40415">
            <w:pPr>
              <w:spacing w:before="120" w:after="120" w:line="240" w:lineRule="auto"/>
              <w:rPr>
                <w:rFonts w:ascii="Arial" w:hAnsi="Arial" w:cs="Arial"/>
                <w:sz w:val="22"/>
              </w:rPr>
            </w:pPr>
            <w:hyperlink r:id="rId18" w:history="1">
              <w:r w:rsidR="00B40415" w:rsidRPr="002518CF">
                <w:rPr>
                  <w:rStyle w:val="Hyperlink"/>
                  <w:rFonts w:ascii="Arial" w:hAnsi="Arial" w:cs="Arial"/>
                  <w:sz w:val="22"/>
                  <w:u w:val="none"/>
                </w:rPr>
                <w:t>Australian Code for the Responsible Conduct of Research</w:t>
              </w:r>
              <w:r w:rsidR="006041E8" w:rsidRPr="002518CF">
                <w:rPr>
                  <w:rStyle w:val="Hyperlink"/>
                  <w:rFonts w:ascii="Arial" w:hAnsi="Arial" w:cs="Arial"/>
                  <w:sz w:val="22"/>
                  <w:u w:val="none"/>
                </w:rPr>
                <w:t xml:space="preserve"> 2018</w:t>
              </w:r>
            </w:hyperlink>
          </w:p>
        </w:tc>
      </w:tr>
      <w:tr w:rsidR="00B40415" w:rsidRPr="00AD1B85" w14:paraId="68B26E97" w14:textId="77777777" w:rsidTr="00CB3F50">
        <w:trPr>
          <w:tblHeader/>
        </w:trPr>
        <w:tc>
          <w:tcPr>
            <w:tcW w:w="1222" w:type="pct"/>
            <w:shd w:val="clear" w:color="auto" w:fill="auto"/>
          </w:tcPr>
          <w:p w14:paraId="1BCF7831" w14:textId="77777777" w:rsidR="00B40415" w:rsidRPr="00AD1B85" w:rsidRDefault="00B40415" w:rsidP="00B40415">
            <w:pPr>
              <w:spacing w:before="120" w:after="120" w:line="240" w:lineRule="auto"/>
              <w:rPr>
                <w:rFonts w:ascii="Arial" w:hAnsi="Arial" w:cs="Arial"/>
                <w:sz w:val="22"/>
              </w:rPr>
            </w:pPr>
            <w:r w:rsidRPr="00AD1B85">
              <w:rPr>
                <w:rFonts w:ascii="Arial" w:hAnsi="Arial" w:cs="Arial"/>
                <w:sz w:val="22"/>
              </w:rPr>
              <w:t>Policy</w:t>
            </w:r>
          </w:p>
        </w:tc>
        <w:tc>
          <w:tcPr>
            <w:tcW w:w="3778" w:type="pct"/>
            <w:shd w:val="clear" w:color="auto" w:fill="auto"/>
          </w:tcPr>
          <w:p w14:paraId="0142AF7E" w14:textId="77777777" w:rsidR="00B40415" w:rsidRPr="002518CF" w:rsidRDefault="00000000" w:rsidP="00B40415">
            <w:pPr>
              <w:spacing w:before="120" w:after="120" w:line="240" w:lineRule="auto"/>
              <w:rPr>
                <w:rFonts w:ascii="Arial" w:hAnsi="Arial" w:cs="Arial"/>
                <w:color w:val="E30918"/>
                <w:sz w:val="22"/>
              </w:rPr>
            </w:pPr>
            <w:hyperlink r:id="rId19" w:history="1">
              <w:r w:rsidR="00B40415" w:rsidRPr="002518CF">
                <w:rPr>
                  <w:rStyle w:val="Hyperlink"/>
                  <w:rFonts w:ascii="Arial" w:hAnsi="Arial" w:cs="Arial"/>
                  <w:sz w:val="22"/>
                  <w:u w:val="none"/>
                </w:rPr>
                <w:t>University Reviews Policy</w:t>
              </w:r>
            </w:hyperlink>
            <w:r w:rsidR="00B40415" w:rsidRPr="002518CF">
              <w:rPr>
                <w:rFonts w:ascii="Arial" w:hAnsi="Arial" w:cs="Arial"/>
                <w:sz w:val="22"/>
              </w:rPr>
              <w:t xml:space="preserve"> </w:t>
            </w:r>
            <w:r w:rsidR="00B40415" w:rsidRPr="002518CF">
              <w:rPr>
                <w:rFonts w:ascii="Arial" w:hAnsi="Arial" w:cs="Arial"/>
                <w:color w:val="E30918"/>
                <w:sz w:val="22"/>
              </w:rPr>
              <w:t>Legislative Compliance Policy</w:t>
            </w:r>
          </w:p>
          <w:p w14:paraId="76533762" w14:textId="77777777" w:rsidR="00B40415" w:rsidRPr="002518CF" w:rsidRDefault="00000000" w:rsidP="00B40415">
            <w:pPr>
              <w:spacing w:before="120" w:after="120" w:line="240" w:lineRule="auto"/>
              <w:rPr>
                <w:rFonts w:ascii="Arial" w:hAnsi="Arial" w:cs="Arial"/>
                <w:color w:val="E30918"/>
                <w:sz w:val="22"/>
              </w:rPr>
            </w:pPr>
            <w:hyperlink r:id="rId20" w:history="1">
              <w:r w:rsidR="00B40415" w:rsidRPr="002518CF">
                <w:rPr>
                  <w:rStyle w:val="Hyperlink"/>
                  <w:rFonts w:ascii="Arial" w:hAnsi="Arial" w:cs="Arial"/>
                  <w:sz w:val="22"/>
                  <w:u w:val="none"/>
                </w:rPr>
                <w:t>Risk and Resilience Management Policy</w:t>
              </w:r>
            </w:hyperlink>
          </w:p>
          <w:p w14:paraId="718096CC" w14:textId="77777777" w:rsidR="00B40415" w:rsidRPr="002518CF" w:rsidRDefault="00000000" w:rsidP="00B40415">
            <w:pPr>
              <w:spacing w:before="120" w:after="120" w:line="240" w:lineRule="auto"/>
              <w:rPr>
                <w:rFonts w:ascii="Arial" w:hAnsi="Arial" w:cs="Arial"/>
                <w:color w:val="000000" w:themeColor="text1"/>
                <w:sz w:val="22"/>
              </w:rPr>
            </w:pPr>
            <w:hyperlink r:id="rId21" w:history="1">
              <w:r w:rsidR="00B40415" w:rsidRPr="002518CF">
                <w:rPr>
                  <w:rStyle w:val="Hyperlink"/>
                  <w:rFonts w:ascii="Arial" w:hAnsi="Arial" w:cs="Arial"/>
                  <w:sz w:val="22"/>
                  <w:u w:val="none"/>
                </w:rPr>
                <w:t>Code of Conduct</w:t>
              </w:r>
            </w:hyperlink>
            <w:r w:rsidR="00B40415" w:rsidRPr="002518CF">
              <w:rPr>
                <w:rFonts w:ascii="Arial" w:hAnsi="Arial" w:cs="Arial"/>
                <w:color w:val="000000" w:themeColor="text1"/>
                <w:sz w:val="22"/>
              </w:rPr>
              <w:t xml:space="preserve"> </w:t>
            </w:r>
          </w:p>
          <w:p w14:paraId="6D260093" w14:textId="4129180B" w:rsidR="00B40415" w:rsidRPr="002518CF" w:rsidRDefault="00000000" w:rsidP="00B40415">
            <w:pPr>
              <w:spacing w:before="120" w:after="120" w:line="240" w:lineRule="auto"/>
              <w:rPr>
                <w:rFonts w:ascii="Arial" w:hAnsi="Arial" w:cs="Arial"/>
                <w:color w:val="000000" w:themeColor="text1"/>
                <w:sz w:val="22"/>
              </w:rPr>
            </w:pPr>
            <w:hyperlink r:id="rId22" w:history="1">
              <w:r w:rsidR="00B40415" w:rsidRPr="002518CF">
                <w:rPr>
                  <w:rStyle w:val="Hyperlink"/>
                  <w:rFonts w:ascii="Arial" w:hAnsi="Arial" w:cs="Arial"/>
                  <w:sz w:val="22"/>
                  <w:u w:val="none"/>
                </w:rPr>
                <w:t>Student Chart</w:t>
              </w:r>
              <w:r w:rsidR="00492215" w:rsidRPr="002518CF">
                <w:rPr>
                  <w:rStyle w:val="Hyperlink"/>
                  <w:rFonts w:ascii="Arial" w:hAnsi="Arial" w:cs="Arial"/>
                  <w:sz w:val="22"/>
                  <w:u w:val="none"/>
                </w:rPr>
                <w:t>er Framework</w:t>
              </w:r>
            </w:hyperlink>
            <w:r w:rsidR="00B40415" w:rsidRPr="002518CF">
              <w:rPr>
                <w:rFonts w:ascii="Arial" w:hAnsi="Arial" w:cs="Arial"/>
                <w:color w:val="000000" w:themeColor="text1"/>
                <w:sz w:val="22"/>
              </w:rPr>
              <w:t xml:space="preserve"> </w:t>
            </w:r>
          </w:p>
          <w:p w14:paraId="65F0F9F7" w14:textId="7EEAEECD" w:rsidR="00B40415" w:rsidRPr="002518CF" w:rsidRDefault="00000000" w:rsidP="00B40415">
            <w:pPr>
              <w:spacing w:before="120" w:after="120" w:line="240" w:lineRule="auto"/>
              <w:rPr>
                <w:rFonts w:ascii="Arial" w:hAnsi="Arial" w:cs="Arial"/>
                <w:sz w:val="22"/>
              </w:rPr>
            </w:pPr>
            <w:hyperlink r:id="rId23" w:history="1">
              <w:r w:rsidR="00B40415" w:rsidRPr="002518CF">
                <w:rPr>
                  <w:rStyle w:val="Hyperlink"/>
                  <w:rFonts w:ascii="Arial" w:hAnsi="Arial" w:cs="Arial"/>
                  <w:sz w:val="22"/>
                  <w:u w:val="none"/>
                </w:rPr>
                <w:t>Responsible Conduct of Research</w:t>
              </w:r>
              <w:r w:rsidR="00DB1F5C" w:rsidRPr="002518CF">
                <w:rPr>
                  <w:rStyle w:val="Hyperlink"/>
                  <w:rFonts w:ascii="Arial" w:hAnsi="Arial" w:cs="Arial"/>
                  <w:sz w:val="22"/>
                  <w:u w:val="none"/>
                </w:rPr>
                <w:t xml:space="preserve"> Policy</w:t>
              </w:r>
              <w:r w:rsidR="00B40415" w:rsidRPr="002518CF">
                <w:rPr>
                  <w:rStyle w:val="Hyperlink"/>
                  <w:rFonts w:ascii="Arial" w:hAnsi="Arial" w:cs="Arial"/>
                  <w:sz w:val="22"/>
                  <w:u w:val="none"/>
                </w:rPr>
                <w:t xml:space="preserve"> </w:t>
              </w:r>
            </w:hyperlink>
          </w:p>
        </w:tc>
      </w:tr>
      <w:tr w:rsidR="00B40415" w:rsidRPr="00AD1B85" w14:paraId="796EC51C" w14:textId="77777777" w:rsidTr="00CB3F50">
        <w:trPr>
          <w:tblHeader/>
        </w:trPr>
        <w:tc>
          <w:tcPr>
            <w:tcW w:w="1222" w:type="pct"/>
            <w:tcBorders>
              <w:bottom w:val="single" w:sz="4" w:space="0" w:color="auto"/>
            </w:tcBorders>
            <w:shd w:val="clear" w:color="auto" w:fill="auto"/>
          </w:tcPr>
          <w:p w14:paraId="20498C58" w14:textId="1E3EFA28" w:rsidR="00B40415" w:rsidRPr="00AD1B85" w:rsidRDefault="00B40415" w:rsidP="00B40415">
            <w:pPr>
              <w:spacing w:before="120" w:after="120" w:line="240" w:lineRule="auto"/>
              <w:rPr>
                <w:rFonts w:ascii="Arial" w:hAnsi="Arial" w:cs="Arial"/>
                <w:sz w:val="22"/>
              </w:rPr>
            </w:pPr>
            <w:r w:rsidRPr="00AD1B85">
              <w:rPr>
                <w:rFonts w:ascii="Arial" w:hAnsi="Arial" w:cs="Arial"/>
                <w:sz w:val="22"/>
              </w:rPr>
              <w:t>Procedure</w:t>
            </w:r>
          </w:p>
        </w:tc>
        <w:tc>
          <w:tcPr>
            <w:tcW w:w="3778" w:type="pct"/>
            <w:tcBorders>
              <w:bottom w:val="single" w:sz="4" w:space="0" w:color="auto"/>
            </w:tcBorders>
            <w:shd w:val="clear" w:color="auto" w:fill="auto"/>
          </w:tcPr>
          <w:p w14:paraId="4099DE9D" w14:textId="77777777" w:rsidR="00B40415" w:rsidRPr="002518CF" w:rsidRDefault="00000000" w:rsidP="00B40415">
            <w:pPr>
              <w:spacing w:before="120" w:after="120" w:line="240" w:lineRule="auto"/>
              <w:rPr>
                <w:rFonts w:ascii="Arial" w:hAnsi="Arial" w:cs="Arial"/>
                <w:sz w:val="22"/>
              </w:rPr>
            </w:pPr>
            <w:hyperlink r:id="rId24" w:history="1">
              <w:r w:rsidR="00B40415" w:rsidRPr="002518CF">
                <w:rPr>
                  <w:rStyle w:val="Hyperlink"/>
                  <w:rFonts w:ascii="Arial" w:hAnsi="Arial" w:cs="Arial"/>
                  <w:sz w:val="22"/>
                  <w:u w:val="none"/>
                </w:rPr>
                <w:t>Programs and Course Policy</w:t>
              </w:r>
            </w:hyperlink>
            <w:r w:rsidR="00B40415" w:rsidRPr="002518CF">
              <w:rPr>
                <w:rFonts w:ascii="Arial" w:hAnsi="Arial" w:cs="Arial"/>
                <w:sz w:val="22"/>
              </w:rPr>
              <w:t xml:space="preserve"> </w:t>
            </w:r>
          </w:p>
          <w:p w14:paraId="69FE1449" w14:textId="7064C395" w:rsidR="00B40415" w:rsidRPr="002518CF" w:rsidRDefault="00000000" w:rsidP="00B40415">
            <w:pPr>
              <w:spacing w:before="120" w:after="120" w:line="240" w:lineRule="auto"/>
              <w:rPr>
                <w:rFonts w:ascii="Arial" w:hAnsi="Arial" w:cs="Arial"/>
                <w:sz w:val="22"/>
              </w:rPr>
            </w:pPr>
            <w:hyperlink r:id="rId25" w:history="1">
              <w:r w:rsidR="00B40415" w:rsidRPr="002518CF">
                <w:rPr>
                  <w:rStyle w:val="Hyperlink"/>
                  <w:rFonts w:ascii="Arial" w:hAnsi="Arial" w:cs="Arial"/>
                  <w:sz w:val="22"/>
                  <w:u w:val="none"/>
                </w:rPr>
                <w:t xml:space="preserve">Research </w:t>
              </w:r>
              <w:r w:rsidR="001927FD" w:rsidRPr="002518CF">
                <w:rPr>
                  <w:rStyle w:val="Hyperlink"/>
                  <w:rFonts w:ascii="Arial" w:hAnsi="Arial" w:cs="Arial"/>
                  <w:sz w:val="22"/>
                  <w:u w:val="none"/>
                </w:rPr>
                <w:t>Quality Framework</w:t>
              </w:r>
            </w:hyperlink>
          </w:p>
          <w:p w14:paraId="535D19E6" w14:textId="619CB603" w:rsidR="00B40415" w:rsidRPr="002518CF" w:rsidRDefault="000E5305" w:rsidP="00B40415">
            <w:pPr>
              <w:spacing w:before="120" w:after="120" w:line="240" w:lineRule="auto"/>
              <w:rPr>
                <w:rStyle w:val="Hyperlink"/>
                <w:rFonts w:ascii="Arial" w:hAnsi="Arial" w:cs="Arial"/>
                <w:sz w:val="22"/>
                <w:u w:val="none"/>
              </w:rPr>
            </w:pPr>
            <w:r w:rsidRPr="002518CF">
              <w:rPr>
                <w:rFonts w:ascii="Arial" w:hAnsi="Arial" w:cs="Arial"/>
                <w:sz w:val="22"/>
              </w:rPr>
              <w:fldChar w:fldCharType="begin"/>
            </w:r>
            <w:r w:rsidRPr="002518CF">
              <w:rPr>
                <w:rFonts w:ascii="Arial" w:hAnsi="Arial" w:cs="Arial"/>
                <w:sz w:val="22"/>
              </w:rPr>
              <w:instrText>HYPERLINK "https://sharepointpubstor.blob.core.windows.net/policylibrary-prod/Program%20and%20Course%20Review%20Procedure.pdf"</w:instrText>
            </w:r>
            <w:r w:rsidRPr="002518CF">
              <w:rPr>
                <w:rFonts w:ascii="Arial" w:hAnsi="Arial" w:cs="Arial"/>
                <w:sz w:val="22"/>
              </w:rPr>
            </w:r>
            <w:r w:rsidRPr="002518CF">
              <w:rPr>
                <w:rFonts w:ascii="Arial" w:hAnsi="Arial" w:cs="Arial"/>
                <w:sz w:val="22"/>
              </w:rPr>
              <w:fldChar w:fldCharType="separate"/>
            </w:r>
            <w:r w:rsidR="00B40415" w:rsidRPr="002518CF">
              <w:rPr>
                <w:rStyle w:val="Hyperlink"/>
                <w:rFonts w:ascii="Arial" w:hAnsi="Arial" w:cs="Arial"/>
                <w:sz w:val="22"/>
                <w:u w:val="none"/>
              </w:rPr>
              <w:t xml:space="preserve">Program and Course </w:t>
            </w:r>
            <w:r w:rsidR="00023876" w:rsidRPr="002518CF">
              <w:rPr>
                <w:rStyle w:val="Hyperlink"/>
                <w:rFonts w:ascii="Arial" w:hAnsi="Arial" w:cs="Arial"/>
                <w:sz w:val="22"/>
                <w:u w:val="none"/>
              </w:rPr>
              <w:t>Review Procedure</w:t>
            </w:r>
          </w:p>
          <w:p w14:paraId="4EA6C62F" w14:textId="5E4E1021" w:rsidR="000A267D" w:rsidRPr="002518CF" w:rsidRDefault="000E5305" w:rsidP="00B40415">
            <w:pPr>
              <w:spacing w:before="120" w:after="120" w:line="240" w:lineRule="auto"/>
              <w:rPr>
                <w:rFonts w:ascii="Arial" w:hAnsi="Arial" w:cs="Arial"/>
                <w:sz w:val="22"/>
              </w:rPr>
            </w:pPr>
            <w:r w:rsidRPr="002518CF">
              <w:rPr>
                <w:rFonts w:ascii="Arial" w:hAnsi="Arial" w:cs="Arial"/>
                <w:sz w:val="22"/>
              </w:rPr>
              <w:fldChar w:fldCharType="end"/>
            </w:r>
            <w:hyperlink r:id="rId26" w:history="1">
              <w:r w:rsidR="000A267D" w:rsidRPr="002518CF">
                <w:rPr>
                  <w:rStyle w:val="Hyperlink"/>
                  <w:rFonts w:ascii="Arial" w:hAnsi="Arial" w:cs="Arial"/>
                  <w:sz w:val="22"/>
                  <w:u w:val="none"/>
                </w:rPr>
                <w:t>Program Approval Procedure</w:t>
              </w:r>
            </w:hyperlink>
          </w:p>
          <w:p w14:paraId="567E7245" w14:textId="73F18005" w:rsidR="00B40415" w:rsidRPr="002518CF" w:rsidRDefault="00000000" w:rsidP="00B40415">
            <w:pPr>
              <w:spacing w:before="120" w:after="120" w:line="240" w:lineRule="auto"/>
              <w:rPr>
                <w:rStyle w:val="Hyperlink"/>
                <w:rFonts w:ascii="Arial" w:hAnsi="Arial" w:cs="Arial"/>
                <w:sz w:val="22"/>
                <w:u w:val="none"/>
              </w:rPr>
            </w:pPr>
            <w:hyperlink r:id="rId27">
              <w:r w:rsidR="00B40415" w:rsidRPr="002518CF">
                <w:rPr>
                  <w:rStyle w:val="Hyperlink"/>
                  <w:rFonts w:ascii="Arial" w:hAnsi="Arial" w:cs="Arial"/>
                  <w:sz w:val="22"/>
                  <w:u w:val="none"/>
                </w:rPr>
                <w:t>Legislative Compliance Procedure</w:t>
              </w:r>
            </w:hyperlink>
          </w:p>
          <w:p w14:paraId="36559AA2" w14:textId="2A0563D7" w:rsidR="00B40415" w:rsidRPr="002518CF" w:rsidRDefault="00000000" w:rsidP="00B40415">
            <w:pPr>
              <w:spacing w:before="120" w:after="120" w:line="240" w:lineRule="auto"/>
              <w:rPr>
                <w:rFonts w:ascii="Arial" w:hAnsi="Arial" w:cs="Arial"/>
                <w:sz w:val="22"/>
              </w:rPr>
            </w:pPr>
            <w:hyperlink r:id="rId28" w:history="1">
              <w:r w:rsidR="00B40415" w:rsidRPr="002518CF">
                <w:rPr>
                  <w:rStyle w:val="Hyperlink"/>
                  <w:rFonts w:ascii="Arial" w:hAnsi="Arial" w:cs="Arial"/>
                  <w:sz w:val="22"/>
                  <w:u w:val="none"/>
                </w:rPr>
                <w:t>Student Breaches of Academic Integrity Procedure</w:t>
              </w:r>
            </w:hyperlink>
          </w:p>
          <w:p w14:paraId="0D1A0FC6" w14:textId="39580906" w:rsidR="00B40415" w:rsidRPr="002518CF" w:rsidRDefault="00000000" w:rsidP="00B40415">
            <w:pPr>
              <w:spacing w:before="120" w:after="120" w:line="240" w:lineRule="auto"/>
              <w:rPr>
                <w:rFonts w:ascii="Arial" w:hAnsi="Arial" w:cs="Arial"/>
                <w:sz w:val="22"/>
              </w:rPr>
            </w:pPr>
            <w:hyperlink r:id="rId29" w:history="1">
              <w:r w:rsidR="00B40415" w:rsidRPr="002518CF">
                <w:rPr>
                  <w:rStyle w:val="Hyperlink"/>
                  <w:rFonts w:ascii="Arial" w:hAnsi="Arial" w:cs="Arial"/>
                  <w:sz w:val="22"/>
                  <w:u w:val="none"/>
                </w:rPr>
                <w:t>Staff Direction: Identifying and Preventing Breaches of Academic Integrity</w:t>
              </w:r>
            </w:hyperlink>
          </w:p>
          <w:p w14:paraId="3BDBC704" w14:textId="77777777" w:rsidR="00B40415" w:rsidRPr="002518CF" w:rsidRDefault="00000000" w:rsidP="00B40415">
            <w:pPr>
              <w:spacing w:before="120" w:after="120" w:line="240" w:lineRule="auto"/>
              <w:rPr>
                <w:rFonts w:ascii="Arial" w:hAnsi="Arial" w:cs="Arial"/>
                <w:sz w:val="22"/>
              </w:rPr>
            </w:pPr>
            <w:hyperlink r:id="rId30" w:history="1">
              <w:r w:rsidR="00B40415" w:rsidRPr="002518CF">
                <w:rPr>
                  <w:rStyle w:val="Hyperlink"/>
                  <w:rFonts w:ascii="Arial" w:hAnsi="Arial" w:cs="Arial"/>
                  <w:sz w:val="22"/>
                  <w:u w:val="none"/>
                </w:rPr>
                <w:t>Higher Degree by Research (HDR) Supervision Procedure</w:t>
              </w:r>
            </w:hyperlink>
          </w:p>
        </w:tc>
      </w:tr>
      <w:tr w:rsidR="00B40415" w:rsidRPr="00AD1B85" w14:paraId="41F5ED63" w14:textId="77777777" w:rsidTr="00CB3F50">
        <w:trPr>
          <w:tblHeader/>
        </w:trPr>
        <w:tc>
          <w:tcPr>
            <w:tcW w:w="1222" w:type="pct"/>
            <w:tcBorders>
              <w:top w:val="single" w:sz="4" w:space="0" w:color="auto"/>
              <w:bottom w:val="single" w:sz="4" w:space="0" w:color="auto"/>
            </w:tcBorders>
            <w:shd w:val="clear" w:color="auto" w:fill="auto"/>
          </w:tcPr>
          <w:p w14:paraId="298CA927" w14:textId="15D818E0" w:rsidR="00B40415" w:rsidRPr="00AD1B85" w:rsidRDefault="00B40415" w:rsidP="00B40415">
            <w:pPr>
              <w:spacing w:before="120" w:after="120" w:line="240" w:lineRule="auto"/>
              <w:rPr>
                <w:rFonts w:ascii="Arial" w:hAnsi="Arial" w:cs="Arial"/>
                <w:sz w:val="22"/>
              </w:rPr>
            </w:pPr>
            <w:r w:rsidRPr="00AD1B85">
              <w:rPr>
                <w:rFonts w:ascii="Arial" w:hAnsi="Arial" w:cs="Arial"/>
                <w:sz w:val="22"/>
              </w:rPr>
              <w:t>Local protocol</w:t>
            </w:r>
          </w:p>
        </w:tc>
        <w:tc>
          <w:tcPr>
            <w:tcW w:w="3778" w:type="pct"/>
            <w:tcBorders>
              <w:top w:val="single" w:sz="4" w:space="0" w:color="auto"/>
              <w:bottom w:val="single" w:sz="4" w:space="0" w:color="auto"/>
            </w:tcBorders>
            <w:shd w:val="clear" w:color="auto" w:fill="auto"/>
          </w:tcPr>
          <w:p w14:paraId="1441F8E4" w14:textId="77777777" w:rsidR="00B40415" w:rsidRPr="002518CF" w:rsidRDefault="00000000" w:rsidP="00B40415">
            <w:pPr>
              <w:spacing w:before="120" w:after="120" w:line="240" w:lineRule="auto"/>
              <w:rPr>
                <w:rFonts w:ascii="Arial" w:hAnsi="Arial" w:cs="Arial"/>
                <w:sz w:val="22"/>
              </w:rPr>
            </w:pPr>
            <w:hyperlink r:id="rId31" w:history="1">
              <w:r w:rsidR="00B40415" w:rsidRPr="002518CF">
                <w:rPr>
                  <w:rStyle w:val="Hyperlink"/>
                  <w:rFonts w:ascii="Arial" w:hAnsi="Arial" w:cs="Arial"/>
                  <w:sz w:val="22"/>
                  <w:u w:val="none"/>
                </w:rPr>
                <w:t>Griffith University Research Ethics Manual</w:t>
              </w:r>
            </w:hyperlink>
            <w:r w:rsidR="00B40415" w:rsidRPr="002518CF">
              <w:rPr>
                <w:rFonts w:ascii="Arial" w:hAnsi="Arial" w:cs="Arial"/>
                <w:sz w:val="22"/>
              </w:rPr>
              <w:t xml:space="preserve"> </w:t>
            </w:r>
          </w:p>
        </w:tc>
      </w:tr>
    </w:tbl>
    <w:p w14:paraId="711BC6A8" w14:textId="77777777" w:rsidR="00B40415" w:rsidRPr="00AD1B85" w:rsidRDefault="00B40415" w:rsidP="00B40415">
      <w:pPr>
        <w:tabs>
          <w:tab w:val="left" w:pos="8550"/>
        </w:tabs>
        <w:spacing w:before="120" w:after="120" w:line="240" w:lineRule="auto"/>
        <w:rPr>
          <w:rFonts w:ascii="Arial" w:hAnsi="Arial" w:cs="Arial"/>
          <w:sz w:val="22"/>
        </w:rPr>
      </w:pPr>
    </w:p>
    <w:sectPr w:rsidR="00B40415" w:rsidRPr="00AD1B85" w:rsidSect="00D00D72">
      <w:headerReference w:type="default" r:id="rId32"/>
      <w:footerReference w:type="default" r:id="rId33"/>
      <w:headerReference w:type="first" r:id="rId34"/>
      <w:footerReference w:type="first" r:id="rId35"/>
      <w:pgSz w:w="11900" w:h="1682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BE3B" w14:textId="77777777" w:rsidR="00D00D72" w:rsidRDefault="00D00D72" w:rsidP="00F45E9C">
      <w:r>
        <w:separator/>
      </w:r>
    </w:p>
  </w:endnote>
  <w:endnote w:type="continuationSeparator" w:id="0">
    <w:p w14:paraId="1DC30937" w14:textId="77777777" w:rsidR="00D00D72" w:rsidRDefault="00D00D72" w:rsidP="00F45E9C">
      <w:r>
        <w:continuationSeparator/>
      </w:r>
    </w:p>
  </w:endnote>
  <w:endnote w:type="continuationNotice" w:id="1">
    <w:p w14:paraId="22A29D05" w14:textId="77777777" w:rsidR="00D00D72" w:rsidRDefault="00D00D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A000006F" w:usb1="500160FB" w:usb2="00000010" w:usb3="00000000" w:csb0="00000093" w:csb1="00000000"/>
  </w:font>
  <w:font w:name="Yu Mincho">
    <w:charset w:val="80"/>
    <w:family w:val="roman"/>
    <w:pitch w:val="variable"/>
    <w:sig w:usb0="800002E7" w:usb1="2AC7FCFF" w:usb2="00000012" w:usb3="00000000" w:csb0="0002009F" w:csb1="00000000"/>
  </w:font>
  <w:font w:name="FoundrySterling-Book">
    <w:altName w:val="Courier New"/>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56358"/>
      <w:docPartObj>
        <w:docPartGallery w:val="Page Numbers (Bottom of Page)"/>
        <w:docPartUnique/>
      </w:docPartObj>
    </w:sdtPr>
    <w:sdtEndPr>
      <w:rPr>
        <w:noProof/>
      </w:rPr>
    </w:sdtEndPr>
    <w:sdtContent>
      <w:p w14:paraId="16A089F2" w14:textId="77777777"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27D8B772" w14:textId="5D7AEE41" w:rsidR="00EC76B1" w:rsidRDefault="00215F67"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Quality Assurance Policy</w:t>
        </w:r>
        <w:r w:rsidR="00EC76B1" w:rsidRPr="000209B9">
          <w:rPr>
            <w:rFonts w:asciiTheme="minorHAnsi" w:hAnsiTheme="minorHAnsi" w:cstheme="minorHAnsi"/>
            <w:color w:val="70787B"/>
            <w:sz w:val="15"/>
            <w:szCs w:val="15"/>
          </w:rPr>
          <w:t xml:space="preserve"> | </w:t>
        </w:r>
        <w:r w:rsidR="00B40415">
          <w:rPr>
            <w:rFonts w:asciiTheme="minorHAnsi" w:hAnsiTheme="minorHAnsi" w:cstheme="minorHAnsi"/>
            <w:color w:val="70787B"/>
            <w:sz w:val="15"/>
            <w:szCs w:val="15"/>
          </w:rPr>
          <w:t>November</w:t>
        </w:r>
        <w:r>
          <w:rPr>
            <w:rFonts w:asciiTheme="minorHAnsi" w:hAnsiTheme="minorHAnsi" w:cstheme="minorHAnsi"/>
            <w:color w:val="70787B"/>
            <w:sz w:val="15"/>
            <w:szCs w:val="15"/>
          </w:rPr>
          <w:t xml:space="preserve"> 2023</w:t>
        </w:r>
        <w:r w:rsidR="00EC76B1" w:rsidRPr="000209B9">
          <w:rPr>
            <w:rFonts w:asciiTheme="minorHAnsi" w:hAnsiTheme="minorHAnsi" w:cstheme="minorHAnsi"/>
            <w:color w:val="70787B"/>
            <w:sz w:val="15"/>
            <w:szCs w:val="15"/>
          </w:rPr>
          <w:t xml:space="preserve"> </w:t>
        </w:r>
      </w:p>
      <w:p w14:paraId="40026289" w14:textId="2806F285" w:rsidR="00EC76B1" w:rsidRPr="000209B9" w:rsidRDefault="00EC76B1"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B40415">
          <w:rPr>
            <w:rFonts w:asciiTheme="minorHAnsi" w:hAnsiTheme="minorHAnsi" w:cstheme="minorHAnsi"/>
            <w:color w:val="70787B"/>
            <w:sz w:val="15"/>
            <w:szCs w:val="15"/>
          </w:rPr>
          <w:t>2023/0000402</w:t>
        </w:r>
      </w:p>
      <w:p w14:paraId="368AFE9B" w14:textId="77777777" w:rsidR="00EC76B1" w:rsidRDefault="00EC76B1"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AD6E" w14:textId="480CAF4D" w:rsidR="00CB3F50" w:rsidRPr="00CB3F50" w:rsidRDefault="00CB3F50" w:rsidP="00CB3F50">
    <w:pPr>
      <w:spacing w:after="0" w:line="240" w:lineRule="auto"/>
      <w:jc w:val="right"/>
      <w:rPr>
        <w:rFonts w:asciiTheme="minorHAnsi" w:hAnsiTheme="minorHAnsi" w:cstheme="minorHAnsi"/>
        <w:color w:val="70787B"/>
        <w:sz w:val="15"/>
        <w:szCs w:val="15"/>
      </w:rPr>
    </w:pPr>
    <w:r w:rsidRPr="00CB3F50">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146BE996" wp14:editId="2E14595A">
              <wp:simplePos x="0" y="0"/>
              <wp:positionH relativeFrom="page">
                <wp:posOffset>-6985</wp:posOffset>
              </wp:positionH>
              <wp:positionV relativeFrom="paragraph">
                <wp:posOffset>-2785110</wp:posOffset>
              </wp:positionV>
              <wp:extent cx="3564890" cy="3564255"/>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4890" cy="3564255"/>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B02116" id="Group 3" o:spid="_x0000_s1026" alt="&quot;&quot;" style="position:absolute;margin-left:-.55pt;margin-top:-219.3pt;width:280.7pt;height:280.65pt;z-index:251662848;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0ReQMAADkLAAAOAAAAZHJzL2Uyb0RvYy54bWzsVk1v1DAQvSPxHyzfabLZZHcTNUVVoQWp&#10;QEWLOLuO84Ec29jeZsuvZ2wn2basQAJxQOLi9cfMm5mX8Vsfv9z1HN0xbTopSrw4ijFigsqqE02J&#10;P92cv9hgZCwRFeFSsBLfM4Nfnjx/djyogiWylbxiGgGIMMWgStxaq4ooMrRlPTFHUjEBh7XUPbGw&#10;1E1UaTIAes+jJI5X0SB1pbSkzBjYfRUO8YnHr2tG7Ye6NswiXmLIzfpR+/HWjdHJMSkaTVTb0TEN&#10;8htZ9KQTEHSGekUsQVvd/QDVd1RLI2t7RGUfybruKPM1QDWL+Ek1F1pula+lKYZGzTQBtU94+m1Y&#10;+v7uQqtrdaWBiUE1wIVfuVp2te7dL2SJdp6y+5kytrOIwuYyW6WbHJilcOYWSZYFUmkLzP/gR9vX&#10;k2e+ildpOnrmWb5Z+c8RTYGjR+kMChrE7Dkwf8bBdUsU89SaAji40qirSgzZCNJDm37smtaiG90R&#10;0XCGUleSywBMZ65MYYC2A0StN4BzgKqxxkDVgYJJobSxF0z2yE1KrO2Uge8tcndpLCQCDE2GLrqR&#10;vKvOO879wl0cdsY1uiPQ8rfNwrvybf9OVmEvz+J4YtrfM2fuUR8hceHwhHTIIajbgY8y1e1n9p4z&#10;Z8fFR1YDh9ASiY84I4eghFImbEjGtKRiYdulcjgXD+iQa4g/Y48Aj4ucsEOWo71zZV4AZuf4Z4kF&#10;59nDR5bCzs59J6Q+BMChqjFysJ9ICtQ4lm5ldQ8dpmWQH6PoeQcf+JIYe0U06A3cH9BQ+wGGmsuh&#10;xHKcYdRK/e3QvrOHKwCnGA2gXyU2X7dEM4z4WwGXI1+kqRM8v0izdQIL/fDk9uGJ2PZnEvplAWqt&#10;qJ86e8unaa1l/xmk9tRFhSMiKMQuMbV6WpzZoKsg1pSdnnozEDlF7KW4VtSBO1Zd697sPhOtxi63&#10;oCXv5XQhSfGkzYOt8xTydGtl3fk7sOd15BvEIdzRv64S60kl3hppKOPM7JVi/WulCH2Qpa71gcma&#10;d+rNRM4otS+yfLlOMq8iqzhPsjxo6qS6yWoRpxs4d6q7SJNlvPSqO2vnXiEmkkcp85/AM+wYbapR&#10;70j1BTLpOfQi6AZKV/HSax4AjsZ/KDqb/6LzQJYfK9Z/0fm3Rcc/VOB95v9Dx7ekewA+XHuR2r94&#10;T74DAAD//wMAUEsDBBQABgAIAAAAIQBqo0/b4gAAAAsBAAAPAAAAZHJzL2Rvd25yZXYueG1sTI/B&#10;asMwDIbvg72D0WC31nGyZiWNU0rZdiqDtYPRmxurSWhsh9hN0refdlpPQujj1/fn68m0bMDeN85K&#10;EPMIGNrS6cZWEr4P77MlMB+U1ap1FiXc0MO6eHzIVabdaL9w2IeKUYj1mZJQh9BlnPuyRqP83HVo&#10;6XZ2vVGB1r7iulcjhZuWx1GUcqMaSx9q1eG2xvKyvxoJH6MaN4l4G3aX8/Z2PCw+f3YCpXx+mjYr&#10;YAGn8A/Dnz6pQ0FOJ3e12rNWwkwIImm+JMsUGBGLNEqAnQiN41fgRc7vOxS/AAAA//8DAFBLAQIt&#10;ABQABgAIAAAAIQC2gziS/gAAAOEBAAATAAAAAAAAAAAAAAAAAAAAAABbQ29udGVudF9UeXBlc10u&#10;eG1sUEsBAi0AFAAGAAgAAAAhADj9If/WAAAAlAEAAAsAAAAAAAAAAAAAAAAALwEAAF9yZWxzLy5y&#10;ZWxzUEsBAi0AFAAGAAgAAAAhAD0IfRF5AwAAOQsAAA4AAAAAAAAAAAAAAAAALgIAAGRycy9lMm9E&#10;b2MueG1sUEsBAi0AFAAGAAgAAAAhAGqjT9viAAAACwEAAA8AAAAAAAAAAAAAAAAA0wUAAGRycy9k&#10;b3ducmV2LnhtbFBLBQYAAAAABAAEAPMAAADi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r w:rsidRPr="00CB3F50">
      <w:rPr>
        <w:rFonts w:asciiTheme="minorHAnsi" w:hAnsiTheme="minorHAnsi" w:cstheme="minorHAnsi"/>
        <w:color w:val="70787B"/>
        <w:sz w:val="15"/>
        <w:szCs w:val="15"/>
      </w:rPr>
      <w:t xml:space="preserve">Quality Assurance Policy | November 2023 </w:t>
    </w:r>
  </w:p>
  <w:p w14:paraId="188E1181" w14:textId="27E163F9" w:rsidR="00CB3F50" w:rsidRPr="00CB3F50" w:rsidRDefault="00CB3F50" w:rsidP="00CB3F50">
    <w:pPr>
      <w:spacing w:after="0" w:line="240" w:lineRule="auto"/>
      <w:jc w:val="right"/>
      <w:rPr>
        <w:rFonts w:asciiTheme="minorHAnsi" w:hAnsiTheme="minorHAnsi" w:cstheme="minorHAnsi"/>
        <w:color w:val="70787B"/>
        <w:sz w:val="15"/>
        <w:szCs w:val="15"/>
      </w:rPr>
    </w:pPr>
    <w:r w:rsidRPr="00CB3F50">
      <w:rPr>
        <w:rFonts w:asciiTheme="minorHAnsi" w:hAnsiTheme="minorHAnsi" w:cstheme="minorHAnsi"/>
        <w:color w:val="70787B"/>
        <w:sz w:val="15"/>
        <w:szCs w:val="15"/>
      </w:rPr>
      <w:t>Document number: 2023/0000402</w:t>
    </w:r>
  </w:p>
  <w:p w14:paraId="1D4252B7" w14:textId="22181837" w:rsidR="00CB3F50" w:rsidRDefault="00CB3F50" w:rsidP="00CB3F50">
    <w:pPr>
      <w:pStyle w:val="Footer"/>
      <w:jc w:val="right"/>
    </w:pPr>
    <w:r w:rsidRPr="00CB3F50">
      <w:rPr>
        <w:rFonts w:asciiTheme="minorHAnsi" w:eastAsia="Times New Roman" w:hAnsiTheme="minorHAnsi" w:cstheme="minorHAnsi"/>
        <w:color w:val="808080"/>
        <w:sz w:val="15"/>
        <w:szCs w:val="15"/>
        <w:shd w:val="clear" w:color="auto" w:fill="FFFFFF"/>
        <w:lang w:eastAsia="en-GB"/>
      </w:rPr>
      <w:t>Griffith University - CRICOS Provider Number 00233E</w:t>
    </w:r>
  </w:p>
  <w:p w14:paraId="04EA7344" w14:textId="77777777" w:rsidR="00CB3F50" w:rsidRDefault="00CB3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0F8B" w14:textId="77777777" w:rsidR="00D00D72" w:rsidRDefault="00D00D72" w:rsidP="00F45E9C">
      <w:r>
        <w:separator/>
      </w:r>
    </w:p>
  </w:footnote>
  <w:footnote w:type="continuationSeparator" w:id="0">
    <w:p w14:paraId="212A5D06" w14:textId="77777777" w:rsidR="00D00D72" w:rsidRDefault="00D00D72" w:rsidP="00F45E9C">
      <w:r>
        <w:continuationSeparator/>
      </w:r>
    </w:p>
  </w:footnote>
  <w:footnote w:type="continuationNotice" w:id="1">
    <w:p w14:paraId="28063537" w14:textId="77777777" w:rsidR="00D00D72" w:rsidRDefault="00D00D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3177E724" w:rsidR="00D87683" w:rsidRPr="00577FA9" w:rsidRDefault="00CB3F50" w:rsidP="00D87683">
    <w:pPr>
      <w:pStyle w:val="Header"/>
      <w:ind w:right="-348"/>
      <w:jc w:val="right"/>
      <w:rPr>
        <w:rFonts w:ascii="Arial" w:hAnsi="Arial" w:cs="Arial"/>
        <w:b/>
        <w:color w:val="FFFFFF" w:themeColor="background1"/>
        <w:sz w:val="52"/>
        <w:szCs w:val="52"/>
      </w:rPr>
    </w:pPr>
    <w:r>
      <w:rPr>
        <w:rFonts w:cs="Arial"/>
        <w:b/>
        <w:noProof/>
        <w:color w:val="E30918"/>
        <w:sz w:val="52"/>
        <w:szCs w:val="52"/>
      </w:rPr>
      <w:drawing>
        <wp:anchor distT="0" distB="0" distL="114300" distR="114300" simplePos="0" relativeHeight="251658243" behindDoc="1" locked="0" layoutInCell="1" allowOverlap="1" wp14:anchorId="6637CBE2" wp14:editId="5051BFB4">
          <wp:simplePos x="0" y="0"/>
          <wp:positionH relativeFrom="margin">
            <wp:align>left</wp:align>
          </wp:positionH>
          <wp:positionV relativeFrom="page">
            <wp:posOffset>450215</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r w:rsidR="00D87683" w:rsidRPr="00577FA9">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F6A1" w14:textId="70AE3398" w:rsidR="00CB3F50" w:rsidRPr="00AD1B85" w:rsidRDefault="006041E8" w:rsidP="00935EB6">
    <w:pPr>
      <w:pStyle w:val="Header"/>
      <w:ind w:right="-348"/>
      <w:jc w:val="right"/>
      <w:rPr>
        <w:rFonts w:ascii="Arial" w:hAnsi="Arial" w:cs="Arial"/>
        <w:b/>
        <w:bCs/>
        <w:color w:val="FFFFFF" w:themeColor="background1"/>
        <w:sz w:val="52"/>
        <w:szCs w:val="52"/>
      </w:rPr>
    </w:pPr>
    <w:r w:rsidRPr="00AD1B85">
      <w:rPr>
        <w:rFonts w:ascii="Arial" w:hAnsi="Arial" w:cs="Arial"/>
        <w:b/>
        <w:bCs/>
        <w:noProof/>
        <w:color w:val="E30918"/>
        <w:sz w:val="52"/>
        <w:szCs w:val="52"/>
      </w:rPr>
      <mc:AlternateContent>
        <mc:Choice Requires="wps">
          <w:drawing>
            <wp:anchor distT="0" distB="0" distL="114300" distR="114300" simplePos="0" relativeHeight="251658240" behindDoc="1" locked="0" layoutInCell="1" allowOverlap="1" wp14:anchorId="1AFB1CE7" wp14:editId="67585B78">
              <wp:simplePos x="0" y="0"/>
              <wp:positionH relativeFrom="column">
                <wp:posOffset>3033395</wp:posOffset>
              </wp:positionH>
              <wp:positionV relativeFrom="page">
                <wp:posOffset>-886460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5C2E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38.85pt;margin-top:-69.8pt;width:450.35pt;height:220.55pt;rotation:180;z-index:-2516567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CKUqgOMAAAANAQAADwAAAGRycy9kb3ducmV2LnhtbEyPQW7CMBBF95V6B2sq&#10;dQdOGkpCmgmKkChdwKKUA5h4iKPGdhQbkt6+ZtUuR//p/zfFetIdu9HgWmsQ4nkEjExtZWsahNPX&#10;dpYBc14YKTprCOGHHKzLx4dC5NKO5pNuR9+wUGJcLhCU933OuasVaeHmticTsosdtPDhHBouBzGG&#10;ct3xlyhaci1aExaU6GmjqP4+XjVCI/1ObarT7v3jMFXZQVb7/XZEfH6aqjdgnib/B8NdP6hDGZzO&#10;9mqkYx3CIk3TgCLM4mS1BHZHkjRbADsjJFH8Crws+P8vyl8AAAD//wMAUEsBAi0AFAAGAAgAAAAh&#10;ALaDOJL+AAAA4QEAABMAAAAAAAAAAAAAAAAAAAAAAFtDb250ZW50X1R5cGVzXS54bWxQSwECLQAU&#10;AAYACAAAACEAOP0h/9YAAACUAQAACwAAAAAAAAAAAAAAAAAvAQAAX3JlbHMvLnJlbHNQSwECLQAU&#10;AAYACAAAACEAHZRl0ooCAABzBQAADgAAAAAAAAAAAAAAAAAuAgAAZHJzL2Uyb0RvYy54bWxQSwEC&#10;LQAUAAYACAAAACEACKUqgOMAAAANAQAADwAAAAAAAAAAAAAAAADkBAAAZHJzL2Rvd25yZXYueG1s&#10;UEsFBgAAAAAEAAQA8wAAAPQFAAAAAA==&#10;" fillcolor="#f40609" stroked="f" strokeweight="1pt">
              <w10:wrap anchory="page"/>
            </v:shape>
          </w:pict>
        </mc:Fallback>
      </mc:AlternateContent>
    </w:r>
    <w:r w:rsidR="00CB3F50" w:rsidRPr="00AD1B85">
      <w:rPr>
        <w:rFonts w:ascii="Arial" w:hAnsi="Arial" w:cs="Arial"/>
        <w:b/>
        <w:bCs/>
        <w:noProof/>
        <w:color w:val="E30918"/>
        <w:sz w:val="52"/>
        <w:szCs w:val="52"/>
      </w:rPr>
      <w:drawing>
        <wp:anchor distT="0" distB="0" distL="114300" distR="114300" simplePos="0" relativeHeight="251658241" behindDoc="1" locked="0" layoutInCell="1" allowOverlap="1" wp14:anchorId="0EFE4D51" wp14:editId="45D30B60">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B3F50" w:rsidRPr="00AD1B85">
      <w:rPr>
        <w:rFonts w:ascii="Arial" w:hAnsi="Arial" w:cs="Arial"/>
        <w:b/>
        <w:bCs/>
        <w:color w:val="FFFFFF" w:themeColor="background1"/>
        <w:sz w:val="52"/>
        <w:szCs w:val="52"/>
      </w:rPr>
      <w:t xml:space="preserve">Policy </w:t>
    </w:r>
  </w:p>
  <w:p w14:paraId="7A1A7CD8" w14:textId="77777777" w:rsidR="00554151" w:rsidRPr="00AD1B85" w:rsidRDefault="00554151" w:rsidP="00935EB6">
    <w:pPr>
      <w:pStyle w:val="Header"/>
      <w:ind w:right="-348"/>
      <w:jc w:val="right"/>
      <w:rPr>
        <w:rFonts w:ascii="Arial" w:hAnsi="Arial" w:cs="Arial"/>
        <w:b/>
        <w:bCs/>
        <w:color w:val="000000" w:themeColor="text1"/>
        <w:sz w:val="22"/>
      </w:rPr>
    </w:pPr>
  </w:p>
  <w:p w14:paraId="279F5237" w14:textId="125B8F92" w:rsidR="00554151" w:rsidRPr="00AD1B85" w:rsidRDefault="00554151" w:rsidP="00935EB6">
    <w:pPr>
      <w:pStyle w:val="Header"/>
      <w:ind w:right="-348"/>
      <w:jc w:val="right"/>
      <w:rPr>
        <w:rFonts w:ascii="Arial" w:hAnsi="Arial" w:cs="Arial"/>
        <w:b/>
        <w:bCs/>
        <w:color w:val="000000" w:themeColor="text1"/>
        <w:sz w:val="22"/>
      </w:rPr>
    </w:pPr>
    <w:r w:rsidRPr="00AD1B85">
      <w:rPr>
        <w:rFonts w:ascii="Arial" w:hAnsi="Arial" w:cs="Arial"/>
        <w:b/>
        <w:bCs/>
        <w:color w:val="000000" w:themeColor="text1"/>
        <w:sz w:val="22"/>
        <w:u w:val="single"/>
      </w:rPr>
      <w:t>NOTE</w:t>
    </w:r>
    <w:r w:rsidRPr="00AD1B85">
      <w:rPr>
        <w:rFonts w:ascii="Arial" w:hAnsi="Arial" w:cs="Arial"/>
        <w:b/>
        <w:bCs/>
        <w:color w:val="000000" w:themeColor="text1"/>
        <w:sz w:val="22"/>
      </w:rPr>
      <w:t>:  Effective from 1 January 2024</w:t>
    </w:r>
  </w:p>
  <w:p w14:paraId="72612AA6" w14:textId="177CC584" w:rsidR="00B40415" w:rsidRDefault="00B40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6821"/>
    <w:multiLevelType w:val="hybridMultilevel"/>
    <w:tmpl w:val="ED8A6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252E1B"/>
    <w:multiLevelType w:val="hybridMultilevel"/>
    <w:tmpl w:val="B62C304C"/>
    <w:lvl w:ilvl="0" w:tplc="0C090001">
      <w:start w:val="1"/>
      <w:numFmt w:val="bullet"/>
      <w:lvlText w:val=""/>
      <w:lvlJc w:val="left"/>
      <w:pPr>
        <w:ind w:left="1080" w:hanging="360"/>
      </w:pPr>
      <w:rPr>
        <w:rFonts w:ascii="Symbol" w:hAnsi="Symbol" w:hint="default"/>
        <w:color w:val="E3091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B718D0"/>
    <w:multiLevelType w:val="hybridMultilevel"/>
    <w:tmpl w:val="DB0E297C"/>
    <w:lvl w:ilvl="0" w:tplc="0C090001">
      <w:start w:val="1"/>
      <w:numFmt w:val="bullet"/>
      <w:lvlText w:val=""/>
      <w:lvlJc w:val="left"/>
      <w:pPr>
        <w:ind w:left="1440" w:hanging="360"/>
      </w:pPr>
      <w:rPr>
        <w:rFonts w:ascii="Symbol" w:hAnsi="Symbol" w:hint="default"/>
        <w:color w:val="E30918"/>
      </w:rPr>
    </w:lvl>
    <w:lvl w:ilvl="1" w:tplc="FFFFFFFF" w:tentative="1">
      <w:start w:val="1"/>
      <w:numFmt w:val="bullet"/>
      <w:lvlText w:val="o"/>
      <w:lvlJc w:val="left"/>
      <w:pPr>
        <w:ind w:left="2521" w:hanging="360"/>
      </w:pPr>
      <w:rPr>
        <w:rFonts w:ascii="Courier New" w:hAnsi="Courier New" w:cs="Courier New" w:hint="default"/>
      </w:rPr>
    </w:lvl>
    <w:lvl w:ilvl="2" w:tplc="FFFFFFFF" w:tentative="1">
      <w:start w:val="1"/>
      <w:numFmt w:val="bullet"/>
      <w:lvlText w:val=""/>
      <w:lvlJc w:val="left"/>
      <w:pPr>
        <w:ind w:left="3241" w:hanging="360"/>
      </w:pPr>
      <w:rPr>
        <w:rFonts w:ascii="Wingdings" w:hAnsi="Wingdings" w:hint="default"/>
      </w:rPr>
    </w:lvl>
    <w:lvl w:ilvl="3" w:tplc="FFFFFFFF" w:tentative="1">
      <w:start w:val="1"/>
      <w:numFmt w:val="bullet"/>
      <w:lvlText w:val=""/>
      <w:lvlJc w:val="left"/>
      <w:pPr>
        <w:ind w:left="3961" w:hanging="360"/>
      </w:pPr>
      <w:rPr>
        <w:rFonts w:ascii="Symbol" w:hAnsi="Symbol" w:hint="default"/>
      </w:rPr>
    </w:lvl>
    <w:lvl w:ilvl="4" w:tplc="FFFFFFFF" w:tentative="1">
      <w:start w:val="1"/>
      <w:numFmt w:val="bullet"/>
      <w:lvlText w:val="o"/>
      <w:lvlJc w:val="left"/>
      <w:pPr>
        <w:ind w:left="4681" w:hanging="360"/>
      </w:pPr>
      <w:rPr>
        <w:rFonts w:ascii="Courier New" w:hAnsi="Courier New" w:cs="Courier New" w:hint="default"/>
      </w:rPr>
    </w:lvl>
    <w:lvl w:ilvl="5" w:tplc="FFFFFFFF" w:tentative="1">
      <w:start w:val="1"/>
      <w:numFmt w:val="bullet"/>
      <w:lvlText w:val=""/>
      <w:lvlJc w:val="left"/>
      <w:pPr>
        <w:ind w:left="5401" w:hanging="360"/>
      </w:pPr>
      <w:rPr>
        <w:rFonts w:ascii="Wingdings" w:hAnsi="Wingdings" w:hint="default"/>
      </w:rPr>
    </w:lvl>
    <w:lvl w:ilvl="6" w:tplc="FFFFFFFF" w:tentative="1">
      <w:start w:val="1"/>
      <w:numFmt w:val="bullet"/>
      <w:lvlText w:val=""/>
      <w:lvlJc w:val="left"/>
      <w:pPr>
        <w:ind w:left="6121" w:hanging="360"/>
      </w:pPr>
      <w:rPr>
        <w:rFonts w:ascii="Symbol" w:hAnsi="Symbol" w:hint="default"/>
      </w:rPr>
    </w:lvl>
    <w:lvl w:ilvl="7" w:tplc="FFFFFFFF" w:tentative="1">
      <w:start w:val="1"/>
      <w:numFmt w:val="bullet"/>
      <w:lvlText w:val="o"/>
      <w:lvlJc w:val="left"/>
      <w:pPr>
        <w:ind w:left="6841" w:hanging="360"/>
      </w:pPr>
      <w:rPr>
        <w:rFonts w:ascii="Courier New" w:hAnsi="Courier New" w:cs="Courier New" w:hint="default"/>
      </w:rPr>
    </w:lvl>
    <w:lvl w:ilvl="8" w:tplc="FFFFFFFF" w:tentative="1">
      <w:start w:val="1"/>
      <w:numFmt w:val="bullet"/>
      <w:lvlText w:val=""/>
      <w:lvlJc w:val="left"/>
      <w:pPr>
        <w:ind w:left="7561" w:hanging="360"/>
      </w:pPr>
      <w:rPr>
        <w:rFonts w:ascii="Wingdings" w:hAnsi="Wingdings" w:hint="default"/>
      </w:rPr>
    </w:lvl>
  </w:abstractNum>
  <w:abstractNum w:abstractNumId="4" w15:restartNumberingAfterBreak="0">
    <w:nsid w:val="5DC33F88"/>
    <w:multiLevelType w:val="hybridMultilevel"/>
    <w:tmpl w:val="EEB66EAE"/>
    <w:lvl w:ilvl="0" w:tplc="0C090001">
      <w:start w:val="1"/>
      <w:numFmt w:val="bullet"/>
      <w:lvlText w:val=""/>
      <w:lvlJc w:val="left"/>
      <w:pPr>
        <w:ind w:left="1440" w:hanging="360"/>
      </w:pPr>
      <w:rPr>
        <w:rFonts w:ascii="Symbol" w:hAnsi="Symbol" w:hint="default"/>
        <w:color w:val="E3091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6C1B2843"/>
    <w:multiLevelType w:val="hybridMultilevel"/>
    <w:tmpl w:val="2A16E13E"/>
    <w:lvl w:ilvl="0" w:tplc="0C090001">
      <w:start w:val="1"/>
      <w:numFmt w:val="bullet"/>
      <w:lvlText w:val=""/>
      <w:lvlJc w:val="left"/>
      <w:pPr>
        <w:ind w:left="1440" w:hanging="360"/>
      </w:pPr>
      <w:rPr>
        <w:rFonts w:ascii="Symbol" w:hAnsi="Symbol" w:hint="default"/>
        <w:color w:val="E30918"/>
      </w:rPr>
    </w:lvl>
    <w:lvl w:ilvl="1" w:tplc="FFFFFFFF" w:tentative="1">
      <w:start w:val="1"/>
      <w:numFmt w:val="bullet"/>
      <w:lvlText w:val="o"/>
      <w:lvlJc w:val="left"/>
      <w:pPr>
        <w:ind w:left="2521" w:hanging="360"/>
      </w:pPr>
      <w:rPr>
        <w:rFonts w:ascii="Courier New" w:hAnsi="Courier New" w:cs="Courier New" w:hint="default"/>
      </w:rPr>
    </w:lvl>
    <w:lvl w:ilvl="2" w:tplc="FFFFFFFF" w:tentative="1">
      <w:start w:val="1"/>
      <w:numFmt w:val="bullet"/>
      <w:lvlText w:val=""/>
      <w:lvlJc w:val="left"/>
      <w:pPr>
        <w:ind w:left="3241" w:hanging="360"/>
      </w:pPr>
      <w:rPr>
        <w:rFonts w:ascii="Wingdings" w:hAnsi="Wingdings" w:hint="default"/>
      </w:rPr>
    </w:lvl>
    <w:lvl w:ilvl="3" w:tplc="FFFFFFFF" w:tentative="1">
      <w:start w:val="1"/>
      <w:numFmt w:val="bullet"/>
      <w:lvlText w:val=""/>
      <w:lvlJc w:val="left"/>
      <w:pPr>
        <w:ind w:left="3961" w:hanging="360"/>
      </w:pPr>
      <w:rPr>
        <w:rFonts w:ascii="Symbol" w:hAnsi="Symbol" w:hint="default"/>
      </w:rPr>
    </w:lvl>
    <w:lvl w:ilvl="4" w:tplc="FFFFFFFF" w:tentative="1">
      <w:start w:val="1"/>
      <w:numFmt w:val="bullet"/>
      <w:lvlText w:val="o"/>
      <w:lvlJc w:val="left"/>
      <w:pPr>
        <w:ind w:left="4681" w:hanging="360"/>
      </w:pPr>
      <w:rPr>
        <w:rFonts w:ascii="Courier New" w:hAnsi="Courier New" w:cs="Courier New" w:hint="default"/>
      </w:rPr>
    </w:lvl>
    <w:lvl w:ilvl="5" w:tplc="FFFFFFFF" w:tentative="1">
      <w:start w:val="1"/>
      <w:numFmt w:val="bullet"/>
      <w:lvlText w:val=""/>
      <w:lvlJc w:val="left"/>
      <w:pPr>
        <w:ind w:left="5401" w:hanging="360"/>
      </w:pPr>
      <w:rPr>
        <w:rFonts w:ascii="Wingdings" w:hAnsi="Wingdings" w:hint="default"/>
      </w:rPr>
    </w:lvl>
    <w:lvl w:ilvl="6" w:tplc="FFFFFFFF" w:tentative="1">
      <w:start w:val="1"/>
      <w:numFmt w:val="bullet"/>
      <w:lvlText w:val=""/>
      <w:lvlJc w:val="left"/>
      <w:pPr>
        <w:ind w:left="6121" w:hanging="360"/>
      </w:pPr>
      <w:rPr>
        <w:rFonts w:ascii="Symbol" w:hAnsi="Symbol" w:hint="default"/>
      </w:rPr>
    </w:lvl>
    <w:lvl w:ilvl="7" w:tplc="FFFFFFFF" w:tentative="1">
      <w:start w:val="1"/>
      <w:numFmt w:val="bullet"/>
      <w:lvlText w:val="o"/>
      <w:lvlJc w:val="left"/>
      <w:pPr>
        <w:ind w:left="6841" w:hanging="360"/>
      </w:pPr>
      <w:rPr>
        <w:rFonts w:ascii="Courier New" w:hAnsi="Courier New" w:cs="Courier New" w:hint="default"/>
      </w:rPr>
    </w:lvl>
    <w:lvl w:ilvl="8" w:tplc="FFFFFFFF" w:tentative="1">
      <w:start w:val="1"/>
      <w:numFmt w:val="bullet"/>
      <w:lvlText w:val=""/>
      <w:lvlJc w:val="left"/>
      <w:pPr>
        <w:ind w:left="7561" w:hanging="360"/>
      </w:pPr>
      <w:rPr>
        <w:rFonts w:ascii="Wingdings" w:hAnsi="Wingdings" w:hint="default"/>
      </w:rPr>
    </w:lvl>
  </w:abstractNum>
  <w:abstractNum w:abstractNumId="6" w15:restartNumberingAfterBreak="0">
    <w:nsid w:val="723A7285"/>
    <w:multiLevelType w:val="hybridMultilevel"/>
    <w:tmpl w:val="19866A0C"/>
    <w:lvl w:ilvl="0" w:tplc="0C090001">
      <w:start w:val="1"/>
      <w:numFmt w:val="bullet"/>
      <w:lvlText w:val=""/>
      <w:lvlJc w:val="left"/>
      <w:pPr>
        <w:ind w:left="1440" w:hanging="360"/>
      </w:pPr>
      <w:rPr>
        <w:rFonts w:ascii="Symbol" w:hAnsi="Symbol" w:hint="default"/>
        <w:color w:val="E30918"/>
      </w:rPr>
    </w:lvl>
    <w:lvl w:ilvl="1" w:tplc="FFFFFFFF" w:tentative="1">
      <w:start w:val="1"/>
      <w:numFmt w:val="bullet"/>
      <w:lvlText w:val="o"/>
      <w:lvlJc w:val="left"/>
      <w:pPr>
        <w:ind w:left="2521" w:hanging="360"/>
      </w:pPr>
      <w:rPr>
        <w:rFonts w:ascii="Courier New" w:hAnsi="Courier New" w:cs="Courier New" w:hint="default"/>
      </w:rPr>
    </w:lvl>
    <w:lvl w:ilvl="2" w:tplc="FFFFFFFF" w:tentative="1">
      <w:start w:val="1"/>
      <w:numFmt w:val="bullet"/>
      <w:lvlText w:val=""/>
      <w:lvlJc w:val="left"/>
      <w:pPr>
        <w:ind w:left="3241" w:hanging="360"/>
      </w:pPr>
      <w:rPr>
        <w:rFonts w:ascii="Wingdings" w:hAnsi="Wingdings" w:hint="default"/>
      </w:rPr>
    </w:lvl>
    <w:lvl w:ilvl="3" w:tplc="FFFFFFFF" w:tentative="1">
      <w:start w:val="1"/>
      <w:numFmt w:val="bullet"/>
      <w:lvlText w:val=""/>
      <w:lvlJc w:val="left"/>
      <w:pPr>
        <w:ind w:left="3961" w:hanging="360"/>
      </w:pPr>
      <w:rPr>
        <w:rFonts w:ascii="Symbol" w:hAnsi="Symbol" w:hint="default"/>
      </w:rPr>
    </w:lvl>
    <w:lvl w:ilvl="4" w:tplc="FFFFFFFF" w:tentative="1">
      <w:start w:val="1"/>
      <w:numFmt w:val="bullet"/>
      <w:lvlText w:val="o"/>
      <w:lvlJc w:val="left"/>
      <w:pPr>
        <w:ind w:left="4681" w:hanging="360"/>
      </w:pPr>
      <w:rPr>
        <w:rFonts w:ascii="Courier New" w:hAnsi="Courier New" w:cs="Courier New" w:hint="default"/>
      </w:rPr>
    </w:lvl>
    <w:lvl w:ilvl="5" w:tplc="FFFFFFFF" w:tentative="1">
      <w:start w:val="1"/>
      <w:numFmt w:val="bullet"/>
      <w:lvlText w:val=""/>
      <w:lvlJc w:val="left"/>
      <w:pPr>
        <w:ind w:left="5401" w:hanging="360"/>
      </w:pPr>
      <w:rPr>
        <w:rFonts w:ascii="Wingdings" w:hAnsi="Wingdings" w:hint="default"/>
      </w:rPr>
    </w:lvl>
    <w:lvl w:ilvl="6" w:tplc="FFFFFFFF" w:tentative="1">
      <w:start w:val="1"/>
      <w:numFmt w:val="bullet"/>
      <w:lvlText w:val=""/>
      <w:lvlJc w:val="left"/>
      <w:pPr>
        <w:ind w:left="6121" w:hanging="360"/>
      </w:pPr>
      <w:rPr>
        <w:rFonts w:ascii="Symbol" w:hAnsi="Symbol" w:hint="default"/>
      </w:rPr>
    </w:lvl>
    <w:lvl w:ilvl="7" w:tplc="FFFFFFFF" w:tentative="1">
      <w:start w:val="1"/>
      <w:numFmt w:val="bullet"/>
      <w:lvlText w:val="o"/>
      <w:lvlJc w:val="left"/>
      <w:pPr>
        <w:ind w:left="6841" w:hanging="360"/>
      </w:pPr>
      <w:rPr>
        <w:rFonts w:ascii="Courier New" w:hAnsi="Courier New" w:cs="Courier New" w:hint="default"/>
      </w:rPr>
    </w:lvl>
    <w:lvl w:ilvl="8" w:tplc="FFFFFFFF" w:tentative="1">
      <w:start w:val="1"/>
      <w:numFmt w:val="bullet"/>
      <w:lvlText w:val=""/>
      <w:lvlJc w:val="left"/>
      <w:pPr>
        <w:ind w:left="7561" w:hanging="360"/>
      </w:pPr>
      <w:rPr>
        <w:rFonts w:ascii="Wingdings" w:hAnsi="Wingdings" w:hint="default"/>
      </w:rPr>
    </w:lvl>
  </w:abstractNum>
  <w:abstractNum w:abstractNumId="7"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01474413">
    <w:abstractNumId w:val="2"/>
  </w:num>
  <w:num w:numId="2" w16cid:durableId="1803570214">
    <w:abstractNumId w:val="7"/>
  </w:num>
  <w:num w:numId="3" w16cid:durableId="708922323">
    <w:abstractNumId w:val="0"/>
  </w:num>
  <w:num w:numId="4" w16cid:durableId="2053530159">
    <w:abstractNumId w:val="4"/>
  </w:num>
  <w:num w:numId="5" w16cid:durableId="82924548">
    <w:abstractNumId w:val="1"/>
  </w:num>
  <w:num w:numId="6" w16cid:durableId="680396700">
    <w:abstractNumId w:val="6"/>
  </w:num>
  <w:num w:numId="7" w16cid:durableId="1586838565">
    <w:abstractNumId w:val="5"/>
  </w:num>
  <w:num w:numId="8" w16cid:durableId="4357544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117B"/>
    <w:rsid w:val="00001681"/>
    <w:rsid w:val="00001814"/>
    <w:rsid w:val="000033C5"/>
    <w:rsid w:val="00003459"/>
    <w:rsid w:val="00004E2F"/>
    <w:rsid w:val="00006C84"/>
    <w:rsid w:val="00007608"/>
    <w:rsid w:val="00010543"/>
    <w:rsid w:val="0001231E"/>
    <w:rsid w:val="0001254D"/>
    <w:rsid w:val="0001493F"/>
    <w:rsid w:val="00015436"/>
    <w:rsid w:val="000209B9"/>
    <w:rsid w:val="000214B8"/>
    <w:rsid w:val="00023876"/>
    <w:rsid w:val="00023997"/>
    <w:rsid w:val="00025BF5"/>
    <w:rsid w:val="000278C0"/>
    <w:rsid w:val="00031916"/>
    <w:rsid w:val="0003464D"/>
    <w:rsid w:val="000372F6"/>
    <w:rsid w:val="00037E6F"/>
    <w:rsid w:val="000408E3"/>
    <w:rsid w:val="00040BB8"/>
    <w:rsid w:val="00041B5B"/>
    <w:rsid w:val="00042E2C"/>
    <w:rsid w:val="00043C35"/>
    <w:rsid w:val="000452C3"/>
    <w:rsid w:val="00045B39"/>
    <w:rsid w:val="00045D5F"/>
    <w:rsid w:val="00045D66"/>
    <w:rsid w:val="000506F8"/>
    <w:rsid w:val="00050910"/>
    <w:rsid w:val="00051573"/>
    <w:rsid w:val="00051D85"/>
    <w:rsid w:val="00052E7B"/>
    <w:rsid w:val="000534FD"/>
    <w:rsid w:val="00053A5F"/>
    <w:rsid w:val="00053F16"/>
    <w:rsid w:val="00055585"/>
    <w:rsid w:val="000576DF"/>
    <w:rsid w:val="000605CD"/>
    <w:rsid w:val="00065948"/>
    <w:rsid w:val="000674C0"/>
    <w:rsid w:val="00067949"/>
    <w:rsid w:val="00071436"/>
    <w:rsid w:val="00071666"/>
    <w:rsid w:val="00071E96"/>
    <w:rsid w:val="000745B5"/>
    <w:rsid w:val="000774A5"/>
    <w:rsid w:val="0008146B"/>
    <w:rsid w:val="00081FC0"/>
    <w:rsid w:val="0008592F"/>
    <w:rsid w:val="00085F71"/>
    <w:rsid w:val="00092059"/>
    <w:rsid w:val="0009266B"/>
    <w:rsid w:val="00093181"/>
    <w:rsid w:val="000936E5"/>
    <w:rsid w:val="000A0D52"/>
    <w:rsid w:val="000A1E12"/>
    <w:rsid w:val="000A267D"/>
    <w:rsid w:val="000A4DA4"/>
    <w:rsid w:val="000A63B9"/>
    <w:rsid w:val="000A6F0F"/>
    <w:rsid w:val="000A73C8"/>
    <w:rsid w:val="000B08A5"/>
    <w:rsid w:val="000B3767"/>
    <w:rsid w:val="000B57DD"/>
    <w:rsid w:val="000B6A36"/>
    <w:rsid w:val="000B7D0C"/>
    <w:rsid w:val="000C09A5"/>
    <w:rsid w:val="000C0A6C"/>
    <w:rsid w:val="000C15C8"/>
    <w:rsid w:val="000C30E1"/>
    <w:rsid w:val="000C3BA3"/>
    <w:rsid w:val="000C4BC3"/>
    <w:rsid w:val="000D03F7"/>
    <w:rsid w:val="000D111F"/>
    <w:rsid w:val="000D23FE"/>
    <w:rsid w:val="000D2DD5"/>
    <w:rsid w:val="000D4036"/>
    <w:rsid w:val="000D42BC"/>
    <w:rsid w:val="000D5843"/>
    <w:rsid w:val="000D729D"/>
    <w:rsid w:val="000E2A8A"/>
    <w:rsid w:val="000E46E9"/>
    <w:rsid w:val="000E4CBE"/>
    <w:rsid w:val="000E5305"/>
    <w:rsid w:val="000E5D52"/>
    <w:rsid w:val="000E5D83"/>
    <w:rsid w:val="000E5E79"/>
    <w:rsid w:val="000E6FE1"/>
    <w:rsid w:val="000F0714"/>
    <w:rsid w:val="000F07E0"/>
    <w:rsid w:val="000F0B20"/>
    <w:rsid w:val="000F1642"/>
    <w:rsid w:val="000F17EE"/>
    <w:rsid w:val="000F2B6F"/>
    <w:rsid w:val="000F3A1B"/>
    <w:rsid w:val="000F5DCE"/>
    <w:rsid w:val="000F5DF9"/>
    <w:rsid w:val="000F7788"/>
    <w:rsid w:val="00102763"/>
    <w:rsid w:val="00102D19"/>
    <w:rsid w:val="001040E4"/>
    <w:rsid w:val="00105063"/>
    <w:rsid w:val="0010768E"/>
    <w:rsid w:val="0011394F"/>
    <w:rsid w:val="001160BF"/>
    <w:rsid w:val="001163A5"/>
    <w:rsid w:val="0012034C"/>
    <w:rsid w:val="00122641"/>
    <w:rsid w:val="00122CF0"/>
    <w:rsid w:val="00124B2E"/>
    <w:rsid w:val="001254E2"/>
    <w:rsid w:val="00126F99"/>
    <w:rsid w:val="00130591"/>
    <w:rsid w:val="0013141E"/>
    <w:rsid w:val="001324A0"/>
    <w:rsid w:val="00133B49"/>
    <w:rsid w:val="00134DF4"/>
    <w:rsid w:val="0014000E"/>
    <w:rsid w:val="001400C3"/>
    <w:rsid w:val="00140E32"/>
    <w:rsid w:val="00143210"/>
    <w:rsid w:val="001474C7"/>
    <w:rsid w:val="0014767C"/>
    <w:rsid w:val="00147A35"/>
    <w:rsid w:val="00147B11"/>
    <w:rsid w:val="00150B2A"/>
    <w:rsid w:val="00151066"/>
    <w:rsid w:val="001521D4"/>
    <w:rsid w:val="00152D7D"/>
    <w:rsid w:val="001537D5"/>
    <w:rsid w:val="00153905"/>
    <w:rsid w:val="00154DBA"/>
    <w:rsid w:val="00155CCD"/>
    <w:rsid w:val="00157F78"/>
    <w:rsid w:val="00162972"/>
    <w:rsid w:val="0016404F"/>
    <w:rsid w:val="00167D76"/>
    <w:rsid w:val="001713A5"/>
    <w:rsid w:val="0017239B"/>
    <w:rsid w:val="001735D3"/>
    <w:rsid w:val="0017412E"/>
    <w:rsid w:val="0017500E"/>
    <w:rsid w:val="00175444"/>
    <w:rsid w:val="001764FB"/>
    <w:rsid w:val="00176D78"/>
    <w:rsid w:val="00180673"/>
    <w:rsid w:val="00180A28"/>
    <w:rsid w:val="00181BF5"/>
    <w:rsid w:val="0018335C"/>
    <w:rsid w:val="00183490"/>
    <w:rsid w:val="00184ABF"/>
    <w:rsid w:val="00186A8A"/>
    <w:rsid w:val="0018703B"/>
    <w:rsid w:val="00190D3B"/>
    <w:rsid w:val="001927FD"/>
    <w:rsid w:val="00192ACD"/>
    <w:rsid w:val="001957E9"/>
    <w:rsid w:val="00197393"/>
    <w:rsid w:val="001A0DF5"/>
    <w:rsid w:val="001A138A"/>
    <w:rsid w:val="001A1ABF"/>
    <w:rsid w:val="001A1FEC"/>
    <w:rsid w:val="001A3002"/>
    <w:rsid w:val="001A421A"/>
    <w:rsid w:val="001A5164"/>
    <w:rsid w:val="001A687F"/>
    <w:rsid w:val="001B07FE"/>
    <w:rsid w:val="001B10A1"/>
    <w:rsid w:val="001B1BF1"/>
    <w:rsid w:val="001B37BF"/>
    <w:rsid w:val="001B3E2F"/>
    <w:rsid w:val="001B6E7A"/>
    <w:rsid w:val="001C3CF1"/>
    <w:rsid w:val="001C59B9"/>
    <w:rsid w:val="001C763D"/>
    <w:rsid w:val="001D03BC"/>
    <w:rsid w:val="001D0C8A"/>
    <w:rsid w:val="001D0DB6"/>
    <w:rsid w:val="001D1070"/>
    <w:rsid w:val="001D2660"/>
    <w:rsid w:val="001D58FF"/>
    <w:rsid w:val="001D6EE7"/>
    <w:rsid w:val="001E5EAD"/>
    <w:rsid w:val="001E6176"/>
    <w:rsid w:val="001E6438"/>
    <w:rsid w:val="001E74D4"/>
    <w:rsid w:val="001F3CF3"/>
    <w:rsid w:val="001F5876"/>
    <w:rsid w:val="001F7A1C"/>
    <w:rsid w:val="00200EED"/>
    <w:rsid w:val="002015FA"/>
    <w:rsid w:val="00201B0B"/>
    <w:rsid w:val="0020350D"/>
    <w:rsid w:val="002043F8"/>
    <w:rsid w:val="002050A6"/>
    <w:rsid w:val="002113BB"/>
    <w:rsid w:val="00211DB7"/>
    <w:rsid w:val="00212EE0"/>
    <w:rsid w:val="00213251"/>
    <w:rsid w:val="00215F67"/>
    <w:rsid w:val="002161C6"/>
    <w:rsid w:val="00216A66"/>
    <w:rsid w:val="00216DFF"/>
    <w:rsid w:val="00222440"/>
    <w:rsid w:val="002241DB"/>
    <w:rsid w:val="00224B0B"/>
    <w:rsid w:val="00227B79"/>
    <w:rsid w:val="00231E7F"/>
    <w:rsid w:val="00235D29"/>
    <w:rsid w:val="002417AF"/>
    <w:rsid w:val="00243081"/>
    <w:rsid w:val="00246688"/>
    <w:rsid w:val="00246CB4"/>
    <w:rsid w:val="0025019C"/>
    <w:rsid w:val="002518CF"/>
    <w:rsid w:val="00257238"/>
    <w:rsid w:val="002576D1"/>
    <w:rsid w:val="00257B86"/>
    <w:rsid w:val="00257E43"/>
    <w:rsid w:val="00261C91"/>
    <w:rsid w:val="002622BC"/>
    <w:rsid w:val="002655E5"/>
    <w:rsid w:val="002658EB"/>
    <w:rsid w:val="00271B27"/>
    <w:rsid w:val="00271E9B"/>
    <w:rsid w:val="00272804"/>
    <w:rsid w:val="002741CB"/>
    <w:rsid w:val="0027526D"/>
    <w:rsid w:val="00275BED"/>
    <w:rsid w:val="0028133A"/>
    <w:rsid w:val="00287529"/>
    <w:rsid w:val="00292052"/>
    <w:rsid w:val="00293C53"/>
    <w:rsid w:val="0029476A"/>
    <w:rsid w:val="00295B3B"/>
    <w:rsid w:val="002A09AA"/>
    <w:rsid w:val="002A10D4"/>
    <w:rsid w:val="002A1372"/>
    <w:rsid w:val="002A166B"/>
    <w:rsid w:val="002A1B79"/>
    <w:rsid w:val="002A1DE8"/>
    <w:rsid w:val="002A25A8"/>
    <w:rsid w:val="002A2A36"/>
    <w:rsid w:val="002A5990"/>
    <w:rsid w:val="002A7328"/>
    <w:rsid w:val="002A77CC"/>
    <w:rsid w:val="002A78A0"/>
    <w:rsid w:val="002B02ED"/>
    <w:rsid w:val="002B0937"/>
    <w:rsid w:val="002B0B0A"/>
    <w:rsid w:val="002B100C"/>
    <w:rsid w:val="002B3077"/>
    <w:rsid w:val="002B37F5"/>
    <w:rsid w:val="002B5AD8"/>
    <w:rsid w:val="002B5AE6"/>
    <w:rsid w:val="002B5C3D"/>
    <w:rsid w:val="002B79F5"/>
    <w:rsid w:val="002C4450"/>
    <w:rsid w:val="002C5545"/>
    <w:rsid w:val="002C6017"/>
    <w:rsid w:val="002D1D92"/>
    <w:rsid w:val="002D4093"/>
    <w:rsid w:val="002D43C0"/>
    <w:rsid w:val="002D5D7D"/>
    <w:rsid w:val="002D64A4"/>
    <w:rsid w:val="002E1C61"/>
    <w:rsid w:val="002E2A4C"/>
    <w:rsid w:val="002E2B4A"/>
    <w:rsid w:val="002E38EB"/>
    <w:rsid w:val="002E41E8"/>
    <w:rsid w:val="002E4979"/>
    <w:rsid w:val="002E4B5A"/>
    <w:rsid w:val="002E4FA8"/>
    <w:rsid w:val="002E7C62"/>
    <w:rsid w:val="002F0B39"/>
    <w:rsid w:val="002F0ECF"/>
    <w:rsid w:val="002F13EA"/>
    <w:rsid w:val="002F2F6B"/>
    <w:rsid w:val="002F37C5"/>
    <w:rsid w:val="002F50AA"/>
    <w:rsid w:val="002F5132"/>
    <w:rsid w:val="002F52A9"/>
    <w:rsid w:val="002F5511"/>
    <w:rsid w:val="002F588F"/>
    <w:rsid w:val="002F62C1"/>
    <w:rsid w:val="003011B6"/>
    <w:rsid w:val="003045F8"/>
    <w:rsid w:val="00306820"/>
    <w:rsid w:val="00306C05"/>
    <w:rsid w:val="00313D8C"/>
    <w:rsid w:val="0031554B"/>
    <w:rsid w:val="0031767C"/>
    <w:rsid w:val="00317C1A"/>
    <w:rsid w:val="0032053A"/>
    <w:rsid w:val="00320D9B"/>
    <w:rsid w:val="00322FF9"/>
    <w:rsid w:val="00323892"/>
    <w:rsid w:val="003301FA"/>
    <w:rsid w:val="00332215"/>
    <w:rsid w:val="00332EC1"/>
    <w:rsid w:val="00333B53"/>
    <w:rsid w:val="00336157"/>
    <w:rsid w:val="003362EB"/>
    <w:rsid w:val="00336757"/>
    <w:rsid w:val="003414B6"/>
    <w:rsid w:val="00343AB6"/>
    <w:rsid w:val="00346DDF"/>
    <w:rsid w:val="003504C4"/>
    <w:rsid w:val="0035080C"/>
    <w:rsid w:val="00350CB0"/>
    <w:rsid w:val="00350DE3"/>
    <w:rsid w:val="00351909"/>
    <w:rsid w:val="00352033"/>
    <w:rsid w:val="00353BE9"/>
    <w:rsid w:val="0035585D"/>
    <w:rsid w:val="00363801"/>
    <w:rsid w:val="00363919"/>
    <w:rsid w:val="00363A85"/>
    <w:rsid w:val="003664EA"/>
    <w:rsid w:val="003664F0"/>
    <w:rsid w:val="00367453"/>
    <w:rsid w:val="00367DDE"/>
    <w:rsid w:val="00367EA6"/>
    <w:rsid w:val="003703A0"/>
    <w:rsid w:val="00370E3F"/>
    <w:rsid w:val="00372800"/>
    <w:rsid w:val="003757C4"/>
    <w:rsid w:val="0037658D"/>
    <w:rsid w:val="00376FB2"/>
    <w:rsid w:val="00382F39"/>
    <w:rsid w:val="0038513D"/>
    <w:rsid w:val="003873FF"/>
    <w:rsid w:val="00390B0B"/>
    <w:rsid w:val="00390B37"/>
    <w:rsid w:val="00390BA2"/>
    <w:rsid w:val="00393111"/>
    <w:rsid w:val="00396CA4"/>
    <w:rsid w:val="003A0071"/>
    <w:rsid w:val="003A2E5E"/>
    <w:rsid w:val="003A4200"/>
    <w:rsid w:val="003A4FEE"/>
    <w:rsid w:val="003A5094"/>
    <w:rsid w:val="003A649C"/>
    <w:rsid w:val="003B02EE"/>
    <w:rsid w:val="003B0C9A"/>
    <w:rsid w:val="003B1D32"/>
    <w:rsid w:val="003B66D4"/>
    <w:rsid w:val="003B729A"/>
    <w:rsid w:val="003B7A6D"/>
    <w:rsid w:val="003C20B4"/>
    <w:rsid w:val="003C4CA3"/>
    <w:rsid w:val="003C7446"/>
    <w:rsid w:val="003D051F"/>
    <w:rsid w:val="003D0FE4"/>
    <w:rsid w:val="003D418D"/>
    <w:rsid w:val="003D4B57"/>
    <w:rsid w:val="003D51F2"/>
    <w:rsid w:val="003D5250"/>
    <w:rsid w:val="003D5267"/>
    <w:rsid w:val="003D5B12"/>
    <w:rsid w:val="003D61CB"/>
    <w:rsid w:val="003E0B6D"/>
    <w:rsid w:val="003E1E69"/>
    <w:rsid w:val="003E2804"/>
    <w:rsid w:val="003E30F3"/>
    <w:rsid w:val="003E3519"/>
    <w:rsid w:val="003E514B"/>
    <w:rsid w:val="003E5C5F"/>
    <w:rsid w:val="003E7BCB"/>
    <w:rsid w:val="003F2781"/>
    <w:rsid w:val="003F2EE2"/>
    <w:rsid w:val="003F6074"/>
    <w:rsid w:val="003F681B"/>
    <w:rsid w:val="00400D2C"/>
    <w:rsid w:val="0040253F"/>
    <w:rsid w:val="00404F92"/>
    <w:rsid w:val="004056C6"/>
    <w:rsid w:val="00406760"/>
    <w:rsid w:val="00406D9D"/>
    <w:rsid w:val="004073C0"/>
    <w:rsid w:val="00410A42"/>
    <w:rsid w:val="00410C1F"/>
    <w:rsid w:val="00412648"/>
    <w:rsid w:val="004127D7"/>
    <w:rsid w:val="00413139"/>
    <w:rsid w:val="00413A8A"/>
    <w:rsid w:val="004144E6"/>
    <w:rsid w:val="00414528"/>
    <w:rsid w:val="00414975"/>
    <w:rsid w:val="00414B79"/>
    <w:rsid w:val="004215B1"/>
    <w:rsid w:val="00422C07"/>
    <w:rsid w:val="00423199"/>
    <w:rsid w:val="00423383"/>
    <w:rsid w:val="00423465"/>
    <w:rsid w:val="00424567"/>
    <w:rsid w:val="00426ACC"/>
    <w:rsid w:val="00433E91"/>
    <w:rsid w:val="00440661"/>
    <w:rsid w:val="00441014"/>
    <w:rsid w:val="004413BB"/>
    <w:rsid w:val="004415B7"/>
    <w:rsid w:val="00442B4C"/>
    <w:rsid w:val="00442F19"/>
    <w:rsid w:val="004430BB"/>
    <w:rsid w:val="00443DA8"/>
    <w:rsid w:val="00444D57"/>
    <w:rsid w:val="00446A7E"/>
    <w:rsid w:val="004475ED"/>
    <w:rsid w:val="00451240"/>
    <w:rsid w:val="00452273"/>
    <w:rsid w:val="00452870"/>
    <w:rsid w:val="00452F4C"/>
    <w:rsid w:val="0045470E"/>
    <w:rsid w:val="00457151"/>
    <w:rsid w:val="004601E3"/>
    <w:rsid w:val="00463053"/>
    <w:rsid w:val="004635A6"/>
    <w:rsid w:val="004638A7"/>
    <w:rsid w:val="00464423"/>
    <w:rsid w:val="004678CC"/>
    <w:rsid w:val="00470CB6"/>
    <w:rsid w:val="00470DC3"/>
    <w:rsid w:val="00470F64"/>
    <w:rsid w:val="004723ED"/>
    <w:rsid w:val="00473800"/>
    <w:rsid w:val="00473E51"/>
    <w:rsid w:val="0047414E"/>
    <w:rsid w:val="00474C6F"/>
    <w:rsid w:val="00477E23"/>
    <w:rsid w:val="00480CF8"/>
    <w:rsid w:val="0048349B"/>
    <w:rsid w:val="004835A0"/>
    <w:rsid w:val="00485821"/>
    <w:rsid w:val="00490458"/>
    <w:rsid w:val="00491473"/>
    <w:rsid w:val="004916E8"/>
    <w:rsid w:val="0049211E"/>
    <w:rsid w:val="00492215"/>
    <w:rsid w:val="0049460E"/>
    <w:rsid w:val="004A073F"/>
    <w:rsid w:val="004A0A2E"/>
    <w:rsid w:val="004A1B09"/>
    <w:rsid w:val="004A1F42"/>
    <w:rsid w:val="004A275D"/>
    <w:rsid w:val="004A3014"/>
    <w:rsid w:val="004A40C9"/>
    <w:rsid w:val="004A4145"/>
    <w:rsid w:val="004A60B6"/>
    <w:rsid w:val="004A6E71"/>
    <w:rsid w:val="004A79F2"/>
    <w:rsid w:val="004B00C4"/>
    <w:rsid w:val="004B1790"/>
    <w:rsid w:val="004B25E1"/>
    <w:rsid w:val="004B38E1"/>
    <w:rsid w:val="004B3EB7"/>
    <w:rsid w:val="004B6CA2"/>
    <w:rsid w:val="004B751F"/>
    <w:rsid w:val="004C0898"/>
    <w:rsid w:val="004C14DF"/>
    <w:rsid w:val="004C49E3"/>
    <w:rsid w:val="004C7036"/>
    <w:rsid w:val="004C7246"/>
    <w:rsid w:val="004C7E53"/>
    <w:rsid w:val="004D0EE6"/>
    <w:rsid w:val="004D16FB"/>
    <w:rsid w:val="004D2BE0"/>
    <w:rsid w:val="004D588F"/>
    <w:rsid w:val="004D6F85"/>
    <w:rsid w:val="004D7998"/>
    <w:rsid w:val="004E12FE"/>
    <w:rsid w:val="004E2F4C"/>
    <w:rsid w:val="004E3FE5"/>
    <w:rsid w:val="004E57E1"/>
    <w:rsid w:val="004E5C41"/>
    <w:rsid w:val="004F0015"/>
    <w:rsid w:val="004F0A14"/>
    <w:rsid w:val="004F3E9A"/>
    <w:rsid w:val="004F5454"/>
    <w:rsid w:val="004F5525"/>
    <w:rsid w:val="00500023"/>
    <w:rsid w:val="0050415F"/>
    <w:rsid w:val="0050492F"/>
    <w:rsid w:val="00505AEB"/>
    <w:rsid w:val="00506074"/>
    <w:rsid w:val="005104A1"/>
    <w:rsid w:val="00510A6B"/>
    <w:rsid w:val="00511137"/>
    <w:rsid w:val="0051359D"/>
    <w:rsid w:val="0051641F"/>
    <w:rsid w:val="00516BBB"/>
    <w:rsid w:val="00520BE5"/>
    <w:rsid w:val="005223BE"/>
    <w:rsid w:val="00522F7B"/>
    <w:rsid w:val="0052478E"/>
    <w:rsid w:val="0052592C"/>
    <w:rsid w:val="00525C75"/>
    <w:rsid w:val="00534217"/>
    <w:rsid w:val="00534B85"/>
    <w:rsid w:val="00536506"/>
    <w:rsid w:val="00536BAD"/>
    <w:rsid w:val="005409AC"/>
    <w:rsid w:val="00541DEC"/>
    <w:rsid w:val="00541F5A"/>
    <w:rsid w:val="005442D7"/>
    <w:rsid w:val="0054556E"/>
    <w:rsid w:val="00545FF8"/>
    <w:rsid w:val="00547182"/>
    <w:rsid w:val="0054744E"/>
    <w:rsid w:val="00547AC5"/>
    <w:rsid w:val="00547ADF"/>
    <w:rsid w:val="005508F4"/>
    <w:rsid w:val="00553ACA"/>
    <w:rsid w:val="00553B87"/>
    <w:rsid w:val="00554151"/>
    <w:rsid w:val="005558D2"/>
    <w:rsid w:val="00555B83"/>
    <w:rsid w:val="0055651E"/>
    <w:rsid w:val="00556950"/>
    <w:rsid w:val="00557E43"/>
    <w:rsid w:val="00560079"/>
    <w:rsid w:val="00562210"/>
    <w:rsid w:val="00563178"/>
    <w:rsid w:val="00563189"/>
    <w:rsid w:val="00564685"/>
    <w:rsid w:val="00564824"/>
    <w:rsid w:val="005649EC"/>
    <w:rsid w:val="00565156"/>
    <w:rsid w:val="00565AB0"/>
    <w:rsid w:val="0056672D"/>
    <w:rsid w:val="005668A1"/>
    <w:rsid w:val="005703AB"/>
    <w:rsid w:val="00570F63"/>
    <w:rsid w:val="00571B2F"/>
    <w:rsid w:val="00571FAA"/>
    <w:rsid w:val="005726B6"/>
    <w:rsid w:val="005738ED"/>
    <w:rsid w:val="00573A3D"/>
    <w:rsid w:val="005758D8"/>
    <w:rsid w:val="005778A4"/>
    <w:rsid w:val="00577FA9"/>
    <w:rsid w:val="005808F8"/>
    <w:rsid w:val="0058245D"/>
    <w:rsid w:val="00583BCC"/>
    <w:rsid w:val="005859FB"/>
    <w:rsid w:val="00587EDF"/>
    <w:rsid w:val="00590C60"/>
    <w:rsid w:val="005A03C1"/>
    <w:rsid w:val="005A090A"/>
    <w:rsid w:val="005A09EF"/>
    <w:rsid w:val="005A1323"/>
    <w:rsid w:val="005A3F65"/>
    <w:rsid w:val="005A4281"/>
    <w:rsid w:val="005A5F03"/>
    <w:rsid w:val="005A612B"/>
    <w:rsid w:val="005B0A47"/>
    <w:rsid w:val="005B1875"/>
    <w:rsid w:val="005B3BC0"/>
    <w:rsid w:val="005B5914"/>
    <w:rsid w:val="005B5C34"/>
    <w:rsid w:val="005B7CDC"/>
    <w:rsid w:val="005C15C5"/>
    <w:rsid w:val="005C3DBA"/>
    <w:rsid w:val="005C4F6C"/>
    <w:rsid w:val="005D03A6"/>
    <w:rsid w:val="005D03ED"/>
    <w:rsid w:val="005D3F7D"/>
    <w:rsid w:val="005D5EA1"/>
    <w:rsid w:val="005D6EF0"/>
    <w:rsid w:val="005D72C8"/>
    <w:rsid w:val="005E2BCC"/>
    <w:rsid w:val="005E36D5"/>
    <w:rsid w:val="005E4006"/>
    <w:rsid w:val="005E4BE4"/>
    <w:rsid w:val="005E4F39"/>
    <w:rsid w:val="005E72A6"/>
    <w:rsid w:val="005E76D1"/>
    <w:rsid w:val="005E77C3"/>
    <w:rsid w:val="005F13C0"/>
    <w:rsid w:val="005F14D6"/>
    <w:rsid w:val="005F175F"/>
    <w:rsid w:val="005F359C"/>
    <w:rsid w:val="005F4AB5"/>
    <w:rsid w:val="005F5B58"/>
    <w:rsid w:val="00600724"/>
    <w:rsid w:val="00600E9D"/>
    <w:rsid w:val="00601AEE"/>
    <w:rsid w:val="006041E8"/>
    <w:rsid w:val="006058C7"/>
    <w:rsid w:val="00606C84"/>
    <w:rsid w:val="00611E7C"/>
    <w:rsid w:val="00614952"/>
    <w:rsid w:val="00620C28"/>
    <w:rsid w:val="00622CCE"/>
    <w:rsid w:val="00635730"/>
    <w:rsid w:val="00636940"/>
    <w:rsid w:val="0063785E"/>
    <w:rsid w:val="00637BA1"/>
    <w:rsid w:val="006410B1"/>
    <w:rsid w:val="00642C61"/>
    <w:rsid w:val="00645B50"/>
    <w:rsid w:val="006464C6"/>
    <w:rsid w:val="00647006"/>
    <w:rsid w:val="00650AD0"/>
    <w:rsid w:val="00650F00"/>
    <w:rsid w:val="00652489"/>
    <w:rsid w:val="0065438B"/>
    <w:rsid w:val="00654466"/>
    <w:rsid w:val="0065542A"/>
    <w:rsid w:val="006616B3"/>
    <w:rsid w:val="006626D7"/>
    <w:rsid w:val="006626E2"/>
    <w:rsid w:val="0066374E"/>
    <w:rsid w:val="006657CC"/>
    <w:rsid w:val="006676FB"/>
    <w:rsid w:val="00667F87"/>
    <w:rsid w:val="0067222C"/>
    <w:rsid w:val="006724AD"/>
    <w:rsid w:val="00674199"/>
    <w:rsid w:val="00674AC7"/>
    <w:rsid w:val="00675719"/>
    <w:rsid w:val="00676E5C"/>
    <w:rsid w:val="00680F26"/>
    <w:rsid w:val="00681A15"/>
    <w:rsid w:val="00683E5F"/>
    <w:rsid w:val="00686AED"/>
    <w:rsid w:val="00687C0B"/>
    <w:rsid w:val="00690974"/>
    <w:rsid w:val="00690EAB"/>
    <w:rsid w:val="0069494B"/>
    <w:rsid w:val="00694E95"/>
    <w:rsid w:val="00696054"/>
    <w:rsid w:val="006A33A3"/>
    <w:rsid w:val="006A418E"/>
    <w:rsid w:val="006A4F70"/>
    <w:rsid w:val="006B2145"/>
    <w:rsid w:val="006B3A28"/>
    <w:rsid w:val="006B5D3A"/>
    <w:rsid w:val="006B6691"/>
    <w:rsid w:val="006B7A28"/>
    <w:rsid w:val="006C153B"/>
    <w:rsid w:val="006C182A"/>
    <w:rsid w:val="006C2418"/>
    <w:rsid w:val="006C28ED"/>
    <w:rsid w:val="006C615B"/>
    <w:rsid w:val="006D1A97"/>
    <w:rsid w:val="006D2545"/>
    <w:rsid w:val="006D6253"/>
    <w:rsid w:val="006D7859"/>
    <w:rsid w:val="006D7E8B"/>
    <w:rsid w:val="006E4CAF"/>
    <w:rsid w:val="006E50CC"/>
    <w:rsid w:val="006E62BF"/>
    <w:rsid w:val="006E782C"/>
    <w:rsid w:val="006E7972"/>
    <w:rsid w:val="006F0ACA"/>
    <w:rsid w:val="006F13CA"/>
    <w:rsid w:val="006F2093"/>
    <w:rsid w:val="006F23BA"/>
    <w:rsid w:val="006F2AFC"/>
    <w:rsid w:val="006F344D"/>
    <w:rsid w:val="006F655F"/>
    <w:rsid w:val="00700098"/>
    <w:rsid w:val="00700E0F"/>
    <w:rsid w:val="0070133D"/>
    <w:rsid w:val="00701F3E"/>
    <w:rsid w:val="0070226D"/>
    <w:rsid w:val="00702795"/>
    <w:rsid w:val="00702948"/>
    <w:rsid w:val="0070349F"/>
    <w:rsid w:val="007045F8"/>
    <w:rsid w:val="00704A2C"/>
    <w:rsid w:val="0070797E"/>
    <w:rsid w:val="00707E82"/>
    <w:rsid w:val="0071121B"/>
    <w:rsid w:val="007123DC"/>
    <w:rsid w:val="0071388E"/>
    <w:rsid w:val="007138A7"/>
    <w:rsid w:val="00715791"/>
    <w:rsid w:val="007176E3"/>
    <w:rsid w:val="00717926"/>
    <w:rsid w:val="00717CB2"/>
    <w:rsid w:val="00720388"/>
    <w:rsid w:val="00722C30"/>
    <w:rsid w:val="007237DE"/>
    <w:rsid w:val="0072491E"/>
    <w:rsid w:val="00730537"/>
    <w:rsid w:val="00730720"/>
    <w:rsid w:val="00734D83"/>
    <w:rsid w:val="0073558C"/>
    <w:rsid w:val="00741E6C"/>
    <w:rsid w:val="00742899"/>
    <w:rsid w:val="007428AD"/>
    <w:rsid w:val="00742B7B"/>
    <w:rsid w:val="00744DD8"/>
    <w:rsid w:val="00752447"/>
    <w:rsid w:val="007527C8"/>
    <w:rsid w:val="00753363"/>
    <w:rsid w:val="00753DC7"/>
    <w:rsid w:val="0075505C"/>
    <w:rsid w:val="00755C1F"/>
    <w:rsid w:val="00756AD3"/>
    <w:rsid w:val="0075730D"/>
    <w:rsid w:val="00761065"/>
    <w:rsid w:val="0076122F"/>
    <w:rsid w:val="00761EAB"/>
    <w:rsid w:val="007643F1"/>
    <w:rsid w:val="00767184"/>
    <w:rsid w:val="007706AB"/>
    <w:rsid w:val="00771F35"/>
    <w:rsid w:val="00772A52"/>
    <w:rsid w:val="00773B30"/>
    <w:rsid w:val="0077511F"/>
    <w:rsid w:val="0077631B"/>
    <w:rsid w:val="00776C5D"/>
    <w:rsid w:val="007815B4"/>
    <w:rsid w:val="0078179E"/>
    <w:rsid w:val="00781B58"/>
    <w:rsid w:val="00782EC5"/>
    <w:rsid w:val="007837D8"/>
    <w:rsid w:val="00783BE7"/>
    <w:rsid w:val="00784315"/>
    <w:rsid w:val="00784FF3"/>
    <w:rsid w:val="00786184"/>
    <w:rsid w:val="007866BC"/>
    <w:rsid w:val="0078767D"/>
    <w:rsid w:val="007879EE"/>
    <w:rsid w:val="00792EFD"/>
    <w:rsid w:val="0079386C"/>
    <w:rsid w:val="00793A1F"/>
    <w:rsid w:val="007943EB"/>
    <w:rsid w:val="00797551"/>
    <w:rsid w:val="007A1DD6"/>
    <w:rsid w:val="007A251D"/>
    <w:rsid w:val="007A3046"/>
    <w:rsid w:val="007A4368"/>
    <w:rsid w:val="007A578C"/>
    <w:rsid w:val="007A6402"/>
    <w:rsid w:val="007A73BD"/>
    <w:rsid w:val="007A77A5"/>
    <w:rsid w:val="007A796E"/>
    <w:rsid w:val="007B23FB"/>
    <w:rsid w:val="007B3D08"/>
    <w:rsid w:val="007B3E48"/>
    <w:rsid w:val="007B4B61"/>
    <w:rsid w:val="007B582C"/>
    <w:rsid w:val="007B685A"/>
    <w:rsid w:val="007B719F"/>
    <w:rsid w:val="007C00D0"/>
    <w:rsid w:val="007C0BC8"/>
    <w:rsid w:val="007C3B37"/>
    <w:rsid w:val="007C5343"/>
    <w:rsid w:val="007C744D"/>
    <w:rsid w:val="007D02ED"/>
    <w:rsid w:val="007D110F"/>
    <w:rsid w:val="007D2C38"/>
    <w:rsid w:val="007D5E58"/>
    <w:rsid w:val="007D7D22"/>
    <w:rsid w:val="007E0D75"/>
    <w:rsid w:val="007E0EAD"/>
    <w:rsid w:val="007E0EFB"/>
    <w:rsid w:val="007E5ACA"/>
    <w:rsid w:val="007E7482"/>
    <w:rsid w:val="007F0440"/>
    <w:rsid w:val="007F0E44"/>
    <w:rsid w:val="007F1C81"/>
    <w:rsid w:val="007F3770"/>
    <w:rsid w:val="007F4365"/>
    <w:rsid w:val="007F4E1B"/>
    <w:rsid w:val="007F5D12"/>
    <w:rsid w:val="008011F6"/>
    <w:rsid w:val="0080286C"/>
    <w:rsid w:val="00803487"/>
    <w:rsid w:val="00805128"/>
    <w:rsid w:val="00807345"/>
    <w:rsid w:val="008075B2"/>
    <w:rsid w:val="00810263"/>
    <w:rsid w:val="00811ADD"/>
    <w:rsid w:val="00813D87"/>
    <w:rsid w:val="00815039"/>
    <w:rsid w:val="00815AB0"/>
    <w:rsid w:val="00816F7F"/>
    <w:rsid w:val="008201A7"/>
    <w:rsid w:val="008223D8"/>
    <w:rsid w:val="00823301"/>
    <w:rsid w:val="00825110"/>
    <w:rsid w:val="008267C5"/>
    <w:rsid w:val="00830E02"/>
    <w:rsid w:val="00831703"/>
    <w:rsid w:val="008332A8"/>
    <w:rsid w:val="0083455B"/>
    <w:rsid w:val="0083477E"/>
    <w:rsid w:val="00834839"/>
    <w:rsid w:val="00835A77"/>
    <w:rsid w:val="00836CA0"/>
    <w:rsid w:val="00840D11"/>
    <w:rsid w:val="008416D9"/>
    <w:rsid w:val="00843997"/>
    <w:rsid w:val="008442BB"/>
    <w:rsid w:val="008457F3"/>
    <w:rsid w:val="00845E4C"/>
    <w:rsid w:val="0084695A"/>
    <w:rsid w:val="00846D6A"/>
    <w:rsid w:val="00852ADC"/>
    <w:rsid w:val="008542C4"/>
    <w:rsid w:val="00854ED8"/>
    <w:rsid w:val="008601C3"/>
    <w:rsid w:val="00861C7C"/>
    <w:rsid w:val="0086273D"/>
    <w:rsid w:val="008630A3"/>
    <w:rsid w:val="00863385"/>
    <w:rsid w:val="00863A68"/>
    <w:rsid w:val="008641D6"/>
    <w:rsid w:val="008707FF"/>
    <w:rsid w:val="00871013"/>
    <w:rsid w:val="008719D2"/>
    <w:rsid w:val="00873DAD"/>
    <w:rsid w:val="0087439E"/>
    <w:rsid w:val="008747CD"/>
    <w:rsid w:val="00881055"/>
    <w:rsid w:val="00882231"/>
    <w:rsid w:val="00884BEE"/>
    <w:rsid w:val="008870A7"/>
    <w:rsid w:val="00887CC0"/>
    <w:rsid w:val="00887FE7"/>
    <w:rsid w:val="00891551"/>
    <w:rsid w:val="00892EBD"/>
    <w:rsid w:val="008935F1"/>
    <w:rsid w:val="008977D6"/>
    <w:rsid w:val="008A2445"/>
    <w:rsid w:val="008A2977"/>
    <w:rsid w:val="008A2C12"/>
    <w:rsid w:val="008A69B9"/>
    <w:rsid w:val="008B3895"/>
    <w:rsid w:val="008B48A8"/>
    <w:rsid w:val="008B625E"/>
    <w:rsid w:val="008C56C6"/>
    <w:rsid w:val="008C7BB9"/>
    <w:rsid w:val="008D14C7"/>
    <w:rsid w:val="008D4DD5"/>
    <w:rsid w:val="008D4F17"/>
    <w:rsid w:val="008D507F"/>
    <w:rsid w:val="008D5CF4"/>
    <w:rsid w:val="008D70DF"/>
    <w:rsid w:val="008E0D54"/>
    <w:rsid w:val="008E2AD5"/>
    <w:rsid w:val="008E33B9"/>
    <w:rsid w:val="008E41BB"/>
    <w:rsid w:val="008E4C9F"/>
    <w:rsid w:val="008E52F4"/>
    <w:rsid w:val="008E55EA"/>
    <w:rsid w:val="008E5D69"/>
    <w:rsid w:val="008E7228"/>
    <w:rsid w:val="008E7AF2"/>
    <w:rsid w:val="008F0858"/>
    <w:rsid w:val="008F19BA"/>
    <w:rsid w:val="008F42AC"/>
    <w:rsid w:val="008F432A"/>
    <w:rsid w:val="008F4AE1"/>
    <w:rsid w:val="008F5D03"/>
    <w:rsid w:val="008F6C14"/>
    <w:rsid w:val="00901614"/>
    <w:rsid w:val="0090163C"/>
    <w:rsid w:val="00901CFE"/>
    <w:rsid w:val="00902125"/>
    <w:rsid w:val="00905397"/>
    <w:rsid w:val="00911012"/>
    <w:rsid w:val="0091111B"/>
    <w:rsid w:val="00911B41"/>
    <w:rsid w:val="0091205A"/>
    <w:rsid w:val="00912993"/>
    <w:rsid w:val="009140C3"/>
    <w:rsid w:val="00915A3A"/>
    <w:rsid w:val="00920202"/>
    <w:rsid w:val="00922F51"/>
    <w:rsid w:val="009250BE"/>
    <w:rsid w:val="009252DB"/>
    <w:rsid w:val="009254D1"/>
    <w:rsid w:val="0092637C"/>
    <w:rsid w:val="00926581"/>
    <w:rsid w:val="00926B68"/>
    <w:rsid w:val="009279CE"/>
    <w:rsid w:val="00927B7B"/>
    <w:rsid w:val="009311F3"/>
    <w:rsid w:val="00933BAA"/>
    <w:rsid w:val="00933D23"/>
    <w:rsid w:val="0093461A"/>
    <w:rsid w:val="00934A79"/>
    <w:rsid w:val="00935EB6"/>
    <w:rsid w:val="00941274"/>
    <w:rsid w:val="009421EC"/>
    <w:rsid w:val="00945450"/>
    <w:rsid w:val="009459B4"/>
    <w:rsid w:val="00945B70"/>
    <w:rsid w:val="00945E51"/>
    <w:rsid w:val="00946B2D"/>
    <w:rsid w:val="00946B98"/>
    <w:rsid w:val="0094707C"/>
    <w:rsid w:val="00947CB7"/>
    <w:rsid w:val="00952079"/>
    <w:rsid w:val="0095224C"/>
    <w:rsid w:val="00954F24"/>
    <w:rsid w:val="00957029"/>
    <w:rsid w:val="00960E56"/>
    <w:rsid w:val="0096168B"/>
    <w:rsid w:val="0096474B"/>
    <w:rsid w:val="00966310"/>
    <w:rsid w:val="00967273"/>
    <w:rsid w:val="00971A1F"/>
    <w:rsid w:val="0097229B"/>
    <w:rsid w:val="00973518"/>
    <w:rsid w:val="00973F5D"/>
    <w:rsid w:val="0097437D"/>
    <w:rsid w:val="00974E55"/>
    <w:rsid w:val="009775F3"/>
    <w:rsid w:val="00980C5B"/>
    <w:rsid w:val="00980F8E"/>
    <w:rsid w:val="00982D4C"/>
    <w:rsid w:val="00983C57"/>
    <w:rsid w:val="00983C8A"/>
    <w:rsid w:val="00985607"/>
    <w:rsid w:val="00986685"/>
    <w:rsid w:val="0098690D"/>
    <w:rsid w:val="0098747B"/>
    <w:rsid w:val="00990221"/>
    <w:rsid w:val="00990C3D"/>
    <w:rsid w:val="009910CA"/>
    <w:rsid w:val="0099187B"/>
    <w:rsid w:val="00991F5D"/>
    <w:rsid w:val="00992CF6"/>
    <w:rsid w:val="00994184"/>
    <w:rsid w:val="00994D66"/>
    <w:rsid w:val="00994DEE"/>
    <w:rsid w:val="0099689E"/>
    <w:rsid w:val="00997D62"/>
    <w:rsid w:val="009A1410"/>
    <w:rsid w:val="009A17A5"/>
    <w:rsid w:val="009A3E09"/>
    <w:rsid w:val="009A3F56"/>
    <w:rsid w:val="009A4A3E"/>
    <w:rsid w:val="009A7DCC"/>
    <w:rsid w:val="009B2C96"/>
    <w:rsid w:val="009B3179"/>
    <w:rsid w:val="009B4CB5"/>
    <w:rsid w:val="009B4DBB"/>
    <w:rsid w:val="009B5593"/>
    <w:rsid w:val="009B5E2C"/>
    <w:rsid w:val="009B63D5"/>
    <w:rsid w:val="009B7685"/>
    <w:rsid w:val="009C1898"/>
    <w:rsid w:val="009C3D6A"/>
    <w:rsid w:val="009C46A7"/>
    <w:rsid w:val="009C6C70"/>
    <w:rsid w:val="009D1173"/>
    <w:rsid w:val="009D146E"/>
    <w:rsid w:val="009D4325"/>
    <w:rsid w:val="009D4BD0"/>
    <w:rsid w:val="009D5E3A"/>
    <w:rsid w:val="009E02FD"/>
    <w:rsid w:val="009E0937"/>
    <w:rsid w:val="009E2F2F"/>
    <w:rsid w:val="009E3C09"/>
    <w:rsid w:val="009E5469"/>
    <w:rsid w:val="009E5EC7"/>
    <w:rsid w:val="009F0B3D"/>
    <w:rsid w:val="009F10AE"/>
    <w:rsid w:val="009F130E"/>
    <w:rsid w:val="009F15CB"/>
    <w:rsid w:val="009F1E0E"/>
    <w:rsid w:val="009F313A"/>
    <w:rsid w:val="009F3918"/>
    <w:rsid w:val="009F4232"/>
    <w:rsid w:val="009F6603"/>
    <w:rsid w:val="009F66F7"/>
    <w:rsid w:val="009F76CB"/>
    <w:rsid w:val="009F7923"/>
    <w:rsid w:val="00A027F8"/>
    <w:rsid w:val="00A03C1A"/>
    <w:rsid w:val="00A04082"/>
    <w:rsid w:val="00A07198"/>
    <w:rsid w:val="00A127BD"/>
    <w:rsid w:val="00A1311D"/>
    <w:rsid w:val="00A200A1"/>
    <w:rsid w:val="00A21E2C"/>
    <w:rsid w:val="00A2222A"/>
    <w:rsid w:val="00A22843"/>
    <w:rsid w:val="00A22BE1"/>
    <w:rsid w:val="00A22D19"/>
    <w:rsid w:val="00A23964"/>
    <w:rsid w:val="00A24E55"/>
    <w:rsid w:val="00A25AA1"/>
    <w:rsid w:val="00A300E6"/>
    <w:rsid w:val="00A3105C"/>
    <w:rsid w:val="00A32EC8"/>
    <w:rsid w:val="00A34D4A"/>
    <w:rsid w:val="00A4097E"/>
    <w:rsid w:val="00A40D57"/>
    <w:rsid w:val="00A41698"/>
    <w:rsid w:val="00A50C42"/>
    <w:rsid w:val="00A50ED4"/>
    <w:rsid w:val="00A51A64"/>
    <w:rsid w:val="00A53EC9"/>
    <w:rsid w:val="00A55206"/>
    <w:rsid w:val="00A5521C"/>
    <w:rsid w:val="00A578CD"/>
    <w:rsid w:val="00A57AE6"/>
    <w:rsid w:val="00A60321"/>
    <w:rsid w:val="00A60ADD"/>
    <w:rsid w:val="00A60DED"/>
    <w:rsid w:val="00A63331"/>
    <w:rsid w:val="00A64338"/>
    <w:rsid w:val="00A65908"/>
    <w:rsid w:val="00A67746"/>
    <w:rsid w:val="00A705D7"/>
    <w:rsid w:val="00A716F8"/>
    <w:rsid w:val="00A71C3E"/>
    <w:rsid w:val="00A72B66"/>
    <w:rsid w:val="00A73BD4"/>
    <w:rsid w:val="00A74886"/>
    <w:rsid w:val="00A749B2"/>
    <w:rsid w:val="00A7785F"/>
    <w:rsid w:val="00A840E6"/>
    <w:rsid w:val="00A84CEC"/>
    <w:rsid w:val="00A8677D"/>
    <w:rsid w:val="00A90742"/>
    <w:rsid w:val="00A90E46"/>
    <w:rsid w:val="00A9104E"/>
    <w:rsid w:val="00A91561"/>
    <w:rsid w:val="00A94A4E"/>
    <w:rsid w:val="00A95F56"/>
    <w:rsid w:val="00A961AC"/>
    <w:rsid w:val="00AA227D"/>
    <w:rsid w:val="00AA4460"/>
    <w:rsid w:val="00AA732D"/>
    <w:rsid w:val="00AB036E"/>
    <w:rsid w:val="00AB30DD"/>
    <w:rsid w:val="00AB329B"/>
    <w:rsid w:val="00AB544F"/>
    <w:rsid w:val="00AB552C"/>
    <w:rsid w:val="00AB5659"/>
    <w:rsid w:val="00AB79FC"/>
    <w:rsid w:val="00AB7A53"/>
    <w:rsid w:val="00AC1AA3"/>
    <w:rsid w:val="00AC25B5"/>
    <w:rsid w:val="00AD02CE"/>
    <w:rsid w:val="00AD12FC"/>
    <w:rsid w:val="00AD1B85"/>
    <w:rsid w:val="00AD64C3"/>
    <w:rsid w:val="00AD6554"/>
    <w:rsid w:val="00AE0315"/>
    <w:rsid w:val="00AE0F01"/>
    <w:rsid w:val="00AE3669"/>
    <w:rsid w:val="00AE4D55"/>
    <w:rsid w:val="00AE4EA8"/>
    <w:rsid w:val="00AF26C6"/>
    <w:rsid w:val="00AF3B1E"/>
    <w:rsid w:val="00AF4034"/>
    <w:rsid w:val="00AF4B1A"/>
    <w:rsid w:val="00AF5BF6"/>
    <w:rsid w:val="00B03858"/>
    <w:rsid w:val="00B03A41"/>
    <w:rsid w:val="00B04BAA"/>
    <w:rsid w:val="00B05A39"/>
    <w:rsid w:val="00B07FCB"/>
    <w:rsid w:val="00B12E6A"/>
    <w:rsid w:val="00B17881"/>
    <w:rsid w:val="00B20665"/>
    <w:rsid w:val="00B20B56"/>
    <w:rsid w:val="00B21418"/>
    <w:rsid w:val="00B23349"/>
    <w:rsid w:val="00B24351"/>
    <w:rsid w:val="00B25419"/>
    <w:rsid w:val="00B25A19"/>
    <w:rsid w:val="00B268D5"/>
    <w:rsid w:val="00B272D5"/>
    <w:rsid w:val="00B2780F"/>
    <w:rsid w:val="00B306C2"/>
    <w:rsid w:val="00B30716"/>
    <w:rsid w:val="00B307CB"/>
    <w:rsid w:val="00B32FA0"/>
    <w:rsid w:val="00B33F1D"/>
    <w:rsid w:val="00B34AA7"/>
    <w:rsid w:val="00B36D3E"/>
    <w:rsid w:val="00B37D71"/>
    <w:rsid w:val="00B40415"/>
    <w:rsid w:val="00B40E6C"/>
    <w:rsid w:val="00B4330B"/>
    <w:rsid w:val="00B43C60"/>
    <w:rsid w:val="00B440D3"/>
    <w:rsid w:val="00B45527"/>
    <w:rsid w:val="00B464E0"/>
    <w:rsid w:val="00B47BDA"/>
    <w:rsid w:val="00B506FC"/>
    <w:rsid w:val="00B53615"/>
    <w:rsid w:val="00B5445C"/>
    <w:rsid w:val="00B5674E"/>
    <w:rsid w:val="00B60DD9"/>
    <w:rsid w:val="00B618DB"/>
    <w:rsid w:val="00B626D9"/>
    <w:rsid w:val="00B64A5A"/>
    <w:rsid w:val="00B67268"/>
    <w:rsid w:val="00B677E4"/>
    <w:rsid w:val="00B71F2D"/>
    <w:rsid w:val="00B75629"/>
    <w:rsid w:val="00B77C61"/>
    <w:rsid w:val="00B8341E"/>
    <w:rsid w:val="00B8434E"/>
    <w:rsid w:val="00B847D5"/>
    <w:rsid w:val="00B84B4B"/>
    <w:rsid w:val="00B85129"/>
    <w:rsid w:val="00B85B2E"/>
    <w:rsid w:val="00B87F5A"/>
    <w:rsid w:val="00B90033"/>
    <w:rsid w:val="00B94279"/>
    <w:rsid w:val="00B94F6B"/>
    <w:rsid w:val="00B954C5"/>
    <w:rsid w:val="00B9752B"/>
    <w:rsid w:val="00B9776A"/>
    <w:rsid w:val="00BA137F"/>
    <w:rsid w:val="00BA1DF0"/>
    <w:rsid w:val="00BA22EF"/>
    <w:rsid w:val="00BA414C"/>
    <w:rsid w:val="00BA4881"/>
    <w:rsid w:val="00BA5717"/>
    <w:rsid w:val="00BA5B5E"/>
    <w:rsid w:val="00BA729F"/>
    <w:rsid w:val="00BA7F01"/>
    <w:rsid w:val="00BB010F"/>
    <w:rsid w:val="00BB23C2"/>
    <w:rsid w:val="00BB332B"/>
    <w:rsid w:val="00BB407A"/>
    <w:rsid w:val="00BB5AE1"/>
    <w:rsid w:val="00BB66B5"/>
    <w:rsid w:val="00BB72BF"/>
    <w:rsid w:val="00BC00E3"/>
    <w:rsid w:val="00BC3ED3"/>
    <w:rsid w:val="00BC4362"/>
    <w:rsid w:val="00BC4B59"/>
    <w:rsid w:val="00BC55CF"/>
    <w:rsid w:val="00BC6FC3"/>
    <w:rsid w:val="00BD083F"/>
    <w:rsid w:val="00BD26E5"/>
    <w:rsid w:val="00BD36FB"/>
    <w:rsid w:val="00BD5F61"/>
    <w:rsid w:val="00BD620D"/>
    <w:rsid w:val="00BD664B"/>
    <w:rsid w:val="00BE087F"/>
    <w:rsid w:val="00BE0936"/>
    <w:rsid w:val="00BE6A11"/>
    <w:rsid w:val="00BF0091"/>
    <w:rsid w:val="00BF01F5"/>
    <w:rsid w:val="00BF1B4D"/>
    <w:rsid w:val="00BF262D"/>
    <w:rsid w:val="00BF2630"/>
    <w:rsid w:val="00BF2E14"/>
    <w:rsid w:val="00BF3932"/>
    <w:rsid w:val="00BF3BDC"/>
    <w:rsid w:val="00BF3C2B"/>
    <w:rsid w:val="00BF4C05"/>
    <w:rsid w:val="00BF530F"/>
    <w:rsid w:val="00BF70FB"/>
    <w:rsid w:val="00C0157C"/>
    <w:rsid w:val="00C042B4"/>
    <w:rsid w:val="00C04BD1"/>
    <w:rsid w:val="00C04CA1"/>
    <w:rsid w:val="00C04DB6"/>
    <w:rsid w:val="00C1119C"/>
    <w:rsid w:val="00C11554"/>
    <w:rsid w:val="00C145C7"/>
    <w:rsid w:val="00C16500"/>
    <w:rsid w:val="00C1796D"/>
    <w:rsid w:val="00C20F81"/>
    <w:rsid w:val="00C311BE"/>
    <w:rsid w:val="00C317AC"/>
    <w:rsid w:val="00C31ECA"/>
    <w:rsid w:val="00C33CC5"/>
    <w:rsid w:val="00C341C1"/>
    <w:rsid w:val="00C36998"/>
    <w:rsid w:val="00C374B1"/>
    <w:rsid w:val="00C40554"/>
    <w:rsid w:val="00C42230"/>
    <w:rsid w:val="00C430CE"/>
    <w:rsid w:val="00C43588"/>
    <w:rsid w:val="00C44130"/>
    <w:rsid w:val="00C44A1B"/>
    <w:rsid w:val="00C46404"/>
    <w:rsid w:val="00C500EF"/>
    <w:rsid w:val="00C52F41"/>
    <w:rsid w:val="00C53938"/>
    <w:rsid w:val="00C5755D"/>
    <w:rsid w:val="00C61357"/>
    <w:rsid w:val="00C64897"/>
    <w:rsid w:val="00C655EF"/>
    <w:rsid w:val="00C73416"/>
    <w:rsid w:val="00C74FCB"/>
    <w:rsid w:val="00C7522C"/>
    <w:rsid w:val="00C77F50"/>
    <w:rsid w:val="00C80F2E"/>
    <w:rsid w:val="00C826E2"/>
    <w:rsid w:val="00C83860"/>
    <w:rsid w:val="00C83A31"/>
    <w:rsid w:val="00C846D3"/>
    <w:rsid w:val="00C85D1F"/>
    <w:rsid w:val="00C87735"/>
    <w:rsid w:val="00C87FBA"/>
    <w:rsid w:val="00C904EF"/>
    <w:rsid w:val="00C91165"/>
    <w:rsid w:val="00C91567"/>
    <w:rsid w:val="00C92C86"/>
    <w:rsid w:val="00C96814"/>
    <w:rsid w:val="00C97C8D"/>
    <w:rsid w:val="00CA205C"/>
    <w:rsid w:val="00CA3B24"/>
    <w:rsid w:val="00CA616D"/>
    <w:rsid w:val="00CA74F9"/>
    <w:rsid w:val="00CB102C"/>
    <w:rsid w:val="00CB12A0"/>
    <w:rsid w:val="00CB3F50"/>
    <w:rsid w:val="00CB5A81"/>
    <w:rsid w:val="00CB66A1"/>
    <w:rsid w:val="00CB7FF1"/>
    <w:rsid w:val="00CC2E1C"/>
    <w:rsid w:val="00CC3A33"/>
    <w:rsid w:val="00CC3FE4"/>
    <w:rsid w:val="00CC43B2"/>
    <w:rsid w:val="00CC69B4"/>
    <w:rsid w:val="00CC7DF6"/>
    <w:rsid w:val="00CC7E9D"/>
    <w:rsid w:val="00CD1108"/>
    <w:rsid w:val="00CD18B4"/>
    <w:rsid w:val="00CD4608"/>
    <w:rsid w:val="00CD4DCE"/>
    <w:rsid w:val="00CD6D22"/>
    <w:rsid w:val="00CD71F7"/>
    <w:rsid w:val="00CD79E7"/>
    <w:rsid w:val="00CE0A50"/>
    <w:rsid w:val="00CE2C76"/>
    <w:rsid w:val="00CE3712"/>
    <w:rsid w:val="00CE3998"/>
    <w:rsid w:val="00CE4484"/>
    <w:rsid w:val="00CE5008"/>
    <w:rsid w:val="00CE71DA"/>
    <w:rsid w:val="00CE73A0"/>
    <w:rsid w:val="00CE76D7"/>
    <w:rsid w:val="00CF0FE8"/>
    <w:rsid w:val="00CF2A44"/>
    <w:rsid w:val="00CF2EBA"/>
    <w:rsid w:val="00CF3046"/>
    <w:rsid w:val="00CF34EC"/>
    <w:rsid w:val="00D00D72"/>
    <w:rsid w:val="00D061BC"/>
    <w:rsid w:val="00D07B8E"/>
    <w:rsid w:val="00D121DC"/>
    <w:rsid w:val="00D144A3"/>
    <w:rsid w:val="00D16F72"/>
    <w:rsid w:val="00D17A22"/>
    <w:rsid w:val="00D201F7"/>
    <w:rsid w:val="00D20DE3"/>
    <w:rsid w:val="00D2399C"/>
    <w:rsid w:val="00D25165"/>
    <w:rsid w:val="00D26D57"/>
    <w:rsid w:val="00D26EFB"/>
    <w:rsid w:val="00D31975"/>
    <w:rsid w:val="00D33E0C"/>
    <w:rsid w:val="00D35A2C"/>
    <w:rsid w:val="00D3644D"/>
    <w:rsid w:val="00D36D0D"/>
    <w:rsid w:val="00D41D14"/>
    <w:rsid w:val="00D42F5D"/>
    <w:rsid w:val="00D438E6"/>
    <w:rsid w:val="00D44766"/>
    <w:rsid w:val="00D5114B"/>
    <w:rsid w:val="00D533BF"/>
    <w:rsid w:val="00D6078A"/>
    <w:rsid w:val="00D62BAD"/>
    <w:rsid w:val="00D63029"/>
    <w:rsid w:val="00D63509"/>
    <w:rsid w:val="00D66112"/>
    <w:rsid w:val="00D66192"/>
    <w:rsid w:val="00D6694E"/>
    <w:rsid w:val="00D66ECF"/>
    <w:rsid w:val="00D67ECF"/>
    <w:rsid w:val="00D67F1F"/>
    <w:rsid w:val="00D725A0"/>
    <w:rsid w:val="00D761F2"/>
    <w:rsid w:val="00D77744"/>
    <w:rsid w:val="00D80819"/>
    <w:rsid w:val="00D83588"/>
    <w:rsid w:val="00D83FB0"/>
    <w:rsid w:val="00D84674"/>
    <w:rsid w:val="00D849DC"/>
    <w:rsid w:val="00D855AA"/>
    <w:rsid w:val="00D86597"/>
    <w:rsid w:val="00D87683"/>
    <w:rsid w:val="00D8784F"/>
    <w:rsid w:val="00D87A3F"/>
    <w:rsid w:val="00D902E8"/>
    <w:rsid w:val="00D9048D"/>
    <w:rsid w:val="00D9363D"/>
    <w:rsid w:val="00D93724"/>
    <w:rsid w:val="00D943A7"/>
    <w:rsid w:val="00D94F19"/>
    <w:rsid w:val="00D95767"/>
    <w:rsid w:val="00D97554"/>
    <w:rsid w:val="00DA348D"/>
    <w:rsid w:val="00DA3A61"/>
    <w:rsid w:val="00DA3C93"/>
    <w:rsid w:val="00DA41BE"/>
    <w:rsid w:val="00DA5046"/>
    <w:rsid w:val="00DA587A"/>
    <w:rsid w:val="00DB0459"/>
    <w:rsid w:val="00DB0DFC"/>
    <w:rsid w:val="00DB175E"/>
    <w:rsid w:val="00DB1F5C"/>
    <w:rsid w:val="00DB3C34"/>
    <w:rsid w:val="00DB46CC"/>
    <w:rsid w:val="00DB6E0E"/>
    <w:rsid w:val="00DC16A9"/>
    <w:rsid w:val="00DC5329"/>
    <w:rsid w:val="00DC6EB6"/>
    <w:rsid w:val="00DD225F"/>
    <w:rsid w:val="00DD34E6"/>
    <w:rsid w:val="00DD4230"/>
    <w:rsid w:val="00DD4804"/>
    <w:rsid w:val="00DD4F46"/>
    <w:rsid w:val="00DD6E3C"/>
    <w:rsid w:val="00DD7190"/>
    <w:rsid w:val="00DD72B2"/>
    <w:rsid w:val="00DD72C9"/>
    <w:rsid w:val="00DD7CE9"/>
    <w:rsid w:val="00DE0718"/>
    <w:rsid w:val="00DE16FF"/>
    <w:rsid w:val="00DE207C"/>
    <w:rsid w:val="00DE2660"/>
    <w:rsid w:val="00DE2DBF"/>
    <w:rsid w:val="00DE64CE"/>
    <w:rsid w:val="00DE745A"/>
    <w:rsid w:val="00DE7F06"/>
    <w:rsid w:val="00DF173D"/>
    <w:rsid w:val="00DF2436"/>
    <w:rsid w:val="00DF26F5"/>
    <w:rsid w:val="00DF3410"/>
    <w:rsid w:val="00DF732B"/>
    <w:rsid w:val="00DF782E"/>
    <w:rsid w:val="00E004FA"/>
    <w:rsid w:val="00E00AD2"/>
    <w:rsid w:val="00E02A2F"/>
    <w:rsid w:val="00E036DA"/>
    <w:rsid w:val="00E107E5"/>
    <w:rsid w:val="00E11B59"/>
    <w:rsid w:val="00E1206F"/>
    <w:rsid w:val="00E12191"/>
    <w:rsid w:val="00E149BA"/>
    <w:rsid w:val="00E14ADF"/>
    <w:rsid w:val="00E15277"/>
    <w:rsid w:val="00E166AD"/>
    <w:rsid w:val="00E16827"/>
    <w:rsid w:val="00E17726"/>
    <w:rsid w:val="00E17C61"/>
    <w:rsid w:val="00E200C1"/>
    <w:rsid w:val="00E21235"/>
    <w:rsid w:val="00E22052"/>
    <w:rsid w:val="00E225C6"/>
    <w:rsid w:val="00E229D5"/>
    <w:rsid w:val="00E27340"/>
    <w:rsid w:val="00E304A8"/>
    <w:rsid w:val="00E30A98"/>
    <w:rsid w:val="00E32AD9"/>
    <w:rsid w:val="00E32FC7"/>
    <w:rsid w:val="00E35C67"/>
    <w:rsid w:val="00E40567"/>
    <w:rsid w:val="00E406BB"/>
    <w:rsid w:val="00E41E89"/>
    <w:rsid w:val="00E45D18"/>
    <w:rsid w:val="00E469AB"/>
    <w:rsid w:val="00E514DB"/>
    <w:rsid w:val="00E52CDD"/>
    <w:rsid w:val="00E551BB"/>
    <w:rsid w:val="00E55B86"/>
    <w:rsid w:val="00E5631A"/>
    <w:rsid w:val="00E5648D"/>
    <w:rsid w:val="00E566D6"/>
    <w:rsid w:val="00E60264"/>
    <w:rsid w:val="00E61154"/>
    <w:rsid w:val="00E62F8D"/>
    <w:rsid w:val="00E631B5"/>
    <w:rsid w:val="00E74281"/>
    <w:rsid w:val="00E74455"/>
    <w:rsid w:val="00E8043F"/>
    <w:rsid w:val="00E820AC"/>
    <w:rsid w:val="00E84FFA"/>
    <w:rsid w:val="00E85382"/>
    <w:rsid w:val="00E860E2"/>
    <w:rsid w:val="00E86FBC"/>
    <w:rsid w:val="00E87DDF"/>
    <w:rsid w:val="00E912CB"/>
    <w:rsid w:val="00E92663"/>
    <w:rsid w:val="00E93B2C"/>
    <w:rsid w:val="00E946AD"/>
    <w:rsid w:val="00E9666C"/>
    <w:rsid w:val="00EA00C0"/>
    <w:rsid w:val="00EA12F0"/>
    <w:rsid w:val="00EA268C"/>
    <w:rsid w:val="00EA6390"/>
    <w:rsid w:val="00EA6454"/>
    <w:rsid w:val="00EA660F"/>
    <w:rsid w:val="00EA715D"/>
    <w:rsid w:val="00EB1025"/>
    <w:rsid w:val="00EB1549"/>
    <w:rsid w:val="00EB3136"/>
    <w:rsid w:val="00EB4D20"/>
    <w:rsid w:val="00EB5B49"/>
    <w:rsid w:val="00EB67EB"/>
    <w:rsid w:val="00EB789F"/>
    <w:rsid w:val="00EC0BCC"/>
    <w:rsid w:val="00EC33BA"/>
    <w:rsid w:val="00EC58AA"/>
    <w:rsid w:val="00EC62A5"/>
    <w:rsid w:val="00EC6457"/>
    <w:rsid w:val="00EC76B1"/>
    <w:rsid w:val="00ED12B6"/>
    <w:rsid w:val="00ED5C57"/>
    <w:rsid w:val="00ED78E0"/>
    <w:rsid w:val="00EE02E1"/>
    <w:rsid w:val="00EE095B"/>
    <w:rsid w:val="00EE0E5E"/>
    <w:rsid w:val="00EE1867"/>
    <w:rsid w:val="00EE1BCF"/>
    <w:rsid w:val="00EE2987"/>
    <w:rsid w:val="00EE3B01"/>
    <w:rsid w:val="00EE421A"/>
    <w:rsid w:val="00EE646E"/>
    <w:rsid w:val="00EE7068"/>
    <w:rsid w:val="00EF083E"/>
    <w:rsid w:val="00EF0FC1"/>
    <w:rsid w:val="00EF1938"/>
    <w:rsid w:val="00EF2D1C"/>
    <w:rsid w:val="00EF3607"/>
    <w:rsid w:val="00EF365F"/>
    <w:rsid w:val="00EF4F3F"/>
    <w:rsid w:val="00EF739C"/>
    <w:rsid w:val="00EF7DCE"/>
    <w:rsid w:val="00F014A2"/>
    <w:rsid w:val="00F02429"/>
    <w:rsid w:val="00F02DBB"/>
    <w:rsid w:val="00F032BA"/>
    <w:rsid w:val="00F033CB"/>
    <w:rsid w:val="00F035C0"/>
    <w:rsid w:val="00F04224"/>
    <w:rsid w:val="00F06B1A"/>
    <w:rsid w:val="00F07F7E"/>
    <w:rsid w:val="00F12883"/>
    <w:rsid w:val="00F12E44"/>
    <w:rsid w:val="00F13E06"/>
    <w:rsid w:val="00F1615C"/>
    <w:rsid w:val="00F17E8B"/>
    <w:rsid w:val="00F20195"/>
    <w:rsid w:val="00F201CE"/>
    <w:rsid w:val="00F202AE"/>
    <w:rsid w:val="00F2238D"/>
    <w:rsid w:val="00F24192"/>
    <w:rsid w:val="00F259A8"/>
    <w:rsid w:val="00F26057"/>
    <w:rsid w:val="00F27D24"/>
    <w:rsid w:val="00F3151F"/>
    <w:rsid w:val="00F31F9F"/>
    <w:rsid w:val="00F33A41"/>
    <w:rsid w:val="00F35056"/>
    <w:rsid w:val="00F36587"/>
    <w:rsid w:val="00F3758C"/>
    <w:rsid w:val="00F403BC"/>
    <w:rsid w:val="00F41226"/>
    <w:rsid w:val="00F445C9"/>
    <w:rsid w:val="00F45E9C"/>
    <w:rsid w:val="00F4601B"/>
    <w:rsid w:val="00F46D35"/>
    <w:rsid w:val="00F51100"/>
    <w:rsid w:val="00F51BFE"/>
    <w:rsid w:val="00F52142"/>
    <w:rsid w:val="00F53069"/>
    <w:rsid w:val="00F554FF"/>
    <w:rsid w:val="00F5679E"/>
    <w:rsid w:val="00F57373"/>
    <w:rsid w:val="00F61AF4"/>
    <w:rsid w:val="00F61BBC"/>
    <w:rsid w:val="00F64904"/>
    <w:rsid w:val="00F64BE8"/>
    <w:rsid w:val="00F65E11"/>
    <w:rsid w:val="00F66242"/>
    <w:rsid w:val="00F673C0"/>
    <w:rsid w:val="00F70BB1"/>
    <w:rsid w:val="00F72816"/>
    <w:rsid w:val="00F729B4"/>
    <w:rsid w:val="00F7539B"/>
    <w:rsid w:val="00F801FF"/>
    <w:rsid w:val="00F811C0"/>
    <w:rsid w:val="00F814A4"/>
    <w:rsid w:val="00F823EB"/>
    <w:rsid w:val="00F908E7"/>
    <w:rsid w:val="00F92F84"/>
    <w:rsid w:val="00F977EE"/>
    <w:rsid w:val="00F97A5A"/>
    <w:rsid w:val="00FA00E4"/>
    <w:rsid w:val="00FA1219"/>
    <w:rsid w:val="00FA18F2"/>
    <w:rsid w:val="00FA1A89"/>
    <w:rsid w:val="00FA1E4B"/>
    <w:rsid w:val="00FA201F"/>
    <w:rsid w:val="00FA35F3"/>
    <w:rsid w:val="00FA40A2"/>
    <w:rsid w:val="00FA64E1"/>
    <w:rsid w:val="00FB0652"/>
    <w:rsid w:val="00FB0914"/>
    <w:rsid w:val="00FB0B44"/>
    <w:rsid w:val="00FB278F"/>
    <w:rsid w:val="00FB353A"/>
    <w:rsid w:val="00FB545B"/>
    <w:rsid w:val="00FB60AE"/>
    <w:rsid w:val="00FB6309"/>
    <w:rsid w:val="00FB7261"/>
    <w:rsid w:val="00FB7F8C"/>
    <w:rsid w:val="00FC09FC"/>
    <w:rsid w:val="00FC11A6"/>
    <w:rsid w:val="00FC184D"/>
    <w:rsid w:val="00FC25DD"/>
    <w:rsid w:val="00FC3D97"/>
    <w:rsid w:val="00FC4968"/>
    <w:rsid w:val="00FC4EBB"/>
    <w:rsid w:val="00FC5552"/>
    <w:rsid w:val="00FC5CA4"/>
    <w:rsid w:val="00FD0462"/>
    <w:rsid w:val="00FD4F36"/>
    <w:rsid w:val="00FD5A49"/>
    <w:rsid w:val="00FE0943"/>
    <w:rsid w:val="00FE1C9A"/>
    <w:rsid w:val="00FE28CF"/>
    <w:rsid w:val="00FE3C79"/>
    <w:rsid w:val="00FE505D"/>
    <w:rsid w:val="00FE5320"/>
    <w:rsid w:val="00FF0164"/>
    <w:rsid w:val="00FF1CB7"/>
    <w:rsid w:val="00FF2164"/>
    <w:rsid w:val="00FF3809"/>
    <w:rsid w:val="00FF4DB7"/>
    <w:rsid w:val="00FF55F5"/>
    <w:rsid w:val="00FF5957"/>
    <w:rsid w:val="00FF59B6"/>
    <w:rsid w:val="00FF633F"/>
    <w:rsid w:val="01818F56"/>
    <w:rsid w:val="01EA205B"/>
    <w:rsid w:val="02179E95"/>
    <w:rsid w:val="023FE6B7"/>
    <w:rsid w:val="0246629D"/>
    <w:rsid w:val="0255E3E0"/>
    <w:rsid w:val="028D979D"/>
    <w:rsid w:val="0562497E"/>
    <w:rsid w:val="05B8239B"/>
    <w:rsid w:val="05C3C88D"/>
    <w:rsid w:val="05E7CDA0"/>
    <w:rsid w:val="063BD81C"/>
    <w:rsid w:val="077F9B6E"/>
    <w:rsid w:val="07F2FA1B"/>
    <w:rsid w:val="081940DA"/>
    <w:rsid w:val="0955ED75"/>
    <w:rsid w:val="09BEF620"/>
    <w:rsid w:val="09D103C7"/>
    <w:rsid w:val="09DB778C"/>
    <w:rsid w:val="0A33F060"/>
    <w:rsid w:val="0B4A0517"/>
    <w:rsid w:val="0BA35AE2"/>
    <w:rsid w:val="0BC68DCA"/>
    <w:rsid w:val="0BE81764"/>
    <w:rsid w:val="0CD760BC"/>
    <w:rsid w:val="0D4F88B8"/>
    <w:rsid w:val="0E021252"/>
    <w:rsid w:val="0E736ACF"/>
    <w:rsid w:val="0ECED60F"/>
    <w:rsid w:val="0F02B207"/>
    <w:rsid w:val="0F7D2A25"/>
    <w:rsid w:val="0FF286F1"/>
    <w:rsid w:val="1023B3CF"/>
    <w:rsid w:val="10863AA1"/>
    <w:rsid w:val="108B83AB"/>
    <w:rsid w:val="112D5F70"/>
    <w:rsid w:val="1137C196"/>
    <w:rsid w:val="1139EC48"/>
    <w:rsid w:val="11AAD1DF"/>
    <w:rsid w:val="12E39FC2"/>
    <w:rsid w:val="12EBD1CF"/>
    <w:rsid w:val="139AAEB5"/>
    <w:rsid w:val="1721307E"/>
    <w:rsid w:val="1755CE43"/>
    <w:rsid w:val="17A4DB08"/>
    <w:rsid w:val="17B84088"/>
    <w:rsid w:val="1859F34B"/>
    <w:rsid w:val="188945A7"/>
    <w:rsid w:val="18FE219C"/>
    <w:rsid w:val="1AB81B73"/>
    <w:rsid w:val="1AC43635"/>
    <w:rsid w:val="1B9A3001"/>
    <w:rsid w:val="1BE450F4"/>
    <w:rsid w:val="1C4719D5"/>
    <w:rsid w:val="1C578CDC"/>
    <w:rsid w:val="1D1B26E8"/>
    <w:rsid w:val="1D89D895"/>
    <w:rsid w:val="1DC81F1C"/>
    <w:rsid w:val="1DD693D8"/>
    <w:rsid w:val="1DEC544A"/>
    <w:rsid w:val="1DF1C718"/>
    <w:rsid w:val="1F199825"/>
    <w:rsid w:val="20252548"/>
    <w:rsid w:val="20FFBFDE"/>
    <w:rsid w:val="210E349A"/>
    <w:rsid w:val="22275F3F"/>
    <w:rsid w:val="222C4777"/>
    <w:rsid w:val="2292872F"/>
    <w:rsid w:val="229B903F"/>
    <w:rsid w:val="23746F9A"/>
    <w:rsid w:val="23ED0948"/>
    <w:rsid w:val="24831182"/>
    <w:rsid w:val="257B4DC9"/>
    <w:rsid w:val="25EA51E5"/>
    <w:rsid w:val="261D47D1"/>
    <w:rsid w:val="2724AA0A"/>
    <w:rsid w:val="2763DB2E"/>
    <w:rsid w:val="276F0162"/>
    <w:rsid w:val="2837E493"/>
    <w:rsid w:val="2A59163A"/>
    <w:rsid w:val="2A9DCB88"/>
    <w:rsid w:val="2B080926"/>
    <w:rsid w:val="2B4DE2B0"/>
    <w:rsid w:val="2B679094"/>
    <w:rsid w:val="2B6FC575"/>
    <w:rsid w:val="2CE730E7"/>
    <w:rsid w:val="2D3B1939"/>
    <w:rsid w:val="2DAE8352"/>
    <w:rsid w:val="2DC6F1C9"/>
    <w:rsid w:val="2DDE42E6"/>
    <w:rsid w:val="2F580BB5"/>
    <w:rsid w:val="30837E84"/>
    <w:rsid w:val="3174B7C6"/>
    <w:rsid w:val="33798532"/>
    <w:rsid w:val="338D2415"/>
    <w:rsid w:val="34D54D87"/>
    <w:rsid w:val="35440201"/>
    <w:rsid w:val="35B8DB51"/>
    <w:rsid w:val="35DE3DEE"/>
    <w:rsid w:val="36101BCA"/>
    <w:rsid w:val="367DE4AF"/>
    <w:rsid w:val="3745D910"/>
    <w:rsid w:val="3760CB96"/>
    <w:rsid w:val="3785252C"/>
    <w:rsid w:val="37884572"/>
    <w:rsid w:val="37BE58A1"/>
    <w:rsid w:val="37D688DD"/>
    <w:rsid w:val="380A9687"/>
    <w:rsid w:val="3874D7B6"/>
    <w:rsid w:val="38FC9BF7"/>
    <w:rsid w:val="39B138CB"/>
    <w:rsid w:val="3ABBF90C"/>
    <w:rsid w:val="3B4D092C"/>
    <w:rsid w:val="3B6EE682"/>
    <w:rsid w:val="3DCE1933"/>
    <w:rsid w:val="3E573BF8"/>
    <w:rsid w:val="3F47F133"/>
    <w:rsid w:val="3F5D0B89"/>
    <w:rsid w:val="40D6DD34"/>
    <w:rsid w:val="412517EA"/>
    <w:rsid w:val="41CD13C8"/>
    <w:rsid w:val="41F3C87C"/>
    <w:rsid w:val="4224C25A"/>
    <w:rsid w:val="4372B963"/>
    <w:rsid w:val="43A9F6B9"/>
    <w:rsid w:val="43D789C9"/>
    <w:rsid w:val="44343832"/>
    <w:rsid w:val="44AEC895"/>
    <w:rsid w:val="44C17A97"/>
    <w:rsid w:val="4607661B"/>
    <w:rsid w:val="46C3ED8E"/>
    <w:rsid w:val="472F8A81"/>
    <w:rsid w:val="478CFEF3"/>
    <w:rsid w:val="482F540F"/>
    <w:rsid w:val="48D35E8C"/>
    <w:rsid w:val="4A3B142E"/>
    <w:rsid w:val="4A40C0E6"/>
    <w:rsid w:val="4ADAD73E"/>
    <w:rsid w:val="4B892AB8"/>
    <w:rsid w:val="4BF2EE2A"/>
    <w:rsid w:val="4C8ECA92"/>
    <w:rsid w:val="4CC0F619"/>
    <w:rsid w:val="4D1CF35B"/>
    <w:rsid w:val="4D5FB6F1"/>
    <w:rsid w:val="4DA3405D"/>
    <w:rsid w:val="4E0EA1B6"/>
    <w:rsid w:val="4E14EDCF"/>
    <w:rsid w:val="4EF12916"/>
    <w:rsid w:val="4F7BE1EF"/>
    <w:rsid w:val="5005991C"/>
    <w:rsid w:val="504A4571"/>
    <w:rsid w:val="509757B3"/>
    <w:rsid w:val="513B988F"/>
    <w:rsid w:val="5143B7EB"/>
    <w:rsid w:val="5189CAE4"/>
    <w:rsid w:val="51B7D386"/>
    <w:rsid w:val="52FE1FE5"/>
    <w:rsid w:val="5337CDC0"/>
    <w:rsid w:val="53471598"/>
    <w:rsid w:val="53762C61"/>
    <w:rsid w:val="5400D856"/>
    <w:rsid w:val="54E3A113"/>
    <w:rsid w:val="54F2D0F4"/>
    <w:rsid w:val="55BB7997"/>
    <w:rsid w:val="55E7FD5E"/>
    <w:rsid w:val="57430F71"/>
    <w:rsid w:val="578431B7"/>
    <w:rsid w:val="5914D15C"/>
    <w:rsid w:val="595F0862"/>
    <w:rsid w:val="596231D1"/>
    <w:rsid w:val="598CE1D3"/>
    <w:rsid w:val="5A014103"/>
    <w:rsid w:val="5A670D2A"/>
    <w:rsid w:val="5A97EF17"/>
    <w:rsid w:val="5B1CD26C"/>
    <w:rsid w:val="5D6C56E6"/>
    <w:rsid w:val="5E2616C5"/>
    <w:rsid w:val="5E2E5BBD"/>
    <w:rsid w:val="5E627A6F"/>
    <w:rsid w:val="5E9FA6EF"/>
    <w:rsid w:val="5EAFF1A8"/>
    <w:rsid w:val="5EEAE438"/>
    <w:rsid w:val="5F06A9F3"/>
    <w:rsid w:val="5F828401"/>
    <w:rsid w:val="600A0300"/>
    <w:rsid w:val="60EC1DD1"/>
    <w:rsid w:val="60FCFDCC"/>
    <w:rsid w:val="61630871"/>
    <w:rsid w:val="616A112D"/>
    <w:rsid w:val="6207DD70"/>
    <w:rsid w:val="620A0953"/>
    <w:rsid w:val="62132119"/>
    <w:rsid w:val="62CAF144"/>
    <w:rsid w:val="63938484"/>
    <w:rsid w:val="640B66D8"/>
    <w:rsid w:val="6498ED42"/>
    <w:rsid w:val="650C3370"/>
    <w:rsid w:val="658651D7"/>
    <w:rsid w:val="6710B9FD"/>
    <w:rsid w:val="676C6C37"/>
    <w:rsid w:val="67FA316B"/>
    <w:rsid w:val="684D4EFB"/>
    <w:rsid w:val="6894A80A"/>
    <w:rsid w:val="6AB8DE3D"/>
    <w:rsid w:val="6AC5FE89"/>
    <w:rsid w:val="6AD93A51"/>
    <w:rsid w:val="6B21D4A2"/>
    <w:rsid w:val="6C94B2AD"/>
    <w:rsid w:val="6CC2AB62"/>
    <w:rsid w:val="6D3816EF"/>
    <w:rsid w:val="6F01E4AB"/>
    <w:rsid w:val="6FF3F4C0"/>
    <w:rsid w:val="705A3A92"/>
    <w:rsid w:val="705B0856"/>
    <w:rsid w:val="706BECA7"/>
    <w:rsid w:val="70C11E27"/>
    <w:rsid w:val="71A1CA41"/>
    <w:rsid w:val="71B5978B"/>
    <w:rsid w:val="71C70D0E"/>
    <w:rsid w:val="71DC8176"/>
    <w:rsid w:val="72AAE0AC"/>
    <w:rsid w:val="72C33761"/>
    <w:rsid w:val="72D62962"/>
    <w:rsid w:val="7306D4CB"/>
    <w:rsid w:val="732B9582"/>
    <w:rsid w:val="734EEF8D"/>
    <w:rsid w:val="7440DE46"/>
    <w:rsid w:val="74D15E5E"/>
    <w:rsid w:val="74D17F47"/>
    <w:rsid w:val="759F550B"/>
    <w:rsid w:val="75A3991D"/>
    <w:rsid w:val="777466AB"/>
    <w:rsid w:val="781568E7"/>
    <w:rsid w:val="78DF638A"/>
    <w:rsid w:val="78F2C998"/>
    <w:rsid w:val="792E9C2D"/>
    <w:rsid w:val="7A5632F9"/>
    <w:rsid w:val="7AE4D065"/>
    <w:rsid w:val="7B3E94ED"/>
    <w:rsid w:val="7B756D79"/>
    <w:rsid w:val="7C63E34B"/>
    <w:rsid w:val="7C96FEB9"/>
    <w:rsid w:val="7CAB335A"/>
    <w:rsid w:val="7CAE1E32"/>
    <w:rsid w:val="7D10C608"/>
    <w:rsid w:val="7D19600D"/>
    <w:rsid w:val="7D4067DA"/>
    <w:rsid w:val="7E133D96"/>
    <w:rsid w:val="7E2E7D91"/>
    <w:rsid w:val="7E3DCEAF"/>
    <w:rsid w:val="7E3EFA2F"/>
    <w:rsid w:val="7E5C62F2"/>
    <w:rsid w:val="7EF988CC"/>
    <w:rsid w:val="7FA85FE2"/>
    <w:rsid w:val="7FAF4E41"/>
    <w:rsid w:val="7FD504D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035794FF-FFCA-49FB-ADC9-35F34ED1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Medium" w:hAnsi="Yu Gothic Medium"/>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character" w:styleId="CommentReference">
    <w:name w:val="annotation reference"/>
    <w:basedOn w:val="DefaultParagraphFont"/>
    <w:uiPriority w:val="99"/>
    <w:semiHidden/>
    <w:unhideWhenUsed/>
    <w:rsid w:val="009B63D5"/>
    <w:rPr>
      <w:sz w:val="16"/>
      <w:szCs w:val="16"/>
    </w:rPr>
  </w:style>
  <w:style w:type="paragraph" w:styleId="CommentText">
    <w:name w:val="annotation text"/>
    <w:basedOn w:val="Normal"/>
    <w:link w:val="CommentTextChar"/>
    <w:uiPriority w:val="99"/>
    <w:unhideWhenUsed/>
    <w:rsid w:val="009B63D5"/>
    <w:pPr>
      <w:spacing w:line="240" w:lineRule="auto"/>
    </w:pPr>
    <w:rPr>
      <w:szCs w:val="20"/>
    </w:rPr>
  </w:style>
  <w:style w:type="character" w:customStyle="1" w:styleId="CommentTextChar">
    <w:name w:val="Comment Text Char"/>
    <w:basedOn w:val="DefaultParagraphFont"/>
    <w:link w:val="CommentText"/>
    <w:uiPriority w:val="99"/>
    <w:rsid w:val="009B63D5"/>
    <w:rPr>
      <w:rFonts w:ascii="Foundry Sterling Book" w:hAnsi="Foundry Sterling Book"/>
      <w:sz w:val="20"/>
      <w:szCs w:val="20"/>
      <w:lang w:eastAsia="en-AU"/>
    </w:rPr>
  </w:style>
  <w:style w:type="paragraph" w:styleId="CommentSubject">
    <w:name w:val="annotation subject"/>
    <w:basedOn w:val="CommentText"/>
    <w:next w:val="CommentText"/>
    <w:link w:val="CommentSubjectChar"/>
    <w:uiPriority w:val="99"/>
    <w:semiHidden/>
    <w:unhideWhenUsed/>
    <w:rsid w:val="009B63D5"/>
    <w:rPr>
      <w:b/>
      <w:bCs/>
    </w:rPr>
  </w:style>
  <w:style w:type="character" w:customStyle="1" w:styleId="CommentSubjectChar">
    <w:name w:val="Comment Subject Char"/>
    <w:basedOn w:val="CommentTextChar"/>
    <w:link w:val="CommentSubject"/>
    <w:uiPriority w:val="99"/>
    <w:semiHidden/>
    <w:rsid w:val="009B63D5"/>
    <w:rPr>
      <w:rFonts w:ascii="Foundry Sterling Book" w:hAnsi="Foundry Sterling Book"/>
      <w:b/>
      <w:bCs/>
      <w:sz w:val="20"/>
      <w:szCs w:val="20"/>
      <w:lang w:eastAsia="en-AU"/>
    </w:rPr>
  </w:style>
  <w:style w:type="character" w:customStyle="1" w:styleId="cf01">
    <w:name w:val="cf01"/>
    <w:basedOn w:val="DefaultParagraphFont"/>
    <w:rsid w:val="0050492F"/>
    <w:rPr>
      <w:rFonts w:ascii="Segoe UI" w:hAnsi="Segoe UI" w:cs="Segoe UI" w:hint="default"/>
      <w:sz w:val="18"/>
      <w:szCs w:val="18"/>
    </w:rPr>
  </w:style>
  <w:style w:type="paragraph" w:styleId="Revision">
    <w:name w:val="Revision"/>
    <w:hidden/>
    <w:uiPriority w:val="99"/>
    <w:semiHidden/>
    <w:rsid w:val="008870A7"/>
    <w:rPr>
      <w:rFonts w:ascii="Foundry Sterling Book" w:hAnsi="Foundry Sterling Book"/>
      <w:sz w:val="20"/>
      <w:szCs w:val="22"/>
      <w:lang w:eastAsia="en-AU"/>
    </w:rPr>
  </w:style>
  <w:style w:type="character" w:styleId="Mention">
    <w:name w:val="Mention"/>
    <w:basedOn w:val="DefaultParagraphFont"/>
    <w:uiPriority w:val="99"/>
    <w:rsid w:val="000149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650211320">
      <w:bodyDiv w:val="1"/>
      <w:marLeft w:val="0"/>
      <w:marRight w:val="0"/>
      <w:marTop w:val="0"/>
      <w:marBottom w:val="0"/>
      <w:divBdr>
        <w:top w:val="none" w:sz="0" w:space="0" w:color="auto"/>
        <w:left w:val="none" w:sz="0" w:space="0" w:color="auto"/>
        <w:bottom w:val="none" w:sz="0" w:space="0" w:color="auto"/>
        <w:right w:val="none" w:sz="0" w:space="0" w:color="auto"/>
      </w:divBdr>
    </w:div>
    <w:div w:id="759060640">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863323709">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qsa.gov.au/how-we-regulate/higher-education-standards-framework-2021" TargetMode="External"/><Relationship Id="rId18" Type="http://schemas.openxmlformats.org/officeDocument/2006/relationships/hyperlink" Target="https://www.nhmrc.gov.au/sites/default/files/documents/attachments/grant%20documents/The-australian-code-for-the-responsible-conduct-of-research-2018.pdf" TargetMode="External"/><Relationship Id="rId26" Type="http://schemas.openxmlformats.org/officeDocument/2006/relationships/hyperlink" Target="https://sharepointpubstor.blob.core.windows.net/policylibrary-prod/Program%20Approval%20Procedure.pdf"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Code%20of%20Conduct.pdf"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egislation.gov.au/Details/C2022C00328" TargetMode="External"/><Relationship Id="rId17" Type="http://schemas.openxmlformats.org/officeDocument/2006/relationships/hyperlink" Target="https://www.legislation.qld.gov.au/view/pdf/inforce/current/act-2009-052" TargetMode="External"/><Relationship Id="rId25" Type="http://schemas.openxmlformats.org/officeDocument/2006/relationships/hyperlink" Target="https://sharepointpubstor.blob.core.windows.net/policylibrary-prod/Research%20Quality%20Framework.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qld.gov.au/view/pdf/2014-07-01/act-1994-067" TargetMode="External"/><Relationship Id="rId20" Type="http://schemas.openxmlformats.org/officeDocument/2006/relationships/hyperlink" Target="https://sharepointpubstor.blob.core.windows.net/policylibrary-prod/Risk%20and%20Resilience%20Management%20Policy.pdf" TargetMode="External"/><Relationship Id="rId29" Type="http://schemas.openxmlformats.org/officeDocument/2006/relationships/hyperlink" Target="https://sharepointpubstor.blob.core.windows.net/policylibrary-prod/Staff%20Direction%20Identifying%20and%20Preventing%20Breaches%20of%20Academic%20Integrity%20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current/act-1998-003" TargetMode="External"/><Relationship Id="rId24" Type="http://schemas.openxmlformats.org/officeDocument/2006/relationships/hyperlink" Target="https://sharepointpubstor.blob.core.windows.net/policylibrary-prod/Program%20and%20Course%20Policy.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gov.au/higher-education-reviews-and-consultations/resources/trusting-australias-ability-review-australian-research-council-act-2001" TargetMode="External"/><Relationship Id="rId23" Type="http://schemas.openxmlformats.org/officeDocument/2006/relationships/hyperlink" Target="https://sharepointpubstor.blob.core.windows.net/policylibrary-prod/Responsible%20Conduct%20of%20Research%20Policy.pdf" TargetMode="External"/><Relationship Id="rId28" Type="http://schemas.openxmlformats.org/officeDocument/2006/relationships/hyperlink" Target="https://sharepointpubstor.blob.core.windows.net/policylibrary-prod/Student%20Breaches%20of%20Academic%20Integrity%20Procedure.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harepointpubstor.blob.core.windows.net/policylibrary-prod/University%20Reviews%20Policy.pdf" TargetMode="External"/><Relationship Id="rId31" Type="http://schemas.openxmlformats.org/officeDocument/2006/relationships/hyperlink" Target="https://www.griffith.edu.au/research/research-services/research-ethics-integrity/human/gur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ationaleducation.gov.au/regulatory-information/Education-Services-for-Overseas-Students-ESOS-Legislative-Framework/National-Code/Pages/default.aspx" TargetMode="External"/><Relationship Id="rId22" Type="http://schemas.openxmlformats.org/officeDocument/2006/relationships/hyperlink" Target="https://sharepointpubstor.blob.core.windows.net/policylibrary-prod/Student%20Charter%20Framework.pdf" TargetMode="External"/><Relationship Id="rId27" Type="http://schemas.openxmlformats.org/officeDocument/2006/relationships/hyperlink" Target="https://sharepointpubstor.blob.core.windows.net/policylibrary-prod/Legislative%20Compliance%20Procedure.pdf" TargetMode="External"/><Relationship Id="rId30" Type="http://schemas.openxmlformats.org/officeDocument/2006/relationships/hyperlink" Target="https://sharepointpubstor.blob.core.windows.net/policylibrary-prod/Higher%20Degree%20by%20Research%20(HDR)%20Supervision%20Procedure.pdf"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sort xmlns="2f261a70-825f-4a37-b7b5-f6ecc2f4c5fa">1</docsort>
    <PublishOn xmlns="2f261a70-825f-4a37-b7b5-f6ecc2f4c5fa">2023-11-26T22:21:02+00:00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policies. This template should be used in conjunction with the Policy Governance Policy and the Policy Governance Procedure.</policysummary>
    <PolicyCategoryPath xmlns="2f261a70-825f-4a37-b7b5-f6ecc2f4c5fa" xsi:nil="true"/>
    <PolicyCategory0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558</Value>
      <Value>88</Value>
      <Value>572</Value>
      <Value>518</Value>
      <Value>551</Value>
    </TaxCatchAll>
    <PolicyCategoryParent xmlns="2f261a70-825f-4a37-b7b5-f6ecc2f4c5fa" xsi:nil="true"/>
    <LastPublished xmlns="2f261a70-825f-4a37-b7b5-f6ecc2f4c5fa">2024-04-02T14:00:00+00:00</LastPublished>
    <doccomments xmlns="2f261a70-825f-4a37-b7b5-f6ecc2f4c5fa">27/11/2023 - Academic Committee 05/2023 (16 November) meeting approved the Quality Assurance Policy (2023/0000402) for implementation effective 1 January 2024.  Concurrently, the Committee also approved the rescission of the Framework for Quality Assurance (2021/0000279) also effective from 1 January 2024.
03/04/2024 - Standing COO Admin editorial approval - Rescinded Student Charter links/references updated to new Student Charter Framework.</doccomments>
    <datedeclared xmlns="2f261a70-825f-4a37-b7b5-f6ecc2f4c5fa">2023-11-15T14:00:00+00:00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customXml/itemProps2.xml><?xml version="1.0" encoding="utf-8"?>
<ds:datastoreItem xmlns:ds="http://schemas.openxmlformats.org/officeDocument/2006/customXml" ds:itemID="{ECE5AD64-4395-4D3E-809A-D2A2B1C1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Metadata/LabelInfo.xml><?xml version="1.0" encoding="utf-8"?>
<clbl:labelList xmlns:clbl="http://schemas.microsoft.com/office/2020/mipLabelMetadata">
  <clbl:label id="{9d78f839-bdcb-4a99-8775-1d79bece4e3b}" enabled="1" method="Privilege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2</TotalTime>
  <Pages>7</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Policy template</vt:lpstr>
    </vt:vector>
  </TitlesOfParts>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Policy</dc:title>
  <dc:subject/>
  <dc:creator>Rebecca Voisey</dc:creator>
  <cp:keywords/>
  <dc:description/>
  <cp:lastModifiedBy>Donna Kalaentzis</cp:lastModifiedBy>
  <cp:revision>2</cp:revision>
  <cp:lastPrinted>2024-04-09T00:28:00Z</cp:lastPrinted>
  <dcterms:created xsi:type="dcterms:W3CDTF">2024-04-12T00:36:00Z</dcterms:created>
  <dcterms:modified xsi:type="dcterms:W3CDTF">2024-04-12T00:36:00Z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88;#Academic Committee|7e8af15c-aa65-4b9b-bab9-4850413bd480</vt:lpwstr>
  </property>
  <property fmtid="{D5CDD505-2E9C-101B-9397-08002B2CF9AE}" pid="12" name="policycategory">
    <vt:lpwstr/>
  </property>
  <property fmtid="{D5CDD505-2E9C-101B-9397-08002B2CF9AE}" pid="13" name="officearea">
    <vt:lpwstr>551;#Student Life|10f28419-8eea-4122-9bbc-3c3d69c6fcc4</vt:lpwstr>
  </property>
  <property fmtid="{D5CDD505-2E9C-101B-9397-08002B2CF9AE}" pid="14" name="Managed_Testing_Field">
    <vt:lpwstr/>
  </property>
  <property fmtid="{D5CDD505-2E9C-101B-9397-08002B2CF9AE}" pid="15" name="policy-category">
    <vt:lpwstr>518;#Learning and Teaching|446e0cdd-d096-4b26-b8f8-0a6485e32142</vt:lpwstr>
  </property>
  <property fmtid="{D5CDD505-2E9C-101B-9397-08002B2CF9AE}" pid="16" name="glossaryterms">
    <vt:lpwstr/>
  </property>
  <property fmtid="{D5CDD505-2E9C-101B-9397-08002B2CF9AE}" pid="17" name="policyreview">
    <vt:lpwstr>558;#2028|3482dbca-7716-46bb-b113-935721929a44</vt:lpwstr>
  </property>
  <property fmtid="{D5CDD505-2E9C-101B-9397-08002B2CF9AE}" pid="18" name="policyaudience">
    <vt:lpwstr>572;#Staff and Student|e31810fd-0fc5-4050-aa32-a98462f8b255</vt:lpwstr>
  </property>
</Properties>
</file>