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8303" w14:textId="77777777" w:rsidR="00774DDD" w:rsidRPr="00E80634" w:rsidRDefault="00774DDD" w:rsidP="000E040B">
      <w:pPr>
        <w:pStyle w:val="ContentsHeading1"/>
        <w:pBdr>
          <w:bottom w:val="none" w:sz="0" w:space="0" w:color="auto"/>
        </w:pBdr>
        <w:spacing w:before="120" w:after="120"/>
        <w:rPr>
          <w:rFonts w:ascii="Arial" w:hAnsi="Arial" w:cs="Arial"/>
          <w:sz w:val="52"/>
          <w:szCs w:val="52"/>
        </w:rPr>
      </w:pPr>
      <w:r w:rsidRPr="00E80634">
        <w:rPr>
          <w:rFonts w:ascii="Arial" w:hAnsi="Arial" w:cs="Arial"/>
          <w:sz w:val="52"/>
          <w:szCs w:val="52"/>
        </w:rPr>
        <w:t xml:space="preserve">Program and Course </w:t>
      </w:r>
    </w:p>
    <w:p w14:paraId="40CC1766" w14:textId="47CD5B77" w:rsidR="007C744D" w:rsidRPr="00E80634" w:rsidRDefault="005C3DBA" w:rsidP="000E040B">
      <w:pPr>
        <w:spacing w:after="0" w:line="240" w:lineRule="auto"/>
        <w:rPr>
          <w:rFonts w:ascii="Arial" w:hAnsi="Arial" w:cs="Arial"/>
          <w:color w:val="E30918"/>
          <w:sz w:val="24"/>
          <w:szCs w:val="24"/>
        </w:rPr>
      </w:pPr>
      <w:r w:rsidRPr="00E80634">
        <w:rPr>
          <w:rFonts w:ascii="Arial" w:hAnsi="Arial" w:cs="Arial"/>
          <w:color w:val="E30918"/>
          <w:sz w:val="24"/>
          <w:szCs w:val="24"/>
        </w:rPr>
        <w:fldChar w:fldCharType="begin"/>
      </w:r>
      <w:r w:rsidRPr="00E80634">
        <w:rPr>
          <w:rFonts w:ascii="Arial" w:hAnsi="Arial" w:cs="Arial"/>
          <w:color w:val="E30918"/>
          <w:sz w:val="24"/>
          <w:szCs w:val="24"/>
        </w:rPr>
        <w:instrText xml:space="preserve"> REF _Ref20321537 \h </w:instrText>
      </w:r>
      <w:r w:rsidR="000E46E9" w:rsidRPr="00E80634">
        <w:rPr>
          <w:rFonts w:ascii="Arial" w:hAnsi="Arial" w:cs="Arial"/>
          <w:color w:val="E30918"/>
          <w:sz w:val="24"/>
          <w:szCs w:val="24"/>
        </w:rPr>
        <w:instrText xml:space="preserve"> \* MERGEFORMAT </w:instrText>
      </w:r>
      <w:r w:rsidRPr="00E80634">
        <w:rPr>
          <w:rFonts w:ascii="Arial" w:hAnsi="Arial" w:cs="Arial"/>
          <w:color w:val="E30918"/>
          <w:sz w:val="24"/>
          <w:szCs w:val="24"/>
        </w:rPr>
      </w:r>
      <w:r w:rsidRPr="00E80634">
        <w:rPr>
          <w:rFonts w:ascii="Arial" w:hAnsi="Arial" w:cs="Arial"/>
          <w:color w:val="E30918"/>
          <w:sz w:val="24"/>
          <w:szCs w:val="24"/>
        </w:rPr>
        <w:fldChar w:fldCharType="separate"/>
      </w:r>
      <w:r w:rsidRPr="00E80634">
        <w:rPr>
          <w:rFonts w:ascii="Arial" w:hAnsi="Arial" w:cs="Arial"/>
          <w:color w:val="E30918"/>
          <w:sz w:val="24"/>
          <w:szCs w:val="24"/>
        </w:rPr>
        <w:t>1.0 Purpose</w:t>
      </w:r>
      <w:r w:rsidRPr="00E80634">
        <w:rPr>
          <w:rFonts w:ascii="Arial" w:hAnsi="Arial" w:cs="Arial"/>
          <w:color w:val="E30918"/>
          <w:sz w:val="24"/>
          <w:szCs w:val="24"/>
        </w:rPr>
        <w:fldChar w:fldCharType="end"/>
      </w:r>
    </w:p>
    <w:p w14:paraId="1EB10FBE" w14:textId="2C3AAE1C" w:rsidR="005C3DBA" w:rsidRPr="00E80634" w:rsidRDefault="005C3DBA" w:rsidP="000E040B">
      <w:pPr>
        <w:spacing w:after="0" w:line="240" w:lineRule="auto"/>
        <w:rPr>
          <w:rFonts w:ascii="Arial" w:hAnsi="Arial" w:cs="Arial"/>
          <w:color w:val="E30918"/>
          <w:sz w:val="24"/>
          <w:szCs w:val="24"/>
        </w:rPr>
      </w:pPr>
      <w:r w:rsidRPr="00E80634">
        <w:rPr>
          <w:rFonts w:ascii="Arial" w:hAnsi="Arial" w:cs="Arial"/>
          <w:color w:val="E30918"/>
          <w:sz w:val="24"/>
          <w:szCs w:val="24"/>
        </w:rPr>
        <w:fldChar w:fldCharType="begin"/>
      </w:r>
      <w:r w:rsidRPr="00E80634">
        <w:rPr>
          <w:rFonts w:ascii="Arial" w:hAnsi="Arial" w:cs="Arial"/>
          <w:color w:val="E30918"/>
          <w:sz w:val="24"/>
          <w:szCs w:val="24"/>
        </w:rPr>
        <w:instrText xml:space="preserve"> REF _Ref20318879 \h </w:instrText>
      </w:r>
      <w:r w:rsidR="000E46E9" w:rsidRPr="00E80634">
        <w:rPr>
          <w:rFonts w:ascii="Arial" w:hAnsi="Arial" w:cs="Arial"/>
          <w:color w:val="E30918"/>
          <w:sz w:val="24"/>
          <w:szCs w:val="24"/>
        </w:rPr>
        <w:instrText xml:space="preserve"> \* MERGEFORMAT </w:instrText>
      </w:r>
      <w:r w:rsidRPr="00E80634">
        <w:rPr>
          <w:rFonts w:ascii="Arial" w:hAnsi="Arial" w:cs="Arial"/>
          <w:color w:val="E30918"/>
          <w:sz w:val="24"/>
          <w:szCs w:val="24"/>
        </w:rPr>
      </w:r>
      <w:r w:rsidRPr="00E80634">
        <w:rPr>
          <w:rFonts w:ascii="Arial" w:hAnsi="Arial" w:cs="Arial"/>
          <w:color w:val="E30918"/>
          <w:sz w:val="24"/>
          <w:szCs w:val="24"/>
        </w:rPr>
        <w:fldChar w:fldCharType="separate"/>
      </w:r>
      <w:r w:rsidRPr="00E80634">
        <w:rPr>
          <w:rFonts w:ascii="Arial" w:hAnsi="Arial" w:cs="Arial"/>
          <w:color w:val="E30918"/>
          <w:sz w:val="24"/>
          <w:szCs w:val="24"/>
        </w:rPr>
        <w:t>2.0 Scope</w:t>
      </w:r>
      <w:r w:rsidRPr="00E80634">
        <w:rPr>
          <w:rFonts w:ascii="Arial" w:hAnsi="Arial" w:cs="Arial"/>
          <w:color w:val="E30918"/>
          <w:sz w:val="24"/>
          <w:szCs w:val="24"/>
        </w:rPr>
        <w:fldChar w:fldCharType="end"/>
      </w:r>
    </w:p>
    <w:p w14:paraId="44F773DE" w14:textId="0A2F7159" w:rsidR="00AF4E9D" w:rsidRPr="00E80634" w:rsidRDefault="00472043" w:rsidP="000E040B">
      <w:pPr>
        <w:spacing w:after="0" w:line="240" w:lineRule="auto"/>
        <w:rPr>
          <w:rFonts w:ascii="Arial" w:hAnsi="Arial" w:cs="Arial"/>
          <w:color w:val="E30918"/>
          <w:sz w:val="24"/>
          <w:szCs w:val="24"/>
        </w:rPr>
      </w:pPr>
      <w:hyperlink w:anchor="_3.0_Policy_statement" w:history="1">
        <w:r w:rsidR="00AF4E9D" w:rsidRPr="00E80634">
          <w:rPr>
            <w:rStyle w:val="Hyperlink"/>
            <w:rFonts w:ascii="Arial" w:hAnsi="Arial" w:cs="Arial"/>
            <w:sz w:val="24"/>
            <w:szCs w:val="24"/>
            <w:u w:val="none"/>
          </w:rPr>
          <w:t>3.0 Policy statement</w:t>
        </w:r>
      </w:hyperlink>
    </w:p>
    <w:p w14:paraId="788E5656" w14:textId="7C44F0DC" w:rsidR="00BF01F5" w:rsidRPr="00E80634" w:rsidRDefault="00BF01F5" w:rsidP="000E040B">
      <w:pPr>
        <w:spacing w:after="0" w:line="240" w:lineRule="auto"/>
        <w:rPr>
          <w:rFonts w:ascii="Arial" w:hAnsi="Arial" w:cs="Arial"/>
          <w:color w:val="E30918"/>
          <w:sz w:val="24"/>
          <w:szCs w:val="24"/>
        </w:rPr>
      </w:pPr>
      <w:r w:rsidRPr="00E80634">
        <w:rPr>
          <w:rFonts w:ascii="Arial" w:hAnsi="Arial" w:cs="Arial"/>
          <w:color w:val="E30918"/>
          <w:sz w:val="24"/>
          <w:szCs w:val="24"/>
        </w:rPr>
        <w:fldChar w:fldCharType="begin"/>
      </w:r>
      <w:r w:rsidRPr="00E80634">
        <w:rPr>
          <w:rFonts w:ascii="Arial" w:hAnsi="Arial" w:cs="Arial"/>
          <w:color w:val="E30918"/>
          <w:sz w:val="24"/>
          <w:szCs w:val="24"/>
        </w:rPr>
        <w:instrText xml:space="preserve"> REF _Ref21613385 \h  \* MERGEFORMAT </w:instrText>
      </w:r>
      <w:r w:rsidRPr="00E80634">
        <w:rPr>
          <w:rFonts w:ascii="Arial" w:hAnsi="Arial" w:cs="Arial"/>
          <w:color w:val="E30918"/>
          <w:sz w:val="24"/>
          <w:szCs w:val="24"/>
        </w:rPr>
      </w:r>
      <w:r w:rsidRPr="00E80634">
        <w:rPr>
          <w:rFonts w:ascii="Arial" w:hAnsi="Arial" w:cs="Arial"/>
          <w:color w:val="E30918"/>
          <w:sz w:val="24"/>
          <w:szCs w:val="24"/>
        </w:rPr>
        <w:fldChar w:fldCharType="separate"/>
      </w:r>
      <w:r w:rsidRPr="00E80634">
        <w:rPr>
          <w:rFonts w:ascii="Arial" w:hAnsi="Arial" w:cs="Arial"/>
          <w:color w:val="E30918"/>
          <w:sz w:val="24"/>
          <w:szCs w:val="24"/>
        </w:rPr>
        <w:t xml:space="preserve">4.0 Roles, </w:t>
      </w:r>
      <w:proofErr w:type="gramStart"/>
      <w:r w:rsidRPr="00E80634">
        <w:rPr>
          <w:rFonts w:ascii="Arial" w:hAnsi="Arial" w:cs="Arial"/>
          <w:color w:val="E30918"/>
          <w:sz w:val="24"/>
          <w:szCs w:val="24"/>
        </w:rPr>
        <w:t>responsibilities</w:t>
      </w:r>
      <w:proofErr w:type="gramEnd"/>
      <w:r w:rsidRPr="00E80634">
        <w:rPr>
          <w:rFonts w:ascii="Arial" w:hAnsi="Arial" w:cs="Arial"/>
          <w:color w:val="E30918"/>
          <w:sz w:val="24"/>
          <w:szCs w:val="24"/>
        </w:rPr>
        <w:t xml:space="preserve"> and delegations</w:t>
      </w:r>
      <w:r w:rsidRPr="00E80634">
        <w:rPr>
          <w:rFonts w:ascii="Arial" w:hAnsi="Arial" w:cs="Arial"/>
          <w:color w:val="E30918"/>
          <w:sz w:val="24"/>
          <w:szCs w:val="24"/>
        </w:rPr>
        <w:fldChar w:fldCharType="end"/>
      </w:r>
    </w:p>
    <w:p w14:paraId="765BCC2E" w14:textId="5A2846C3" w:rsidR="005C3DBA" w:rsidRPr="00E80634" w:rsidRDefault="005C3DBA" w:rsidP="000E040B">
      <w:pPr>
        <w:spacing w:after="0" w:line="240" w:lineRule="auto"/>
        <w:rPr>
          <w:rFonts w:ascii="Arial" w:hAnsi="Arial" w:cs="Arial"/>
          <w:color w:val="E30918"/>
          <w:sz w:val="24"/>
          <w:szCs w:val="24"/>
        </w:rPr>
      </w:pPr>
      <w:r w:rsidRPr="00E80634">
        <w:rPr>
          <w:rFonts w:ascii="Arial" w:hAnsi="Arial" w:cs="Arial"/>
          <w:color w:val="E30918"/>
          <w:sz w:val="24"/>
          <w:szCs w:val="24"/>
        </w:rPr>
        <w:fldChar w:fldCharType="begin"/>
      </w:r>
      <w:r w:rsidRPr="00E80634">
        <w:rPr>
          <w:rFonts w:ascii="Arial" w:hAnsi="Arial" w:cs="Arial"/>
          <w:color w:val="E30918"/>
          <w:sz w:val="24"/>
          <w:szCs w:val="24"/>
        </w:rPr>
        <w:instrText xml:space="preserve"> REF _Ref20320732 \h </w:instrText>
      </w:r>
      <w:r w:rsidR="000E46E9" w:rsidRPr="00E80634">
        <w:rPr>
          <w:rFonts w:ascii="Arial" w:hAnsi="Arial" w:cs="Arial"/>
          <w:color w:val="E30918"/>
          <w:sz w:val="24"/>
          <w:szCs w:val="24"/>
        </w:rPr>
        <w:instrText xml:space="preserve"> \* MERGEFORMAT </w:instrText>
      </w:r>
      <w:r w:rsidRPr="00E80634">
        <w:rPr>
          <w:rFonts w:ascii="Arial" w:hAnsi="Arial" w:cs="Arial"/>
          <w:color w:val="E30918"/>
          <w:sz w:val="24"/>
          <w:szCs w:val="24"/>
        </w:rPr>
      </w:r>
      <w:r w:rsidRPr="00E80634">
        <w:rPr>
          <w:rFonts w:ascii="Arial" w:hAnsi="Arial" w:cs="Arial"/>
          <w:color w:val="E30918"/>
          <w:sz w:val="24"/>
          <w:szCs w:val="24"/>
        </w:rPr>
        <w:fldChar w:fldCharType="separate"/>
      </w:r>
      <w:r w:rsidRPr="00E80634">
        <w:rPr>
          <w:rFonts w:ascii="Arial" w:hAnsi="Arial" w:cs="Arial"/>
          <w:color w:val="E30918"/>
          <w:sz w:val="24"/>
          <w:szCs w:val="24"/>
        </w:rPr>
        <w:t>5.0 Definitions</w:t>
      </w:r>
      <w:r w:rsidRPr="00E80634">
        <w:rPr>
          <w:rFonts w:ascii="Arial" w:hAnsi="Arial" w:cs="Arial"/>
          <w:color w:val="E30918"/>
          <w:sz w:val="24"/>
          <w:szCs w:val="24"/>
        </w:rPr>
        <w:fldChar w:fldCharType="end"/>
      </w:r>
    </w:p>
    <w:p w14:paraId="77763265" w14:textId="014DC3C4" w:rsidR="00774DDD" w:rsidRPr="00E80634" w:rsidRDefault="00472043" w:rsidP="000E040B">
      <w:pPr>
        <w:spacing w:after="0" w:line="240" w:lineRule="auto"/>
        <w:rPr>
          <w:rFonts w:ascii="Arial" w:hAnsi="Arial" w:cs="Arial"/>
          <w:color w:val="E30918"/>
          <w:sz w:val="24"/>
          <w:szCs w:val="24"/>
        </w:rPr>
      </w:pPr>
      <w:hyperlink w:anchor="_6.0_Information" w:history="1">
        <w:r w:rsidR="00774DDD" w:rsidRPr="00E80634">
          <w:rPr>
            <w:rStyle w:val="Hyperlink"/>
            <w:rFonts w:ascii="Arial" w:hAnsi="Arial" w:cs="Arial"/>
            <w:sz w:val="24"/>
            <w:szCs w:val="24"/>
            <w:u w:val="none"/>
          </w:rPr>
          <w:t>6.0 Information</w:t>
        </w:r>
      </w:hyperlink>
    </w:p>
    <w:p w14:paraId="43EE96EC" w14:textId="7C3E116D" w:rsidR="00774DDD" w:rsidRPr="00E80634" w:rsidRDefault="00472043" w:rsidP="000E040B">
      <w:pPr>
        <w:spacing w:after="0" w:line="240" w:lineRule="auto"/>
        <w:rPr>
          <w:rFonts w:ascii="Arial" w:hAnsi="Arial" w:cs="Arial"/>
          <w:color w:val="E30918"/>
          <w:sz w:val="22"/>
        </w:rPr>
      </w:pPr>
      <w:hyperlink w:anchor="_7.0_Related_Policy" w:history="1">
        <w:r w:rsidR="00774DDD" w:rsidRPr="00E80634">
          <w:rPr>
            <w:rStyle w:val="Hyperlink"/>
            <w:rFonts w:ascii="Arial" w:hAnsi="Arial" w:cs="Arial"/>
            <w:sz w:val="24"/>
            <w:szCs w:val="24"/>
            <w:u w:val="none"/>
          </w:rPr>
          <w:t>7.0 Related policy document and supporting documents</w:t>
        </w:r>
      </w:hyperlink>
    </w:p>
    <w:p w14:paraId="2E800012" w14:textId="62861BCA" w:rsidR="00BC55CF" w:rsidRPr="00E80634" w:rsidRDefault="00902125" w:rsidP="000E040B">
      <w:pPr>
        <w:pStyle w:val="Heading2"/>
        <w:spacing w:before="120" w:line="240" w:lineRule="auto"/>
        <w:rPr>
          <w:rFonts w:ascii="Arial" w:hAnsi="Arial" w:cs="Arial"/>
          <w:b/>
          <w:bCs/>
          <w:sz w:val="32"/>
          <w:szCs w:val="32"/>
        </w:rPr>
      </w:pPr>
      <w:bookmarkStart w:id="0" w:name="_Ref20321537"/>
      <w:r w:rsidRPr="00E80634">
        <w:rPr>
          <w:rFonts w:ascii="Arial" w:hAnsi="Arial" w:cs="Arial"/>
          <w:b/>
          <w:bCs/>
          <w:sz w:val="32"/>
          <w:szCs w:val="32"/>
        </w:rPr>
        <w:t xml:space="preserve">1.0 </w:t>
      </w:r>
      <w:r w:rsidR="00BC55CF" w:rsidRPr="00E80634">
        <w:rPr>
          <w:rFonts w:ascii="Arial" w:hAnsi="Arial" w:cs="Arial"/>
          <w:b/>
          <w:bCs/>
          <w:sz w:val="32"/>
          <w:szCs w:val="32"/>
        </w:rPr>
        <w:t>Purpose</w:t>
      </w:r>
      <w:bookmarkEnd w:id="0"/>
    </w:p>
    <w:p w14:paraId="66C67583" w14:textId="5EC6AE71" w:rsidR="003E37AF" w:rsidRPr="00E80634" w:rsidRDefault="003E37AF" w:rsidP="000E040B">
      <w:pPr>
        <w:spacing w:before="120" w:after="120" w:line="240" w:lineRule="auto"/>
        <w:rPr>
          <w:rFonts w:ascii="Arial" w:hAnsi="Arial" w:cs="Arial"/>
          <w:sz w:val="22"/>
          <w:shd w:val="clear" w:color="auto" w:fill="FFFFFF"/>
        </w:rPr>
      </w:pPr>
      <w:r w:rsidRPr="00E80634">
        <w:rPr>
          <w:rFonts w:ascii="Arial" w:hAnsi="Arial" w:cs="Arial"/>
          <w:sz w:val="22"/>
          <w:shd w:val="clear" w:color="auto" w:fill="FFFFFF"/>
        </w:rPr>
        <w:t xml:space="preserve">This </w:t>
      </w:r>
      <w:r w:rsidR="00ED3DBE">
        <w:rPr>
          <w:rFonts w:ascii="Arial" w:hAnsi="Arial" w:cs="Arial"/>
          <w:sz w:val="22"/>
          <w:shd w:val="clear" w:color="auto" w:fill="FFFFFF"/>
        </w:rPr>
        <w:t>P</w:t>
      </w:r>
      <w:r w:rsidRPr="00E80634">
        <w:rPr>
          <w:rFonts w:ascii="Arial" w:hAnsi="Arial" w:cs="Arial"/>
          <w:sz w:val="22"/>
          <w:shd w:val="clear" w:color="auto" w:fill="FFFFFF"/>
        </w:rPr>
        <w:t>olicy provides a quality assurance framework that ensures effective curriculum planning, and effective design and delivery of the University’s programs and courses.</w:t>
      </w:r>
    </w:p>
    <w:p w14:paraId="65297E40" w14:textId="61DFADD6" w:rsidR="00F97A5A" w:rsidRPr="00E80634" w:rsidRDefault="00902125" w:rsidP="000E040B">
      <w:pPr>
        <w:pStyle w:val="Heading2"/>
        <w:spacing w:before="120" w:line="240" w:lineRule="auto"/>
        <w:rPr>
          <w:rFonts w:ascii="Arial" w:hAnsi="Arial" w:cs="Arial"/>
          <w:b/>
          <w:bCs/>
          <w:sz w:val="32"/>
          <w:szCs w:val="32"/>
        </w:rPr>
      </w:pPr>
      <w:bookmarkStart w:id="1" w:name="_Ref20318879"/>
      <w:r w:rsidRPr="00E80634">
        <w:rPr>
          <w:rFonts w:ascii="Arial" w:hAnsi="Arial" w:cs="Arial"/>
          <w:b/>
          <w:bCs/>
          <w:sz w:val="32"/>
          <w:szCs w:val="32"/>
        </w:rPr>
        <w:t xml:space="preserve">2.0 </w:t>
      </w:r>
      <w:r w:rsidR="00F97A5A" w:rsidRPr="00E80634">
        <w:rPr>
          <w:rFonts w:ascii="Arial" w:hAnsi="Arial" w:cs="Arial"/>
          <w:b/>
          <w:bCs/>
          <w:sz w:val="32"/>
          <w:szCs w:val="32"/>
        </w:rPr>
        <w:t>Scope</w:t>
      </w:r>
      <w:bookmarkEnd w:id="1"/>
    </w:p>
    <w:p w14:paraId="72DACF9C" w14:textId="36287A93" w:rsidR="00823301" w:rsidRPr="00E80634" w:rsidRDefault="003E37AF" w:rsidP="000E040B">
      <w:pPr>
        <w:spacing w:before="120" w:after="120" w:line="240" w:lineRule="auto"/>
        <w:rPr>
          <w:rFonts w:ascii="Arial" w:hAnsi="Arial" w:cs="Arial"/>
          <w:color w:val="000000"/>
          <w:spacing w:val="2"/>
          <w:sz w:val="22"/>
          <w:shd w:val="clear" w:color="auto" w:fill="FFFFFF"/>
        </w:rPr>
      </w:pPr>
      <w:r w:rsidRPr="00E80634">
        <w:rPr>
          <w:rFonts w:ascii="Arial" w:hAnsi="Arial" w:cs="Arial"/>
          <w:color w:val="000000"/>
          <w:spacing w:val="2"/>
          <w:sz w:val="22"/>
          <w:shd w:val="clear" w:color="auto" w:fill="FFFFFF"/>
        </w:rPr>
        <w:t xml:space="preserve">The University self-accredits programs of study that lead to higher education awards. This policy applies to all programs and courses including award programs, courses, </w:t>
      </w:r>
      <w:r w:rsidR="00791177" w:rsidRPr="00E80634">
        <w:rPr>
          <w:rFonts w:ascii="Arial" w:hAnsi="Arial" w:cs="Arial"/>
          <w:color w:val="000000"/>
          <w:spacing w:val="2"/>
          <w:sz w:val="22"/>
          <w:shd w:val="clear" w:color="auto" w:fill="FFFFFF"/>
        </w:rPr>
        <w:t xml:space="preserve">and non-award programs, including </w:t>
      </w:r>
      <w:r w:rsidRPr="00E80634">
        <w:rPr>
          <w:rFonts w:ascii="Arial" w:hAnsi="Arial" w:cs="Arial"/>
          <w:color w:val="000000"/>
          <w:spacing w:val="2"/>
          <w:sz w:val="22"/>
          <w:shd w:val="clear" w:color="auto" w:fill="FFFFFF"/>
        </w:rPr>
        <w:t xml:space="preserve">micro-credentials. </w:t>
      </w:r>
      <w:r w:rsidR="00823301" w:rsidRPr="00E80634">
        <w:rPr>
          <w:rFonts w:ascii="Arial" w:hAnsi="Arial" w:cs="Arial"/>
          <w:color w:val="000000"/>
          <w:spacing w:val="2"/>
          <w:sz w:val="22"/>
          <w:shd w:val="clear" w:color="auto" w:fill="FFFFFF"/>
        </w:rPr>
        <w:t xml:space="preserve"> </w:t>
      </w:r>
    </w:p>
    <w:p w14:paraId="796312C1" w14:textId="51086776" w:rsidR="00AF4E9D" w:rsidRPr="00E80634" w:rsidRDefault="00AF4E9D" w:rsidP="000E040B">
      <w:pPr>
        <w:pStyle w:val="Heading2"/>
        <w:spacing w:before="120" w:line="240" w:lineRule="auto"/>
        <w:rPr>
          <w:rFonts w:ascii="Arial" w:hAnsi="Arial" w:cs="Arial"/>
          <w:b/>
          <w:bCs/>
          <w:sz w:val="32"/>
          <w:szCs w:val="32"/>
        </w:rPr>
      </w:pPr>
      <w:bookmarkStart w:id="2" w:name="_3.0_Policy_statement"/>
      <w:bookmarkEnd w:id="2"/>
      <w:r w:rsidRPr="00E80634">
        <w:rPr>
          <w:rFonts w:ascii="Arial" w:hAnsi="Arial" w:cs="Arial"/>
          <w:b/>
          <w:bCs/>
          <w:sz w:val="32"/>
          <w:szCs w:val="32"/>
        </w:rPr>
        <w:t>3.0 Policy statement</w:t>
      </w:r>
    </w:p>
    <w:p w14:paraId="6234C937" w14:textId="5441BFAC" w:rsidR="00AF6AEC" w:rsidRPr="00E80634" w:rsidRDefault="003E37AF" w:rsidP="000E040B">
      <w:pPr>
        <w:spacing w:before="120" w:after="120" w:line="240" w:lineRule="auto"/>
        <w:rPr>
          <w:rFonts w:ascii="Arial" w:hAnsi="Arial" w:cs="Arial"/>
          <w:sz w:val="22"/>
        </w:rPr>
      </w:pPr>
      <w:r w:rsidRPr="00E80634">
        <w:rPr>
          <w:rFonts w:ascii="Arial" w:hAnsi="Arial" w:cs="Arial"/>
          <w:sz w:val="22"/>
        </w:rPr>
        <w:t>Griffith’s approach to the design, approval, delivery and review of programs and courses is guided by the Framework for Quality Assurance and the following principles:</w:t>
      </w:r>
    </w:p>
    <w:p w14:paraId="60699F4A" w14:textId="77777777" w:rsidR="00AF6AEC" w:rsidRPr="00E80634" w:rsidRDefault="003E37AF" w:rsidP="000E040B">
      <w:pPr>
        <w:pStyle w:val="ListParagraph"/>
        <w:numPr>
          <w:ilvl w:val="0"/>
          <w:numId w:val="37"/>
        </w:numPr>
        <w:spacing w:before="120" w:after="120" w:line="240" w:lineRule="auto"/>
        <w:ind w:left="567" w:hanging="283"/>
        <w:rPr>
          <w:rFonts w:ascii="Arial" w:hAnsi="Arial" w:cs="Arial"/>
          <w:sz w:val="22"/>
        </w:rPr>
      </w:pPr>
      <w:r w:rsidRPr="00E80634">
        <w:rPr>
          <w:rFonts w:ascii="Arial" w:hAnsi="Arial" w:cs="Arial"/>
          <w:color w:val="000000" w:themeColor="text1"/>
          <w:sz w:val="22"/>
        </w:rPr>
        <w:t>Programs and courses will be consistent with the requirements of the Higher Education Standards Framework (Threshold Standards) 2021 and the Australian Qualifications Framework 2013.</w:t>
      </w:r>
    </w:p>
    <w:p w14:paraId="4C0C63E6" w14:textId="77777777" w:rsidR="00AF6AEC" w:rsidRPr="00E80634" w:rsidRDefault="003E37AF" w:rsidP="000E040B">
      <w:pPr>
        <w:pStyle w:val="ListParagraph"/>
        <w:numPr>
          <w:ilvl w:val="0"/>
          <w:numId w:val="37"/>
        </w:numPr>
        <w:spacing w:before="120" w:after="120" w:line="240" w:lineRule="auto"/>
        <w:ind w:left="567" w:hanging="283"/>
        <w:rPr>
          <w:rFonts w:ascii="Arial" w:hAnsi="Arial" w:cs="Arial"/>
          <w:sz w:val="22"/>
        </w:rPr>
      </w:pPr>
      <w:r w:rsidRPr="00E80634">
        <w:rPr>
          <w:rFonts w:ascii="Arial" w:hAnsi="Arial" w:cs="Arial"/>
          <w:color w:val="000000" w:themeColor="text1"/>
          <w:sz w:val="22"/>
        </w:rPr>
        <w:t>Programs and courses will align with and support the achievement of the University’s Strategic Plan, the Academic Plan, the Research and Innovation Plan, and the strategic goals set by Program Strategy Board.</w:t>
      </w:r>
    </w:p>
    <w:p w14:paraId="1138D227" w14:textId="77777777" w:rsidR="00AF6AEC" w:rsidRPr="00E80634" w:rsidRDefault="003E37AF" w:rsidP="000E040B">
      <w:pPr>
        <w:pStyle w:val="ListParagraph"/>
        <w:numPr>
          <w:ilvl w:val="0"/>
          <w:numId w:val="37"/>
        </w:numPr>
        <w:spacing w:before="120" w:after="120" w:line="240" w:lineRule="auto"/>
        <w:ind w:left="567" w:hanging="283"/>
        <w:rPr>
          <w:rFonts w:ascii="Arial" w:hAnsi="Arial" w:cs="Arial"/>
          <w:sz w:val="22"/>
        </w:rPr>
      </w:pPr>
      <w:r w:rsidRPr="00E80634">
        <w:rPr>
          <w:rFonts w:ascii="Arial" w:hAnsi="Arial" w:cs="Arial"/>
          <w:color w:val="000000" w:themeColor="text1"/>
          <w:sz w:val="22"/>
        </w:rPr>
        <w:t xml:space="preserve">Programs and courses will be consistent with other relevant policies and procedures identified in the Related Polices and Supporting Documents section. </w:t>
      </w:r>
    </w:p>
    <w:p w14:paraId="1BA5B6F6" w14:textId="77777777" w:rsidR="00AF6AEC" w:rsidRPr="00E80634" w:rsidRDefault="003E37AF" w:rsidP="000E040B">
      <w:pPr>
        <w:pStyle w:val="ListParagraph"/>
        <w:numPr>
          <w:ilvl w:val="0"/>
          <w:numId w:val="37"/>
        </w:numPr>
        <w:spacing w:before="120" w:after="120" w:line="240" w:lineRule="auto"/>
        <w:ind w:left="567" w:hanging="283"/>
        <w:rPr>
          <w:rFonts w:ascii="Arial" w:hAnsi="Arial" w:cs="Arial"/>
          <w:sz w:val="22"/>
        </w:rPr>
      </w:pPr>
      <w:r w:rsidRPr="00E80634">
        <w:rPr>
          <w:rFonts w:ascii="Arial" w:hAnsi="Arial" w:cs="Arial"/>
          <w:color w:val="000000" w:themeColor="text1"/>
          <w:sz w:val="22"/>
        </w:rPr>
        <w:t>Programs and courses will align with Griffith’s program and course design standards.</w:t>
      </w:r>
    </w:p>
    <w:p w14:paraId="74EF1AD1" w14:textId="77777777" w:rsidR="00AF6AEC" w:rsidRPr="00E80634" w:rsidRDefault="003E37AF" w:rsidP="000E040B">
      <w:pPr>
        <w:pStyle w:val="ListParagraph"/>
        <w:numPr>
          <w:ilvl w:val="0"/>
          <w:numId w:val="37"/>
        </w:numPr>
        <w:spacing w:before="120" w:after="120" w:line="240" w:lineRule="auto"/>
        <w:ind w:left="567" w:hanging="283"/>
        <w:rPr>
          <w:rFonts w:ascii="Arial" w:hAnsi="Arial" w:cs="Arial"/>
          <w:sz w:val="22"/>
        </w:rPr>
      </w:pPr>
      <w:r w:rsidRPr="00E80634">
        <w:rPr>
          <w:rFonts w:ascii="Arial" w:hAnsi="Arial" w:cs="Arial"/>
          <w:color w:val="000000" w:themeColor="text1"/>
          <w:sz w:val="22"/>
        </w:rPr>
        <w:t xml:space="preserve">Programs and courses will have a defined set of learning outcomes which align with the relevant Griffith Graduate </w:t>
      </w:r>
      <w:proofErr w:type="gramStart"/>
      <w:r w:rsidRPr="00E80634">
        <w:rPr>
          <w:rFonts w:ascii="Arial" w:hAnsi="Arial" w:cs="Arial"/>
          <w:color w:val="000000" w:themeColor="text1"/>
          <w:sz w:val="22"/>
        </w:rPr>
        <w:t>Attributes, and</w:t>
      </w:r>
      <w:proofErr w:type="gramEnd"/>
      <w:r w:rsidRPr="00E80634">
        <w:rPr>
          <w:rFonts w:ascii="Arial" w:hAnsi="Arial" w:cs="Arial"/>
          <w:color w:val="000000" w:themeColor="text1"/>
          <w:sz w:val="22"/>
        </w:rPr>
        <w:t xml:space="preserve"> achieve the learning outcomes appropriate to the qualification type.</w:t>
      </w:r>
    </w:p>
    <w:p w14:paraId="582610EF" w14:textId="77777777" w:rsidR="00AF6AEC" w:rsidRPr="00E80634" w:rsidRDefault="003E37AF" w:rsidP="000E040B">
      <w:pPr>
        <w:pStyle w:val="ListParagraph"/>
        <w:numPr>
          <w:ilvl w:val="0"/>
          <w:numId w:val="37"/>
        </w:numPr>
        <w:spacing w:before="120" w:after="120" w:line="240" w:lineRule="auto"/>
        <w:ind w:left="567" w:hanging="283"/>
        <w:rPr>
          <w:rFonts w:ascii="Arial" w:hAnsi="Arial" w:cs="Arial"/>
          <w:sz w:val="22"/>
        </w:rPr>
      </w:pPr>
      <w:r w:rsidRPr="00E80634">
        <w:rPr>
          <w:rFonts w:ascii="Arial" w:hAnsi="Arial" w:cs="Arial"/>
          <w:color w:val="000000" w:themeColor="text1"/>
          <w:sz w:val="22"/>
        </w:rPr>
        <w:t xml:space="preserve">Programs and courses will respond to data about student outcomes and student satisfaction. </w:t>
      </w:r>
    </w:p>
    <w:p w14:paraId="6EA4FD19" w14:textId="77777777" w:rsidR="00AF6AEC" w:rsidRPr="00E80634" w:rsidRDefault="003E37AF" w:rsidP="000E040B">
      <w:pPr>
        <w:pStyle w:val="ListParagraph"/>
        <w:numPr>
          <w:ilvl w:val="0"/>
          <w:numId w:val="37"/>
        </w:numPr>
        <w:spacing w:before="120" w:after="120" w:line="240" w:lineRule="auto"/>
        <w:ind w:left="567" w:hanging="283"/>
        <w:rPr>
          <w:rFonts w:ascii="Arial" w:hAnsi="Arial" w:cs="Arial"/>
          <w:sz w:val="22"/>
        </w:rPr>
      </w:pPr>
      <w:r w:rsidRPr="00E80634">
        <w:rPr>
          <w:rFonts w:ascii="Arial" w:hAnsi="Arial" w:cs="Arial"/>
          <w:color w:val="000000" w:themeColor="text1"/>
          <w:sz w:val="22"/>
        </w:rPr>
        <w:t>Programs and courses will respond to data about market position, competitor offerings, and market demand, to maintain relevance and currency.</w:t>
      </w:r>
    </w:p>
    <w:p w14:paraId="6492D727" w14:textId="77777777" w:rsidR="00AF6AEC" w:rsidRPr="00E80634" w:rsidRDefault="003E37AF" w:rsidP="000E040B">
      <w:pPr>
        <w:pStyle w:val="ListParagraph"/>
        <w:numPr>
          <w:ilvl w:val="0"/>
          <w:numId w:val="37"/>
        </w:numPr>
        <w:spacing w:before="120" w:after="120" w:line="240" w:lineRule="auto"/>
        <w:ind w:left="567" w:hanging="283"/>
        <w:rPr>
          <w:rFonts w:ascii="Arial" w:hAnsi="Arial" w:cs="Arial"/>
          <w:sz w:val="22"/>
        </w:rPr>
      </w:pPr>
      <w:r w:rsidRPr="00E80634">
        <w:rPr>
          <w:rFonts w:ascii="Arial" w:hAnsi="Arial" w:cs="Arial"/>
          <w:color w:val="000000" w:themeColor="text1"/>
          <w:sz w:val="22"/>
        </w:rPr>
        <w:t xml:space="preserve">Programs and courses will be developed in collaboration and consultation with industry, employers, </w:t>
      </w:r>
      <w:proofErr w:type="gramStart"/>
      <w:r w:rsidRPr="00E80634">
        <w:rPr>
          <w:rFonts w:ascii="Arial" w:hAnsi="Arial" w:cs="Arial"/>
          <w:color w:val="000000" w:themeColor="text1"/>
          <w:sz w:val="22"/>
        </w:rPr>
        <w:t>partners</w:t>
      </w:r>
      <w:proofErr w:type="gramEnd"/>
      <w:r w:rsidRPr="00E80634">
        <w:rPr>
          <w:rFonts w:ascii="Arial" w:hAnsi="Arial" w:cs="Arial"/>
          <w:color w:val="000000" w:themeColor="text1"/>
          <w:sz w:val="22"/>
        </w:rPr>
        <w:t xml:space="preserve"> and other stakeholders to ensure graduates have industry-relevant knowledge, capabilities and skills.</w:t>
      </w:r>
    </w:p>
    <w:p w14:paraId="1683E020" w14:textId="7B681FA4" w:rsidR="003E37AF" w:rsidRPr="00E80634" w:rsidRDefault="003E37AF" w:rsidP="000E040B">
      <w:pPr>
        <w:pStyle w:val="ListParagraph"/>
        <w:numPr>
          <w:ilvl w:val="0"/>
          <w:numId w:val="37"/>
        </w:numPr>
        <w:spacing w:before="120" w:after="120" w:line="240" w:lineRule="auto"/>
        <w:ind w:left="567" w:hanging="283"/>
        <w:rPr>
          <w:rFonts w:ascii="Arial" w:hAnsi="Arial" w:cs="Arial"/>
          <w:sz w:val="22"/>
        </w:rPr>
      </w:pPr>
      <w:r w:rsidRPr="00E80634">
        <w:rPr>
          <w:rFonts w:ascii="Arial" w:hAnsi="Arial" w:cs="Arial"/>
          <w:color w:val="000000" w:themeColor="text1"/>
          <w:sz w:val="22"/>
        </w:rPr>
        <w:t xml:space="preserve">The suite of programs and courses offered by Griffith will be financially sustainable. </w:t>
      </w:r>
    </w:p>
    <w:p w14:paraId="5C39FAF9" w14:textId="654BE96C" w:rsidR="003E37AF" w:rsidRPr="00E80634" w:rsidRDefault="003E37AF" w:rsidP="000E040B">
      <w:pPr>
        <w:pStyle w:val="Heading3"/>
        <w:numPr>
          <w:ilvl w:val="1"/>
          <w:numId w:val="33"/>
        </w:numPr>
        <w:spacing w:before="120" w:line="240" w:lineRule="auto"/>
        <w:ind w:left="993" w:hanging="426"/>
        <w:rPr>
          <w:rFonts w:ascii="Arial" w:hAnsi="Arial" w:cs="Arial"/>
          <w:b/>
          <w:bCs/>
          <w:sz w:val="28"/>
          <w:szCs w:val="28"/>
        </w:rPr>
      </w:pPr>
      <w:r w:rsidRPr="00E80634">
        <w:rPr>
          <w:rFonts w:ascii="Arial" w:hAnsi="Arial" w:cs="Arial"/>
          <w:b/>
          <w:bCs/>
          <w:sz w:val="28"/>
          <w:szCs w:val="28"/>
        </w:rPr>
        <w:t xml:space="preserve">Program and </w:t>
      </w:r>
      <w:r w:rsidR="005177EE" w:rsidRPr="00E80634">
        <w:rPr>
          <w:rFonts w:ascii="Arial" w:hAnsi="Arial" w:cs="Arial"/>
          <w:b/>
          <w:bCs/>
          <w:sz w:val="28"/>
          <w:szCs w:val="28"/>
        </w:rPr>
        <w:t>c</w:t>
      </w:r>
      <w:r w:rsidRPr="00E80634">
        <w:rPr>
          <w:rFonts w:ascii="Arial" w:hAnsi="Arial" w:cs="Arial"/>
          <w:b/>
          <w:bCs/>
          <w:sz w:val="28"/>
          <w:szCs w:val="28"/>
        </w:rPr>
        <w:t xml:space="preserve">ourse </w:t>
      </w:r>
      <w:r w:rsidR="005177EE" w:rsidRPr="00E80634">
        <w:rPr>
          <w:rFonts w:ascii="Arial" w:hAnsi="Arial" w:cs="Arial"/>
          <w:b/>
          <w:bCs/>
          <w:sz w:val="28"/>
          <w:szCs w:val="28"/>
        </w:rPr>
        <w:t>q</w:t>
      </w:r>
      <w:r w:rsidRPr="00E80634">
        <w:rPr>
          <w:rFonts w:ascii="Arial" w:hAnsi="Arial" w:cs="Arial"/>
          <w:b/>
          <w:bCs/>
          <w:sz w:val="28"/>
          <w:szCs w:val="28"/>
        </w:rPr>
        <w:t xml:space="preserve">uality </w:t>
      </w:r>
      <w:r w:rsidR="005177EE" w:rsidRPr="00E80634">
        <w:rPr>
          <w:rFonts w:ascii="Arial" w:hAnsi="Arial" w:cs="Arial"/>
          <w:b/>
          <w:bCs/>
          <w:sz w:val="28"/>
          <w:szCs w:val="28"/>
        </w:rPr>
        <w:t>a</w:t>
      </w:r>
      <w:r w:rsidRPr="00E80634">
        <w:rPr>
          <w:rFonts w:ascii="Arial" w:hAnsi="Arial" w:cs="Arial"/>
          <w:b/>
          <w:bCs/>
          <w:sz w:val="28"/>
          <w:szCs w:val="28"/>
        </w:rPr>
        <w:t xml:space="preserve">ssurance </w:t>
      </w:r>
      <w:r w:rsidR="005177EE" w:rsidRPr="00E80634">
        <w:rPr>
          <w:rFonts w:ascii="Arial" w:hAnsi="Arial" w:cs="Arial"/>
          <w:b/>
          <w:bCs/>
          <w:sz w:val="28"/>
          <w:szCs w:val="28"/>
        </w:rPr>
        <w:t>f</w:t>
      </w:r>
      <w:r w:rsidRPr="00E80634">
        <w:rPr>
          <w:rFonts w:ascii="Arial" w:hAnsi="Arial" w:cs="Arial"/>
          <w:b/>
          <w:bCs/>
          <w:sz w:val="28"/>
          <w:szCs w:val="28"/>
        </w:rPr>
        <w:t>ramework</w:t>
      </w:r>
    </w:p>
    <w:p w14:paraId="43247649" w14:textId="77777777" w:rsidR="00AF6AEC" w:rsidRPr="00E80634" w:rsidRDefault="003E37AF" w:rsidP="000E040B">
      <w:pPr>
        <w:spacing w:before="120" w:after="120" w:line="240" w:lineRule="auto"/>
        <w:ind w:left="567"/>
        <w:rPr>
          <w:rFonts w:ascii="Arial" w:hAnsi="Arial" w:cs="Arial"/>
          <w:sz w:val="22"/>
        </w:rPr>
      </w:pPr>
      <w:r w:rsidRPr="00E80634">
        <w:rPr>
          <w:rFonts w:ascii="Arial" w:hAnsi="Arial" w:cs="Arial"/>
          <w:sz w:val="22"/>
        </w:rPr>
        <w:t>The below framework provides an overview of Griffith’s approach to the strategic management, quality assurance and continuous improvement of its programs and courses.</w:t>
      </w:r>
    </w:p>
    <w:p w14:paraId="02F0196B" w14:textId="0D3D0D1A" w:rsidR="00F63133" w:rsidRPr="00E80634" w:rsidRDefault="003E37AF" w:rsidP="000E040B">
      <w:pPr>
        <w:pStyle w:val="ListParagraph"/>
        <w:numPr>
          <w:ilvl w:val="0"/>
          <w:numId w:val="38"/>
        </w:numPr>
        <w:spacing w:before="120" w:after="120" w:line="240" w:lineRule="auto"/>
        <w:ind w:left="851" w:hanging="284"/>
        <w:rPr>
          <w:rFonts w:ascii="Arial" w:hAnsi="Arial" w:cs="Arial"/>
          <w:sz w:val="22"/>
        </w:rPr>
      </w:pPr>
      <w:r w:rsidRPr="00E80634">
        <w:rPr>
          <w:rFonts w:ascii="Arial" w:hAnsi="Arial" w:cs="Arial"/>
          <w:b/>
          <w:bCs/>
          <w:color w:val="000000" w:themeColor="text1"/>
          <w:sz w:val="22"/>
        </w:rPr>
        <w:t>Strategic management of Griffith’s programs and courses</w:t>
      </w:r>
      <w:r w:rsidRPr="00E80634">
        <w:rPr>
          <w:rFonts w:ascii="Arial" w:hAnsi="Arial" w:cs="Arial"/>
          <w:color w:val="000000" w:themeColor="text1"/>
          <w:sz w:val="22"/>
        </w:rPr>
        <w:t xml:space="preserve"> – Griffith will ensure that its portfolio of programs and courses will support achievement of the University Strategic Plan and other relevant strategies. Program Strategy Board and Group Pro Vice Chancellors have primary responsibility for ensuring that the offer of programs and courses is strategically aligned, high quality and successful in the market. Programs Committee ensures that Griffith’s programs and </w:t>
      </w:r>
      <w:r w:rsidRPr="00E80634">
        <w:rPr>
          <w:rFonts w:ascii="Arial" w:hAnsi="Arial" w:cs="Arial"/>
          <w:color w:val="000000" w:themeColor="text1"/>
          <w:sz w:val="22"/>
        </w:rPr>
        <w:lastRenderedPageBreak/>
        <w:t>courses are academically rigorous, will achieve the specified learning outcomes, and provide a high-quality experience to students.</w:t>
      </w:r>
    </w:p>
    <w:p w14:paraId="0C9CA84C" w14:textId="0830E947" w:rsidR="006F4902" w:rsidRPr="00E80634" w:rsidRDefault="003E37AF" w:rsidP="000E040B">
      <w:pPr>
        <w:pStyle w:val="ListParagraph"/>
        <w:numPr>
          <w:ilvl w:val="0"/>
          <w:numId w:val="38"/>
        </w:numPr>
        <w:spacing w:before="120" w:after="120" w:line="240" w:lineRule="auto"/>
        <w:ind w:left="851" w:hanging="284"/>
        <w:rPr>
          <w:rFonts w:ascii="Arial" w:hAnsi="Arial" w:cs="Arial"/>
          <w:sz w:val="22"/>
        </w:rPr>
      </w:pPr>
      <w:r w:rsidRPr="00E80634">
        <w:rPr>
          <w:rFonts w:ascii="Arial" w:hAnsi="Arial" w:cs="Arial"/>
          <w:b/>
          <w:bCs/>
          <w:color w:val="000000" w:themeColor="text1"/>
          <w:sz w:val="22"/>
        </w:rPr>
        <w:t>Program development and approval</w:t>
      </w:r>
      <w:r w:rsidR="00ED3DBE">
        <w:rPr>
          <w:rFonts w:ascii="Arial" w:hAnsi="Arial" w:cs="Arial"/>
          <w:b/>
          <w:bCs/>
          <w:color w:val="000000" w:themeColor="text1"/>
          <w:sz w:val="22"/>
        </w:rPr>
        <w:t xml:space="preserve"> </w:t>
      </w:r>
      <w:r w:rsidRPr="00E80634">
        <w:rPr>
          <w:rFonts w:ascii="Arial" w:hAnsi="Arial" w:cs="Arial"/>
          <w:color w:val="000000" w:themeColor="text1"/>
          <w:sz w:val="22"/>
        </w:rPr>
        <w:t xml:space="preserve">– Griffith will ensure that program approval processes meet the requirements of self-accrediting providers under the Higher Education Standards Framework. This includes ensuring that all programs align with the requirements under the Australian Qualifications Framework. Griffith will also ensure rigorous quality assurance processes and independent academic oversight for the approval of new programs. The </w:t>
      </w:r>
      <w:r w:rsidR="00C33BD9" w:rsidRPr="00E80634">
        <w:rPr>
          <w:rFonts w:ascii="Arial" w:hAnsi="Arial" w:cs="Arial"/>
          <w:color w:val="000000" w:themeColor="text1"/>
          <w:sz w:val="22"/>
        </w:rPr>
        <w:t xml:space="preserve">Program Approval </w:t>
      </w:r>
      <w:r w:rsidRPr="00E80634">
        <w:rPr>
          <w:rFonts w:ascii="Arial" w:hAnsi="Arial" w:cs="Arial"/>
          <w:color w:val="000000" w:themeColor="text1"/>
          <w:sz w:val="22"/>
        </w:rPr>
        <w:t xml:space="preserve">Procedure details the approval processes for award and non-award coursework programs and Higher Degree by Research programs. This procedure ensures that new programs are strategically aligned, competitive and academically rigorous. </w:t>
      </w:r>
    </w:p>
    <w:p w14:paraId="2D5EB520" w14:textId="62C0595B" w:rsidR="006F4902" w:rsidRPr="00E80634" w:rsidRDefault="003E37AF" w:rsidP="000E040B">
      <w:pPr>
        <w:pStyle w:val="ListParagraph"/>
        <w:numPr>
          <w:ilvl w:val="0"/>
          <w:numId w:val="38"/>
        </w:numPr>
        <w:spacing w:before="120" w:after="120" w:line="240" w:lineRule="auto"/>
        <w:ind w:left="851" w:hanging="284"/>
        <w:rPr>
          <w:rFonts w:ascii="Arial" w:hAnsi="Arial" w:cs="Arial"/>
          <w:sz w:val="22"/>
        </w:rPr>
      </w:pPr>
      <w:r w:rsidRPr="00E80634">
        <w:rPr>
          <w:rFonts w:ascii="Arial" w:hAnsi="Arial" w:cs="Arial"/>
          <w:b/>
          <w:bCs/>
          <w:color w:val="000000" w:themeColor="text1"/>
          <w:sz w:val="22"/>
        </w:rPr>
        <w:t>Course development and approval</w:t>
      </w:r>
      <w:r w:rsidR="00ED3DBE">
        <w:rPr>
          <w:rFonts w:ascii="Arial" w:hAnsi="Arial" w:cs="Arial"/>
          <w:b/>
          <w:bCs/>
          <w:color w:val="000000" w:themeColor="text1"/>
          <w:sz w:val="22"/>
        </w:rPr>
        <w:t xml:space="preserve"> </w:t>
      </w:r>
      <w:r w:rsidRPr="00E80634">
        <w:rPr>
          <w:rFonts w:ascii="Arial" w:hAnsi="Arial" w:cs="Arial"/>
          <w:color w:val="000000" w:themeColor="text1"/>
          <w:sz w:val="22"/>
        </w:rPr>
        <w:t xml:space="preserve">– Griffith will ensure that its courses reflect best practice in curriculum design, </w:t>
      </w:r>
      <w:proofErr w:type="gramStart"/>
      <w:r w:rsidRPr="00E80634">
        <w:rPr>
          <w:rFonts w:ascii="Arial" w:hAnsi="Arial" w:cs="Arial"/>
          <w:color w:val="000000" w:themeColor="text1"/>
          <w:sz w:val="22"/>
        </w:rPr>
        <w:t>teaching</w:t>
      </w:r>
      <w:proofErr w:type="gramEnd"/>
      <w:r w:rsidRPr="00E80634">
        <w:rPr>
          <w:rFonts w:ascii="Arial" w:hAnsi="Arial" w:cs="Arial"/>
          <w:color w:val="000000" w:themeColor="text1"/>
          <w:sz w:val="22"/>
        </w:rPr>
        <w:t xml:space="preserve"> and assessment. The approval of new courses and changes to existing courses provide opportunities for peer review of a course’s curriculum, pedagogy, and assessment. The processes for the approval of new courses and changes to courses are detailed in the </w:t>
      </w:r>
      <w:r w:rsidR="00284B6F" w:rsidRPr="00E80634">
        <w:rPr>
          <w:rFonts w:ascii="Arial" w:hAnsi="Arial" w:cs="Arial"/>
          <w:color w:val="000000" w:themeColor="text1"/>
          <w:sz w:val="22"/>
        </w:rPr>
        <w:t xml:space="preserve">Course Approval </w:t>
      </w:r>
      <w:r w:rsidRPr="00E80634">
        <w:rPr>
          <w:rFonts w:ascii="Arial" w:hAnsi="Arial" w:cs="Arial"/>
          <w:color w:val="000000" w:themeColor="text1"/>
          <w:sz w:val="22"/>
        </w:rPr>
        <w:t>Procedure.</w:t>
      </w:r>
    </w:p>
    <w:p w14:paraId="7194DAC5" w14:textId="46DB3656" w:rsidR="006F4902" w:rsidRPr="00E80634" w:rsidRDefault="003E37AF" w:rsidP="000E040B">
      <w:pPr>
        <w:pStyle w:val="ListParagraph"/>
        <w:numPr>
          <w:ilvl w:val="0"/>
          <w:numId w:val="38"/>
        </w:numPr>
        <w:spacing w:before="120" w:after="120" w:line="240" w:lineRule="auto"/>
        <w:ind w:left="851" w:hanging="284"/>
        <w:rPr>
          <w:rFonts w:ascii="Arial" w:hAnsi="Arial" w:cs="Arial"/>
          <w:sz w:val="22"/>
        </w:rPr>
      </w:pPr>
      <w:r w:rsidRPr="00E80634">
        <w:rPr>
          <w:rFonts w:ascii="Arial" w:hAnsi="Arial" w:cs="Arial"/>
          <w:b/>
          <w:bCs/>
          <w:color w:val="000000" w:themeColor="text1"/>
          <w:sz w:val="22"/>
        </w:rPr>
        <w:t>Micro</w:t>
      </w:r>
      <w:r w:rsidRPr="00E80634">
        <w:rPr>
          <w:rFonts w:ascii="Arial" w:eastAsiaTheme="minorEastAsia" w:hAnsi="Arial" w:cs="Arial"/>
          <w:b/>
          <w:bCs/>
          <w:color w:val="000000" w:themeColor="text1"/>
          <w:sz w:val="22"/>
        </w:rPr>
        <w:t>-credential development and approval</w:t>
      </w:r>
      <w:r w:rsidRPr="00E80634">
        <w:rPr>
          <w:rFonts w:ascii="Arial" w:eastAsiaTheme="minorEastAsia" w:hAnsi="Arial" w:cs="Arial"/>
          <w:color w:val="000000" w:themeColor="text1"/>
          <w:sz w:val="22"/>
        </w:rPr>
        <w:t xml:space="preserve"> </w:t>
      </w:r>
      <w:r w:rsidR="00ED3DBE" w:rsidRPr="00E80634">
        <w:rPr>
          <w:rFonts w:ascii="Arial" w:hAnsi="Arial" w:cs="Arial"/>
          <w:color w:val="000000" w:themeColor="text1"/>
          <w:sz w:val="22"/>
        </w:rPr>
        <w:t>–</w:t>
      </w:r>
      <w:r w:rsidR="00ED3DBE">
        <w:rPr>
          <w:rFonts w:ascii="Arial" w:hAnsi="Arial" w:cs="Arial"/>
          <w:color w:val="000000" w:themeColor="text1"/>
          <w:sz w:val="22"/>
        </w:rPr>
        <w:t xml:space="preserve"> </w:t>
      </w:r>
      <w:r w:rsidRPr="00E80634">
        <w:rPr>
          <w:rFonts w:ascii="Arial" w:hAnsi="Arial" w:cs="Arial"/>
          <w:color w:val="000000" w:themeColor="text1"/>
          <w:sz w:val="22"/>
        </w:rPr>
        <w:t xml:space="preserve">The processes for approving micro-credentials and digital badges (both award and non-award) are detailed in the </w:t>
      </w:r>
      <w:r w:rsidR="0028053E" w:rsidRPr="00E80634">
        <w:rPr>
          <w:rFonts w:ascii="Arial" w:hAnsi="Arial" w:cs="Arial"/>
          <w:color w:val="000000" w:themeColor="text1"/>
          <w:sz w:val="22"/>
        </w:rPr>
        <w:t>Micro-credential and Digital Badge Approval and Review Procedure</w:t>
      </w:r>
      <w:r w:rsidRPr="00E80634">
        <w:rPr>
          <w:rFonts w:ascii="Arial" w:hAnsi="Arial" w:cs="Arial"/>
          <w:color w:val="000000" w:themeColor="text1"/>
          <w:sz w:val="22"/>
        </w:rPr>
        <w:t>.</w:t>
      </w:r>
    </w:p>
    <w:p w14:paraId="5DEA96CD" w14:textId="4AA97EE1" w:rsidR="00F63133" w:rsidRPr="00E80634" w:rsidRDefault="003E37AF" w:rsidP="000E040B">
      <w:pPr>
        <w:pStyle w:val="ListParagraph"/>
        <w:numPr>
          <w:ilvl w:val="0"/>
          <w:numId w:val="38"/>
        </w:numPr>
        <w:spacing w:before="120" w:after="120" w:line="240" w:lineRule="auto"/>
        <w:ind w:left="851" w:hanging="284"/>
        <w:rPr>
          <w:rFonts w:ascii="Arial" w:hAnsi="Arial" w:cs="Arial"/>
          <w:sz w:val="22"/>
        </w:rPr>
      </w:pPr>
      <w:r w:rsidRPr="00E80634">
        <w:rPr>
          <w:rFonts w:ascii="Arial" w:hAnsi="Arial" w:cs="Arial"/>
          <w:b/>
          <w:bCs/>
          <w:color w:val="000000" w:themeColor="text1"/>
          <w:sz w:val="22"/>
        </w:rPr>
        <w:t>Program and course review and monitoring</w:t>
      </w:r>
      <w:r w:rsidRPr="00E80634">
        <w:rPr>
          <w:rFonts w:ascii="Arial" w:hAnsi="Arial" w:cs="Arial"/>
          <w:color w:val="000000" w:themeColor="text1"/>
          <w:sz w:val="22"/>
        </w:rPr>
        <w:t xml:space="preserve"> – Griffith will regularly monitor and review the performance of its programs and courses using robust data. Griffith will use the findings of these reviews to bring about improvements. As detailed in the</w:t>
      </w:r>
      <w:r w:rsidR="00271484" w:rsidRPr="00E80634">
        <w:rPr>
          <w:rFonts w:ascii="Arial" w:hAnsi="Arial" w:cs="Arial"/>
          <w:color w:val="000000" w:themeColor="text1"/>
          <w:sz w:val="22"/>
        </w:rPr>
        <w:t xml:space="preserve"> Program and Course Review</w:t>
      </w:r>
      <w:r w:rsidRPr="00E80634">
        <w:rPr>
          <w:rFonts w:ascii="Arial" w:hAnsi="Arial" w:cs="Arial"/>
          <w:color w:val="000000" w:themeColor="text1"/>
          <w:sz w:val="22"/>
        </w:rPr>
        <w:t xml:space="preserve"> Procedure</w:t>
      </w:r>
      <w:r w:rsidR="00EE0DB5" w:rsidRPr="00E80634">
        <w:rPr>
          <w:rFonts w:ascii="Arial" w:hAnsi="Arial" w:cs="Arial"/>
          <w:color w:val="000000" w:themeColor="text1"/>
          <w:sz w:val="22"/>
        </w:rPr>
        <w:t>,</w:t>
      </w:r>
      <w:r w:rsidRPr="00E80634">
        <w:rPr>
          <w:rFonts w:ascii="Arial" w:hAnsi="Arial" w:cs="Arial"/>
          <w:color w:val="000000" w:themeColor="text1"/>
          <w:sz w:val="22"/>
        </w:rPr>
        <w:t xml:space="preserve"> Griffith’s approach has the following features:</w:t>
      </w:r>
    </w:p>
    <w:p w14:paraId="309E6F6E" w14:textId="7F775939" w:rsidR="00F63133" w:rsidRPr="00E80634" w:rsidRDefault="003E37AF" w:rsidP="000E040B">
      <w:pPr>
        <w:pStyle w:val="ListParagraph"/>
        <w:numPr>
          <w:ilvl w:val="1"/>
          <w:numId w:val="36"/>
        </w:numPr>
        <w:spacing w:before="120" w:after="120" w:line="240" w:lineRule="auto"/>
        <w:ind w:left="1134" w:hanging="283"/>
        <w:rPr>
          <w:rFonts w:ascii="Arial" w:hAnsi="Arial" w:cs="Arial"/>
          <w:sz w:val="22"/>
        </w:rPr>
      </w:pPr>
      <w:r w:rsidRPr="00E80634">
        <w:rPr>
          <w:rFonts w:ascii="Arial" w:hAnsi="Arial" w:cs="Arial"/>
          <w:b/>
          <w:bCs/>
          <w:color w:val="000000" w:themeColor="text1"/>
          <w:sz w:val="22"/>
        </w:rPr>
        <w:t>An approach of continuous monitoring and improvement</w:t>
      </w:r>
      <w:r w:rsidRPr="00E80634">
        <w:rPr>
          <w:rFonts w:ascii="Arial" w:hAnsi="Arial" w:cs="Arial"/>
          <w:color w:val="000000" w:themeColor="text1"/>
          <w:sz w:val="22"/>
        </w:rPr>
        <w:t xml:space="preserve">, in which the findings of monitoring directly inform action including changes to programs and courses. The approach to approving changes to existing programs is detailed in the </w:t>
      </w:r>
      <w:r w:rsidR="00722957" w:rsidRPr="00E80634">
        <w:rPr>
          <w:rFonts w:ascii="Arial" w:hAnsi="Arial" w:cs="Arial"/>
          <w:color w:val="000000" w:themeColor="text1"/>
          <w:sz w:val="22"/>
        </w:rPr>
        <w:t xml:space="preserve">Program Approval </w:t>
      </w:r>
      <w:r w:rsidRPr="00E80634">
        <w:rPr>
          <w:rFonts w:ascii="Arial" w:hAnsi="Arial" w:cs="Arial"/>
          <w:color w:val="000000" w:themeColor="text1"/>
          <w:sz w:val="22"/>
        </w:rPr>
        <w:t>Procedure. The approach to approving changes to courses is detailed in the</w:t>
      </w:r>
      <w:r w:rsidR="00722957" w:rsidRPr="00E80634">
        <w:rPr>
          <w:rFonts w:ascii="Arial" w:hAnsi="Arial" w:cs="Arial"/>
          <w:color w:val="000000" w:themeColor="text1"/>
          <w:sz w:val="22"/>
        </w:rPr>
        <w:t xml:space="preserve"> Course Approval</w:t>
      </w:r>
      <w:r w:rsidRPr="00E80634">
        <w:rPr>
          <w:rFonts w:ascii="Arial" w:hAnsi="Arial" w:cs="Arial"/>
          <w:color w:val="000000" w:themeColor="text1"/>
          <w:sz w:val="22"/>
        </w:rPr>
        <w:t xml:space="preserve"> Procedure. </w:t>
      </w:r>
    </w:p>
    <w:p w14:paraId="5881CC9C" w14:textId="77777777" w:rsidR="00F63133" w:rsidRPr="00E80634" w:rsidRDefault="003E37AF" w:rsidP="000E040B">
      <w:pPr>
        <w:pStyle w:val="ListParagraph"/>
        <w:numPr>
          <w:ilvl w:val="1"/>
          <w:numId w:val="36"/>
        </w:numPr>
        <w:spacing w:before="120" w:after="120" w:line="240" w:lineRule="auto"/>
        <w:ind w:left="1134" w:hanging="283"/>
        <w:rPr>
          <w:rFonts w:ascii="Arial" w:hAnsi="Arial" w:cs="Arial"/>
          <w:sz w:val="22"/>
        </w:rPr>
      </w:pPr>
      <w:r w:rsidRPr="00E80634">
        <w:rPr>
          <w:rFonts w:ascii="Arial" w:hAnsi="Arial" w:cs="Arial"/>
          <w:b/>
          <w:bCs/>
          <w:color w:val="000000" w:themeColor="text1"/>
          <w:sz w:val="22"/>
        </w:rPr>
        <w:t xml:space="preserve">The use of the Student Experience of Courses and Teaching Survey </w:t>
      </w:r>
      <w:r w:rsidRPr="00E80634">
        <w:rPr>
          <w:rFonts w:ascii="Arial" w:hAnsi="Arial" w:cs="Arial"/>
          <w:color w:val="000000" w:themeColor="text1"/>
          <w:sz w:val="22"/>
        </w:rPr>
        <w:t>to collect feedback on courses and teaching from students. Data from survey instruments that measure teaching quality and the student experience in their courses is used to inform the continuous improvement process of learning and teaching at Griffith.</w:t>
      </w:r>
    </w:p>
    <w:p w14:paraId="2AED0228" w14:textId="368341F0" w:rsidR="00F63133" w:rsidRPr="00E80634" w:rsidRDefault="003E37AF" w:rsidP="000E040B">
      <w:pPr>
        <w:pStyle w:val="ListParagraph"/>
        <w:numPr>
          <w:ilvl w:val="1"/>
          <w:numId w:val="36"/>
        </w:numPr>
        <w:spacing w:before="120" w:after="120" w:line="240" w:lineRule="auto"/>
        <w:ind w:left="1134" w:hanging="283"/>
        <w:rPr>
          <w:rFonts w:ascii="Arial" w:hAnsi="Arial" w:cs="Arial"/>
          <w:sz w:val="22"/>
        </w:rPr>
      </w:pPr>
      <w:r w:rsidRPr="00E80634">
        <w:rPr>
          <w:rFonts w:ascii="Arial" w:hAnsi="Arial" w:cs="Arial"/>
          <w:b/>
          <w:bCs/>
          <w:color w:val="000000" w:themeColor="text1"/>
          <w:sz w:val="22"/>
        </w:rPr>
        <w:t>Ongoing curriculum tracking</w:t>
      </w:r>
      <w:r w:rsidR="00ED3DBE">
        <w:rPr>
          <w:rFonts w:ascii="Arial" w:hAnsi="Arial" w:cs="Arial"/>
          <w:b/>
          <w:bCs/>
          <w:color w:val="000000" w:themeColor="text1"/>
          <w:sz w:val="22"/>
        </w:rPr>
        <w:t xml:space="preserve"> </w:t>
      </w:r>
      <w:r w:rsidR="00ED3DBE" w:rsidRPr="00E80634">
        <w:rPr>
          <w:rFonts w:ascii="Arial" w:hAnsi="Arial" w:cs="Arial"/>
          <w:color w:val="000000" w:themeColor="text1"/>
          <w:sz w:val="22"/>
        </w:rPr>
        <w:t>–</w:t>
      </w:r>
      <w:r w:rsidRPr="00E80634">
        <w:rPr>
          <w:rFonts w:ascii="Arial" w:hAnsi="Arial" w:cs="Arial"/>
          <w:color w:val="000000" w:themeColor="text1"/>
          <w:sz w:val="22"/>
        </w:rPr>
        <w:t xml:space="preserve"> The University’s online course profile system contains information about how course content, teaching strategies, and assessment contribute to the course’s learning outcomes. This enables tracking of moderation processes used in each course to assure the consistency and comparability of student achievement outcomes across campuses, over time and with cognate courses internal and external to the University.  </w:t>
      </w:r>
    </w:p>
    <w:p w14:paraId="16AD82D8" w14:textId="1154D7A2" w:rsidR="00F63133" w:rsidRPr="00E80634" w:rsidRDefault="003E37AF" w:rsidP="000E040B">
      <w:pPr>
        <w:pStyle w:val="ListParagraph"/>
        <w:numPr>
          <w:ilvl w:val="1"/>
          <w:numId w:val="36"/>
        </w:numPr>
        <w:spacing w:before="120" w:after="120" w:line="240" w:lineRule="auto"/>
        <w:ind w:left="1134" w:hanging="283"/>
        <w:rPr>
          <w:rFonts w:ascii="Arial" w:hAnsi="Arial" w:cs="Arial"/>
          <w:sz w:val="22"/>
        </w:rPr>
      </w:pPr>
      <w:r w:rsidRPr="00E80634">
        <w:rPr>
          <w:rFonts w:ascii="Arial" w:hAnsi="Arial" w:cs="Arial"/>
          <w:b/>
          <w:bCs/>
          <w:color w:val="000000" w:themeColor="text1"/>
          <w:sz w:val="22"/>
        </w:rPr>
        <w:t>All programs undergoing in-depth review at least every 7 years</w:t>
      </w:r>
      <w:r w:rsidRPr="00E80634">
        <w:rPr>
          <w:rFonts w:ascii="Arial" w:hAnsi="Arial" w:cs="Arial"/>
          <w:color w:val="000000" w:themeColor="text1"/>
          <w:sz w:val="22"/>
        </w:rPr>
        <w:t xml:space="preserve"> and these reviews considering the academic rigour, student outcomes, feedback from students and external benchmarking. </w:t>
      </w:r>
    </w:p>
    <w:p w14:paraId="736E7A27" w14:textId="0C36397D" w:rsidR="00F63133" w:rsidRPr="00E80634" w:rsidRDefault="003E37AF" w:rsidP="000E040B">
      <w:pPr>
        <w:pStyle w:val="ListParagraph"/>
        <w:numPr>
          <w:ilvl w:val="0"/>
          <w:numId w:val="38"/>
        </w:numPr>
        <w:spacing w:before="120" w:after="120" w:line="240" w:lineRule="auto"/>
        <w:ind w:left="851" w:hanging="284"/>
        <w:rPr>
          <w:rFonts w:ascii="Arial" w:hAnsi="Arial" w:cs="Arial"/>
          <w:sz w:val="22"/>
        </w:rPr>
      </w:pPr>
      <w:r w:rsidRPr="00E80634">
        <w:rPr>
          <w:rFonts w:ascii="Arial" w:hAnsi="Arial" w:cs="Arial"/>
          <w:b/>
          <w:bCs/>
          <w:color w:val="000000" w:themeColor="text1"/>
          <w:sz w:val="22"/>
        </w:rPr>
        <w:t>Program withdrawal</w:t>
      </w:r>
      <w:r w:rsidR="00ED3DBE">
        <w:rPr>
          <w:rFonts w:ascii="Arial" w:hAnsi="Arial" w:cs="Arial"/>
          <w:b/>
          <w:bCs/>
          <w:color w:val="000000" w:themeColor="text1"/>
          <w:sz w:val="22"/>
        </w:rPr>
        <w:t xml:space="preserve"> </w:t>
      </w:r>
      <w:r w:rsidR="00ED3DBE" w:rsidRPr="00E80634">
        <w:rPr>
          <w:rFonts w:ascii="Arial" w:hAnsi="Arial" w:cs="Arial"/>
          <w:color w:val="000000" w:themeColor="text1"/>
          <w:sz w:val="22"/>
        </w:rPr>
        <w:t>–</w:t>
      </w:r>
      <w:r w:rsidRPr="00E80634">
        <w:rPr>
          <w:rFonts w:ascii="Arial" w:hAnsi="Arial" w:cs="Arial"/>
          <w:color w:val="000000" w:themeColor="text1"/>
          <w:sz w:val="22"/>
        </w:rPr>
        <w:t xml:space="preserve"> Griffith may withdraw programs to ensure the program portfolio remains strategically aligned, relevant to student and employer needs, sustainable and competitive. Griffith ensures that where programs are being withdrawn appropriate teach-out plans are put in place to ensure all existing students can either complete the program of study, or transition to a mutually agreed program at no disadvantage. The </w:t>
      </w:r>
      <w:r w:rsidR="006970F7" w:rsidRPr="00E80634">
        <w:rPr>
          <w:rFonts w:ascii="Arial" w:hAnsi="Arial" w:cs="Arial"/>
          <w:color w:val="000000" w:themeColor="text1"/>
          <w:sz w:val="22"/>
        </w:rPr>
        <w:t xml:space="preserve">Program Approval </w:t>
      </w:r>
      <w:r w:rsidRPr="00E80634">
        <w:rPr>
          <w:rFonts w:ascii="Arial" w:hAnsi="Arial" w:cs="Arial"/>
          <w:color w:val="000000" w:themeColor="text1"/>
          <w:sz w:val="22"/>
        </w:rPr>
        <w:t xml:space="preserve">Procedure outlines Griffith’s approach to program withdrawal. </w:t>
      </w:r>
    </w:p>
    <w:p w14:paraId="65004D06" w14:textId="0BE0A717" w:rsidR="00915748" w:rsidRPr="00E80634" w:rsidRDefault="003E37AF" w:rsidP="000E040B">
      <w:pPr>
        <w:pStyle w:val="ListParagraph"/>
        <w:numPr>
          <w:ilvl w:val="0"/>
          <w:numId w:val="38"/>
        </w:numPr>
        <w:spacing w:before="120" w:after="120" w:line="240" w:lineRule="auto"/>
        <w:ind w:left="851" w:hanging="284"/>
        <w:rPr>
          <w:rFonts w:ascii="Arial" w:hAnsi="Arial" w:cs="Arial"/>
          <w:sz w:val="22"/>
        </w:rPr>
      </w:pPr>
      <w:r w:rsidRPr="00E80634">
        <w:rPr>
          <w:rFonts w:ascii="Arial" w:hAnsi="Arial" w:cs="Arial"/>
          <w:b/>
          <w:bCs/>
          <w:color w:val="000000" w:themeColor="text1"/>
          <w:sz w:val="22"/>
        </w:rPr>
        <w:t>Course withdrawal</w:t>
      </w:r>
      <w:r w:rsidR="00ED3DBE">
        <w:rPr>
          <w:rFonts w:ascii="Arial" w:hAnsi="Arial" w:cs="Arial"/>
          <w:color w:val="000000" w:themeColor="text1"/>
          <w:sz w:val="22"/>
        </w:rPr>
        <w:t xml:space="preserve"> </w:t>
      </w:r>
      <w:r w:rsidR="00ED3DBE" w:rsidRPr="00E80634">
        <w:rPr>
          <w:rFonts w:ascii="Arial" w:hAnsi="Arial" w:cs="Arial"/>
          <w:color w:val="000000" w:themeColor="text1"/>
          <w:sz w:val="22"/>
        </w:rPr>
        <w:t>–</w:t>
      </w:r>
      <w:r w:rsidRPr="00E80634">
        <w:rPr>
          <w:rFonts w:ascii="Arial" w:hAnsi="Arial" w:cs="Arial"/>
          <w:color w:val="000000" w:themeColor="text1"/>
          <w:sz w:val="22"/>
        </w:rPr>
        <w:t xml:space="preserve"> Griffith may withdraw courses to ensure that its course and the accompanying programs remain relevant to student and employer needs and achieve the required learning outcomes. The </w:t>
      </w:r>
      <w:r w:rsidR="006970F7" w:rsidRPr="00E80634">
        <w:rPr>
          <w:rFonts w:ascii="Arial" w:hAnsi="Arial" w:cs="Arial"/>
          <w:color w:val="000000" w:themeColor="text1"/>
          <w:sz w:val="22"/>
        </w:rPr>
        <w:t xml:space="preserve">Course Approval </w:t>
      </w:r>
      <w:r w:rsidRPr="00E80634">
        <w:rPr>
          <w:rFonts w:ascii="Arial" w:hAnsi="Arial" w:cs="Arial"/>
          <w:color w:val="000000" w:themeColor="text1"/>
          <w:sz w:val="22"/>
        </w:rPr>
        <w:t xml:space="preserve">Procedure outlines Griffith’s approach to course withdrawal.  </w:t>
      </w:r>
    </w:p>
    <w:p w14:paraId="3E4BCBD5" w14:textId="5EAFEA6B" w:rsidR="00915748" w:rsidRPr="00E80634" w:rsidRDefault="003E37AF" w:rsidP="000E040B">
      <w:pPr>
        <w:pStyle w:val="ListParagraph"/>
        <w:numPr>
          <w:ilvl w:val="0"/>
          <w:numId w:val="38"/>
        </w:numPr>
        <w:spacing w:before="120" w:after="120" w:line="240" w:lineRule="auto"/>
        <w:ind w:left="851" w:hanging="284"/>
        <w:rPr>
          <w:rFonts w:ascii="Arial" w:hAnsi="Arial" w:cs="Arial"/>
          <w:sz w:val="22"/>
        </w:rPr>
      </w:pPr>
      <w:r w:rsidRPr="00E80634">
        <w:rPr>
          <w:rFonts w:ascii="Arial" w:hAnsi="Arial" w:cs="Arial"/>
          <w:b/>
          <w:bCs/>
          <w:color w:val="000000" w:themeColor="text1"/>
          <w:sz w:val="22"/>
        </w:rPr>
        <w:t xml:space="preserve">Third party arrangements </w:t>
      </w:r>
      <w:r w:rsidRPr="00E80634">
        <w:rPr>
          <w:rFonts w:ascii="Arial" w:hAnsi="Arial" w:cs="Arial"/>
          <w:color w:val="000000" w:themeColor="text1"/>
          <w:sz w:val="22"/>
        </w:rPr>
        <w:t>– Griffith will ensure that programs and courses delivered under third party arrangements are consistent with all the requirements of the Higher Education Standards Framework and Griffith has robust quality assurance processes to ensure this compliance. Griffith ensure</w:t>
      </w:r>
      <w:r w:rsidR="00F63133" w:rsidRPr="00E80634">
        <w:rPr>
          <w:rFonts w:ascii="Arial" w:hAnsi="Arial" w:cs="Arial"/>
          <w:color w:val="000000" w:themeColor="text1"/>
          <w:sz w:val="22"/>
        </w:rPr>
        <w:t>s</w:t>
      </w:r>
      <w:r w:rsidRPr="00E80634">
        <w:rPr>
          <w:rFonts w:ascii="Arial" w:hAnsi="Arial" w:cs="Arial"/>
          <w:color w:val="000000" w:themeColor="text1"/>
          <w:sz w:val="22"/>
        </w:rPr>
        <w:t xml:space="preserve"> that </w:t>
      </w:r>
      <w:r w:rsidR="00F63133" w:rsidRPr="00E80634">
        <w:rPr>
          <w:rFonts w:ascii="Arial" w:hAnsi="Arial" w:cs="Arial"/>
          <w:color w:val="000000" w:themeColor="text1"/>
          <w:sz w:val="22"/>
        </w:rPr>
        <w:t>p</w:t>
      </w:r>
      <w:r w:rsidRPr="00E80634">
        <w:rPr>
          <w:rFonts w:ascii="Arial" w:hAnsi="Arial" w:cs="Arial"/>
          <w:color w:val="000000" w:themeColor="text1"/>
          <w:sz w:val="22"/>
        </w:rPr>
        <w:t xml:space="preserve">rograms and courses delivered under a third-party arrangement are consistent with relevant University policies and practices. </w:t>
      </w:r>
    </w:p>
    <w:p w14:paraId="4403FB37" w14:textId="51981FA9" w:rsidR="003E37AF" w:rsidRPr="00E80634" w:rsidRDefault="003E37AF" w:rsidP="000E040B">
      <w:pPr>
        <w:pStyle w:val="ListParagraph"/>
        <w:numPr>
          <w:ilvl w:val="0"/>
          <w:numId w:val="38"/>
        </w:numPr>
        <w:spacing w:before="120" w:after="120" w:line="240" w:lineRule="auto"/>
        <w:ind w:left="851" w:hanging="284"/>
        <w:rPr>
          <w:rFonts w:ascii="Arial" w:hAnsi="Arial" w:cs="Arial"/>
          <w:sz w:val="22"/>
        </w:rPr>
      </w:pPr>
      <w:r w:rsidRPr="00E80634">
        <w:rPr>
          <w:rFonts w:ascii="Arial" w:hAnsi="Arial" w:cs="Arial"/>
          <w:b/>
          <w:bCs/>
          <w:color w:val="000000" w:themeColor="text1"/>
          <w:sz w:val="22"/>
        </w:rPr>
        <w:lastRenderedPageBreak/>
        <w:t xml:space="preserve">Copyright </w:t>
      </w:r>
      <w:r w:rsidRPr="00E80634">
        <w:rPr>
          <w:rFonts w:ascii="Arial" w:eastAsiaTheme="minorEastAsia" w:hAnsi="Arial" w:cs="Arial"/>
          <w:color w:val="000000" w:themeColor="text1"/>
          <w:sz w:val="22"/>
        </w:rPr>
        <w:t xml:space="preserve">– The learning resources used in Griffith’s programs and courses will comply with the </w:t>
      </w:r>
      <w:r w:rsidRPr="00E80634">
        <w:rPr>
          <w:rFonts w:ascii="Arial" w:hAnsi="Arial" w:cs="Arial"/>
          <w:color w:val="000000" w:themeColor="text1"/>
          <w:sz w:val="22"/>
        </w:rPr>
        <w:t>requirements</w:t>
      </w:r>
      <w:r w:rsidRPr="00E80634">
        <w:rPr>
          <w:rFonts w:ascii="Arial" w:eastAsiaTheme="minorEastAsia" w:hAnsi="Arial" w:cs="Arial"/>
          <w:color w:val="000000" w:themeColor="text1"/>
          <w:sz w:val="22"/>
        </w:rPr>
        <w:t xml:space="preserve"> under the Copyright Act 1968 and requirements of other relevant legislation. </w:t>
      </w:r>
    </w:p>
    <w:p w14:paraId="35B37A56" w14:textId="397C8BC1" w:rsidR="00DA348D" w:rsidRPr="00E80634" w:rsidRDefault="00902125" w:rsidP="000E040B">
      <w:pPr>
        <w:pStyle w:val="Heading2"/>
        <w:spacing w:before="120" w:line="240" w:lineRule="auto"/>
        <w:rPr>
          <w:rFonts w:ascii="Arial" w:hAnsi="Arial" w:cs="Arial"/>
          <w:b/>
          <w:bCs/>
          <w:sz w:val="32"/>
          <w:szCs w:val="32"/>
        </w:rPr>
      </w:pPr>
      <w:bookmarkStart w:id="3" w:name="_Ref20320710"/>
      <w:bookmarkStart w:id="4" w:name="_Ref21613385"/>
      <w:r w:rsidRPr="00E80634">
        <w:rPr>
          <w:rFonts w:ascii="Arial" w:hAnsi="Arial" w:cs="Arial"/>
          <w:b/>
          <w:bCs/>
          <w:sz w:val="32"/>
          <w:szCs w:val="32"/>
        </w:rPr>
        <w:t xml:space="preserve">4.0 </w:t>
      </w:r>
      <w:r w:rsidR="00DA348D" w:rsidRPr="00E80634">
        <w:rPr>
          <w:rFonts w:ascii="Arial" w:hAnsi="Arial" w:cs="Arial"/>
          <w:b/>
          <w:bCs/>
          <w:sz w:val="32"/>
          <w:szCs w:val="32"/>
        </w:rPr>
        <w:t>Roles</w:t>
      </w:r>
      <w:r w:rsidR="00AB5659" w:rsidRPr="00E80634">
        <w:rPr>
          <w:rFonts w:ascii="Arial" w:hAnsi="Arial" w:cs="Arial"/>
          <w:b/>
          <w:bCs/>
          <w:sz w:val="32"/>
          <w:szCs w:val="32"/>
        </w:rPr>
        <w:t>,</w:t>
      </w:r>
      <w:r w:rsidR="00DA348D" w:rsidRPr="00E80634">
        <w:rPr>
          <w:rFonts w:ascii="Arial" w:hAnsi="Arial" w:cs="Arial"/>
          <w:b/>
          <w:bCs/>
          <w:sz w:val="32"/>
          <w:szCs w:val="32"/>
        </w:rPr>
        <w:t xml:space="preserve"> </w:t>
      </w:r>
      <w:proofErr w:type="gramStart"/>
      <w:r w:rsidR="00DA348D" w:rsidRPr="00E80634">
        <w:rPr>
          <w:rFonts w:ascii="Arial" w:hAnsi="Arial" w:cs="Arial"/>
          <w:b/>
          <w:bCs/>
          <w:sz w:val="32"/>
          <w:szCs w:val="32"/>
        </w:rPr>
        <w:t>responsibilities</w:t>
      </w:r>
      <w:bookmarkEnd w:id="3"/>
      <w:proofErr w:type="gramEnd"/>
      <w:r w:rsidR="00AB5659" w:rsidRPr="00E80634">
        <w:rPr>
          <w:rFonts w:ascii="Arial" w:hAnsi="Arial" w:cs="Arial"/>
          <w:b/>
          <w:bCs/>
          <w:sz w:val="32"/>
          <w:szCs w:val="32"/>
        </w:rPr>
        <w:t xml:space="preserve"> and delegations</w:t>
      </w:r>
      <w:bookmarkEnd w:id="4"/>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99"/>
        <w:gridCol w:w="7427"/>
      </w:tblGrid>
      <w:tr w:rsidR="00774DDD" w:rsidRPr="00E80634" w14:paraId="67A70FB1" w14:textId="77777777" w:rsidTr="00774DDD">
        <w:trPr>
          <w:trHeight w:val="454"/>
        </w:trPr>
        <w:tc>
          <w:tcPr>
            <w:tcW w:w="1438" w:type="pct"/>
            <w:shd w:val="clear" w:color="auto" w:fill="auto"/>
          </w:tcPr>
          <w:p w14:paraId="52A6B223" w14:textId="2A85552D" w:rsidR="003E37AF" w:rsidRPr="00E80634" w:rsidRDefault="00774DDD" w:rsidP="000E040B">
            <w:pPr>
              <w:spacing w:before="120" w:after="120" w:line="240" w:lineRule="auto"/>
              <w:rPr>
                <w:rFonts w:ascii="Arial" w:hAnsi="Arial" w:cs="Arial"/>
                <w:b/>
                <w:bCs/>
                <w:color w:val="000000" w:themeColor="text1"/>
                <w:sz w:val="24"/>
                <w:szCs w:val="24"/>
              </w:rPr>
            </w:pPr>
            <w:r w:rsidRPr="00E80634">
              <w:rPr>
                <w:rFonts w:ascii="Arial" w:hAnsi="Arial" w:cs="Arial"/>
                <w:b/>
                <w:bCs/>
                <w:color w:val="000000" w:themeColor="text1"/>
                <w:sz w:val="24"/>
                <w:szCs w:val="24"/>
              </w:rPr>
              <w:t xml:space="preserve">ROLE </w:t>
            </w:r>
          </w:p>
        </w:tc>
        <w:tc>
          <w:tcPr>
            <w:tcW w:w="3562" w:type="pct"/>
            <w:shd w:val="clear" w:color="auto" w:fill="auto"/>
          </w:tcPr>
          <w:p w14:paraId="600CD728" w14:textId="12958D44" w:rsidR="003E37AF" w:rsidRPr="00E80634" w:rsidRDefault="00774DDD" w:rsidP="000E040B">
            <w:pPr>
              <w:spacing w:before="120" w:after="120" w:line="240" w:lineRule="auto"/>
              <w:rPr>
                <w:rFonts w:ascii="Arial" w:hAnsi="Arial" w:cs="Arial"/>
                <w:color w:val="000000" w:themeColor="text1"/>
                <w:sz w:val="24"/>
                <w:szCs w:val="24"/>
              </w:rPr>
            </w:pPr>
            <w:r w:rsidRPr="00E80634">
              <w:rPr>
                <w:rFonts w:ascii="Arial" w:hAnsi="Arial" w:cs="Arial"/>
                <w:b/>
                <w:bCs/>
                <w:color w:val="000000" w:themeColor="text1"/>
                <w:sz w:val="24"/>
                <w:szCs w:val="24"/>
              </w:rPr>
              <w:t>RESPONSIBILITY</w:t>
            </w:r>
          </w:p>
        </w:tc>
      </w:tr>
      <w:tr w:rsidR="003E37AF" w:rsidRPr="00E80634" w14:paraId="348DA11A" w14:textId="77777777" w:rsidTr="00774DDD">
        <w:tc>
          <w:tcPr>
            <w:tcW w:w="1438" w:type="pct"/>
            <w:shd w:val="clear" w:color="auto" w:fill="auto"/>
          </w:tcPr>
          <w:p w14:paraId="0F11E44D" w14:textId="77777777" w:rsidR="003E37AF" w:rsidRPr="00E80634" w:rsidRDefault="003E37AF" w:rsidP="000E040B">
            <w:pPr>
              <w:spacing w:before="120" w:after="120" w:line="240" w:lineRule="auto"/>
              <w:rPr>
                <w:rFonts w:ascii="Arial" w:hAnsi="Arial" w:cs="Arial"/>
                <w:sz w:val="22"/>
              </w:rPr>
            </w:pPr>
            <w:r w:rsidRPr="00E80634">
              <w:rPr>
                <w:rFonts w:ascii="Arial" w:hAnsi="Arial" w:cs="Arial"/>
                <w:sz w:val="22"/>
              </w:rPr>
              <w:t>Program Strategy Board</w:t>
            </w:r>
          </w:p>
        </w:tc>
        <w:tc>
          <w:tcPr>
            <w:tcW w:w="3562" w:type="pct"/>
            <w:shd w:val="clear" w:color="auto" w:fill="auto"/>
          </w:tcPr>
          <w:p w14:paraId="3C702023" w14:textId="77777777" w:rsidR="003E37AF" w:rsidRPr="00E80634" w:rsidRDefault="003E37AF" w:rsidP="000E040B">
            <w:pPr>
              <w:spacing w:before="120" w:after="120" w:line="240" w:lineRule="auto"/>
              <w:rPr>
                <w:rFonts w:ascii="Arial" w:hAnsi="Arial" w:cs="Arial"/>
                <w:sz w:val="22"/>
              </w:rPr>
            </w:pPr>
            <w:r w:rsidRPr="00E80634">
              <w:rPr>
                <w:rFonts w:ascii="Arial" w:hAnsi="Arial" w:cs="Arial"/>
                <w:sz w:val="22"/>
              </w:rPr>
              <w:t xml:space="preserve">Program Strategy Board advises the Executive Group and Programs Committee on the strategic management and financial viability of programs. </w:t>
            </w:r>
          </w:p>
        </w:tc>
      </w:tr>
      <w:tr w:rsidR="003E37AF" w:rsidRPr="00E80634" w14:paraId="51DCB6E8" w14:textId="77777777" w:rsidTr="00774DDD">
        <w:tc>
          <w:tcPr>
            <w:tcW w:w="1438" w:type="pct"/>
            <w:shd w:val="clear" w:color="auto" w:fill="auto"/>
          </w:tcPr>
          <w:p w14:paraId="386A39BD" w14:textId="77777777" w:rsidR="003E37AF" w:rsidRPr="00E80634" w:rsidRDefault="003E37AF" w:rsidP="000E040B">
            <w:pPr>
              <w:spacing w:before="120" w:after="120" w:line="240" w:lineRule="auto"/>
              <w:rPr>
                <w:rFonts w:ascii="Arial" w:hAnsi="Arial" w:cs="Arial"/>
                <w:sz w:val="22"/>
              </w:rPr>
            </w:pPr>
            <w:r w:rsidRPr="00E80634">
              <w:rPr>
                <w:rFonts w:ascii="Arial" w:hAnsi="Arial" w:cs="Arial"/>
                <w:sz w:val="22"/>
              </w:rPr>
              <w:t>Programs Committee</w:t>
            </w:r>
          </w:p>
        </w:tc>
        <w:tc>
          <w:tcPr>
            <w:tcW w:w="3562" w:type="pct"/>
            <w:shd w:val="clear" w:color="auto" w:fill="auto"/>
          </w:tcPr>
          <w:p w14:paraId="5E35D296" w14:textId="77777777" w:rsidR="003E37AF" w:rsidRPr="00E80634" w:rsidRDefault="003E37AF" w:rsidP="000E040B">
            <w:pPr>
              <w:spacing w:before="120" w:after="120" w:line="240" w:lineRule="auto"/>
              <w:rPr>
                <w:rFonts w:ascii="Arial" w:hAnsi="Arial" w:cs="Arial"/>
                <w:sz w:val="22"/>
              </w:rPr>
            </w:pPr>
            <w:r w:rsidRPr="00E80634">
              <w:rPr>
                <w:rFonts w:ascii="Arial" w:hAnsi="Arial" w:cs="Arial"/>
                <w:sz w:val="22"/>
              </w:rPr>
              <w:t>Programs Committee advises Academic Committee on issues of educational policy or practices relating to the structure and requirements of the University's programs.</w:t>
            </w:r>
          </w:p>
        </w:tc>
      </w:tr>
      <w:tr w:rsidR="003E37AF" w:rsidRPr="00E80634" w14:paraId="01047DC6" w14:textId="77777777" w:rsidTr="00774DDD">
        <w:tc>
          <w:tcPr>
            <w:tcW w:w="1438" w:type="pct"/>
            <w:shd w:val="clear" w:color="auto" w:fill="auto"/>
          </w:tcPr>
          <w:p w14:paraId="1B61CA22" w14:textId="3D1A60C9" w:rsidR="003E37AF" w:rsidRPr="00E80634" w:rsidRDefault="0071307A" w:rsidP="000E040B">
            <w:pPr>
              <w:spacing w:before="120" w:after="120" w:line="240" w:lineRule="auto"/>
              <w:rPr>
                <w:rFonts w:ascii="Arial" w:hAnsi="Arial" w:cs="Arial"/>
                <w:sz w:val="22"/>
              </w:rPr>
            </w:pPr>
            <w:r>
              <w:rPr>
                <w:rFonts w:ascii="Arial" w:hAnsi="Arial" w:cs="Arial"/>
                <w:sz w:val="22"/>
              </w:rPr>
              <w:t>The B</w:t>
            </w:r>
            <w:r w:rsidR="003E37AF" w:rsidRPr="00E80634">
              <w:rPr>
                <w:rFonts w:ascii="Arial" w:hAnsi="Arial" w:cs="Arial"/>
                <w:sz w:val="22"/>
              </w:rPr>
              <w:t>oard of Graduate Research</w:t>
            </w:r>
          </w:p>
        </w:tc>
        <w:tc>
          <w:tcPr>
            <w:tcW w:w="3562" w:type="pct"/>
            <w:shd w:val="clear" w:color="auto" w:fill="auto"/>
          </w:tcPr>
          <w:p w14:paraId="11944AC1" w14:textId="170D5435" w:rsidR="003E37AF" w:rsidRPr="00E80634" w:rsidRDefault="0071307A" w:rsidP="000E040B">
            <w:pPr>
              <w:spacing w:before="120" w:after="120" w:line="240" w:lineRule="auto"/>
              <w:rPr>
                <w:rFonts w:ascii="Arial" w:hAnsi="Arial" w:cs="Arial"/>
                <w:sz w:val="22"/>
              </w:rPr>
            </w:pPr>
            <w:r>
              <w:rPr>
                <w:rFonts w:ascii="Arial" w:hAnsi="Arial" w:cs="Arial"/>
                <w:sz w:val="22"/>
              </w:rPr>
              <w:t>The B</w:t>
            </w:r>
            <w:r w:rsidR="003E37AF" w:rsidRPr="00E80634">
              <w:rPr>
                <w:rFonts w:ascii="Arial" w:hAnsi="Arial" w:cs="Arial"/>
                <w:sz w:val="22"/>
              </w:rPr>
              <w:t>oard of Graduate Research advises on strategic planning, policy, and quality assurance matters concerning higher degree by research (HDR) programs and candidature, research training and higher doctorate arrangements.</w:t>
            </w:r>
          </w:p>
        </w:tc>
      </w:tr>
      <w:tr w:rsidR="003E37AF" w:rsidRPr="00E80634" w14:paraId="1BC2CCB6" w14:textId="77777777" w:rsidTr="00774DDD">
        <w:tc>
          <w:tcPr>
            <w:tcW w:w="1438" w:type="pct"/>
            <w:tcBorders>
              <w:bottom w:val="single" w:sz="4" w:space="0" w:color="auto"/>
            </w:tcBorders>
            <w:shd w:val="clear" w:color="auto" w:fill="auto"/>
          </w:tcPr>
          <w:p w14:paraId="2459B620" w14:textId="77777777" w:rsidR="003E37AF" w:rsidRPr="00E80634" w:rsidRDefault="003E37AF" w:rsidP="000E040B">
            <w:pPr>
              <w:spacing w:before="120" w:after="120" w:line="240" w:lineRule="auto"/>
              <w:rPr>
                <w:rFonts w:ascii="Arial" w:hAnsi="Arial" w:cs="Arial"/>
                <w:sz w:val="22"/>
              </w:rPr>
            </w:pPr>
            <w:r w:rsidRPr="00E80634">
              <w:rPr>
                <w:rFonts w:ascii="Arial" w:hAnsi="Arial" w:cs="Arial"/>
                <w:sz w:val="22"/>
              </w:rPr>
              <w:t>Group Board</w:t>
            </w:r>
          </w:p>
        </w:tc>
        <w:tc>
          <w:tcPr>
            <w:tcW w:w="3562" w:type="pct"/>
            <w:tcBorders>
              <w:bottom w:val="single" w:sz="4" w:space="0" w:color="auto"/>
            </w:tcBorders>
            <w:shd w:val="clear" w:color="auto" w:fill="auto"/>
          </w:tcPr>
          <w:p w14:paraId="20ACAF03" w14:textId="77777777" w:rsidR="003E37AF" w:rsidRPr="00E80634" w:rsidRDefault="003E37AF" w:rsidP="000E040B">
            <w:pPr>
              <w:spacing w:before="120" w:after="120" w:line="240" w:lineRule="auto"/>
              <w:rPr>
                <w:rFonts w:ascii="Arial" w:hAnsi="Arial" w:cs="Arial"/>
                <w:sz w:val="22"/>
              </w:rPr>
            </w:pPr>
            <w:r w:rsidRPr="00E80634">
              <w:rPr>
                <w:rFonts w:ascii="Arial" w:hAnsi="Arial" w:cs="Arial"/>
                <w:sz w:val="22"/>
              </w:rPr>
              <w:t>Group Board provide advice and recommendations on the teaching and learning activities within the Group including recommendations for new programs to Programs Committee and advice on learning and teaching policy and practice.</w:t>
            </w:r>
          </w:p>
        </w:tc>
      </w:tr>
      <w:tr w:rsidR="003E37AF" w:rsidRPr="00E80634" w14:paraId="4B212F3D" w14:textId="77777777" w:rsidTr="00774DDD">
        <w:tc>
          <w:tcPr>
            <w:tcW w:w="1438" w:type="pct"/>
            <w:tcBorders>
              <w:top w:val="single" w:sz="4" w:space="0" w:color="auto"/>
              <w:bottom w:val="single" w:sz="4" w:space="0" w:color="auto"/>
            </w:tcBorders>
            <w:shd w:val="clear" w:color="auto" w:fill="auto"/>
          </w:tcPr>
          <w:p w14:paraId="1B34304F" w14:textId="77777777" w:rsidR="003E37AF" w:rsidRPr="00E80634" w:rsidRDefault="003E37AF" w:rsidP="000E040B">
            <w:pPr>
              <w:spacing w:before="120" w:after="120" w:line="240" w:lineRule="auto"/>
              <w:rPr>
                <w:rFonts w:ascii="Arial" w:hAnsi="Arial" w:cs="Arial"/>
                <w:sz w:val="22"/>
              </w:rPr>
            </w:pPr>
            <w:r w:rsidRPr="00E80634">
              <w:rPr>
                <w:rFonts w:ascii="Arial" w:hAnsi="Arial" w:cs="Arial"/>
                <w:sz w:val="22"/>
              </w:rPr>
              <w:t>University Learning and Teaching Committee</w:t>
            </w:r>
          </w:p>
        </w:tc>
        <w:tc>
          <w:tcPr>
            <w:tcW w:w="3562" w:type="pct"/>
            <w:tcBorders>
              <w:top w:val="single" w:sz="4" w:space="0" w:color="auto"/>
              <w:bottom w:val="single" w:sz="4" w:space="0" w:color="auto"/>
            </w:tcBorders>
            <w:shd w:val="clear" w:color="auto" w:fill="auto"/>
          </w:tcPr>
          <w:p w14:paraId="3C2DFBC9" w14:textId="77777777" w:rsidR="003E37AF" w:rsidRPr="00E80634" w:rsidRDefault="003E37AF" w:rsidP="000E040B">
            <w:pPr>
              <w:spacing w:before="120" w:after="120" w:line="240" w:lineRule="auto"/>
              <w:rPr>
                <w:rFonts w:ascii="Arial" w:hAnsi="Arial" w:cs="Arial"/>
                <w:sz w:val="22"/>
              </w:rPr>
            </w:pPr>
            <w:r w:rsidRPr="00E80634">
              <w:rPr>
                <w:rFonts w:ascii="Arial" w:hAnsi="Arial" w:cs="Arial"/>
                <w:sz w:val="22"/>
              </w:rPr>
              <w:t xml:space="preserve">Learning and Teaching Committee make recommendations to the Academic Committee on strategic planning, policy, and quality assurance issues in relation to learning, teaching, the student learning experience, and delivery of curricula. </w:t>
            </w:r>
          </w:p>
        </w:tc>
      </w:tr>
    </w:tbl>
    <w:p w14:paraId="34009791" w14:textId="31B5D2DE" w:rsidR="003E0B6D" w:rsidRPr="00E80634" w:rsidRDefault="00DA348D" w:rsidP="000E040B">
      <w:pPr>
        <w:pStyle w:val="Heading2"/>
        <w:spacing w:before="120" w:line="240" w:lineRule="auto"/>
        <w:rPr>
          <w:rFonts w:ascii="Arial" w:hAnsi="Arial" w:cs="Arial"/>
          <w:b/>
          <w:bCs/>
          <w:sz w:val="32"/>
          <w:szCs w:val="32"/>
        </w:rPr>
      </w:pPr>
      <w:bookmarkStart w:id="5" w:name="_Ref20320732"/>
      <w:r w:rsidRPr="00E80634">
        <w:rPr>
          <w:rFonts w:ascii="Arial" w:hAnsi="Arial" w:cs="Arial"/>
          <w:b/>
          <w:bCs/>
          <w:sz w:val="32"/>
          <w:szCs w:val="32"/>
        </w:rPr>
        <w:t>5</w:t>
      </w:r>
      <w:r w:rsidR="003E0B6D" w:rsidRPr="00E80634">
        <w:rPr>
          <w:rFonts w:ascii="Arial" w:hAnsi="Arial" w:cs="Arial"/>
          <w:b/>
          <w:bCs/>
          <w:sz w:val="32"/>
          <w:szCs w:val="32"/>
        </w:rPr>
        <w:t>.0 Definitions</w:t>
      </w:r>
      <w:bookmarkEnd w:id="5"/>
    </w:p>
    <w:p w14:paraId="04259F88" w14:textId="77777777" w:rsidR="00DF1FF6" w:rsidRPr="00E80634" w:rsidRDefault="00DF1FF6" w:rsidP="000E040B">
      <w:pPr>
        <w:spacing w:before="120" w:after="120" w:line="240" w:lineRule="auto"/>
        <w:rPr>
          <w:rFonts w:ascii="Arial" w:hAnsi="Arial" w:cs="Arial"/>
          <w:sz w:val="22"/>
        </w:rPr>
      </w:pPr>
      <w:r w:rsidRPr="00E80634">
        <w:rPr>
          <w:rFonts w:ascii="Arial" w:hAnsi="Arial" w:cs="Arial"/>
          <w:b/>
          <w:bCs/>
          <w:sz w:val="22"/>
        </w:rPr>
        <w:t xml:space="preserve">Award program </w:t>
      </w:r>
      <w:r w:rsidRPr="00E80634">
        <w:rPr>
          <w:rFonts w:ascii="Arial" w:hAnsi="Arial" w:cs="Arial"/>
          <w:sz w:val="22"/>
        </w:rPr>
        <w:t>is an approved course of study that leads to a qualification located at levels 5, 6, 7, 8, 9 or 10 of the Australian Qualifications Framework and meets the corresponding specifications (including the levels criteria and qualification type descriptors). </w:t>
      </w:r>
    </w:p>
    <w:p w14:paraId="49B6AEEA" w14:textId="77777777" w:rsidR="00383299" w:rsidRPr="00E80634" w:rsidRDefault="00383299" w:rsidP="000E040B">
      <w:pPr>
        <w:spacing w:before="120" w:after="120" w:line="240" w:lineRule="auto"/>
        <w:rPr>
          <w:rFonts w:ascii="Arial" w:eastAsia="Calibri" w:hAnsi="Arial" w:cs="Arial"/>
          <w:sz w:val="22"/>
        </w:rPr>
      </w:pPr>
      <w:r w:rsidRPr="00E80634">
        <w:rPr>
          <w:rFonts w:ascii="Arial" w:eastAsia="Calibri" w:hAnsi="Arial" w:cs="Arial"/>
          <w:b/>
          <w:sz w:val="22"/>
        </w:rPr>
        <w:t>Course</w:t>
      </w:r>
      <w:r w:rsidRPr="00E80634">
        <w:rPr>
          <w:rFonts w:ascii="Arial" w:eastAsia="Calibri" w:hAnsi="Arial" w:cs="Arial"/>
          <w:sz w:val="22"/>
        </w:rPr>
        <w:t xml:space="preserve"> </w:t>
      </w:r>
      <w:r w:rsidRPr="00E80634">
        <w:rPr>
          <w:rFonts w:ascii="Arial" w:hAnsi="Arial" w:cs="Arial"/>
          <w:sz w:val="22"/>
        </w:rPr>
        <w:t xml:space="preserve">refers to a component of a qualification, normally undertaken over a single trimester, in which the student enrols and on completion of which the student is awarded a grade, such grades appearing on a student’s academic transcript. Learning outcomes, assessment tasks and achievement standards are specified for each course appropriate to a level and qualification type. </w:t>
      </w:r>
    </w:p>
    <w:p w14:paraId="6638E21F" w14:textId="15CFCE42" w:rsidR="00875ECB" w:rsidRPr="00E80634" w:rsidRDefault="00875ECB" w:rsidP="000E040B">
      <w:pPr>
        <w:spacing w:before="120" w:after="120" w:line="240" w:lineRule="auto"/>
        <w:rPr>
          <w:rFonts w:ascii="Arial" w:eastAsia="Calibri" w:hAnsi="Arial" w:cs="Arial"/>
          <w:sz w:val="22"/>
        </w:rPr>
      </w:pPr>
      <w:r w:rsidRPr="00E80634">
        <w:rPr>
          <w:rFonts w:ascii="Arial" w:eastAsia="Calibri" w:hAnsi="Arial" w:cs="Arial"/>
          <w:b/>
          <w:sz w:val="22"/>
        </w:rPr>
        <w:t xml:space="preserve">Coursework </w:t>
      </w:r>
      <w:r w:rsidRPr="00E80634">
        <w:rPr>
          <w:rFonts w:ascii="Arial" w:hAnsi="Arial" w:cs="Arial"/>
          <w:sz w:val="22"/>
        </w:rPr>
        <w:t>is a method of teaching and learning that leads to the acquisition of skills and knowledge that does not include a major research component.</w:t>
      </w:r>
    </w:p>
    <w:p w14:paraId="0061256C" w14:textId="38FD3DCE" w:rsidR="00383299" w:rsidRPr="00E80634" w:rsidRDefault="00383299" w:rsidP="000E040B">
      <w:pPr>
        <w:spacing w:before="120" w:after="120" w:line="240" w:lineRule="auto"/>
        <w:rPr>
          <w:rFonts w:ascii="Arial" w:eastAsia="Calibri" w:hAnsi="Arial" w:cs="Arial"/>
          <w:sz w:val="22"/>
        </w:rPr>
      </w:pPr>
      <w:r w:rsidRPr="00E80634">
        <w:rPr>
          <w:rFonts w:ascii="Arial" w:eastAsia="Calibri" w:hAnsi="Arial" w:cs="Arial"/>
          <w:b/>
          <w:sz w:val="22"/>
        </w:rPr>
        <w:t>Course profile</w:t>
      </w:r>
      <w:r w:rsidRPr="00E80634">
        <w:rPr>
          <w:rFonts w:ascii="Arial" w:eastAsia="Calibri" w:hAnsi="Arial" w:cs="Arial"/>
          <w:sz w:val="22"/>
        </w:rPr>
        <w:t xml:space="preserve"> </w:t>
      </w:r>
      <w:r w:rsidRPr="00E80634">
        <w:rPr>
          <w:rFonts w:ascii="Arial" w:hAnsi="Arial" w:cs="Arial"/>
          <w:sz w:val="22"/>
        </w:rPr>
        <w:t>a document that specifies course requirements within the format specified in the Course Profile System and the Course Profile Template</w:t>
      </w:r>
    </w:p>
    <w:p w14:paraId="65D83E84" w14:textId="35871F9F" w:rsidR="00572381" w:rsidRPr="00E80634" w:rsidRDefault="00572381" w:rsidP="000E040B">
      <w:pPr>
        <w:spacing w:before="120" w:after="120" w:line="240" w:lineRule="auto"/>
        <w:rPr>
          <w:rFonts w:ascii="Arial" w:eastAsia="Foundry Sterling Book" w:hAnsi="Arial" w:cs="Arial"/>
          <w:sz w:val="22"/>
        </w:rPr>
      </w:pPr>
      <w:r w:rsidRPr="00E80634">
        <w:rPr>
          <w:rFonts w:ascii="Arial" w:eastAsia="Foundry Sterling Book" w:hAnsi="Arial" w:cs="Arial"/>
          <w:b/>
          <w:sz w:val="22"/>
        </w:rPr>
        <w:t>Digital badge</w:t>
      </w:r>
      <w:r w:rsidRPr="00E80634">
        <w:rPr>
          <w:rFonts w:ascii="Arial" w:eastAsia="Foundry Sterling Book" w:hAnsi="Arial" w:cs="Arial"/>
          <w:sz w:val="22"/>
        </w:rPr>
        <w:t xml:space="preserve"> refers to electronic representation of certification that is visual, available online and is embedded with metadata that provides context, meaning, process and result of an activity.</w:t>
      </w:r>
    </w:p>
    <w:p w14:paraId="79F2A788" w14:textId="77777777" w:rsidR="00383299" w:rsidRPr="00E80634" w:rsidRDefault="00383299" w:rsidP="000E040B">
      <w:pPr>
        <w:spacing w:before="120" w:after="120" w:line="240" w:lineRule="auto"/>
        <w:rPr>
          <w:rFonts w:ascii="Arial" w:hAnsi="Arial" w:cs="Arial"/>
          <w:sz w:val="22"/>
        </w:rPr>
      </w:pPr>
      <w:r w:rsidRPr="00E80634">
        <w:rPr>
          <w:rFonts w:ascii="Arial" w:eastAsia="Calibri" w:hAnsi="Arial" w:cs="Arial"/>
          <w:b/>
          <w:sz w:val="22"/>
        </w:rPr>
        <w:t>Higher Degree by Research</w:t>
      </w:r>
      <w:r w:rsidRPr="00E80634">
        <w:rPr>
          <w:rFonts w:ascii="Arial" w:eastAsia="Calibri" w:hAnsi="Arial" w:cs="Arial"/>
          <w:sz w:val="22"/>
        </w:rPr>
        <w:t xml:space="preserve"> </w:t>
      </w:r>
      <w:r w:rsidRPr="00E80634">
        <w:rPr>
          <w:rFonts w:ascii="Arial" w:hAnsi="Arial" w:cs="Arial"/>
          <w:sz w:val="22"/>
        </w:rPr>
        <w:t xml:space="preserve">refers to a Research Masters or Research Doctorate where a: </w:t>
      </w:r>
    </w:p>
    <w:p w14:paraId="6D121632" w14:textId="77777777" w:rsidR="00383299" w:rsidRPr="00E80634" w:rsidRDefault="00383299" w:rsidP="000E040B">
      <w:pPr>
        <w:pStyle w:val="BulletPoints"/>
        <w:spacing w:before="120" w:after="120" w:line="240" w:lineRule="auto"/>
        <w:ind w:left="851" w:hanging="284"/>
        <w:rPr>
          <w:rFonts w:ascii="Arial" w:hAnsi="Arial" w:cs="Arial"/>
          <w:sz w:val="22"/>
        </w:rPr>
      </w:pPr>
      <w:r w:rsidRPr="00E80634">
        <w:rPr>
          <w:rFonts w:ascii="Arial" w:hAnsi="Arial" w:cs="Arial"/>
          <w:sz w:val="22"/>
        </w:rPr>
        <w:t xml:space="preserve">Research Masters means a Level 9 qualification as described in the AQF and where a minimum of two-thirds of the program of learning is for research, research training and independent </w:t>
      </w:r>
      <w:proofErr w:type="gramStart"/>
      <w:r w:rsidRPr="00E80634">
        <w:rPr>
          <w:rFonts w:ascii="Arial" w:hAnsi="Arial" w:cs="Arial"/>
          <w:sz w:val="22"/>
        </w:rPr>
        <w:t>study</w:t>
      </w:r>
      <w:proofErr w:type="gramEnd"/>
    </w:p>
    <w:p w14:paraId="69EA7DDD" w14:textId="77777777" w:rsidR="00383299" w:rsidRPr="00E80634" w:rsidRDefault="00383299" w:rsidP="000E040B">
      <w:pPr>
        <w:pStyle w:val="BulletPoints"/>
        <w:spacing w:before="120" w:after="120" w:line="240" w:lineRule="auto"/>
        <w:ind w:left="851" w:hanging="284"/>
        <w:rPr>
          <w:rFonts w:ascii="Arial" w:hAnsi="Arial" w:cs="Arial"/>
          <w:sz w:val="22"/>
        </w:rPr>
      </w:pPr>
      <w:r w:rsidRPr="00E80634">
        <w:rPr>
          <w:rFonts w:ascii="Arial" w:hAnsi="Arial" w:cs="Arial"/>
          <w:sz w:val="22"/>
        </w:rPr>
        <w:lastRenderedPageBreak/>
        <w:t xml:space="preserve">Research Doctorate means a Level 10 qualification as described in the AQF and where a minimum of two years of the program of learning, and typically two-thirds of the qualification, is research. </w:t>
      </w:r>
    </w:p>
    <w:p w14:paraId="63EB714F" w14:textId="4F29ED02" w:rsidR="00383299" w:rsidRPr="00E80634" w:rsidRDefault="00383299" w:rsidP="000E040B">
      <w:pPr>
        <w:spacing w:before="120" w:after="120" w:line="240" w:lineRule="auto"/>
        <w:rPr>
          <w:rFonts w:ascii="Arial" w:eastAsia="Foundry Sterling Book" w:hAnsi="Arial" w:cs="Arial"/>
          <w:sz w:val="22"/>
        </w:rPr>
      </w:pPr>
      <w:r w:rsidRPr="00E80634">
        <w:rPr>
          <w:rFonts w:ascii="Arial" w:eastAsia="Foundry Sterling Book" w:hAnsi="Arial" w:cs="Arial"/>
          <w:b/>
          <w:sz w:val="22"/>
        </w:rPr>
        <w:t>Micro-credential</w:t>
      </w:r>
      <w:r w:rsidRPr="00E80634">
        <w:rPr>
          <w:rFonts w:ascii="Arial" w:eastAsia="Foundry Sterling Book" w:hAnsi="Arial" w:cs="Arial"/>
          <w:sz w:val="22"/>
        </w:rPr>
        <w:t xml:space="preserve"> refers to certification of assessed learning that is additional, alternative, complementary to or a component part of a formal qualification.</w:t>
      </w:r>
    </w:p>
    <w:p w14:paraId="1676384D" w14:textId="6D264BA5" w:rsidR="00566AE0" w:rsidRPr="00E80634" w:rsidRDefault="00566AE0" w:rsidP="000E040B">
      <w:pPr>
        <w:spacing w:before="120" w:after="120" w:line="240" w:lineRule="auto"/>
        <w:rPr>
          <w:rFonts w:ascii="Arial" w:eastAsia="Calibri" w:hAnsi="Arial" w:cs="Arial"/>
          <w:sz w:val="22"/>
        </w:rPr>
      </w:pPr>
      <w:r w:rsidRPr="00E80634">
        <w:rPr>
          <w:rFonts w:ascii="Arial" w:eastAsia="Calibri" w:hAnsi="Arial" w:cs="Arial"/>
          <w:b/>
          <w:sz w:val="22"/>
        </w:rPr>
        <w:t xml:space="preserve">Non-award program </w:t>
      </w:r>
      <w:r w:rsidRPr="00E80634">
        <w:rPr>
          <w:rFonts w:ascii="Arial" w:eastAsia="Calibri" w:hAnsi="Arial" w:cs="Arial"/>
          <w:sz w:val="22"/>
        </w:rPr>
        <w:t>is a</w:t>
      </w:r>
      <w:r w:rsidRPr="00E80634">
        <w:rPr>
          <w:rFonts w:ascii="Arial" w:hAnsi="Arial" w:cs="Arial"/>
          <w:sz w:val="22"/>
        </w:rPr>
        <w:t>n approved course of study that does not lead to an award of the University. The non-award program may comprise courses normally taken as part of an award program but is a non-AQF qualification. Non-award programs include continuing education, executive education, professional development, tertiary preparation, enabling, and English Language Intensive Courses for Overseas Students (ELICOS) programs.</w:t>
      </w:r>
    </w:p>
    <w:p w14:paraId="1F20FDF6" w14:textId="6BA19976" w:rsidR="00083D19" w:rsidRPr="00E80634" w:rsidRDefault="00083D19" w:rsidP="000E040B">
      <w:pPr>
        <w:spacing w:before="120" w:after="120" w:line="240" w:lineRule="auto"/>
        <w:rPr>
          <w:rFonts w:ascii="Arial" w:eastAsia="Calibri" w:hAnsi="Arial" w:cs="Arial"/>
          <w:b/>
          <w:sz w:val="22"/>
        </w:rPr>
      </w:pPr>
      <w:r w:rsidRPr="00E80634">
        <w:rPr>
          <w:rFonts w:ascii="Arial" w:eastAsia="Calibri" w:hAnsi="Arial" w:cs="Arial"/>
          <w:b/>
          <w:sz w:val="22"/>
        </w:rPr>
        <w:t>Program</w:t>
      </w:r>
      <w:r w:rsidRPr="00E80634">
        <w:rPr>
          <w:rFonts w:ascii="Arial" w:eastAsia="Calibri" w:hAnsi="Arial" w:cs="Arial"/>
          <w:sz w:val="22"/>
        </w:rPr>
        <w:t xml:space="preserve"> </w:t>
      </w:r>
      <w:r w:rsidRPr="00E80634">
        <w:rPr>
          <w:rFonts w:ascii="Arial" w:hAnsi="Arial" w:cs="Arial"/>
          <w:sz w:val="22"/>
        </w:rPr>
        <w:t>is an approved course of study. A student is admitted to a program</w:t>
      </w:r>
      <w:r w:rsidR="00566AE0" w:rsidRPr="00E80634">
        <w:rPr>
          <w:rFonts w:ascii="Arial" w:hAnsi="Arial" w:cs="Arial"/>
          <w:sz w:val="22"/>
        </w:rPr>
        <w:t>.</w:t>
      </w:r>
    </w:p>
    <w:p w14:paraId="036ACD07" w14:textId="77777777" w:rsidR="00383299" w:rsidRPr="00E80634" w:rsidRDefault="00383299" w:rsidP="000E040B">
      <w:pPr>
        <w:spacing w:before="120" w:after="120" w:line="240" w:lineRule="auto"/>
        <w:rPr>
          <w:rFonts w:ascii="Arial" w:eastAsia="Calibri" w:hAnsi="Arial" w:cs="Arial"/>
          <w:b/>
          <w:sz w:val="22"/>
        </w:rPr>
      </w:pPr>
      <w:r w:rsidRPr="00E80634">
        <w:rPr>
          <w:rFonts w:ascii="Arial" w:eastAsia="Calibri" w:hAnsi="Arial" w:cs="Arial"/>
          <w:b/>
          <w:sz w:val="22"/>
        </w:rPr>
        <w:t xml:space="preserve">Student Experience of a Course </w:t>
      </w:r>
      <w:r w:rsidRPr="00E80634">
        <w:rPr>
          <w:rFonts w:ascii="Arial" w:eastAsia="Calibri" w:hAnsi="Arial" w:cs="Arial"/>
          <w:sz w:val="22"/>
        </w:rPr>
        <w:t>is a survey instrument to provide feedback from students to teaching staff and the University about student satisfaction with key elements of every course.</w:t>
      </w:r>
    </w:p>
    <w:p w14:paraId="33483187" w14:textId="4C28D098" w:rsidR="00383299" w:rsidRPr="00E80634" w:rsidRDefault="00383299" w:rsidP="000E040B">
      <w:pPr>
        <w:spacing w:before="120" w:after="120" w:line="240" w:lineRule="auto"/>
        <w:rPr>
          <w:rFonts w:ascii="Arial" w:eastAsia="Calibri" w:hAnsi="Arial" w:cs="Arial"/>
          <w:sz w:val="22"/>
        </w:rPr>
      </w:pPr>
      <w:r w:rsidRPr="00E80634">
        <w:rPr>
          <w:rFonts w:ascii="Arial" w:eastAsia="Calibri" w:hAnsi="Arial" w:cs="Arial"/>
          <w:b/>
          <w:sz w:val="22"/>
        </w:rPr>
        <w:t>Student Experience of Teaching</w:t>
      </w:r>
      <w:r w:rsidRPr="00E80634">
        <w:rPr>
          <w:rFonts w:ascii="Arial" w:eastAsia="Calibri" w:hAnsi="Arial" w:cs="Arial"/>
          <w:sz w:val="22"/>
        </w:rPr>
        <w:t xml:space="preserve"> is a survey instrument that provides feedback from students to teaching staff and the University about student satisfaction with key elements of teaching.</w:t>
      </w:r>
    </w:p>
    <w:p w14:paraId="542ADB6C" w14:textId="3267C3E3" w:rsidR="00EE0DB5" w:rsidRPr="00E80634" w:rsidRDefault="00566AE0" w:rsidP="000E040B">
      <w:pPr>
        <w:spacing w:before="120" w:after="120" w:line="240" w:lineRule="auto"/>
        <w:rPr>
          <w:rFonts w:ascii="Arial" w:hAnsi="Arial" w:cs="Arial"/>
          <w:sz w:val="22"/>
        </w:rPr>
      </w:pPr>
      <w:r w:rsidRPr="00E80634">
        <w:rPr>
          <w:rFonts w:ascii="Arial" w:eastAsia="Calibri" w:hAnsi="Arial" w:cs="Arial"/>
          <w:b/>
          <w:sz w:val="22"/>
        </w:rPr>
        <w:t xml:space="preserve">Third party arrangement </w:t>
      </w:r>
      <w:r w:rsidRPr="00E80634">
        <w:rPr>
          <w:rFonts w:ascii="Arial" w:eastAsia="Calibri" w:hAnsi="Arial" w:cs="Arial"/>
          <w:sz w:val="22"/>
        </w:rPr>
        <w:t>is</w:t>
      </w:r>
      <w:r w:rsidRPr="00E80634">
        <w:rPr>
          <w:rFonts w:ascii="Arial" w:eastAsia="Calibri" w:hAnsi="Arial" w:cs="Arial"/>
          <w:b/>
          <w:sz w:val="22"/>
        </w:rPr>
        <w:t xml:space="preserve"> </w:t>
      </w:r>
      <w:r w:rsidRPr="00E80634">
        <w:rPr>
          <w:rFonts w:ascii="Arial" w:hAnsi="Arial" w:cs="Arial"/>
          <w:sz w:val="22"/>
        </w:rPr>
        <w:t xml:space="preserve">an arrangement between Griffith and another party (in Australia or overseas) to deliver some or </w:t>
      </w:r>
      <w:proofErr w:type="gramStart"/>
      <w:r w:rsidRPr="00E80634">
        <w:rPr>
          <w:rFonts w:ascii="Arial" w:hAnsi="Arial" w:cs="Arial"/>
          <w:sz w:val="22"/>
        </w:rPr>
        <w:t>all of</w:t>
      </w:r>
      <w:proofErr w:type="gramEnd"/>
      <w:r w:rsidRPr="00E80634">
        <w:rPr>
          <w:rFonts w:ascii="Arial" w:hAnsi="Arial" w:cs="Arial"/>
          <w:sz w:val="22"/>
        </w:rPr>
        <w:t xml:space="preserve"> a program or course that leads to the award.</w:t>
      </w:r>
    </w:p>
    <w:p w14:paraId="6F47DD5B" w14:textId="099A400B" w:rsidR="00774DDD" w:rsidRPr="00E80634" w:rsidRDefault="00774DDD" w:rsidP="000E040B">
      <w:pPr>
        <w:pStyle w:val="Heading2"/>
        <w:spacing w:before="120" w:line="240" w:lineRule="auto"/>
        <w:rPr>
          <w:rFonts w:ascii="Arial" w:hAnsi="Arial" w:cs="Arial"/>
          <w:b/>
          <w:bCs/>
          <w:sz w:val="32"/>
          <w:szCs w:val="32"/>
        </w:rPr>
      </w:pPr>
      <w:bookmarkStart w:id="6" w:name="_6.0_Information"/>
      <w:bookmarkEnd w:id="6"/>
      <w:r w:rsidRPr="00E80634">
        <w:rPr>
          <w:rFonts w:ascii="Arial" w:hAnsi="Arial" w:cs="Arial"/>
          <w:b/>
          <w:bCs/>
          <w:sz w:val="32"/>
          <w:szCs w:val="32"/>
        </w:rPr>
        <w:t>6.0 Information</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48"/>
        <w:gridCol w:w="7878"/>
      </w:tblGrid>
      <w:tr w:rsidR="00CF1DAD" w:rsidRPr="00E80634" w14:paraId="33EE80C8" w14:textId="77777777" w:rsidTr="00363BCA">
        <w:tc>
          <w:tcPr>
            <w:tcW w:w="1222" w:type="pct"/>
            <w:shd w:val="clear" w:color="auto" w:fill="auto"/>
          </w:tcPr>
          <w:p w14:paraId="64E788E9"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Title</w:t>
            </w:r>
          </w:p>
        </w:tc>
        <w:tc>
          <w:tcPr>
            <w:tcW w:w="3778" w:type="pct"/>
            <w:shd w:val="clear" w:color="auto" w:fill="auto"/>
          </w:tcPr>
          <w:p w14:paraId="217C2D9C"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Program and Course Policy</w:t>
            </w:r>
          </w:p>
        </w:tc>
      </w:tr>
      <w:tr w:rsidR="00CF1DAD" w:rsidRPr="00E80634" w14:paraId="3D872278" w14:textId="77777777" w:rsidTr="00363BCA">
        <w:tc>
          <w:tcPr>
            <w:tcW w:w="1222" w:type="pct"/>
            <w:shd w:val="clear" w:color="auto" w:fill="auto"/>
          </w:tcPr>
          <w:p w14:paraId="5FCF3A97" w14:textId="77777777" w:rsidR="00CF1DAD" w:rsidRPr="00E80634" w:rsidRDefault="00CF1DAD" w:rsidP="000E040B">
            <w:pPr>
              <w:spacing w:before="120" w:after="120" w:line="240" w:lineRule="auto"/>
              <w:rPr>
                <w:rFonts w:ascii="Arial" w:hAnsi="Arial" w:cs="Arial"/>
                <w:color w:val="000000" w:themeColor="text1"/>
                <w:sz w:val="22"/>
              </w:rPr>
            </w:pPr>
            <w:r w:rsidRPr="00E80634">
              <w:rPr>
                <w:rFonts w:ascii="Arial" w:hAnsi="Arial" w:cs="Arial"/>
                <w:color w:val="000000" w:themeColor="text1"/>
                <w:sz w:val="22"/>
              </w:rPr>
              <w:t>Document number</w:t>
            </w:r>
          </w:p>
        </w:tc>
        <w:tc>
          <w:tcPr>
            <w:tcW w:w="3778" w:type="pct"/>
            <w:shd w:val="clear" w:color="auto" w:fill="auto"/>
          </w:tcPr>
          <w:p w14:paraId="2C07AD11" w14:textId="77777777" w:rsidR="00CF1DAD" w:rsidRPr="00E80634" w:rsidRDefault="00CF1DAD" w:rsidP="000E040B">
            <w:pPr>
              <w:spacing w:before="120" w:after="120" w:line="240" w:lineRule="auto"/>
              <w:rPr>
                <w:rFonts w:ascii="Arial" w:eastAsia="Calibri" w:hAnsi="Arial" w:cs="Arial"/>
                <w:color w:val="000000" w:themeColor="text1"/>
                <w:sz w:val="22"/>
              </w:rPr>
            </w:pPr>
            <w:r w:rsidRPr="00E80634">
              <w:rPr>
                <w:rFonts w:ascii="Arial" w:eastAsia="Calibri" w:hAnsi="Arial" w:cs="Arial"/>
                <w:color w:val="000000" w:themeColor="text1"/>
                <w:sz w:val="22"/>
              </w:rPr>
              <w:t>2023/0000366</w:t>
            </w:r>
          </w:p>
        </w:tc>
      </w:tr>
      <w:tr w:rsidR="00CF1DAD" w:rsidRPr="00E80634" w14:paraId="6AC5396C" w14:textId="77777777" w:rsidTr="00363BCA">
        <w:tc>
          <w:tcPr>
            <w:tcW w:w="1222" w:type="pct"/>
            <w:shd w:val="clear" w:color="auto" w:fill="auto"/>
          </w:tcPr>
          <w:p w14:paraId="04421F67"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Purpose</w:t>
            </w:r>
          </w:p>
        </w:tc>
        <w:tc>
          <w:tcPr>
            <w:tcW w:w="3778" w:type="pct"/>
            <w:shd w:val="clear" w:color="auto" w:fill="auto"/>
          </w:tcPr>
          <w:p w14:paraId="77BB62AB"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This policy outlines the principles and quality assurance framework for programs and courses.</w:t>
            </w:r>
          </w:p>
        </w:tc>
      </w:tr>
      <w:tr w:rsidR="00CF1DAD" w:rsidRPr="00E80634" w14:paraId="3EB6BE8D" w14:textId="77777777" w:rsidTr="00363BCA">
        <w:tc>
          <w:tcPr>
            <w:tcW w:w="1222" w:type="pct"/>
            <w:shd w:val="clear" w:color="auto" w:fill="auto"/>
          </w:tcPr>
          <w:p w14:paraId="2B38D574"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Audience</w:t>
            </w:r>
          </w:p>
        </w:tc>
        <w:tc>
          <w:tcPr>
            <w:tcW w:w="3778" w:type="pct"/>
            <w:shd w:val="clear" w:color="auto" w:fill="auto"/>
          </w:tcPr>
          <w:p w14:paraId="3E61884D"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Staff</w:t>
            </w:r>
          </w:p>
        </w:tc>
      </w:tr>
      <w:tr w:rsidR="00CF1DAD" w:rsidRPr="00E80634" w14:paraId="53A642C6" w14:textId="77777777" w:rsidTr="00363BCA">
        <w:tc>
          <w:tcPr>
            <w:tcW w:w="1222" w:type="pct"/>
            <w:shd w:val="clear" w:color="auto" w:fill="auto"/>
          </w:tcPr>
          <w:p w14:paraId="03B8F321"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Category</w:t>
            </w:r>
          </w:p>
        </w:tc>
        <w:tc>
          <w:tcPr>
            <w:tcW w:w="3778" w:type="pct"/>
            <w:shd w:val="clear" w:color="auto" w:fill="auto"/>
          </w:tcPr>
          <w:p w14:paraId="6953EC89"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Academic</w:t>
            </w:r>
          </w:p>
        </w:tc>
      </w:tr>
      <w:tr w:rsidR="00CF1DAD" w:rsidRPr="00E80634" w14:paraId="5AFD1438" w14:textId="77777777" w:rsidTr="00363BCA">
        <w:tc>
          <w:tcPr>
            <w:tcW w:w="1222" w:type="pct"/>
            <w:shd w:val="clear" w:color="auto" w:fill="auto"/>
          </w:tcPr>
          <w:p w14:paraId="2C5C7B33"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Subcategory</w:t>
            </w:r>
          </w:p>
        </w:tc>
        <w:tc>
          <w:tcPr>
            <w:tcW w:w="3778" w:type="pct"/>
            <w:shd w:val="clear" w:color="auto" w:fill="auto"/>
          </w:tcPr>
          <w:p w14:paraId="72EF2220"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Learning and Teaching</w:t>
            </w:r>
          </w:p>
        </w:tc>
      </w:tr>
      <w:tr w:rsidR="00CF1DAD" w:rsidRPr="00E80634" w14:paraId="795AF916" w14:textId="77777777" w:rsidTr="00363BCA">
        <w:tc>
          <w:tcPr>
            <w:tcW w:w="1222" w:type="pct"/>
            <w:shd w:val="clear" w:color="auto" w:fill="auto"/>
          </w:tcPr>
          <w:p w14:paraId="39FD8614"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Approval date</w:t>
            </w:r>
          </w:p>
        </w:tc>
        <w:tc>
          <w:tcPr>
            <w:tcW w:w="3778" w:type="pct"/>
            <w:shd w:val="clear" w:color="auto" w:fill="auto"/>
          </w:tcPr>
          <w:p w14:paraId="4E0D9005"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20 July 2023</w:t>
            </w:r>
          </w:p>
        </w:tc>
      </w:tr>
      <w:tr w:rsidR="00CF1DAD" w:rsidRPr="00E80634" w14:paraId="585F95A6" w14:textId="77777777" w:rsidTr="00363BCA">
        <w:tc>
          <w:tcPr>
            <w:tcW w:w="1222" w:type="pct"/>
            <w:shd w:val="clear" w:color="auto" w:fill="auto"/>
          </w:tcPr>
          <w:p w14:paraId="3212C910"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Effective date</w:t>
            </w:r>
          </w:p>
        </w:tc>
        <w:tc>
          <w:tcPr>
            <w:tcW w:w="3778" w:type="pct"/>
            <w:shd w:val="clear" w:color="auto" w:fill="auto"/>
          </w:tcPr>
          <w:p w14:paraId="15B83F42" w14:textId="19A3FB92" w:rsidR="00CF1DAD" w:rsidRPr="00E80634" w:rsidRDefault="00CF1DAD" w:rsidP="000E040B">
            <w:pPr>
              <w:spacing w:before="120" w:after="120" w:line="240" w:lineRule="auto"/>
              <w:rPr>
                <w:rFonts w:ascii="Arial" w:hAnsi="Arial" w:cs="Arial"/>
                <w:sz w:val="22"/>
              </w:rPr>
            </w:pPr>
            <w:r w:rsidRPr="00E80634">
              <w:rPr>
                <w:rFonts w:ascii="Arial" w:hAnsi="Arial" w:cs="Arial"/>
                <w:sz w:val="22"/>
              </w:rPr>
              <w:t>Trimester 1 2024</w:t>
            </w:r>
          </w:p>
        </w:tc>
      </w:tr>
      <w:tr w:rsidR="00CF1DAD" w:rsidRPr="00E80634" w14:paraId="3286F979" w14:textId="77777777" w:rsidTr="00363BCA">
        <w:tc>
          <w:tcPr>
            <w:tcW w:w="1222" w:type="pct"/>
            <w:shd w:val="clear" w:color="auto" w:fill="auto"/>
          </w:tcPr>
          <w:p w14:paraId="65FCF6DD"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Review date</w:t>
            </w:r>
          </w:p>
        </w:tc>
        <w:tc>
          <w:tcPr>
            <w:tcW w:w="3778" w:type="pct"/>
            <w:shd w:val="clear" w:color="auto" w:fill="auto"/>
          </w:tcPr>
          <w:p w14:paraId="34977C44"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2028</w:t>
            </w:r>
          </w:p>
        </w:tc>
      </w:tr>
      <w:tr w:rsidR="00CF1DAD" w:rsidRPr="00E80634" w14:paraId="7554B5B7" w14:textId="77777777" w:rsidTr="00363BCA">
        <w:tc>
          <w:tcPr>
            <w:tcW w:w="1222" w:type="pct"/>
            <w:shd w:val="clear" w:color="auto" w:fill="auto"/>
          </w:tcPr>
          <w:p w14:paraId="7F1D5658"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Policy advisor</w:t>
            </w:r>
          </w:p>
        </w:tc>
        <w:tc>
          <w:tcPr>
            <w:tcW w:w="3778" w:type="pct"/>
            <w:shd w:val="clear" w:color="auto" w:fill="auto"/>
          </w:tcPr>
          <w:p w14:paraId="2386616F"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Director, Student Credentials</w:t>
            </w:r>
          </w:p>
        </w:tc>
      </w:tr>
      <w:tr w:rsidR="00CF1DAD" w:rsidRPr="00E80634" w14:paraId="4F654018" w14:textId="77777777" w:rsidTr="00363BCA">
        <w:tc>
          <w:tcPr>
            <w:tcW w:w="1222" w:type="pct"/>
            <w:shd w:val="clear" w:color="auto" w:fill="auto"/>
          </w:tcPr>
          <w:p w14:paraId="4DCC17E1"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Approving authority</w:t>
            </w:r>
          </w:p>
        </w:tc>
        <w:tc>
          <w:tcPr>
            <w:tcW w:w="3778" w:type="pct"/>
            <w:shd w:val="clear" w:color="auto" w:fill="auto"/>
          </w:tcPr>
          <w:p w14:paraId="29BCE9E2" w14:textId="77777777" w:rsidR="00CF1DAD" w:rsidRPr="00E80634" w:rsidRDefault="00CF1DAD" w:rsidP="000E040B">
            <w:pPr>
              <w:spacing w:before="120" w:after="120" w:line="240" w:lineRule="auto"/>
              <w:rPr>
                <w:rFonts w:ascii="Arial" w:hAnsi="Arial" w:cs="Arial"/>
                <w:sz w:val="22"/>
              </w:rPr>
            </w:pPr>
            <w:r w:rsidRPr="00E80634">
              <w:rPr>
                <w:rFonts w:ascii="Arial" w:hAnsi="Arial" w:cs="Arial"/>
                <w:sz w:val="22"/>
              </w:rPr>
              <w:t>Academic Committee</w:t>
            </w:r>
          </w:p>
        </w:tc>
      </w:tr>
    </w:tbl>
    <w:p w14:paraId="71364163" w14:textId="77777777" w:rsidR="00CF1DAD" w:rsidRPr="00E80634" w:rsidRDefault="00CF1DAD" w:rsidP="000E040B">
      <w:pPr>
        <w:spacing w:before="120" w:after="120" w:line="240" w:lineRule="auto"/>
        <w:rPr>
          <w:rFonts w:ascii="Arial" w:eastAsiaTheme="majorEastAsia" w:hAnsi="Arial" w:cs="Arial"/>
          <w:b/>
          <w:bCs/>
          <w:color w:val="E30918"/>
          <w:sz w:val="32"/>
          <w:szCs w:val="32"/>
        </w:rPr>
      </w:pPr>
      <w:r w:rsidRPr="00E80634">
        <w:rPr>
          <w:rFonts w:ascii="Arial" w:hAnsi="Arial" w:cs="Arial"/>
          <w:b/>
          <w:bCs/>
          <w:sz w:val="32"/>
          <w:szCs w:val="32"/>
        </w:rPr>
        <w:br w:type="page"/>
      </w:r>
    </w:p>
    <w:p w14:paraId="5397CE2B" w14:textId="04A2B63F" w:rsidR="00774DDD" w:rsidRPr="00E80634" w:rsidRDefault="00774DDD" w:rsidP="000E040B">
      <w:pPr>
        <w:pStyle w:val="Heading2"/>
        <w:spacing w:before="120" w:line="240" w:lineRule="auto"/>
        <w:rPr>
          <w:rFonts w:ascii="Arial" w:hAnsi="Arial" w:cs="Arial"/>
          <w:b/>
          <w:bCs/>
          <w:sz w:val="32"/>
          <w:szCs w:val="32"/>
        </w:rPr>
      </w:pPr>
      <w:bookmarkStart w:id="7" w:name="_7.0_Related_Policy"/>
      <w:bookmarkEnd w:id="7"/>
      <w:r w:rsidRPr="00E80634">
        <w:rPr>
          <w:rFonts w:ascii="Arial" w:hAnsi="Arial" w:cs="Arial"/>
          <w:b/>
          <w:bCs/>
          <w:sz w:val="32"/>
          <w:szCs w:val="32"/>
        </w:rPr>
        <w:lastRenderedPageBreak/>
        <w:t>7.0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8"/>
        <w:gridCol w:w="7878"/>
      </w:tblGrid>
      <w:tr w:rsidR="00383299" w:rsidRPr="00E80634" w14:paraId="66685790" w14:textId="77777777" w:rsidTr="00CF1DAD">
        <w:tc>
          <w:tcPr>
            <w:tcW w:w="1222" w:type="pct"/>
            <w:shd w:val="clear" w:color="auto" w:fill="auto"/>
          </w:tcPr>
          <w:p w14:paraId="20948453" w14:textId="31B4499E" w:rsidR="00383299" w:rsidRPr="00E80634" w:rsidRDefault="000E4D41" w:rsidP="000E040B">
            <w:pPr>
              <w:spacing w:before="120" w:after="120" w:line="240" w:lineRule="auto"/>
              <w:rPr>
                <w:rFonts w:ascii="Arial" w:hAnsi="Arial" w:cs="Arial"/>
                <w:sz w:val="22"/>
              </w:rPr>
            </w:pPr>
            <w:r w:rsidRPr="00E80634">
              <w:rPr>
                <w:rFonts w:ascii="Arial" w:hAnsi="Arial" w:cs="Arial"/>
                <w:sz w:val="22"/>
              </w:rPr>
              <w:t>Australian Government Legislation and Policy</w:t>
            </w:r>
          </w:p>
        </w:tc>
        <w:tc>
          <w:tcPr>
            <w:tcW w:w="3778" w:type="pct"/>
            <w:shd w:val="clear" w:color="auto" w:fill="auto"/>
          </w:tcPr>
          <w:p w14:paraId="3DC03697" w14:textId="77777777" w:rsidR="00C956A1" w:rsidRPr="009B5DBF" w:rsidRDefault="00472043" w:rsidP="000E040B">
            <w:pPr>
              <w:spacing w:before="120" w:after="120" w:line="240" w:lineRule="auto"/>
              <w:rPr>
                <w:rFonts w:ascii="Arial" w:hAnsi="Arial" w:cs="Arial"/>
                <w:sz w:val="22"/>
              </w:rPr>
            </w:pPr>
            <w:hyperlink r:id="rId11" w:history="1">
              <w:r w:rsidR="00C956A1" w:rsidRPr="009B5DBF">
                <w:rPr>
                  <w:rStyle w:val="Hyperlink"/>
                  <w:rFonts w:ascii="Arial" w:hAnsi="Arial" w:cs="Arial"/>
                  <w:sz w:val="22"/>
                  <w:u w:val="none"/>
                </w:rPr>
                <w:t>Australian Quali</w:t>
              </w:r>
              <w:r w:rsidR="00C956A1" w:rsidRPr="009B5DBF">
                <w:rPr>
                  <w:rStyle w:val="Hyperlink"/>
                  <w:rFonts w:ascii="Arial" w:hAnsi="Arial" w:cs="Arial"/>
                  <w:sz w:val="22"/>
                  <w:u w:val="none"/>
                </w:rPr>
                <w:t>f</w:t>
              </w:r>
              <w:r w:rsidR="00C956A1" w:rsidRPr="009B5DBF">
                <w:rPr>
                  <w:rStyle w:val="Hyperlink"/>
                  <w:rFonts w:ascii="Arial" w:hAnsi="Arial" w:cs="Arial"/>
                  <w:sz w:val="22"/>
                  <w:u w:val="none"/>
                </w:rPr>
                <w:t>ications Framework 2013</w:t>
              </w:r>
            </w:hyperlink>
          </w:p>
          <w:p w14:paraId="11FB01EB" w14:textId="77777777" w:rsidR="00C956A1" w:rsidRPr="009B5DBF" w:rsidRDefault="00472043" w:rsidP="000E040B">
            <w:pPr>
              <w:spacing w:before="120" w:after="120" w:line="240" w:lineRule="auto"/>
              <w:rPr>
                <w:rFonts w:ascii="Arial" w:hAnsi="Arial" w:cs="Arial"/>
                <w:sz w:val="22"/>
              </w:rPr>
            </w:pPr>
            <w:hyperlink r:id="rId12" w:history="1">
              <w:r w:rsidR="00C956A1" w:rsidRPr="009B5DBF">
                <w:rPr>
                  <w:rStyle w:val="Hyperlink"/>
                  <w:rFonts w:ascii="Arial" w:hAnsi="Arial" w:cs="Arial"/>
                  <w:sz w:val="22"/>
                  <w:u w:val="none"/>
                </w:rPr>
                <w:t>Higher Education Standards Framework (Threshold Standards) 2021</w:t>
              </w:r>
            </w:hyperlink>
          </w:p>
          <w:p w14:paraId="7CA52423" w14:textId="6C79105B" w:rsidR="00383299" w:rsidRPr="009B5DBF" w:rsidRDefault="00472043" w:rsidP="000E040B">
            <w:pPr>
              <w:spacing w:before="120" w:after="120" w:line="240" w:lineRule="auto"/>
              <w:rPr>
                <w:rFonts w:ascii="Arial" w:hAnsi="Arial" w:cs="Arial"/>
                <w:sz w:val="22"/>
              </w:rPr>
            </w:pPr>
            <w:hyperlink r:id="rId13" w:history="1">
              <w:r w:rsidR="00C956A1" w:rsidRPr="009B5DBF">
                <w:rPr>
                  <w:rStyle w:val="Hyperlink"/>
                  <w:rFonts w:ascii="Arial" w:hAnsi="Arial" w:cs="Arial"/>
                  <w:sz w:val="22"/>
                  <w:u w:val="none"/>
                </w:rPr>
                <w:t>National Code of Practice for Providers of Education and Training to Overseas Students 2018</w:t>
              </w:r>
            </w:hyperlink>
          </w:p>
        </w:tc>
      </w:tr>
      <w:tr w:rsidR="00383299" w:rsidRPr="00E80634" w14:paraId="4A42DEF8" w14:textId="77777777" w:rsidTr="00CF1DAD">
        <w:tc>
          <w:tcPr>
            <w:tcW w:w="1222" w:type="pct"/>
            <w:shd w:val="clear" w:color="auto" w:fill="auto"/>
          </w:tcPr>
          <w:p w14:paraId="4BF40B19" w14:textId="77777777" w:rsidR="00383299" w:rsidRPr="00E80634" w:rsidRDefault="00383299" w:rsidP="000E040B">
            <w:pPr>
              <w:spacing w:before="120" w:after="120" w:line="240" w:lineRule="auto"/>
              <w:rPr>
                <w:rFonts w:ascii="Arial" w:hAnsi="Arial" w:cs="Arial"/>
                <w:sz w:val="22"/>
              </w:rPr>
            </w:pPr>
            <w:r w:rsidRPr="00E80634">
              <w:rPr>
                <w:rFonts w:ascii="Arial" w:hAnsi="Arial" w:cs="Arial"/>
                <w:sz w:val="22"/>
              </w:rPr>
              <w:t>Policy</w:t>
            </w:r>
          </w:p>
        </w:tc>
        <w:tc>
          <w:tcPr>
            <w:tcW w:w="3778" w:type="pct"/>
            <w:shd w:val="clear" w:color="auto" w:fill="auto"/>
          </w:tcPr>
          <w:p w14:paraId="57DF6B44" w14:textId="0AD9FF73" w:rsidR="00CA3352" w:rsidRPr="009B5DBF" w:rsidRDefault="0063687B" w:rsidP="000E040B">
            <w:pPr>
              <w:spacing w:before="120" w:after="120" w:line="240" w:lineRule="auto"/>
              <w:rPr>
                <w:rStyle w:val="Hyperlink"/>
                <w:rFonts w:ascii="Arial" w:hAnsi="Arial" w:cs="Arial"/>
                <w:sz w:val="22"/>
                <w:u w:val="none"/>
              </w:rPr>
            </w:pPr>
            <w:r w:rsidRPr="009B5DBF">
              <w:rPr>
                <w:rFonts w:ascii="Arial" w:hAnsi="Arial" w:cs="Arial"/>
                <w:sz w:val="22"/>
              </w:rPr>
              <w:fldChar w:fldCharType="begin"/>
            </w:r>
            <w:r w:rsidRPr="009B5DBF">
              <w:rPr>
                <w:rFonts w:ascii="Arial" w:hAnsi="Arial" w:cs="Arial"/>
                <w:sz w:val="22"/>
              </w:rPr>
              <w:instrText>HYPERLINK "https://sharepointpubstor.blob.core.windows.net/policylibrary-prod/Academic%20Awards%20and%20Graduations%20Policy.pdf"</w:instrText>
            </w:r>
            <w:r w:rsidRPr="009B5DBF">
              <w:rPr>
                <w:rFonts w:ascii="Arial" w:hAnsi="Arial" w:cs="Arial"/>
                <w:sz w:val="22"/>
              </w:rPr>
            </w:r>
            <w:r w:rsidRPr="009B5DBF">
              <w:rPr>
                <w:rFonts w:ascii="Arial" w:hAnsi="Arial" w:cs="Arial"/>
                <w:sz w:val="22"/>
              </w:rPr>
              <w:fldChar w:fldCharType="separate"/>
            </w:r>
            <w:r w:rsidR="00CA3352" w:rsidRPr="009B5DBF">
              <w:rPr>
                <w:rStyle w:val="Hyperlink"/>
                <w:rFonts w:ascii="Arial" w:hAnsi="Arial" w:cs="Arial"/>
                <w:sz w:val="22"/>
                <w:u w:val="none"/>
              </w:rPr>
              <w:t>Academic Awards and</w:t>
            </w:r>
            <w:r w:rsidR="004C2C2A" w:rsidRPr="009B5DBF">
              <w:rPr>
                <w:rStyle w:val="Hyperlink"/>
                <w:rFonts w:ascii="Arial" w:hAnsi="Arial" w:cs="Arial"/>
                <w:sz w:val="22"/>
                <w:u w:val="none"/>
              </w:rPr>
              <w:t xml:space="preserve"> Graduations </w:t>
            </w:r>
            <w:r w:rsidR="00CA3352" w:rsidRPr="009B5DBF">
              <w:rPr>
                <w:rStyle w:val="Hyperlink"/>
                <w:rFonts w:ascii="Arial" w:hAnsi="Arial" w:cs="Arial"/>
                <w:sz w:val="22"/>
                <w:u w:val="none"/>
              </w:rPr>
              <w:t>Policy</w:t>
            </w:r>
          </w:p>
          <w:p w14:paraId="727C5369" w14:textId="480B7561" w:rsidR="00383299" w:rsidRPr="009B5DBF" w:rsidRDefault="0063687B" w:rsidP="000E040B">
            <w:pPr>
              <w:pStyle w:val="BulletPoints"/>
              <w:numPr>
                <w:ilvl w:val="0"/>
                <w:numId w:val="0"/>
              </w:numPr>
              <w:spacing w:before="120" w:after="120" w:line="240" w:lineRule="auto"/>
              <w:rPr>
                <w:rStyle w:val="Hyperlink"/>
                <w:rFonts w:ascii="Arial" w:hAnsi="Arial" w:cs="Arial"/>
                <w:sz w:val="22"/>
                <w:u w:val="none"/>
              </w:rPr>
            </w:pPr>
            <w:r w:rsidRPr="009B5DBF">
              <w:rPr>
                <w:rFonts w:ascii="Arial" w:hAnsi="Arial" w:cs="Arial"/>
                <w:sz w:val="22"/>
              </w:rPr>
              <w:fldChar w:fldCharType="end"/>
            </w:r>
            <w:hyperlink r:id="rId14" w:history="1">
              <w:r w:rsidR="00383299" w:rsidRPr="009B5DBF">
                <w:rPr>
                  <w:rStyle w:val="Hyperlink"/>
                  <w:rFonts w:ascii="Arial" w:hAnsi="Arial" w:cs="Arial"/>
                  <w:sz w:val="22"/>
                  <w:u w:val="none"/>
                </w:rPr>
                <w:t xml:space="preserve">Higher Degree </w:t>
              </w:r>
              <w:r w:rsidR="008B4DAA" w:rsidRPr="009B5DBF">
                <w:rPr>
                  <w:rStyle w:val="Hyperlink"/>
                  <w:rFonts w:ascii="Arial" w:hAnsi="Arial" w:cs="Arial"/>
                  <w:sz w:val="22"/>
                  <w:u w:val="none"/>
                </w:rPr>
                <w:t>b</w:t>
              </w:r>
              <w:r w:rsidR="008B4DAA" w:rsidRPr="009B5DBF">
                <w:rPr>
                  <w:rStyle w:val="Hyperlink"/>
                  <w:rFonts w:ascii="Arial" w:hAnsi="Arial" w:cs="Arial"/>
                  <w:u w:val="none"/>
                </w:rPr>
                <w:t xml:space="preserve">y </w:t>
              </w:r>
              <w:r w:rsidR="00383299" w:rsidRPr="009B5DBF">
                <w:rPr>
                  <w:rStyle w:val="Hyperlink"/>
                  <w:rFonts w:ascii="Arial" w:hAnsi="Arial" w:cs="Arial"/>
                  <w:sz w:val="22"/>
                  <w:u w:val="none"/>
                </w:rPr>
                <w:t>Research Policy</w:t>
              </w:r>
            </w:hyperlink>
          </w:p>
          <w:p w14:paraId="5FCCAE2D" w14:textId="532CD21F" w:rsidR="004C2C2A" w:rsidRPr="009B5DBF" w:rsidRDefault="004C2C2A" w:rsidP="004C2C2A">
            <w:pPr>
              <w:spacing w:before="120" w:after="120" w:line="240" w:lineRule="auto"/>
              <w:rPr>
                <w:rStyle w:val="eop"/>
                <w:rFonts w:ascii="Arial" w:hAnsi="Arial" w:cs="Arial"/>
                <w:sz w:val="22"/>
              </w:rPr>
            </w:pPr>
            <w:hyperlink r:id="rId15" w:history="1">
              <w:r w:rsidRPr="009B5DBF">
                <w:rPr>
                  <w:rStyle w:val="Hyperlink"/>
                  <w:rFonts w:ascii="Arial" w:hAnsi="Arial" w:cs="Arial"/>
                  <w:sz w:val="22"/>
                  <w:u w:val="none"/>
                </w:rPr>
                <w:t>Quality Assurance Policy</w:t>
              </w:r>
            </w:hyperlink>
            <w:r w:rsidRPr="009B5DBF">
              <w:rPr>
                <w:rFonts w:ascii="Arial" w:hAnsi="Arial" w:cs="Arial"/>
                <w:sz w:val="22"/>
              </w:rPr>
              <w:t xml:space="preserve"> </w:t>
            </w:r>
          </w:p>
        </w:tc>
      </w:tr>
      <w:tr w:rsidR="00383299" w:rsidRPr="00E80634" w14:paraId="036949F8" w14:textId="77777777" w:rsidTr="00CF1DAD">
        <w:tc>
          <w:tcPr>
            <w:tcW w:w="1222" w:type="pct"/>
            <w:tcBorders>
              <w:bottom w:val="single" w:sz="4" w:space="0" w:color="auto"/>
            </w:tcBorders>
            <w:shd w:val="clear" w:color="auto" w:fill="auto"/>
          </w:tcPr>
          <w:p w14:paraId="0270BC25" w14:textId="0E633053" w:rsidR="00383299" w:rsidRPr="00E80634" w:rsidRDefault="00383299" w:rsidP="000E040B">
            <w:pPr>
              <w:spacing w:before="120" w:after="120" w:line="240" w:lineRule="auto"/>
              <w:rPr>
                <w:rFonts w:ascii="Arial" w:hAnsi="Arial" w:cs="Arial"/>
                <w:sz w:val="22"/>
              </w:rPr>
            </w:pPr>
            <w:r w:rsidRPr="00E80634">
              <w:rPr>
                <w:rFonts w:ascii="Arial" w:hAnsi="Arial" w:cs="Arial"/>
                <w:sz w:val="22"/>
              </w:rPr>
              <w:t>Procedure</w:t>
            </w:r>
          </w:p>
        </w:tc>
        <w:tc>
          <w:tcPr>
            <w:tcW w:w="3778" w:type="pct"/>
            <w:tcBorders>
              <w:bottom w:val="single" w:sz="4" w:space="0" w:color="auto"/>
            </w:tcBorders>
            <w:shd w:val="clear" w:color="auto" w:fill="auto"/>
          </w:tcPr>
          <w:p w14:paraId="217E1432" w14:textId="18A16A2B" w:rsidR="00EF761F" w:rsidRPr="009B5DBF" w:rsidRDefault="00472043" w:rsidP="000E040B">
            <w:pPr>
              <w:spacing w:before="120" w:after="120" w:line="240" w:lineRule="auto"/>
              <w:rPr>
                <w:rFonts w:ascii="Arial" w:hAnsi="Arial" w:cs="Arial"/>
                <w:sz w:val="22"/>
              </w:rPr>
            </w:pPr>
            <w:hyperlink r:id="rId16" w:history="1">
              <w:r w:rsidR="00EF761F" w:rsidRPr="009B5DBF">
                <w:rPr>
                  <w:rStyle w:val="Hyperlink"/>
                  <w:rFonts w:ascii="Arial" w:hAnsi="Arial" w:cs="Arial"/>
                  <w:sz w:val="22"/>
                  <w:u w:val="none"/>
                </w:rPr>
                <w:t>Course Approval Procedure</w:t>
              </w:r>
            </w:hyperlink>
          </w:p>
          <w:p w14:paraId="7CD978A2" w14:textId="7D031977" w:rsidR="00EF761F" w:rsidRPr="009B5DBF" w:rsidRDefault="00472043" w:rsidP="000E040B">
            <w:pPr>
              <w:spacing w:before="120" w:after="120" w:line="240" w:lineRule="auto"/>
              <w:rPr>
                <w:rFonts w:ascii="Arial" w:hAnsi="Arial" w:cs="Arial"/>
                <w:sz w:val="22"/>
              </w:rPr>
            </w:pPr>
            <w:hyperlink r:id="rId17" w:history="1">
              <w:r w:rsidR="00EF761F" w:rsidRPr="009B5DBF">
                <w:rPr>
                  <w:rStyle w:val="Hyperlink"/>
                  <w:rFonts w:ascii="Arial" w:hAnsi="Arial" w:cs="Arial"/>
                  <w:sz w:val="22"/>
                  <w:u w:val="none"/>
                </w:rPr>
                <w:t>Course Attributes and Requirements Procedure</w:t>
              </w:r>
            </w:hyperlink>
          </w:p>
          <w:p w14:paraId="3DF5E114" w14:textId="69ECEB66" w:rsidR="00EF761F" w:rsidRPr="009B5DBF" w:rsidRDefault="00472043" w:rsidP="000E040B">
            <w:pPr>
              <w:spacing w:before="120" w:after="120" w:line="240" w:lineRule="auto"/>
              <w:rPr>
                <w:rFonts w:ascii="Arial" w:hAnsi="Arial" w:cs="Arial"/>
                <w:sz w:val="22"/>
              </w:rPr>
            </w:pPr>
            <w:hyperlink r:id="rId18" w:history="1">
              <w:r w:rsidR="0020674E" w:rsidRPr="009B5DBF">
                <w:rPr>
                  <w:rStyle w:val="Hyperlink"/>
                  <w:rFonts w:ascii="Arial" w:hAnsi="Arial" w:cs="Arial"/>
                  <w:sz w:val="22"/>
                  <w:u w:val="none"/>
                </w:rPr>
                <w:t>Micro-credential and Digital Badge Approval and Review Procedure</w:t>
              </w:r>
            </w:hyperlink>
          </w:p>
          <w:p w14:paraId="1CC88A6B" w14:textId="34ECEC27" w:rsidR="00EF761F" w:rsidRPr="009B5DBF" w:rsidRDefault="00472043" w:rsidP="000E040B">
            <w:pPr>
              <w:spacing w:before="120" w:after="120" w:line="240" w:lineRule="auto"/>
              <w:rPr>
                <w:rFonts w:ascii="Arial" w:hAnsi="Arial" w:cs="Arial"/>
                <w:sz w:val="22"/>
              </w:rPr>
            </w:pPr>
            <w:hyperlink r:id="rId19" w:history="1">
              <w:r w:rsidR="00EF761F" w:rsidRPr="009B5DBF">
                <w:rPr>
                  <w:rStyle w:val="Hyperlink"/>
                  <w:rFonts w:ascii="Arial" w:hAnsi="Arial" w:cs="Arial"/>
                  <w:sz w:val="22"/>
                  <w:u w:val="none"/>
                </w:rPr>
                <w:t>Program and Course Review Procedure</w:t>
              </w:r>
            </w:hyperlink>
          </w:p>
          <w:p w14:paraId="5472EFA8" w14:textId="7AB99338" w:rsidR="00EF761F" w:rsidRPr="009B5DBF" w:rsidRDefault="00472043" w:rsidP="000E040B">
            <w:pPr>
              <w:spacing w:before="120" w:after="120" w:line="240" w:lineRule="auto"/>
              <w:rPr>
                <w:rFonts w:ascii="Arial" w:hAnsi="Arial" w:cs="Arial"/>
                <w:sz w:val="22"/>
              </w:rPr>
            </w:pPr>
            <w:hyperlink r:id="rId20" w:history="1">
              <w:r w:rsidR="00EF761F" w:rsidRPr="009B5DBF">
                <w:rPr>
                  <w:rStyle w:val="Hyperlink"/>
                  <w:rFonts w:ascii="Arial" w:hAnsi="Arial" w:cs="Arial"/>
                  <w:sz w:val="22"/>
                  <w:u w:val="none"/>
                </w:rPr>
                <w:t>Program Approval Procedure</w:t>
              </w:r>
            </w:hyperlink>
          </w:p>
          <w:p w14:paraId="5E2D1AC8" w14:textId="61765833" w:rsidR="00383299" w:rsidRPr="009B5DBF" w:rsidRDefault="00472043" w:rsidP="000E040B">
            <w:pPr>
              <w:spacing w:before="120" w:after="120" w:line="240" w:lineRule="auto"/>
              <w:rPr>
                <w:rFonts w:ascii="Arial" w:hAnsi="Arial" w:cs="Arial"/>
                <w:sz w:val="22"/>
              </w:rPr>
            </w:pPr>
            <w:hyperlink r:id="rId21" w:history="1">
              <w:r w:rsidR="00EF761F" w:rsidRPr="009B5DBF">
                <w:rPr>
                  <w:rStyle w:val="Hyperlink"/>
                  <w:rFonts w:ascii="Arial" w:hAnsi="Arial" w:cs="Arial"/>
                  <w:sz w:val="22"/>
                  <w:u w:val="none"/>
                </w:rPr>
                <w:t>Qualifications Procedure</w:t>
              </w:r>
            </w:hyperlink>
          </w:p>
        </w:tc>
      </w:tr>
      <w:tr w:rsidR="00383299" w:rsidRPr="00E80634" w14:paraId="7E2EA907" w14:textId="77777777" w:rsidTr="00CF1DAD">
        <w:tc>
          <w:tcPr>
            <w:tcW w:w="1222" w:type="pct"/>
            <w:tcBorders>
              <w:top w:val="single" w:sz="4" w:space="0" w:color="auto"/>
              <w:bottom w:val="single" w:sz="4" w:space="0" w:color="auto"/>
            </w:tcBorders>
            <w:shd w:val="clear" w:color="auto" w:fill="auto"/>
          </w:tcPr>
          <w:p w14:paraId="7947645D" w14:textId="0E418CF6" w:rsidR="00383299" w:rsidRPr="00E80634" w:rsidRDefault="00D13B7A" w:rsidP="000E040B">
            <w:pPr>
              <w:spacing w:before="120" w:after="120" w:line="240" w:lineRule="auto"/>
              <w:rPr>
                <w:rFonts w:ascii="Arial" w:hAnsi="Arial" w:cs="Arial"/>
                <w:sz w:val="22"/>
              </w:rPr>
            </w:pPr>
            <w:r w:rsidRPr="00E80634">
              <w:rPr>
                <w:rFonts w:ascii="Arial" w:hAnsi="Arial" w:cs="Arial"/>
                <w:sz w:val="22"/>
              </w:rPr>
              <w:t>Schedule</w:t>
            </w:r>
          </w:p>
        </w:tc>
        <w:tc>
          <w:tcPr>
            <w:tcW w:w="3778" w:type="pct"/>
            <w:tcBorders>
              <w:top w:val="single" w:sz="4" w:space="0" w:color="auto"/>
              <w:bottom w:val="single" w:sz="4" w:space="0" w:color="auto"/>
            </w:tcBorders>
            <w:shd w:val="clear" w:color="auto" w:fill="auto"/>
          </w:tcPr>
          <w:p w14:paraId="38F09106" w14:textId="0ECBA6EB" w:rsidR="00BD3B7A" w:rsidRPr="009B5DBF" w:rsidRDefault="0060743F" w:rsidP="000E040B">
            <w:pPr>
              <w:spacing w:before="120" w:after="120" w:line="240" w:lineRule="auto"/>
              <w:rPr>
                <w:rStyle w:val="Hyperlink"/>
                <w:rFonts w:ascii="Arial" w:hAnsi="Arial" w:cs="Arial"/>
                <w:sz w:val="22"/>
                <w:u w:val="none"/>
              </w:rPr>
            </w:pPr>
            <w:r w:rsidRPr="009B5DBF">
              <w:rPr>
                <w:rFonts w:ascii="Arial" w:hAnsi="Arial" w:cs="Arial"/>
                <w:sz w:val="22"/>
              </w:rPr>
              <w:fldChar w:fldCharType="begin"/>
            </w:r>
            <w:r w:rsidRPr="009B5DBF">
              <w:rPr>
                <w:rFonts w:ascii="Arial" w:hAnsi="Arial" w:cs="Arial"/>
                <w:sz w:val="22"/>
              </w:rPr>
              <w:instrText>HYPERLINK "https://sharepointpubstor.blob.core.windows.net/policylibrary-prod/Academic%20Awards%20Schedule.pdf"</w:instrText>
            </w:r>
            <w:r w:rsidRPr="009B5DBF">
              <w:rPr>
                <w:rFonts w:ascii="Arial" w:hAnsi="Arial" w:cs="Arial"/>
                <w:sz w:val="22"/>
              </w:rPr>
            </w:r>
            <w:r w:rsidRPr="009B5DBF">
              <w:rPr>
                <w:rFonts w:ascii="Arial" w:hAnsi="Arial" w:cs="Arial"/>
                <w:sz w:val="22"/>
              </w:rPr>
              <w:fldChar w:fldCharType="separate"/>
            </w:r>
            <w:r w:rsidR="00BD3B7A" w:rsidRPr="009B5DBF">
              <w:rPr>
                <w:rStyle w:val="Hyperlink"/>
                <w:rFonts w:ascii="Arial" w:hAnsi="Arial" w:cs="Arial"/>
                <w:sz w:val="22"/>
                <w:u w:val="none"/>
              </w:rPr>
              <w:t>Academic Awards Schedule</w:t>
            </w:r>
          </w:p>
          <w:p w14:paraId="42E2499B" w14:textId="078012D3" w:rsidR="00383299" w:rsidRPr="009B5DBF" w:rsidRDefault="0060743F" w:rsidP="000E040B">
            <w:pPr>
              <w:spacing w:before="120" w:after="120" w:line="240" w:lineRule="auto"/>
              <w:rPr>
                <w:rFonts w:ascii="Arial" w:hAnsi="Arial" w:cs="Arial"/>
                <w:sz w:val="22"/>
              </w:rPr>
            </w:pPr>
            <w:r w:rsidRPr="009B5DBF">
              <w:rPr>
                <w:rFonts w:ascii="Arial" w:hAnsi="Arial" w:cs="Arial"/>
                <w:sz w:val="22"/>
              </w:rPr>
              <w:fldChar w:fldCharType="end"/>
            </w:r>
            <w:hyperlink r:id="rId22" w:history="1">
              <w:r w:rsidR="00BD3B7A" w:rsidRPr="009B5DBF">
                <w:rPr>
                  <w:rStyle w:val="Hyperlink"/>
                  <w:rFonts w:ascii="Arial" w:hAnsi="Arial" w:cs="Arial"/>
                  <w:sz w:val="22"/>
                  <w:u w:val="none"/>
                </w:rPr>
                <w:t>Course Attributes Schedule</w:t>
              </w:r>
            </w:hyperlink>
            <w:r w:rsidR="00BD3B7A" w:rsidRPr="009B5DBF" w:rsidDel="00BD3B7A">
              <w:rPr>
                <w:rFonts w:ascii="Arial" w:hAnsi="Arial" w:cs="Arial"/>
                <w:sz w:val="22"/>
              </w:rPr>
              <w:t xml:space="preserve"> </w:t>
            </w:r>
          </w:p>
        </w:tc>
      </w:tr>
    </w:tbl>
    <w:p w14:paraId="6051B54C" w14:textId="77777777" w:rsidR="00383299" w:rsidRPr="00E80634" w:rsidRDefault="00383299" w:rsidP="000E040B">
      <w:pPr>
        <w:tabs>
          <w:tab w:val="left" w:pos="8550"/>
        </w:tabs>
        <w:spacing w:before="120" w:after="120" w:line="240" w:lineRule="auto"/>
        <w:rPr>
          <w:rFonts w:ascii="Arial" w:hAnsi="Arial" w:cs="Arial"/>
          <w:sz w:val="22"/>
        </w:rPr>
      </w:pPr>
    </w:p>
    <w:sectPr w:rsidR="00383299" w:rsidRPr="00E80634" w:rsidSect="00A40002">
      <w:headerReference w:type="default" r:id="rId23"/>
      <w:footerReference w:type="default" r:id="rId24"/>
      <w:headerReference w:type="first" r:id="rId25"/>
      <w:footerReference w:type="first" r:id="rId26"/>
      <w:pgSz w:w="11900" w:h="16820"/>
      <w:pgMar w:top="1985" w:right="737" w:bottom="851" w:left="737"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2EA4" w14:textId="77777777" w:rsidR="00A40002" w:rsidRDefault="00A40002" w:rsidP="00F45E9C">
      <w:r>
        <w:separator/>
      </w:r>
    </w:p>
  </w:endnote>
  <w:endnote w:type="continuationSeparator" w:id="0">
    <w:p w14:paraId="3B9581E9" w14:textId="77777777" w:rsidR="00A40002" w:rsidRDefault="00A40002" w:rsidP="00F45E9C">
      <w:r>
        <w:continuationSeparator/>
      </w:r>
    </w:p>
  </w:endnote>
  <w:endnote w:type="continuationNotice" w:id="1">
    <w:p w14:paraId="7B2258DA" w14:textId="77777777" w:rsidR="00A40002" w:rsidRDefault="00A40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ourier New"/>
    <w:panose1 w:val="020005030400000200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0978CF64" w14:textId="6C838963" w:rsidR="00F53C21" w:rsidRDefault="00F53C21" w:rsidP="00F53C2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Program and Course Policy</w:t>
        </w:r>
        <w:r w:rsidRPr="000209B9">
          <w:rPr>
            <w:rFonts w:asciiTheme="minorHAnsi" w:hAnsiTheme="minorHAnsi" w:cstheme="minorHAnsi"/>
            <w:color w:val="70787B"/>
            <w:sz w:val="15"/>
            <w:szCs w:val="15"/>
          </w:rPr>
          <w:t xml:space="preserve"> |</w:t>
        </w:r>
        <w:r w:rsidR="00F51801">
          <w:rPr>
            <w:rFonts w:asciiTheme="minorHAnsi" w:hAnsiTheme="minorHAnsi" w:cstheme="minorHAnsi"/>
            <w:color w:val="70787B"/>
            <w:sz w:val="15"/>
            <w:szCs w:val="15"/>
          </w:rPr>
          <w:t xml:space="preserve"> </w:t>
        </w:r>
        <w:r w:rsidR="00581B13">
          <w:rPr>
            <w:rFonts w:asciiTheme="minorHAnsi" w:hAnsiTheme="minorHAnsi" w:cstheme="minorHAnsi"/>
            <w:color w:val="70787B"/>
            <w:sz w:val="15"/>
            <w:szCs w:val="15"/>
          </w:rPr>
          <w:t xml:space="preserve">July </w:t>
        </w:r>
        <w:r w:rsidR="00F51801">
          <w:rPr>
            <w:rFonts w:asciiTheme="minorHAnsi" w:hAnsiTheme="minorHAnsi" w:cstheme="minorHAnsi"/>
            <w:color w:val="70787B"/>
            <w:sz w:val="15"/>
            <w:szCs w:val="15"/>
          </w:rPr>
          <w:t>2023</w:t>
        </w:r>
        <w:r w:rsidRPr="000209B9">
          <w:rPr>
            <w:rFonts w:asciiTheme="minorHAnsi" w:hAnsiTheme="minorHAnsi" w:cstheme="minorHAnsi"/>
            <w:color w:val="70787B"/>
            <w:sz w:val="15"/>
            <w:szCs w:val="15"/>
          </w:rPr>
          <w:t xml:space="preserve"> </w:t>
        </w:r>
      </w:p>
      <w:p w14:paraId="7AB8F143" w14:textId="0E2E2799" w:rsidR="00F53C21" w:rsidRPr="00F53C21" w:rsidRDefault="00F53C21" w:rsidP="00F53C21">
        <w:pPr>
          <w:spacing w:after="0" w:line="240" w:lineRule="auto"/>
          <w:jc w:val="right"/>
          <w:rPr>
            <w:rFonts w:asciiTheme="minorHAnsi" w:hAnsiTheme="minorHAnsi" w:cstheme="minorHAnsi"/>
            <w:color w:val="70787B"/>
            <w:szCs w:val="20"/>
          </w:rPr>
        </w:pPr>
        <w:r>
          <w:rPr>
            <w:rFonts w:asciiTheme="minorHAnsi" w:hAnsiTheme="minorHAnsi" w:cstheme="minorHAnsi"/>
            <w:color w:val="70787B"/>
            <w:sz w:val="15"/>
            <w:szCs w:val="15"/>
          </w:rPr>
          <w:t xml:space="preserve">Document number: </w:t>
        </w:r>
        <w:r w:rsidR="00581B13">
          <w:rPr>
            <w:rFonts w:asciiTheme="minorHAnsi" w:hAnsiTheme="minorHAnsi" w:cstheme="minorHAnsi"/>
            <w:color w:val="70787B"/>
            <w:sz w:val="15"/>
            <w:szCs w:val="15"/>
          </w:rPr>
          <w:t>2023/0000366</w:t>
        </w:r>
      </w:p>
      <w:p w14:paraId="368AFE9B" w14:textId="52E70DEC" w:rsidR="00EC76B1" w:rsidRDefault="00F53C21" w:rsidP="00F53C21">
        <w:pPr>
          <w:spacing w:after="0" w:line="240" w:lineRule="auto"/>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095278411"/>
      <w:docPartObj>
        <w:docPartGallery w:val="Page Numbers (Bottom of Page)"/>
        <w:docPartUnique/>
      </w:docPartObj>
    </w:sdtPr>
    <w:sdtEndPr>
      <w:rPr>
        <w:noProof/>
      </w:rPr>
    </w:sdtEndPr>
    <w:sdtContent>
      <w:p w14:paraId="66A3FF7A" w14:textId="52528DDF" w:rsidR="00E71B13" w:rsidRPr="00363A85" w:rsidRDefault="00E71B13" w:rsidP="00E71B13">
        <w:pPr>
          <w:pStyle w:val="Footer"/>
          <w:jc w:val="right"/>
          <w:rPr>
            <w:rFonts w:ascii="Calibri Light" w:hAnsi="Calibri Light"/>
            <w:noProof/>
          </w:rPr>
        </w:pPr>
        <w:r>
          <w:rPr>
            <w:noProof/>
          </w:rPr>
          <mc:AlternateContent>
            <mc:Choice Requires="wps">
              <w:drawing>
                <wp:anchor distT="0" distB="0" distL="114300" distR="114300" simplePos="0" relativeHeight="251668482" behindDoc="0" locked="0" layoutInCell="1" allowOverlap="1" wp14:anchorId="357C6F18" wp14:editId="7B1B8F17">
                  <wp:simplePos x="0" y="0"/>
                  <wp:positionH relativeFrom="page">
                    <wp:posOffset>-533717</wp:posOffset>
                  </wp:positionH>
                  <wp:positionV relativeFrom="paragraph">
                    <wp:posOffset>-2243773</wp:posOffset>
                  </wp:positionV>
                  <wp:extent cx="2349658" cy="1280860"/>
                  <wp:effectExtent l="952" t="0" r="0" b="0"/>
                  <wp:wrapNone/>
                  <wp:docPr id="7" name="Isosceles Triangle 1"/>
                  <wp:cNvGraphicFramePr/>
                  <a:graphic xmlns:a="http://schemas.openxmlformats.org/drawingml/2006/main">
                    <a:graphicData uri="http://schemas.microsoft.com/office/word/2010/wordprocessingShape">
                      <wps:wsp>
                        <wps:cNvSpPr/>
                        <wps:spPr>
                          <a:xfrm rot="5400000" flipH="1">
                            <a:off x="0" y="0"/>
                            <a:ext cx="2349658" cy="1280860"/>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8C33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2pt;margin-top:-176.7pt;width:185pt;height:100.85pt;rotation:-90;flip:x;z-index:25166848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" adj="9943" fillcolor="#d8d8d8 [2732]" stroked="f" strokeweight="1pt">
                  <w10:wrap anchorx="page"/>
                </v:shape>
              </w:pict>
            </mc:Fallback>
          </mc:AlternateContent>
        </w:r>
        <w:r>
          <w:rPr>
            <w:noProof/>
          </w:rPr>
          <mc:AlternateContent>
            <mc:Choice Requires="wps">
              <w:drawing>
                <wp:anchor distT="0" distB="0" distL="114300" distR="114300" simplePos="0" relativeHeight="251667458" behindDoc="0" locked="0" layoutInCell="1" allowOverlap="1" wp14:anchorId="5E4BE890" wp14:editId="773FD1C7">
                  <wp:simplePos x="0" y="0"/>
                  <wp:positionH relativeFrom="column">
                    <wp:posOffset>-628650</wp:posOffset>
                  </wp:positionH>
                  <wp:positionV relativeFrom="paragraph">
                    <wp:posOffset>-2781935</wp:posOffset>
                  </wp:positionV>
                  <wp:extent cx="3564184" cy="3564255"/>
                  <wp:effectExtent l="0" t="0" r="0" b="0"/>
                  <wp:wrapNone/>
                  <wp:docPr id="4" name="Right Triangle 1"/>
                  <wp:cNvGraphicFramePr/>
                  <a:graphic xmlns:a="http://schemas.openxmlformats.org/drawingml/2006/main">
                    <a:graphicData uri="http://schemas.microsoft.com/office/word/2010/wordprocessingShape">
                      <wps:wsp>
                        <wps:cNvSpPr/>
                        <wps:spPr>
                          <a:xfrm>
                            <a:off x="0" y="0"/>
                            <a:ext cx="3564184" cy="3564255"/>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0F2FE3"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9.5pt;margin-top:-219.05pt;width:280.65pt;height:280.65pt;z-index:251667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" fillcolor="#f2f2f2 [3052]" stroked="f" strokeweight="1pt"/>
              </w:pict>
            </mc:Fallback>
          </mc:AlternateContent>
        </w: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Pr>
            <w:rFonts w:ascii="Calibri Light" w:hAnsi="Calibri Light"/>
          </w:rPr>
          <w:t>2</w:t>
        </w:r>
        <w:r w:rsidRPr="00363A85">
          <w:rPr>
            <w:rFonts w:ascii="Calibri Light" w:hAnsi="Calibri Light"/>
            <w:noProof/>
          </w:rPr>
          <w:fldChar w:fldCharType="end"/>
        </w:r>
      </w:p>
      <w:p w14:paraId="3C8CE29B" w14:textId="77777777" w:rsidR="00E71B13" w:rsidRDefault="00E71B13" w:rsidP="00E71B1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Program and Course Policy</w:t>
        </w:r>
        <w:r w:rsidRPr="000209B9">
          <w:rPr>
            <w:rFonts w:asciiTheme="minorHAnsi" w:hAnsiTheme="minorHAnsi" w:cstheme="minorHAnsi"/>
            <w:color w:val="70787B"/>
            <w:sz w:val="15"/>
            <w:szCs w:val="15"/>
          </w:rPr>
          <w:t xml:space="preserve"> |</w:t>
        </w:r>
        <w:r>
          <w:rPr>
            <w:rFonts w:asciiTheme="minorHAnsi" w:hAnsiTheme="minorHAnsi" w:cstheme="minorHAnsi"/>
            <w:color w:val="70787B"/>
            <w:sz w:val="15"/>
            <w:szCs w:val="15"/>
          </w:rPr>
          <w:t xml:space="preserve"> July 2023</w:t>
        </w:r>
        <w:r w:rsidRPr="000209B9">
          <w:rPr>
            <w:rFonts w:asciiTheme="minorHAnsi" w:hAnsiTheme="minorHAnsi" w:cstheme="minorHAnsi"/>
            <w:color w:val="70787B"/>
            <w:sz w:val="15"/>
            <w:szCs w:val="15"/>
          </w:rPr>
          <w:t xml:space="preserve"> </w:t>
        </w:r>
      </w:p>
      <w:p w14:paraId="03DE34BF" w14:textId="1AADA393" w:rsidR="00E71B13" w:rsidRPr="00F53C21" w:rsidRDefault="00E71B13" w:rsidP="00E71B13">
        <w:pPr>
          <w:spacing w:after="0" w:line="240" w:lineRule="auto"/>
          <w:jc w:val="right"/>
          <w:rPr>
            <w:rFonts w:asciiTheme="minorHAnsi" w:hAnsiTheme="minorHAnsi" w:cstheme="minorHAnsi"/>
            <w:color w:val="70787B"/>
            <w:szCs w:val="20"/>
          </w:rPr>
        </w:pPr>
        <w:r>
          <w:rPr>
            <w:rFonts w:asciiTheme="minorHAnsi" w:hAnsiTheme="minorHAnsi" w:cstheme="minorHAnsi"/>
            <w:color w:val="70787B"/>
            <w:sz w:val="15"/>
            <w:szCs w:val="15"/>
          </w:rPr>
          <w:t>Document number: 2023/0000366</w:t>
        </w:r>
      </w:p>
      <w:p w14:paraId="6DC58C19" w14:textId="7BE73D16" w:rsidR="00E71B13" w:rsidRDefault="00E71B13" w:rsidP="00E71B13">
        <w:pPr>
          <w:spacing w:after="0" w:line="240" w:lineRule="auto"/>
          <w:jc w:val="right"/>
          <w:rPr>
            <w:noProof/>
          </w:rPr>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A152" w14:textId="77777777" w:rsidR="00A40002" w:rsidRDefault="00A40002" w:rsidP="00F45E9C">
      <w:r>
        <w:separator/>
      </w:r>
    </w:p>
  </w:footnote>
  <w:footnote w:type="continuationSeparator" w:id="0">
    <w:p w14:paraId="6CB6E2FF" w14:textId="77777777" w:rsidR="00A40002" w:rsidRDefault="00A40002" w:rsidP="00F45E9C">
      <w:r>
        <w:continuationSeparator/>
      </w:r>
    </w:p>
  </w:footnote>
  <w:footnote w:type="continuationNotice" w:id="1">
    <w:p w14:paraId="12F59409" w14:textId="77777777" w:rsidR="00A40002" w:rsidRDefault="00A40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66121CE0" w:rsidR="00D87683" w:rsidRPr="00577FA9" w:rsidRDefault="00DE7291" w:rsidP="00D87683">
    <w:pPr>
      <w:pStyle w:val="Header"/>
      <w:ind w:right="-348"/>
      <w:jc w:val="right"/>
      <w:rPr>
        <w:rFonts w:ascii="Arial" w:hAnsi="Arial" w:cs="Arial"/>
        <w:b/>
        <w:color w:val="FFFFFF" w:themeColor="background1"/>
        <w:sz w:val="52"/>
        <w:szCs w:val="52"/>
      </w:rPr>
    </w:pPr>
    <w:r w:rsidRPr="00CF1DAD">
      <w:rPr>
        <w:rFonts w:ascii="Griffith Sans Text" w:hAnsi="Griffith Sans Text" w:cs="Arial"/>
        <w:b/>
        <w:bCs/>
        <w:noProof/>
        <w:color w:val="E30918"/>
        <w:sz w:val="52"/>
        <w:szCs w:val="52"/>
      </w:rPr>
      <w:drawing>
        <wp:anchor distT="0" distB="0" distL="114300" distR="114300" simplePos="0" relativeHeight="251663362" behindDoc="1" locked="0" layoutInCell="1" allowOverlap="1" wp14:anchorId="5FEABBB4" wp14:editId="68CCFE28">
          <wp:simplePos x="0" y="0"/>
          <wp:positionH relativeFrom="margin">
            <wp:align>left</wp:align>
          </wp:positionH>
          <wp:positionV relativeFrom="page">
            <wp:posOffset>460400</wp:posOffset>
          </wp:positionV>
          <wp:extent cx="2047875" cy="434975"/>
          <wp:effectExtent l="0" t="0" r="9525" b="3175"/>
          <wp:wrapTight wrapText="bothSides">
            <wp:wrapPolygon edited="0">
              <wp:start x="0" y="0"/>
              <wp:lineTo x="0" y="20812"/>
              <wp:lineTo x="21500" y="20812"/>
              <wp:lineTo x="21500" y="0"/>
              <wp:lineTo x="0" y="0"/>
            </wp:wrapPolygon>
          </wp:wrapTight>
          <wp:docPr id="705223512" name="Picture 7052235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D87683"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CE46" w14:textId="4F1EE3F2" w:rsidR="00CF1DAD" w:rsidRPr="00E80634" w:rsidRDefault="00CF1DAD" w:rsidP="00C523B0">
    <w:pPr>
      <w:pStyle w:val="Header"/>
      <w:ind w:right="78"/>
      <w:jc w:val="right"/>
      <w:rPr>
        <w:b/>
        <w:bCs/>
        <w:color w:val="000000" w:themeColor="text1"/>
      </w:rPr>
    </w:pPr>
    <w:r w:rsidRPr="00CF1DAD">
      <w:rPr>
        <w:rFonts w:ascii="Griffith Sans Text" w:hAnsi="Griffith Sans Text" w:cs="Arial"/>
        <w:b/>
        <w:bCs/>
        <w:noProof/>
        <w:color w:val="E30918"/>
        <w:sz w:val="52"/>
        <w:szCs w:val="52"/>
      </w:rPr>
      <mc:AlternateContent>
        <mc:Choice Requires="wps">
          <w:drawing>
            <wp:anchor distT="0" distB="0" distL="114300" distR="114300" simplePos="0" relativeHeight="251660290" behindDoc="1" locked="0" layoutInCell="1" allowOverlap="1" wp14:anchorId="3FEEEF82" wp14:editId="1EB2A7ED">
              <wp:simplePos x="0" y="0"/>
              <wp:positionH relativeFrom="column">
                <wp:posOffset>2908655</wp:posOffset>
              </wp:positionH>
              <wp:positionV relativeFrom="page">
                <wp:posOffset>-757530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8E4B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29.05pt;margin-top:-59.65pt;width:450.35pt;height:220.55pt;rotation:180;z-index:-25165619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" fillcolor="#f40609" stroked="f" strokeweight="1pt">
              <w10:wrap anchory="page"/>
            </v:shape>
          </w:pict>
        </mc:Fallback>
      </mc:AlternateContent>
    </w:r>
    <w:r w:rsidRPr="00CF1DAD">
      <w:rPr>
        <w:rFonts w:ascii="Griffith Sans Text" w:hAnsi="Griffith Sans Text" w:cs="Arial"/>
        <w:b/>
        <w:bCs/>
        <w:noProof/>
        <w:color w:val="E30918"/>
        <w:sz w:val="52"/>
        <w:szCs w:val="52"/>
      </w:rPr>
      <w:drawing>
        <wp:anchor distT="0" distB="0" distL="114300" distR="114300" simplePos="0" relativeHeight="251661314" behindDoc="1" locked="0" layoutInCell="1" allowOverlap="1" wp14:anchorId="7AA01B22" wp14:editId="1B935B1C">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CF1DAD">
      <w:rPr>
        <w:rFonts w:ascii="Griffith Sans Text" w:hAnsi="Griffith Sans Text" w:cs="Arial"/>
        <w:b/>
        <w:bCs/>
        <w:color w:val="FFFFFF" w:themeColor="background1"/>
        <w:sz w:val="52"/>
        <w:szCs w:val="52"/>
      </w:rPr>
      <w:t>Policy</w:t>
    </w:r>
    <w:r>
      <w:rPr>
        <w:rFonts w:ascii="Arial" w:hAnsi="Arial" w:cs="Arial"/>
        <w:b/>
        <w:bCs/>
        <w:color w:val="FFFFFF" w:themeColor="background1"/>
        <w:sz w:val="22"/>
      </w:rPr>
      <w:br/>
    </w:r>
    <w:r>
      <w:rPr>
        <w:rFonts w:ascii="Arial" w:hAnsi="Arial" w:cs="Arial"/>
        <w:b/>
        <w:bCs/>
        <w:color w:val="FFFFFF" w:themeColor="background1"/>
        <w:sz w:val="22"/>
      </w:rPr>
      <w:br/>
    </w:r>
    <w:r w:rsidRPr="00E80634">
      <w:rPr>
        <w:rFonts w:ascii="Arial" w:hAnsi="Arial" w:cs="Arial"/>
        <w:b/>
        <w:bCs/>
        <w:color w:val="000000" w:themeColor="text1"/>
        <w:sz w:val="22"/>
        <w:u w:val="single"/>
      </w:rPr>
      <w:t>NOTE</w:t>
    </w:r>
    <w:r w:rsidRPr="00E80634">
      <w:rPr>
        <w:rFonts w:ascii="Arial" w:hAnsi="Arial" w:cs="Arial"/>
        <w:b/>
        <w:bCs/>
        <w:color w:val="000000" w:themeColor="text1"/>
        <w:sz w:val="22"/>
      </w:rPr>
      <w:t>:  Effective from Trimester 1 2024</w:t>
    </w:r>
    <w:r w:rsidRPr="00E80634">
      <w:rPr>
        <w:rFonts w:cs="Arial"/>
        <w:b/>
        <w:bCs/>
        <w:color w:val="000000" w:themeColor="text1"/>
        <w:sz w:val="52"/>
        <w:szCs w:val="52"/>
      </w:rPr>
      <w:t xml:space="preserve"> </w:t>
    </w:r>
  </w:p>
  <w:p w14:paraId="23353F24" w14:textId="11F8A808" w:rsidR="00CF1DAD" w:rsidRPr="00E80634" w:rsidRDefault="00CF1DAD">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BAD"/>
    <w:multiLevelType w:val="hybridMultilevel"/>
    <w:tmpl w:val="846E0148"/>
    <w:lvl w:ilvl="0" w:tplc="EDEC25B0">
      <w:start w:val="1"/>
      <w:numFmt w:val="bullet"/>
      <w:lvlText w:val=""/>
      <w:lvlJc w:val="left"/>
      <w:pPr>
        <w:ind w:left="720" w:hanging="360"/>
      </w:pPr>
      <w:rPr>
        <w:rFonts w:ascii="Symbol" w:hAnsi="Symbol" w:hint="default"/>
        <w:color w:val="E51F3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DD67131"/>
    <w:multiLevelType w:val="hybridMultilevel"/>
    <w:tmpl w:val="F05A4524"/>
    <w:lvl w:ilvl="0" w:tplc="EDEC25B0">
      <w:start w:val="1"/>
      <w:numFmt w:val="bullet"/>
      <w:lvlText w:val=""/>
      <w:lvlJc w:val="left"/>
      <w:pPr>
        <w:ind w:left="1440" w:hanging="360"/>
      </w:pPr>
      <w:rPr>
        <w:rFonts w:ascii="Symbol" w:hAnsi="Symbol" w:hint="default"/>
        <w:color w:val="E51F30"/>
        <w:sz w:val="2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D434BC"/>
    <w:multiLevelType w:val="multilevel"/>
    <w:tmpl w:val="AE9C028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E6C1532"/>
    <w:multiLevelType w:val="hybridMultilevel"/>
    <w:tmpl w:val="C9DEEE0E"/>
    <w:lvl w:ilvl="0" w:tplc="CAAEE890">
      <w:start w:val="1"/>
      <w:numFmt w:val="bullet"/>
      <w:lvlText w:val=""/>
      <w:lvlJc w:val="left"/>
      <w:pPr>
        <w:ind w:left="720" w:hanging="360"/>
      </w:pPr>
      <w:rPr>
        <w:rFonts w:ascii="Wingdings" w:hAnsi="Wingdings" w:hint="default"/>
        <w:color w:val="E3091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9"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8A3459"/>
    <w:multiLevelType w:val="hybridMultilevel"/>
    <w:tmpl w:val="E904F38A"/>
    <w:lvl w:ilvl="0" w:tplc="CAAEE890">
      <w:start w:val="1"/>
      <w:numFmt w:val="bullet"/>
      <w:lvlText w:val=""/>
      <w:lvlJc w:val="left"/>
      <w:pPr>
        <w:ind w:left="1440" w:hanging="360"/>
      </w:pPr>
      <w:rPr>
        <w:rFonts w:ascii="Wingdings" w:hAnsi="Wingdings" w:hint="default"/>
        <w:color w:val="E30918"/>
        <w:sz w:val="2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BBF2505"/>
    <w:multiLevelType w:val="hybridMultilevel"/>
    <w:tmpl w:val="FA461874"/>
    <w:lvl w:ilvl="0" w:tplc="CAAEE890">
      <w:start w:val="1"/>
      <w:numFmt w:val="bullet"/>
      <w:lvlText w:val=""/>
      <w:lvlJc w:val="left"/>
      <w:pPr>
        <w:ind w:left="1080" w:hanging="360"/>
      </w:pPr>
      <w:rPr>
        <w:rFonts w:ascii="Wingdings" w:hAnsi="Wingdings" w:hint="default"/>
        <w:color w:val="E30918"/>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37594886">
    <w:abstractNumId w:val="7"/>
  </w:num>
  <w:num w:numId="2" w16cid:durableId="1015502453">
    <w:abstractNumId w:val="4"/>
  </w:num>
  <w:num w:numId="3" w16cid:durableId="674456938">
    <w:abstractNumId w:val="19"/>
  </w:num>
  <w:num w:numId="4" w16cid:durableId="1737318443">
    <w:abstractNumId w:val="37"/>
  </w:num>
  <w:num w:numId="5" w16cid:durableId="2138448052">
    <w:abstractNumId w:val="23"/>
  </w:num>
  <w:num w:numId="6" w16cid:durableId="1370379092">
    <w:abstractNumId w:val="21"/>
  </w:num>
  <w:num w:numId="7" w16cid:durableId="986129475">
    <w:abstractNumId w:val="26"/>
  </w:num>
  <w:num w:numId="8" w16cid:durableId="707294612">
    <w:abstractNumId w:val="6"/>
  </w:num>
  <w:num w:numId="9" w16cid:durableId="749498433">
    <w:abstractNumId w:val="11"/>
  </w:num>
  <w:num w:numId="10" w16cid:durableId="1384479531">
    <w:abstractNumId w:val="30"/>
  </w:num>
  <w:num w:numId="11" w16cid:durableId="1371884210">
    <w:abstractNumId w:val="17"/>
  </w:num>
  <w:num w:numId="12" w16cid:durableId="2082941524">
    <w:abstractNumId w:val="27"/>
  </w:num>
  <w:num w:numId="13" w16cid:durableId="1559826907">
    <w:abstractNumId w:val="5"/>
  </w:num>
  <w:num w:numId="14" w16cid:durableId="1669753136">
    <w:abstractNumId w:val="28"/>
  </w:num>
  <w:num w:numId="15" w16cid:durableId="1045984116">
    <w:abstractNumId w:val="3"/>
  </w:num>
  <w:num w:numId="16" w16cid:durableId="836263594">
    <w:abstractNumId w:val="12"/>
  </w:num>
  <w:num w:numId="17" w16cid:durableId="675577314">
    <w:abstractNumId w:val="1"/>
  </w:num>
  <w:num w:numId="18" w16cid:durableId="1106315124">
    <w:abstractNumId w:val="22"/>
  </w:num>
  <w:num w:numId="19" w16cid:durableId="961112636">
    <w:abstractNumId w:val="24"/>
  </w:num>
  <w:num w:numId="20" w16cid:durableId="47531830">
    <w:abstractNumId w:val="18"/>
  </w:num>
  <w:num w:numId="21" w16cid:durableId="2028747235">
    <w:abstractNumId w:val="16"/>
  </w:num>
  <w:num w:numId="22" w16cid:durableId="1070272625">
    <w:abstractNumId w:val="15"/>
  </w:num>
  <w:num w:numId="23" w16cid:durableId="1444154699">
    <w:abstractNumId w:val="25"/>
  </w:num>
  <w:num w:numId="24" w16cid:durableId="1490099298">
    <w:abstractNumId w:val="34"/>
  </w:num>
  <w:num w:numId="25" w16cid:durableId="2063823753">
    <w:abstractNumId w:val="20"/>
  </w:num>
  <w:num w:numId="26" w16cid:durableId="1879199157">
    <w:abstractNumId w:val="8"/>
  </w:num>
  <w:num w:numId="27" w16cid:durableId="1172840424">
    <w:abstractNumId w:val="13"/>
  </w:num>
  <w:num w:numId="28" w16cid:durableId="444158734">
    <w:abstractNumId w:val="29"/>
  </w:num>
  <w:num w:numId="29" w16cid:durableId="512379351">
    <w:abstractNumId w:val="9"/>
  </w:num>
  <w:num w:numId="30" w16cid:durableId="802427888">
    <w:abstractNumId w:val="31"/>
  </w:num>
  <w:num w:numId="31" w16cid:durableId="135731973">
    <w:abstractNumId w:val="35"/>
  </w:num>
  <w:num w:numId="32" w16cid:durableId="354162313">
    <w:abstractNumId w:val="32"/>
  </w:num>
  <w:num w:numId="33" w16cid:durableId="943194452">
    <w:abstractNumId w:val="10"/>
  </w:num>
  <w:num w:numId="34" w16cid:durableId="1772697424">
    <w:abstractNumId w:val="14"/>
  </w:num>
  <w:num w:numId="35" w16cid:durableId="1835341210">
    <w:abstractNumId w:val="36"/>
  </w:num>
  <w:num w:numId="36" w16cid:durableId="1874265714">
    <w:abstractNumId w:val="33"/>
  </w:num>
  <w:num w:numId="37" w16cid:durableId="1172992562">
    <w:abstractNumId w:val="0"/>
  </w:num>
  <w:num w:numId="38" w16cid:durableId="1015618564">
    <w:abstractNumId w:val="2"/>
  </w:num>
  <w:num w:numId="39" w16cid:durableId="8701933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DYxNDUyNzYxMLdU0lEKTi0uzszPAykwrAUApFmXjywAAAA="/>
  </w:docVars>
  <w:rsids>
    <w:rsidRoot w:val="00BB332B"/>
    <w:rsid w:val="00001814"/>
    <w:rsid w:val="0001254D"/>
    <w:rsid w:val="000209B9"/>
    <w:rsid w:val="000214B8"/>
    <w:rsid w:val="00023997"/>
    <w:rsid w:val="000372F6"/>
    <w:rsid w:val="00037E6F"/>
    <w:rsid w:val="000408E3"/>
    <w:rsid w:val="00040BB8"/>
    <w:rsid w:val="00041B5B"/>
    <w:rsid w:val="00042E2C"/>
    <w:rsid w:val="00045D5F"/>
    <w:rsid w:val="00050910"/>
    <w:rsid w:val="00051573"/>
    <w:rsid w:val="00052E7B"/>
    <w:rsid w:val="00053A5F"/>
    <w:rsid w:val="000576DF"/>
    <w:rsid w:val="000674C0"/>
    <w:rsid w:val="00071436"/>
    <w:rsid w:val="00081FC0"/>
    <w:rsid w:val="00083D19"/>
    <w:rsid w:val="000A63B9"/>
    <w:rsid w:val="000B3767"/>
    <w:rsid w:val="000B7D0C"/>
    <w:rsid w:val="000D5843"/>
    <w:rsid w:val="000E040B"/>
    <w:rsid w:val="000E2A8A"/>
    <w:rsid w:val="000E3D3A"/>
    <w:rsid w:val="000E46E9"/>
    <w:rsid w:val="000E4CBE"/>
    <w:rsid w:val="000E4D41"/>
    <w:rsid w:val="000E5D52"/>
    <w:rsid w:val="000E5D83"/>
    <w:rsid w:val="000F0714"/>
    <w:rsid w:val="000F0B20"/>
    <w:rsid w:val="00102763"/>
    <w:rsid w:val="00102D19"/>
    <w:rsid w:val="001040E4"/>
    <w:rsid w:val="00105063"/>
    <w:rsid w:val="0010768E"/>
    <w:rsid w:val="00122CF0"/>
    <w:rsid w:val="001254E2"/>
    <w:rsid w:val="0013141E"/>
    <w:rsid w:val="00140E32"/>
    <w:rsid w:val="00147A35"/>
    <w:rsid w:val="00147B11"/>
    <w:rsid w:val="00152D7D"/>
    <w:rsid w:val="001537D5"/>
    <w:rsid w:val="00162972"/>
    <w:rsid w:val="001733E5"/>
    <w:rsid w:val="001735D3"/>
    <w:rsid w:val="0017412E"/>
    <w:rsid w:val="00180673"/>
    <w:rsid w:val="00180A28"/>
    <w:rsid w:val="00181BF5"/>
    <w:rsid w:val="00186917"/>
    <w:rsid w:val="00192ACD"/>
    <w:rsid w:val="001957E9"/>
    <w:rsid w:val="001A0DF5"/>
    <w:rsid w:val="001A138A"/>
    <w:rsid w:val="001A1ABF"/>
    <w:rsid w:val="001A1FEC"/>
    <w:rsid w:val="001B72C6"/>
    <w:rsid w:val="001D0C8A"/>
    <w:rsid w:val="001D0DB6"/>
    <w:rsid w:val="001D2660"/>
    <w:rsid w:val="001D7338"/>
    <w:rsid w:val="001E36F0"/>
    <w:rsid w:val="001E6438"/>
    <w:rsid w:val="002015FA"/>
    <w:rsid w:val="002043F8"/>
    <w:rsid w:val="0020674E"/>
    <w:rsid w:val="002241DB"/>
    <w:rsid w:val="00224B0B"/>
    <w:rsid w:val="00231E7F"/>
    <w:rsid w:val="00246CB4"/>
    <w:rsid w:val="00257E43"/>
    <w:rsid w:val="002622BC"/>
    <w:rsid w:val="00271484"/>
    <w:rsid w:val="0027526D"/>
    <w:rsid w:val="0028053E"/>
    <w:rsid w:val="00284B6F"/>
    <w:rsid w:val="00292052"/>
    <w:rsid w:val="002A1DE8"/>
    <w:rsid w:val="002A3E45"/>
    <w:rsid w:val="002A78A0"/>
    <w:rsid w:val="002B02ED"/>
    <w:rsid w:val="002B100C"/>
    <w:rsid w:val="002B5AE6"/>
    <w:rsid w:val="002C4450"/>
    <w:rsid w:val="002D64A4"/>
    <w:rsid w:val="002E1C61"/>
    <w:rsid w:val="002E4FA8"/>
    <w:rsid w:val="002F13EA"/>
    <w:rsid w:val="002F5132"/>
    <w:rsid w:val="002F52A9"/>
    <w:rsid w:val="003045F8"/>
    <w:rsid w:val="003075BC"/>
    <w:rsid w:val="00322FF9"/>
    <w:rsid w:val="00332215"/>
    <w:rsid w:val="00332EC1"/>
    <w:rsid w:val="00333B53"/>
    <w:rsid w:val="003504C4"/>
    <w:rsid w:val="00350CB0"/>
    <w:rsid w:val="00350DE3"/>
    <w:rsid w:val="00352033"/>
    <w:rsid w:val="00363A85"/>
    <w:rsid w:val="003664F0"/>
    <w:rsid w:val="00370E3F"/>
    <w:rsid w:val="003757C4"/>
    <w:rsid w:val="0037658D"/>
    <w:rsid w:val="00376FB2"/>
    <w:rsid w:val="00382F39"/>
    <w:rsid w:val="00383299"/>
    <w:rsid w:val="003873FF"/>
    <w:rsid w:val="0039444E"/>
    <w:rsid w:val="003A0C00"/>
    <w:rsid w:val="003A7367"/>
    <w:rsid w:val="003B0C9A"/>
    <w:rsid w:val="003B1D32"/>
    <w:rsid w:val="003C20B4"/>
    <w:rsid w:val="003C4CA3"/>
    <w:rsid w:val="003D0FE4"/>
    <w:rsid w:val="003D418D"/>
    <w:rsid w:val="003D51F2"/>
    <w:rsid w:val="003D5267"/>
    <w:rsid w:val="003D5B12"/>
    <w:rsid w:val="003E0B6D"/>
    <w:rsid w:val="003E1E69"/>
    <w:rsid w:val="003E37AF"/>
    <w:rsid w:val="003E514B"/>
    <w:rsid w:val="003F2781"/>
    <w:rsid w:val="003F2FB5"/>
    <w:rsid w:val="004127D7"/>
    <w:rsid w:val="00413A8A"/>
    <w:rsid w:val="004144E6"/>
    <w:rsid w:val="00414B79"/>
    <w:rsid w:val="00423383"/>
    <w:rsid w:val="00441014"/>
    <w:rsid w:val="004415B7"/>
    <w:rsid w:val="004430BB"/>
    <w:rsid w:val="00452F4C"/>
    <w:rsid w:val="00457151"/>
    <w:rsid w:val="00463053"/>
    <w:rsid w:val="00464423"/>
    <w:rsid w:val="00470DC3"/>
    <w:rsid w:val="004723ED"/>
    <w:rsid w:val="00473800"/>
    <w:rsid w:val="004A5982"/>
    <w:rsid w:val="004A6E71"/>
    <w:rsid w:val="004B25E1"/>
    <w:rsid w:val="004B38E1"/>
    <w:rsid w:val="004C2C2A"/>
    <w:rsid w:val="004C49E3"/>
    <w:rsid w:val="004D0EE6"/>
    <w:rsid w:val="004D2BE0"/>
    <w:rsid w:val="004D7998"/>
    <w:rsid w:val="004F3E9A"/>
    <w:rsid w:val="00500023"/>
    <w:rsid w:val="0050415F"/>
    <w:rsid w:val="005104A1"/>
    <w:rsid w:val="00511137"/>
    <w:rsid w:val="005177EE"/>
    <w:rsid w:val="00525C75"/>
    <w:rsid w:val="00541F5A"/>
    <w:rsid w:val="0054556E"/>
    <w:rsid w:val="00545FF8"/>
    <w:rsid w:val="00547ADF"/>
    <w:rsid w:val="00553B87"/>
    <w:rsid w:val="0055651E"/>
    <w:rsid w:val="00557E43"/>
    <w:rsid w:val="00560079"/>
    <w:rsid w:val="00564685"/>
    <w:rsid w:val="005649EC"/>
    <w:rsid w:val="00566AE0"/>
    <w:rsid w:val="005703AB"/>
    <w:rsid w:val="00572381"/>
    <w:rsid w:val="005738ED"/>
    <w:rsid w:val="00573A3D"/>
    <w:rsid w:val="005758D8"/>
    <w:rsid w:val="00577FA9"/>
    <w:rsid w:val="00581B13"/>
    <w:rsid w:val="005859FB"/>
    <w:rsid w:val="00590C60"/>
    <w:rsid w:val="005A03C1"/>
    <w:rsid w:val="005A09EF"/>
    <w:rsid w:val="005A612B"/>
    <w:rsid w:val="005B5914"/>
    <w:rsid w:val="005B5C34"/>
    <w:rsid w:val="005C15C5"/>
    <w:rsid w:val="005C3DBA"/>
    <w:rsid w:val="005E2BCC"/>
    <w:rsid w:val="005E4006"/>
    <w:rsid w:val="005E4E5F"/>
    <w:rsid w:val="0060743F"/>
    <w:rsid w:val="00611E7C"/>
    <w:rsid w:val="00620C28"/>
    <w:rsid w:val="0063687B"/>
    <w:rsid w:val="006464C6"/>
    <w:rsid w:val="00647006"/>
    <w:rsid w:val="00650F00"/>
    <w:rsid w:val="0065542A"/>
    <w:rsid w:val="006616B3"/>
    <w:rsid w:val="006626D7"/>
    <w:rsid w:val="00667F87"/>
    <w:rsid w:val="006724AD"/>
    <w:rsid w:val="00674AC7"/>
    <w:rsid w:val="00676E5C"/>
    <w:rsid w:val="00683E5F"/>
    <w:rsid w:val="00686AED"/>
    <w:rsid w:val="006942E5"/>
    <w:rsid w:val="00696054"/>
    <w:rsid w:val="006970F7"/>
    <w:rsid w:val="006A4F70"/>
    <w:rsid w:val="006B5D3A"/>
    <w:rsid w:val="006C182A"/>
    <w:rsid w:val="006C2418"/>
    <w:rsid w:val="006D1A97"/>
    <w:rsid w:val="006E0ED8"/>
    <w:rsid w:val="006E7560"/>
    <w:rsid w:val="006F4902"/>
    <w:rsid w:val="00701F3E"/>
    <w:rsid w:val="00702795"/>
    <w:rsid w:val="00704A2C"/>
    <w:rsid w:val="00707E82"/>
    <w:rsid w:val="0071121B"/>
    <w:rsid w:val="0071307A"/>
    <w:rsid w:val="0071388E"/>
    <w:rsid w:val="007176E3"/>
    <w:rsid w:val="00722957"/>
    <w:rsid w:val="0072491E"/>
    <w:rsid w:val="00742899"/>
    <w:rsid w:val="007527C8"/>
    <w:rsid w:val="0075505C"/>
    <w:rsid w:val="0075730D"/>
    <w:rsid w:val="007608EF"/>
    <w:rsid w:val="00761065"/>
    <w:rsid w:val="0076122F"/>
    <w:rsid w:val="007706AB"/>
    <w:rsid w:val="00771F35"/>
    <w:rsid w:val="00773B30"/>
    <w:rsid w:val="00774DDD"/>
    <w:rsid w:val="0077631B"/>
    <w:rsid w:val="00776C5D"/>
    <w:rsid w:val="007837D8"/>
    <w:rsid w:val="00784315"/>
    <w:rsid w:val="007866BC"/>
    <w:rsid w:val="0078767D"/>
    <w:rsid w:val="00791177"/>
    <w:rsid w:val="0079386C"/>
    <w:rsid w:val="00797551"/>
    <w:rsid w:val="007A3046"/>
    <w:rsid w:val="007A578C"/>
    <w:rsid w:val="007B089E"/>
    <w:rsid w:val="007B23FB"/>
    <w:rsid w:val="007B685A"/>
    <w:rsid w:val="007C00D0"/>
    <w:rsid w:val="007C744D"/>
    <w:rsid w:val="007D2C38"/>
    <w:rsid w:val="007E542B"/>
    <w:rsid w:val="007E7482"/>
    <w:rsid w:val="007F1C81"/>
    <w:rsid w:val="00807345"/>
    <w:rsid w:val="008075B2"/>
    <w:rsid w:val="00813D87"/>
    <w:rsid w:val="00823301"/>
    <w:rsid w:val="00825110"/>
    <w:rsid w:val="008267C5"/>
    <w:rsid w:val="00830E02"/>
    <w:rsid w:val="00831703"/>
    <w:rsid w:val="00834839"/>
    <w:rsid w:val="00843997"/>
    <w:rsid w:val="0084695A"/>
    <w:rsid w:val="008542C4"/>
    <w:rsid w:val="00854ED8"/>
    <w:rsid w:val="0086273D"/>
    <w:rsid w:val="00863385"/>
    <w:rsid w:val="00871013"/>
    <w:rsid w:val="00875ECB"/>
    <w:rsid w:val="008B48A8"/>
    <w:rsid w:val="008B4DAA"/>
    <w:rsid w:val="008B625E"/>
    <w:rsid w:val="008C56C6"/>
    <w:rsid w:val="008D0206"/>
    <w:rsid w:val="008D14C7"/>
    <w:rsid w:val="008D5F25"/>
    <w:rsid w:val="008E4C9F"/>
    <w:rsid w:val="008E5D69"/>
    <w:rsid w:val="008E7228"/>
    <w:rsid w:val="008F42AC"/>
    <w:rsid w:val="008F5D03"/>
    <w:rsid w:val="00902125"/>
    <w:rsid w:val="00911012"/>
    <w:rsid w:val="0091111B"/>
    <w:rsid w:val="00911B41"/>
    <w:rsid w:val="0091205A"/>
    <w:rsid w:val="00912993"/>
    <w:rsid w:val="00915748"/>
    <w:rsid w:val="009252DB"/>
    <w:rsid w:val="0092637C"/>
    <w:rsid w:val="00926581"/>
    <w:rsid w:val="00933D23"/>
    <w:rsid w:val="0094206B"/>
    <w:rsid w:val="009459B4"/>
    <w:rsid w:val="00945B70"/>
    <w:rsid w:val="00946B2D"/>
    <w:rsid w:val="00954F24"/>
    <w:rsid w:val="00955677"/>
    <w:rsid w:val="00960E56"/>
    <w:rsid w:val="0096474B"/>
    <w:rsid w:val="00967AFD"/>
    <w:rsid w:val="0097437D"/>
    <w:rsid w:val="00974E55"/>
    <w:rsid w:val="00980F8E"/>
    <w:rsid w:val="00981FE7"/>
    <w:rsid w:val="00983C8A"/>
    <w:rsid w:val="0098690D"/>
    <w:rsid w:val="0098747B"/>
    <w:rsid w:val="00990C3D"/>
    <w:rsid w:val="0099187B"/>
    <w:rsid w:val="0099689E"/>
    <w:rsid w:val="00997D62"/>
    <w:rsid w:val="009B3179"/>
    <w:rsid w:val="009B5DBF"/>
    <w:rsid w:val="009B7685"/>
    <w:rsid w:val="009C3D6A"/>
    <w:rsid w:val="009E2F2F"/>
    <w:rsid w:val="009F15CB"/>
    <w:rsid w:val="009F313A"/>
    <w:rsid w:val="009F6603"/>
    <w:rsid w:val="009F66F7"/>
    <w:rsid w:val="00A04082"/>
    <w:rsid w:val="00A127BD"/>
    <w:rsid w:val="00A1311D"/>
    <w:rsid w:val="00A24E55"/>
    <w:rsid w:val="00A25AA1"/>
    <w:rsid w:val="00A375AE"/>
    <w:rsid w:val="00A40002"/>
    <w:rsid w:val="00A40D57"/>
    <w:rsid w:val="00A47788"/>
    <w:rsid w:val="00A50C42"/>
    <w:rsid w:val="00A50ED4"/>
    <w:rsid w:val="00A60321"/>
    <w:rsid w:val="00A63331"/>
    <w:rsid w:val="00A64338"/>
    <w:rsid w:val="00A65908"/>
    <w:rsid w:val="00A7785F"/>
    <w:rsid w:val="00A81F82"/>
    <w:rsid w:val="00A84CEC"/>
    <w:rsid w:val="00A8677D"/>
    <w:rsid w:val="00A95F56"/>
    <w:rsid w:val="00A961AC"/>
    <w:rsid w:val="00AA0A63"/>
    <w:rsid w:val="00AA227D"/>
    <w:rsid w:val="00AA4460"/>
    <w:rsid w:val="00AB30DD"/>
    <w:rsid w:val="00AB5659"/>
    <w:rsid w:val="00AB79FC"/>
    <w:rsid w:val="00AC25B5"/>
    <w:rsid w:val="00AD09AE"/>
    <w:rsid w:val="00AD12FC"/>
    <w:rsid w:val="00AE4EA8"/>
    <w:rsid w:val="00AF3B1E"/>
    <w:rsid w:val="00AF4034"/>
    <w:rsid w:val="00AF4713"/>
    <w:rsid w:val="00AF4E9D"/>
    <w:rsid w:val="00AF5BF6"/>
    <w:rsid w:val="00AF6AEC"/>
    <w:rsid w:val="00B03A41"/>
    <w:rsid w:val="00B04BAA"/>
    <w:rsid w:val="00B12E6A"/>
    <w:rsid w:val="00B25419"/>
    <w:rsid w:val="00B25A19"/>
    <w:rsid w:val="00B268D5"/>
    <w:rsid w:val="00B306C2"/>
    <w:rsid w:val="00B34AA7"/>
    <w:rsid w:val="00B4330B"/>
    <w:rsid w:val="00B43C60"/>
    <w:rsid w:val="00B53615"/>
    <w:rsid w:val="00B67268"/>
    <w:rsid w:val="00B847D5"/>
    <w:rsid w:val="00B90033"/>
    <w:rsid w:val="00B954C5"/>
    <w:rsid w:val="00BA5B5E"/>
    <w:rsid w:val="00BA729F"/>
    <w:rsid w:val="00BA7F01"/>
    <w:rsid w:val="00BB332B"/>
    <w:rsid w:val="00BB407A"/>
    <w:rsid w:val="00BB66B5"/>
    <w:rsid w:val="00BC3ED3"/>
    <w:rsid w:val="00BC55CF"/>
    <w:rsid w:val="00BD083F"/>
    <w:rsid w:val="00BD3B7A"/>
    <w:rsid w:val="00BF01F5"/>
    <w:rsid w:val="00BF4C05"/>
    <w:rsid w:val="00C125D4"/>
    <w:rsid w:val="00C16500"/>
    <w:rsid w:val="00C311BE"/>
    <w:rsid w:val="00C31ECA"/>
    <w:rsid w:val="00C33BD9"/>
    <w:rsid w:val="00C33CC5"/>
    <w:rsid w:val="00C40554"/>
    <w:rsid w:val="00C43588"/>
    <w:rsid w:val="00C44A1B"/>
    <w:rsid w:val="00C523B0"/>
    <w:rsid w:val="00C5755D"/>
    <w:rsid w:val="00C61357"/>
    <w:rsid w:val="00C64897"/>
    <w:rsid w:val="00C655EF"/>
    <w:rsid w:val="00C74FCB"/>
    <w:rsid w:val="00C80F2E"/>
    <w:rsid w:val="00C87FBA"/>
    <w:rsid w:val="00C91165"/>
    <w:rsid w:val="00C956A1"/>
    <w:rsid w:val="00C96814"/>
    <w:rsid w:val="00CA3352"/>
    <w:rsid w:val="00CA74F9"/>
    <w:rsid w:val="00CB102C"/>
    <w:rsid w:val="00CB4EE9"/>
    <w:rsid w:val="00CB5A81"/>
    <w:rsid w:val="00CC35E8"/>
    <w:rsid w:val="00CC43B2"/>
    <w:rsid w:val="00CC69B4"/>
    <w:rsid w:val="00CD4DCE"/>
    <w:rsid w:val="00CD6D22"/>
    <w:rsid w:val="00CE0A50"/>
    <w:rsid w:val="00CE127E"/>
    <w:rsid w:val="00CE4484"/>
    <w:rsid w:val="00CF1DAD"/>
    <w:rsid w:val="00CF2EBA"/>
    <w:rsid w:val="00D13B7A"/>
    <w:rsid w:val="00D20DE3"/>
    <w:rsid w:val="00D31975"/>
    <w:rsid w:val="00D33E0C"/>
    <w:rsid w:val="00D35A2C"/>
    <w:rsid w:val="00D44766"/>
    <w:rsid w:val="00D5114B"/>
    <w:rsid w:val="00D66192"/>
    <w:rsid w:val="00D6694E"/>
    <w:rsid w:val="00D66ECF"/>
    <w:rsid w:val="00D67F1F"/>
    <w:rsid w:val="00D725A0"/>
    <w:rsid w:val="00D83EFA"/>
    <w:rsid w:val="00D855AA"/>
    <w:rsid w:val="00D86597"/>
    <w:rsid w:val="00D87683"/>
    <w:rsid w:val="00D87A3F"/>
    <w:rsid w:val="00D94F19"/>
    <w:rsid w:val="00D95767"/>
    <w:rsid w:val="00DA348D"/>
    <w:rsid w:val="00DA3C93"/>
    <w:rsid w:val="00DB46CC"/>
    <w:rsid w:val="00DD7190"/>
    <w:rsid w:val="00DD72B2"/>
    <w:rsid w:val="00DE207C"/>
    <w:rsid w:val="00DE7291"/>
    <w:rsid w:val="00DE745A"/>
    <w:rsid w:val="00DF173D"/>
    <w:rsid w:val="00DF1FF6"/>
    <w:rsid w:val="00DF2436"/>
    <w:rsid w:val="00E00AD2"/>
    <w:rsid w:val="00E02A2F"/>
    <w:rsid w:val="00E036DA"/>
    <w:rsid w:val="00E149BA"/>
    <w:rsid w:val="00E14ADF"/>
    <w:rsid w:val="00E166AD"/>
    <w:rsid w:val="00E17726"/>
    <w:rsid w:val="00E21235"/>
    <w:rsid w:val="00E225C6"/>
    <w:rsid w:val="00E40567"/>
    <w:rsid w:val="00E406BB"/>
    <w:rsid w:val="00E5631A"/>
    <w:rsid w:val="00E61154"/>
    <w:rsid w:val="00E63894"/>
    <w:rsid w:val="00E71B13"/>
    <w:rsid w:val="00E80634"/>
    <w:rsid w:val="00E84FFA"/>
    <w:rsid w:val="00E86FBC"/>
    <w:rsid w:val="00E95651"/>
    <w:rsid w:val="00EA00C0"/>
    <w:rsid w:val="00EA268C"/>
    <w:rsid w:val="00EA6390"/>
    <w:rsid w:val="00EA6454"/>
    <w:rsid w:val="00EB67EB"/>
    <w:rsid w:val="00EB789F"/>
    <w:rsid w:val="00EC0BCC"/>
    <w:rsid w:val="00EC76B1"/>
    <w:rsid w:val="00ED12B6"/>
    <w:rsid w:val="00ED3DBE"/>
    <w:rsid w:val="00EE02E1"/>
    <w:rsid w:val="00EE0DB5"/>
    <w:rsid w:val="00EE421A"/>
    <w:rsid w:val="00EE646E"/>
    <w:rsid w:val="00EF083E"/>
    <w:rsid w:val="00EF0FC1"/>
    <w:rsid w:val="00EF2D1C"/>
    <w:rsid w:val="00EF4F3F"/>
    <w:rsid w:val="00EF761F"/>
    <w:rsid w:val="00F014A2"/>
    <w:rsid w:val="00F02DBB"/>
    <w:rsid w:val="00F035C0"/>
    <w:rsid w:val="00F06B1A"/>
    <w:rsid w:val="00F06CFE"/>
    <w:rsid w:val="00F13E06"/>
    <w:rsid w:val="00F3151F"/>
    <w:rsid w:val="00F41226"/>
    <w:rsid w:val="00F45E9C"/>
    <w:rsid w:val="00F51801"/>
    <w:rsid w:val="00F53069"/>
    <w:rsid w:val="00F53C21"/>
    <w:rsid w:val="00F5679E"/>
    <w:rsid w:val="00F63133"/>
    <w:rsid w:val="00F65E11"/>
    <w:rsid w:val="00F673C0"/>
    <w:rsid w:val="00F70AB0"/>
    <w:rsid w:val="00F801FF"/>
    <w:rsid w:val="00F814A4"/>
    <w:rsid w:val="00F92F84"/>
    <w:rsid w:val="00F97A5A"/>
    <w:rsid w:val="00FA0A41"/>
    <w:rsid w:val="00FA1219"/>
    <w:rsid w:val="00FA6336"/>
    <w:rsid w:val="00FA64E1"/>
    <w:rsid w:val="00FB0914"/>
    <w:rsid w:val="00FB353A"/>
    <w:rsid w:val="00FB60AE"/>
    <w:rsid w:val="00FB6309"/>
    <w:rsid w:val="00FB7F8C"/>
    <w:rsid w:val="00FC11A6"/>
    <w:rsid w:val="00FC25DD"/>
    <w:rsid w:val="00FC4968"/>
    <w:rsid w:val="00FC4EBB"/>
    <w:rsid w:val="00FC5552"/>
    <w:rsid w:val="00FD4F36"/>
    <w:rsid w:val="00FD5A49"/>
    <w:rsid w:val="00FE0943"/>
    <w:rsid w:val="00FE28CF"/>
    <w:rsid w:val="00FE505D"/>
    <w:rsid w:val="00FE6177"/>
    <w:rsid w:val="00FF5957"/>
    <w:rsid w:val="00FF5A04"/>
    <w:rsid w:val="31D49250"/>
    <w:rsid w:val="36D733DE"/>
    <w:rsid w:val="7BE86FA5"/>
    <w:rsid w:val="7C22EB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character" w:customStyle="1" w:styleId="normaltextrun">
    <w:name w:val="normaltextrun"/>
    <w:basedOn w:val="DefaultParagraphFont"/>
    <w:rsid w:val="00383299"/>
  </w:style>
  <w:style w:type="character" w:customStyle="1" w:styleId="eop">
    <w:name w:val="eop"/>
    <w:basedOn w:val="DefaultParagraphFont"/>
    <w:rsid w:val="00383299"/>
  </w:style>
  <w:style w:type="paragraph" w:styleId="Revision">
    <w:name w:val="Revision"/>
    <w:hidden/>
    <w:uiPriority w:val="99"/>
    <w:semiHidden/>
    <w:rsid w:val="006E0ED8"/>
    <w:rPr>
      <w:rFonts w:ascii="Foundry Sterling Book" w:hAnsi="Foundry Sterling Book"/>
      <w:sz w:val="20"/>
      <w:szCs w:val="22"/>
      <w:lang w:eastAsia="en-AU"/>
    </w:rPr>
  </w:style>
  <w:style w:type="character" w:styleId="CommentReference">
    <w:name w:val="annotation reference"/>
    <w:basedOn w:val="DefaultParagraphFont"/>
    <w:uiPriority w:val="99"/>
    <w:semiHidden/>
    <w:unhideWhenUsed/>
    <w:rsid w:val="001B72C6"/>
    <w:rPr>
      <w:sz w:val="16"/>
      <w:szCs w:val="16"/>
    </w:rPr>
  </w:style>
  <w:style w:type="paragraph" w:styleId="CommentText">
    <w:name w:val="annotation text"/>
    <w:basedOn w:val="Normal"/>
    <w:link w:val="CommentTextChar"/>
    <w:uiPriority w:val="99"/>
    <w:unhideWhenUsed/>
    <w:rsid w:val="001B72C6"/>
    <w:pPr>
      <w:spacing w:line="240" w:lineRule="auto"/>
    </w:pPr>
    <w:rPr>
      <w:szCs w:val="20"/>
    </w:rPr>
  </w:style>
  <w:style w:type="character" w:customStyle="1" w:styleId="CommentTextChar">
    <w:name w:val="Comment Text Char"/>
    <w:basedOn w:val="DefaultParagraphFont"/>
    <w:link w:val="CommentText"/>
    <w:uiPriority w:val="99"/>
    <w:rsid w:val="001B72C6"/>
    <w:rPr>
      <w:rFonts w:ascii="Foundry Sterling Book" w:hAnsi="Foundry Sterling Book"/>
      <w:sz w:val="20"/>
      <w:szCs w:val="20"/>
      <w:lang w:eastAsia="en-AU"/>
    </w:rPr>
  </w:style>
  <w:style w:type="paragraph" w:styleId="CommentSubject">
    <w:name w:val="annotation subject"/>
    <w:basedOn w:val="CommentText"/>
    <w:next w:val="CommentText"/>
    <w:link w:val="CommentSubjectChar"/>
    <w:uiPriority w:val="99"/>
    <w:semiHidden/>
    <w:unhideWhenUsed/>
    <w:rsid w:val="001B72C6"/>
    <w:rPr>
      <w:b/>
      <w:bCs/>
    </w:rPr>
  </w:style>
  <w:style w:type="character" w:customStyle="1" w:styleId="CommentSubjectChar">
    <w:name w:val="Comment Subject Char"/>
    <w:basedOn w:val="CommentTextChar"/>
    <w:link w:val="CommentSubject"/>
    <w:uiPriority w:val="99"/>
    <w:semiHidden/>
    <w:rsid w:val="001B72C6"/>
    <w:rPr>
      <w:rFonts w:ascii="Foundry Sterling Book" w:hAnsi="Foundry Sterling Book"/>
      <w:b/>
      <w:bCs/>
      <w:sz w:val="20"/>
      <w:szCs w:val="20"/>
      <w:lang w:eastAsia="en-AU"/>
    </w:rPr>
  </w:style>
  <w:style w:type="character" w:styleId="Mention">
    <w:name w:val="Mention"/>
    <w:basedOn w:val="DefaultParagraphFont"/>
    <w:uiPriority w:val="99"/>
    <w:rsid w:val="001B72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7L01182" TargetMode="External"/><Relationship Id="rId18" Type="http://schemas.openxmlformats.org/officeDocument/2006/relationships/hyperlink" Target="https://sharepointpubstor.blob.core.windows.net/policylibrary-prod/Micro-credential%20and%20Digital%20Badge%20Approval%20and%20Review%20Procedure.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harepointpubstor.blob.core.windows.net/policylibrary-prod/Qualifications%20Procedure.pdf" TargetMode="External"/><Relationship Id="rId7" Type="http://schemas.openxmlformats.org/officeDocument/2006/relationships/settings" Target="settings.xml"/><Relationship Id="rId12" Type="http://schemas.openxmlformats.org/officeDocument/2006/relationships/hyperlink" Target="https://www.legislation.gov.au/Details/F2022C00105" TargetMode="External"/><Relationship Id="rId17" Type="http://schemas.openxmlformats.org/officeDocument/2006/relationships/hyperlink" Target="https://sharepointpubstor.blob.core.windows.net/policylibrary-prod/Course%20Attributes%20and%20Requirements%20Procedur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harepointpubstor.blob.core.windows.net/policylibrary-prod/Course%20Approval%20Procedure.pdf" TargetMode="External"/><Relationship Id="rId20" Type="http://schemas.openxmlformats.org/officeDocument/2006/relationships/hyperlink" Target="https://sharepointpubstor.blob.core.windows.net/policylibrary-prod/Program%20Approval%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qf.edu.au/publication/aqf-second-edi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harepointpubstor.blob.core.windows.net/policylibrary-prod/Quality%20Assurance%20Policy.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harepointpubstor.blob.core.windows.net/policylibrary-prod/Program%20and%20Course%20Review%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Higher%20Degree%20by%20Research%20Policy.pdf" TargetMode="External"/><Relationship Id="rId22" Type="http://schemas.openxmlformats.org/officeDocument/2006/relationships/hyperlink" Target="https://sharepointpubstor.blob.core.windows.net/policylibrary-prod/Course%20Attributes%20Schedule.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2021-09-30T02:56:41+00:00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Academic:Learning and Teaching</PolicyCategoryPath>
    <PolicyCategory0 xmlns="2f261a70-825f-4a37-b7b5-f6ecc2f4c5fa">Learning and Teaching</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551</Value>
      <Value>88</Value>
      <Value>518</Value>
      <Value>242</Value>
      <Value>77</Value>
    </TaxCatchAll>
    <PolicyCategoryParent xmlns="2f261a70-825f-4a37-b7b5-f6ecc2f4c5fa">Academic</PolicyCategoryParent>
    <LastPublished xmlns="2f261a70-825f-4a37-b7b5-f6ecc2f4c5fa">2021-09-30T14:00:00+00:00</LastPublished>
    <doccomments xmlns="2f261a70-825f-4a37-b7b5-f6ecc2f4c5fa">30/09/2021 - 04/2021 Academic Committee (16 Sept meeting) approved the new Program and Course Policy which covers Griffith’s approach to program approval and review, for implementation effective from 1 October 2021.
16/06/2022 - Standing COO administrative update – Updating links to related policies that previously had not yet been approved</doccomments>
    <datedeclared xmlns="2f261a70-825f-4a37-b7b5-f6ecc2f4c5fa">2021-09-30T14:00:00+00:00</datedeclared>
    <PrivatePolicy xmlns="2f261a70-825f-4a37-b7b5-f6ecc2f4c5fa">false</PrivatePolicy>
    <policyadvisor xmlns="2f261a70-825f-4a37-b7b5-f6ecc2f4c5fa">
      <UserInfo>
        <DisplayName>Georgina Ma</DisplayName>
        <AccountId>56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7AD6-2D24-452C-BA2D-4C1DD94A6C30}">
  <ds:schemaRefs>
    <ds:schemaRef ds:uri="http://schemas.microsoft.com/office/infopath/2007/PartnerControls"/>
    <ds:schemaRef ds:uri="http://purl.org/dc/terms/"/>
    <ds:schemaRef ds:uri="2f261a70-825f-4a37-b7b5-f6ecc2f4c5f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40c662e-0380-4817-843d-2c7e10d40c39"/>
    <ds:schemaRef ds:uri="http://www.w3.org/XML/1998/namespace"/>
    <ds:schemaRef ds:uri="http://purl.org/dc/dcmitype/"/>
  </ds:schemaRefs>
</ds:datastoreItem>
</file>

<file path=customXml/itemProps2.xml><?xml version="1.0" encoding="utf-8"?>
<ds:datastoreItem xmlns:ds="http://schemas.openxmlformats.org/officeDocument/2006/customXml" ds:itemID="{552B7DD4-61C6-4BF9-95BC-9665C6E5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Program and Course Policy</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Course Policy</dc:title>
  <dc:subject/>
  <dc:creator>Rebecca Voisey</dc:creator>
  <cp:keywords/>
  <dc:description/>
  <cp:lastModifiedBy>Donna Kalaentzis</cp:lastModifiedBy>
  <cp:revision>2</cp:revision>
  <cp:lastPrinted>2019-10-02T04:35:00Z</cp:lastPrinted>
  <dcterms:created xsi:type="dcterms:W3CDTF">2024-04-22T01:32:00Z</dcterms:created>
  <dcterms:modified xsi:type="dcterms:W3CDTF">2024-04-22T01:32:00Z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88;#Academic Committee|7e8af15c-aa65-4b9b-bab9-4850413bd480</vt:lpwstr>
  </property>
  <property fmtid="{D5CDD505-2E9C-101B-9397-08002B2CF9AE}" pid="12" name="policycategory">
    <vt:lpwstr/>
  </property>
  <property fmtid="{D5CDD505-2E9C-101B-9397-08002B2CF9AE}" pid="13" name="glossaryterms">
    <vt:lpwstr/>
  </property>
  <property fmtid="{D5CDD505-2E9C-101B-9397-08002B2CF9AE}" pid="14" name="officearea">
    <vt:lpwstr>551;#Student Life|10f28419-8eea-4122-9bbc-3c3d69c6fcc4</vt:lpwstr>
  </property>
  <property fmtid="{D5CDD505-2E9C-101B-9397-08002B2CF9AE}" pid="15" name="policyreview">
    <vt:lpwstr>242;#2026|0e39d474-4c22-40b4-8b37-f0e7c9e0e124</vt:lpwstr>
  </property>
  <property fmtid="{D5CDD505-2E9C-101B-9397-08002B2CF9AE}" pid="16" name="policyaudience">
    <vt:lpwstr>77;#Staff|45ee306d-49ae-43fa-a3ef-02f70754fd2d</vt:lpwstr>
  </property>
  <property fmtid="{D5CDD505-2E9C-101B-9397-08002B2CF9AE}" pid="17" name="policy-category">
    <vt:lpwstr>518;#Learning and Teaching|446e0cdd-d096-4b26-b8f8-0a6485e32142</vt:lpwstr>
  </property>
  <property fmtid="{D5CDD505-2E9C-101B-9397-08002B2CF9AE}" pid="18" name="MSIP_Label_adaa4be3-f650-4692-881a-64ae220cbceb_Enabled">
    <vt:lpwstr>true</vt:lpwstr>
  </property>
  <property fmtid="{D5CDD505-2E9C-101B-9397-08002B2CF9AE}" pid="19" name="MSIP_Label_adaa4be3-f650-4692-881a-64ae220cbceb_SetDate">
    <vt:lpwstr>2022-11-08T00:37:51Z</vt:lpwstr>
  </property>
  <property fmtid="{D5CDD505-2E9C-101B-9397-08002B2CF9AE}" pid="20" name="MSIP_Label_adaa4be3-f650-4692-881a-64ae220cbceb_Method">
    <vt:lpwstr>Standard</vt:lpwstr>
  </property>
  <property fmtid="{D5CDD505-2E9C-101B-9397-08002B2CF9AE}" pid="21" name="MSIP_Label_adaa4be3-f650-4692-881a-64ae220cbceb_Name">
    <vt:lpwstr>OFFICIAL  Internal (External sharing)</vt:lpwstr>
  </property>
  <property fmtid="{D5CDD505-2E9C-101B-9397-08002B2CF9AE}" pid="22" name="MSIP_Label_adaa4be3-f650-4692-881a-64ae220cbceb_SiteId">
    <vt:lpwstr>5a7cc8ab-a4dc-4f9b-bf60-66714049ad62</vt:lpwstr>
  </property>
  <property fmtid="{D5CDD505-2E9C-101B-9397-08002B2CF9AE}" pid="23" name="MSIP_Label_adaa4be3-f650-4692-881a-64ae220cbceb_ActionId">
    <vt:lpwstr>e73adc70-8073-4e6b-af9d-0a4b7063c0e7</vt:lpwstr>
  </property>
  <property fmtid="{D5CDD505-2E9C-101B-9397-08002B2CF9AE}" pid="24" name="MSIP_Label_adaa4be3-f650-4692-881a-64ae220cbceb_ContentBits">
    <vt:lpwstr>0</vt:lpwstr>
  </property>
  <property fmtid="{D5CDD505-2E9C-101B-9397-08002B2CF9AE}" pid="25" name="Managed_Testing_Field">
    <vt:lpwstr/>
  </property>
</Properties>
</file>