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90DC" w14:textId="77777777" w:rsidR="00B60154" w:rsidRPr="00C52A20" w:rsidRDefault="00D855F6" w:rsidP="00D906F6">
      <w:pPr>
        <w:pStyle w:val="ContentsHeading1"/>
        <w:pBdr>
          <w:bottom w:val="none" w:sz="0" w:space="0" w:color="auto"/>
        </w:pBdr>
        <w:spacing w:before="120" w:after="120"/>
        <w:rPr>
          <w:rFonts w:ascii="Arial" w:hAnsi="Arial" w:cs="Arial"/>
          <w:sz w:val="52"/>
          <w:szCs w:val="52"/>
        </w:rPr>
      </w:pPr>
      <w:bookmarkStart w:id="0" w:name="_Ref20321537"/>
      <w:bookmarkStart w:id="1" w:name="_Ref20411738"/>
      <w:bookmarkStart w:id="2" w:name="_Ref20411785"/>
      <w:r w:rsidRPr="00C52A20">
        <w:rPr>
          <w:rFonts w:ascii="Arial" w:hAnsi="Arial" w:cs="Arial"/>
          <w:sz w:val="52"/>
          <w:szCs w:val="52"/>
        </w:rPr>
        <w:t>Program Approva</w:t>
      </w:r>
      <w:r w:rsidR="00AF273D" w:rsidRPr="00C52A20">
        <w:rPr>
          <w:rFonts w:ascii="Arial" w:hAnsi="Arial" w:cs="Arial"/>
          <w:sz w:val="52"/>
          <w:szCs w:val="52"/>
        </w:rPr>
        <w:t>l</w:t>
      </w:r>
    </w:p>
    <w:p w14:paraId="6B0BAE59" w14:textId="1C7D9102" w:rsidR="003C7A8B" w:rsidRPr="00C52A20" w:rsidRDefault="003C7A8B" w:rsidP="00D906F6">
      <w:pPr>
        <w:spacing w:after="0" w:line="240" w:lineRule="auto"/>
        <w:rPr>
          <w:rFonts w:ascii="Arial" w:hAnsi="Arial" w:cs="Arial"/>
          <w:color w:val="E30918"/>
          <w:sz w:val="24"/>
          <w:szCs w:val="24"/>
          <w:shd w:val="clear" w:color="auto" w:fill="FFFFFF"/>
        </w:rPr>
      </w:pPr>
      <w:r w:rsidRPr="00C52A20">
        <w:rPr>
          <w:rFonts w:ascii="Arial" w:hAnsi="Arial" w:cs="Arial"/>
          <w:color w:val="E30918"/>
          <w:sz w:val="24"/>
          <w:szCs w:val="24"/>
          <w:shd w:val="clear" w:color="auto" w:fill="FFFFFF"/>
        </w:rPr>
        <w:fldChar w:fldCharType="begin"/>
      </w:r>
      <w:r w:rsidRPr="00C52A20">
        <w:rPr>
          <w:rFonts w:ascii="Arial" w:hAnsi="Arial" w:cs="Arial"/>
          <w:color w:val="E30918"/>
          <w:sz w:val="24"/>
          <w:szCs w:val="24"/>
          <w:shd w:val="clear" w:color="auto" w:fill="FFFFFF"/>
        </w:rPr>
        <w:instrText xml:space="preserve"> REF _Ref20480964 \h  \* MERGEFORMAT </w:instrText>
      </w:r>
      <w:r w:rsidRPr="00C52A20">
        <w:rPr>
          <w:rFonts w:ascii="Arial" w:hAnsi="Arial" w:cs="Arial"/>
          <w:color w:val="E30918"/>
          <w:sz w:val="24"/>
          <w:szCs w:val="24"/>
          <w:shd w:val="clear" w:color="auto" w:fill="FFFFFF"/>
        </w:rPr>
      </w:r>
      <w:r w:rsidRPr="00C52A20">
        <w:rPr>
          <w:rFonts w:ascii="Arial" w:hAnsi="Arial" w:cs="Arial"/>
          <w:color w:val="E30918"/>
          <w:sz w:val="24"/>
          <w:szCs w:val="24"/>
          <w:shd w:val="clear" w:color="auto" w:fill="FFFFFF"/>
        </w:rPr>
        <w:fldChar w:fldCharType="separate"/>
      </w:r>
      <w:r w:rsidR="00AF273D" w:rsidRPr="00C52A20">
        <w:rPr>
          <w:rFonts w:ascii="Arial" w:hAnsi="Arial" w:cs="Arial"/>
          <w:color w:val="E30918"/>
          <w:sz w:val="24"/>
          <w:szCs w:val="24"/>
          <w:shd w:val="clear" w:color="auto" w:fill="FFFFFF"/>
        </w:rPr>
        <w:t>1.0 Purpose</w:t>
      </w:r>
      <w:r w:rsidRPr="00C52A20">
        <w:rPr>
          <w:rFonts w:ascii="Arial" w:hAnsi="Arial" w:cs="Arial"/>
          <w:color w:val="E30918"/>
          <w:sz w:val="24"/>
          <w:szCs w:val="24"/>
          <w:shd w:val="clear" w:color="auto" w:fill="FFFFFF"/>
        </w:rPr>
        <w:fldChar w:fldCharType="end"/>
      </w:r>
    </w:p>
    <w:p w14:paraId="476835C3" w14:textId="151EA70C" w:rsidR="006B720B" w:rsidRPr="00C52A20" w:rsidRDefault="006B720B" w:rsidP="00D906F6">
      <w:pPr>
        <w:spacing w:after="0" w:line="240" w:lineRule="auto"/>
        <w:rPr>
          <w:rFonts w:ascii="Arial" w:hAnsi="Arial" w:cs="Arial"/>
          <w:color w:val="E30918"/>
          <w:sz w:val="24"/>
          <w:szCs w:val="24"/>
          <w:shd w:val="clear" w:color="auto" w:fill="FFFFFF"/>
        </w:rPr>
      </w:pPr>
      <w:r w:rsidRPr="00C52A20">
        <w:rPr>
          <w:rFonts w:ascii="Arial" w:hAnsi="Arial" w:cs="Arial"/>
          <w:color w:val="E30918"/>
          <w:sz w:val="24"/>
          <w:szCs w:val="24"/>
          <w:shd w:val="clear" w:color="auto" w:fill="FFFFFF"/>
        </w:rPr>
        <w:t xml:space="preserve">2.0 </w:t>
      </w:r>
      <w:hyperlink w:anchor="_2.0_Scope" w:history="1">
        <w:r w:rsidRPr="00C52A20">
          <w:rPr>
            <w:rStyle w:val="Hyperlink"/>
            <w:rFonts w:ascii="Arial" w:hAnsi="Arial" w:cs="Arial"/>
            <w:sz w:val="24"/>
            <w:szCs w:val="24"/>
            <w:u w:val="none"/>
            <w:shd w:val="clear" w:color="auto" w:fill="FFFFFF"/>
          </w:rPr>
          <w:t>Scope</w:t>
        </w:r>
      </w:hyperlink>
    </w:p>
    <w:p w14:paraId="5A20D534" w14:textId="27E57AF2" w:rsidR="003C7A8B" w:rsidRPr="00C52A20" w:rsidRDefault="006B720B" w:rsidP="00D906F6">
      <w:pPr>
        <w:spacing w:after="0" w:line="240" w:lineRule="auto"/>
        <w:rPr>
          <w:rFonts w:ascii="Arial" w:hAnsi="Arial" w:cs="Arial"/>
          <w:color w:val="E30918"/>
          <w:sz w:val="24"/>
          <w:szCs w:val="24"/>
          <w:shd w:val="clear" w:color="auto" w:fill="FFFFFF"/>
        </w:rPr>
      </w:pPr>
      <w:r w:rsidRPr="00C52A20">
        <w:rPr>
          <w:rFonts w:ascii="Arial" w:hAnsi="Arial" w:cs="Arial"/>
          <w:color w:val="E30918"/>
          <w:sz w:val="24"/>
          <w:szCs w:val="24"/>
          <w:shd w:val="clear" w:color="auto" w:fill="FFFFFF"/>
        </w:rPr>
        <w:t xml:space="preserve">3.0 </w:t>
      </w:r>
      <w:hyperlink w:anchor="_3.0_Procedure" w:history="1">
        <w:r w:rsidRPr="00C52A20">
          <w:rPr>
            <w:rStyle w:val="Hyperlink"/>
            <w:rFonts w:ascii="Arial" w:hAnsi="Arial" w:cs="Arial"/>
            <w:sz w:val="24"/>
            <w:szCs w:val="24"/>
            <w:u w:val="none"/>
            <w:shd w:val="clear" w:color="auto" w:fill="FFFFFF"/>
          </w:rPr>
          <w:t>Procedure</w:t>
        </w:r>
      </w:hyperlink>
    </w:p>
    <w:p w14:paraId="38A006DB" w14:textId="3116731D" w:rsidR="003C7A8B" w:rsidRPr="00C52A20" w:rsidRDefault="00000000" w:rsidP="00C52A20">
      <w:pPr>
        <w:spacing w:after="0" w:line="240" w:lineRule="auto"/>
        <w:ind w:left="284"/>
        <w:rPr>
          <w:rFonts w:ascii="Arial" w:hAnsi="Arial" w:cs="Arial"/>
          <w:color w:val="E30918"/>
          <w:sz w:val="24"/>
          <w:szCs w:val="24"/>
          <w:shd w:val="clear" w:color="auto" w:fill="FFFFFF"/>
        </w:rPr>
      </w:pPr>
      <w:hyperlink w:anchor="_3.1_Approval_of" w:history="1">
        <w:r w:rsidR="003C7A8B" w:rsidRPr="00C52A20">
          <w:rPr>
            <w:rStyle w:val="Hyperlink"/>
            <w:rFonts w:ascii="Arial" w:hAnsi="Arial" w:cs="Arial"/>
            <w:sz w:val="24"/>
            <w:szCs w:val="24"/>
            <w:u w:val="none"/>
            <w:shd w:val="clear" w:color="auto" w:fill="FFFFFF"/>
          </w:rPr>
          <w:t xml:space="preserve">3.1 </w:t>
        </w:r>
        <w:r w:rsidR="008A4D93" w:rsidRPr="00C52A20">
          <w:rPr>
            <w:rStyle w:val="Hyperlink"/>
            <w:rFonts w:ascii="Arial" w:hAnsi="Arial" w:cs="Arial"/>
            <w:sz w:val="24"/>
            <w:szCs w:val="24"/>
            <w:u w:val="none"/>
            <w:shd w:val="clear" w:color="auto" w:fill="FFFFFF"/>
          </w:rPr>
          <w:t>Approval of new programs</w:t>
        </w:r>
      </w:hyperlink>
      <w:r w:rsidR="003C7A8B" w:rsidRPr="00C52A20">
        <w:rPr>
          <w:rFonts w:ascii="Arial" w:hAnsi="Arial" w:cs="Arial"/>
          <w:color w:val="E30918"/>
          <w:sz w:val="24"/>
          <w:szCs w:val="24"/>
          <w:shd w:val="clear" w:color="auto" w:fill="FFFFFF"/>
        </w:rPr>
        <w:t xml:space="preserve"> I </w:t>
      </w:r>
      <w:hyperlink w:anchor="_3.2_Approval_of" w:history="1">
        <w:r w:rsidR="003C7A8B" w:rsidRPr="00C52A20">
          <w:rPr>
            <w:rStyle w:val="Hyperlink"/>
            <w:rFonts w:ascii="Arial" w:hAnsi="Arial" w:cs="Arial"/>
            <w:sz w:val="24"/>
            <w:szCs w:val="24"/>
            <w:u w:val="none"/>
            <w:shd w:val="clear" w:color="auto" w:fill="FFFFFF"/>
          </w:rPr>
          <w:t xml:space="preserve">3.2 </w:t>
        </w:r>
        <w:r w:rsidR="008A4D93" w:rsidRPr="00C52A20">
          <w:rPr>
            <w:rStyle w:val="Hyperlink"/>
            <w:rFonts w:ascii="Arial" w:hAnsi="Arial" w:cs="Arial"/>
            <w:sz w:val="24"/>
            <w:szCs w:val="24"/>
            <w:u w:val="none"/>
            <w:shd w:val="clear" w:color="auto" w:fill="FFFFFF"/>
          </w:rPr>
          <w:t>Approval of major changes to existing programs</w:t>
        </w:r>
      </w:hyperlink>
      <w:r w:rsidR="008A4D93" w:rsidRPr="00C52A20">
        <w:rPr>
          <w:rStyle w:val="Hyperlink"/>
          <w:rFonts w:ascii="Arial" w:hAnsi="Arial" w:cs="Arial"/>
          <w:sz w:val="24"/>
          <w:szCs w:val="24"/>
          <w:u w:val="none"/>
          <w:shd w:val="clear" w:color="auto" w:fill="FFFFFF"/>
        </w:rPr>
        <w:t xml:space="preserve"> </w:t>
      </w:r>
      <w:hyperlink w:anchor="_3.3_Approval_of_1" w:history="1">
        <w:r w:rsidR="003C7A8B" w:rsidRPr="00C52A20">
          <w:rPr>
            <w:rStyle w:val="Hyperlink"/>
            <w:rFonts w:ascii="Arial" w:hAnsi="Arial" w:cs="Arial"/>
            <w:sz w:val="24"/>
            <w:szCs w:val="24"/>
            <w:u w:val="none"/>
            <w:shd w:val="clear" w:color="auto" w:fill="FFFFFF"/>
          </w:rPr>
          <w:t>I 3.3</w:t>
        </w:r>
        <w:r w:rsidR="00237311" w:rsidRPr="00C52A20">
          <w:rPr>
            <w:rStyle w:val="Hyperlink"/>
            <w:rFonts w:ascii="Arial" w:hAnsi="Arial" w:cs="Arial"/>
            <w:sz w:val="24"/>
            <w:szCs w:val="24"/>
            <w:u w:val="none"/>
            <w:shd w:val="clear" w:color="auto" w:fill="FFFFFF"/>
          </w:rPr>
          <w:t xml:space="preserve"> Approval of other program changes</w:t>
        </w:r>
        <w:r w:rsidR="003C7A8B" w:rsidRPr="00C52A20">
          <w:rPr>
            <w:rStyle w:val="Hyperlink"/>
            <w:rFonts w:ascii="Arial" w:hAnsi="Arial" w:cs="Arial"/>
            <w:sz w:val="24"/>
            <w:szCs w:val="24"/>
            <w:u w:val="none"/>
            <w:shd w:val="clear" w:color="auto" w:fill="FFFFFF"/>
          </w:rPr>
          <w:t xml:space="preserve"> I</w:t>
        </w:r>
      </w:hyperlink>
      <w:r w:rsidR="00237311" w:rsidRPr="00C52A20">
        <w:rPr>
          <w:rStyle w:val="Hyperlink"/>
          <w:rFonts w:ascii="Arial" w:hAnsi="Arial" w:cs="Arial"/>
          <w:sz w:val="24"/>
          <w:szCs w:val="24"/>
          <w:u w:val="none"/>
          <w:shd w:val="clear" w:color="auto" w:fill="FFFFFF"/>
        </w:rPr>
        <w:t xml:space="preserve"> </w:t>
      </w:r>
      <w:hyperlink w:anchor="_Approval_of_program" w:history="1">
        <w:r w:rsidR="00237311" w:rsidRPr="00C52A20">
          <w:rPr>
            <w:rStyle w:val="Hyperlink"/>
            <w:rFonts w:ascii="Arial" w:hAnsi="Arial" w:cs="Arial"/>
            <w:sz w:val="24"/>
            <w:szCs w:val="24"/>
            <w:u w:val="none"/>
            <w:shd w:val="clear" w:color="auto" w:fill="FFFFFF"/>
          </w:rPr>
          <w:t>3.4 Approval of program withdrawal</w:t>
        </w:r>
      </w:hyperlink>
      <w:r w:rsidR="00747401" w:rsidRPr="00C52A20">
        <w:rPr>
          <w:rFonts w:ascii="Arial" w:hAnsi="Arial" w:cs="Arial"/>
          <w:color w:val="E30918"/>
          <w:sz w:val="24"/>
          <w:szCs w:val="24"/>
          <w:shd w:val="clear" w:color="auto" w:fill="FFFFFF"/>
        </w:rPr>
        <w:t xml:space="preserve"> I </w:t>
      </w:r>
      <w:hyperlink w:anchor="_Approval_of_Non-Award" w:history="1">
        <w:r w:rsidR="00747401" w:rsidRPr="00C52A20">
          <w:rPr>
            <w:rStyle w:val="Hyperlink"/>
            <w:rFonts w:ascii="Arial" w:hAnsi="Arial" w:cs="Arial"/>
            <w:sz w:val="24"/>
            <w:szCs w:val="24"/>
            <w:u w:val="none"/>
            <w:shd w:val="clear" w:color="auto" w:fill="FFFFFF"/>
          </w:rPr>
          <w:t>3.5 Approval of non-award programs</w:t>
        </w:r>
      </w:hyperlink>
    </w:p>
    <w:p w14:paraId="6E33C6AA" w14:textId="113B84FE" w:rsidR="003C7A8B" w:rsidRPr="00C52A20" w:rsidRDefault="003C7A8B" w:rsidP="00D906F6">
      <w:pPr>
        <w:spacing w:after="0" w:line="240" w:lineRule="auto"/>
        <w:rPr>
          <w:rFonts w:ascii="Arial" w:hAnsi="Arial" w:cs="Arial"/>
          <w:color w:val="E30918"/>
          <w:sz w:val="24"/>
          <w:szCs w:val="24"/>
          <w:shd w:val="clear" w:color="auto" w:fill="FFFFFF"/>
        </w:rPr>
      </w:pPr>
      <w:r w:rsidRPr="00C52A20">
        <w:rPr>
          <w:rFonts w:ascii="Arial" w:hAnsi="Arial" w:cs="Arial"/>
          <w:color w:val="E30918"/>
          <w:sz w:val="24"/>
          <w:szCs w:val="24"/>
          <w:shd w:val="clear" w:color="auto" w:fill="FFFFFF"/>
        </w:rPr>
        <w:fldChar w:fldCharType="begin"/>
      </w:r>
      <w:r w:rsidRPr="00C52A20">
        <w:rPr>
          <w:rFonts w:ascii="Arial" w:hAnsi="Arial" w:cs="Arial"/>
          <w:color w:val="E30918"/>
          <w:sz w:val="24"/>
          <w:szCs w:val="24"/>
          <w:shd w:val="clear" w:color="auto" w:fill="FFFFFF"/>
        </w:rPr>
        <w:instrText xml:space="preserve"> REF _Ref20320732 \h  \* MERGEFORMAT </w:instrText>
      </w:r>
      <w:r w:rsidRPr="00C52A20">
        <w:rPr>
          <w:rFonts w:ascii="Arial" w:hAnsi="Arial" w:cs="Arial"/>
          <w:color w:val="E30918"/>
          <w:sz w:val="24"/>
          <w:szCs w:val="24"/>
          <w:shd w:val="clear" w:color="auto" w:fill="FFFFFF"/>
        </w:rPr>
      </w:r>
      <w:r w:rsidRPr="00C52A20">
        <w:rPr>
          <w:rFonts w:ascii="Arial" w:hAnsi="Arial" w:cs="Arial"/>
          <w:color w:val="E30918"/>
          <w:sz w:val="24"/>
          <w:szCs w:val="24"/>
          <w:shd w:val="clear" w:color="auto" w:fill="FFFFFF"/>
        </w:rPr>
        <w:fldChar w:fldCharType="separate"/>
      </w:r>
      <w:r w:rsidR="00AF273D" w:rsidRPr="00C52A20">
        <w:rPr>
          <w:rFonts w:ascii="Arial" w:hAnsi="Arial" w:cs="Arial"/>
          <w:color w:val="E30918"/>
          <w:sz w:val="24"/>
          <w:szCs w:val="24"/>
        </w:rPr>
        <w:t>4.0 Definitions</w:t>
      </w:r>
      <w:r w:rsidRPr="00C52A20">
        <w:rPr>
          <w:rFonts w:ascii="Arial" w:hAnsi="Arial" w:cs="Arial"/>
          <w:color w:val="E30918"/>
          <w:sz w:val="24"/>
          <w:szCs w:val="24"/>
          <w:shd w:val="clear" w:color="auto" w:fill="FFFFFF"/>
        </w:rPr>
        <w:fldChar w:fldCharType="end"/>
      </w:r>
    </w:p>
    <w:p w14:paraId="478EE5C4" w14:textId="7A58472A" w:rsidR="00D906F6" w:rsidRPr="003A7C14" w:rsidRDefault="003A7C14" w:rsidP="00D906F6">
      <w:pPr>
        <w:spacing w:after="0" w:line="240" w:lineRule="auto"/>
        <w:rPr>
          <w:rStyle w:val="Hyperlink"/>
          <w:rFonts w:ascii="Arial" w:hAnsi="Arial" w:cs="Arial"/>
          <w:sz w:val="24"/>
          <w:szCs w:val="24"/>
          <w:u w:val="none"/>
          <w:shd w:val="clear" w:color="auto" w:fill="FFFFFF"/>
        </w:rPr>
      </w:pPr>
      <w:r w:rsidRPr="003A7C14">
        <w:rPr>
          <w:rFonts w:ascii="Arial" w:hAnsi="Arial" w:cs="Arial"/>
          <w:sz w:val="24"/>
          <w:szCs w:val="24"/>
          <w:shd w:val="clear" w:color="auto" w:fill="FFFFFF"/>
        </w:rPr>
        <w:fldChar w:fldCharType="begin"/>
      </w:r>
      <w:r w:rsidRPr="003A7C14">
        <w:rPr>
          <w:rFonts w:ascii="Arial" w:hAnsi="Arial" w:cs="Arial"/>
          <w:sz w:val="24"/>
          <w:szCs w:val="24"/>
          <w:shd w:val="clear" w:color="auto" w:fill="FFFFFF"/>
        </w:rPr>
        <w:instrText>HYPERLINK  \l "_5.0_Information"</w:instrText>
      </w:r>
      <w:r w:rsidRPr="003A7C14">
        <w:rPr>
          <w:rFonts w:ascii="Arial" w:hAnsi="Arial" w:cs="Arial"/>
          <w:sz w:val="24"/>
          <w:szCs w:val="24"/>
          <w:shd w:val="clear" w:color="auto" w:fill="FFFFFF"/>
        </w:rPr>
      </w:r>
      <w:r w:rsidRPr="003A7C14">
        <w:rPr>
          <w:rFonts w:ascii="Arial" w:hAnsi="Arial" w:cs="Arial"/>
          <w:sz w:val="24"/>
          <w:szCs w:val="24"/>
          <w:shd w:val="clear" w:color="auto" w:fill="FFFFFF"/>
        </w:rPr>
        <w:fldChar w:fldCharType="separate"/>
      </w:r>
      <w:r w:rsidR="00C52A20" w:rsidRPr="003A7C14">
        <w:rPr>
          <w:rStyle w:val="Hyperlink"/>
          <w:rFonts w:ascii="Arial" w:hAnsi="Arial" w:cs="Arial"/>
          <w:sz w:val="24"/>
          <w:szCs w:val="24"/>
          <w:u w:val="none"/>
          <w:shd w:val="clear" w:color="auto" w:fill="FFFFFF"/>
        </w:rPr>
        <w:t>5.0 Information</w:t>
      </w:r>
    </w:p>
    <w:p w14:paraId="481D7713" w14:textId="70BA9398" w:rsidR="00D906F6" w:rsidRPr="003A7C14" w:rsidRDefault="003A7C14" w:rsidP="00D906F6">
      <w:pPr>
        <w:spacing w:after="0" w:line="240" w:lineRule="auto"/>
        <w:rPr>
          <w:rStyle w:val="Hyperlink"/>
          <w:rFonts w:ascii="Arial" w:hAnsi="Arial" w:cs="Arial"/>
          <w:sz w:val="24"/>
          <w:szCs w:val="24"/>
          <w:u w:val="none"/>
          <w:shd w:val="clear" w:color="auto" w:fill="FFFFFF"/>
        </w:rPr>
      </w:pPr>
      <w:r w:rsidRPr="003A7C14">
        <w:rPr>
          <w:rFonts w:ascii="Arial" w:hAnsi="Arial" w:cs="Arial"/>
          <w:sz w:val="24"/>
          <w:szCs w:val="24"/>
          <w:shd w:val="clear" w:color="auto" w:fill="FFFFFF"/>
        </w:rPr>
        <w:fldChar w:fldCharType="end"/>
      </w:r>
      <w:r w:rsidRPr="003A7C14">
        <w:rPr>
          <w:rFonts w:ascii="Arial" w:hAnsi="Arial" w:cs="Arial"/>
          <w:sz w:val="24"/>
          <w:szCs w:val="24"/>
          <w:shd w:val="clear" w:color="auto" w:fill="FFFFFF"/>
        </w:rPr>
        <w:fldChar w:fldCharType="begin"/>
      </w:r>
      <w:r w:rsidRPr="003A7C14">
        <w:rPr>
          <w:rFonts w:ascii="Arial" w:hAnsi="Arial" w:cs="Arial"/>
          <w:sz w:val="24"/>
          <w:szCs w:val="24"/>
          <w:shd w:val="clear" w:color="auto" w:fill="FFFFFF"/>
        </w:rPr>
        <w:instrText>HYPERLINK  \l "_6.0_Related_Policy"</w:instrText>
      </w:r>
      <w:r w:rsidRPr="003A7C14">
        <w:rPr>
          <w:rFonts w:ascii="Arial" w:hAnsi="Arial" w:cs="Arial"/>
          <w:sz w:val="24"/>
          <w:szCs w:val="24"/>
          <w:shd w:val="clear" w:color="auto" w:fill="FFFFFF"/>
        </w:rPr>
      </w:r>
      <w:r w:rsidRPr="003A7C14">
        <w:rPr>
          <w:rFonts w:ascii="Arial" w:hAnsi="Arial" w:cs="Arial"/>
          <w:sz w:val="24"/>
          <w:szCs w:val="24"/>
          <w:shd w:val="clear" w:color="auto" w:fill="FFFFFF"/>
        </w:rPr>
        <w:fldChar w:fldCharType="separate"/>
      </w:r>
      <w:r w:rsidR="00C52A20" w:rsidRPr="003A7C14">
        <w:rPr>
          <w:rStyle w:val="Hyperlink"/>
          <w:rFonts w:ascii="Arial" w:hAnsi="Arial" w:cs="Arial"/>
          <w:sz w:val="24"/>
          <w:szCs w:val="24"/>
          <w:u w:val="none"/>
          <w:shd w:val="clear" w:color="auto" w:fill="FFFFFF"/>
        </w:rPr>
        <w:t>6</w:t>
      </w:r>
      <w:r w:rsidR="00D906F6" w:rsidRPr="003A7C14">
        <w:rPr>
          <w:rStyle w:val="Hyperlink"/>
          <w:rFonts w:ascii="Arial" w:hAnsi="Arial" w:cs="Arial"/>
          <w:sz w:val="24"/>
          <w:szCs w:val="24"/>
          <w:u w:val="none"/>
          <w:shd w:val="clear" w:color="auto" w:fill="FFFFFF"/>
        </w:rPr>
        <w:t xml:space="preserve">.0 Related policy documents and supporting </w:t>
      </w:r>
      <w:proofErr w:type="gramStart"/>
      <w:r w:rsidR="00D906F6" w:rsidRPr="003A7C14">
        <w:rPr>
          <w:rStyle w:val="Hyperlink"/>
          <w:rFonts w:ascii="Arial" w:hAnsi="Arial" w:cs="Arial"/>
          <w:sz w:val="24"/>
          <w:szCs w:val="24"/>
          <w:u w:val="none"/>
          <w:shd w:val="clear" w:color="auto" w:fill="FFFFFF"/>
        </w:rPr>
        <w:t>documents</w:t>
      </w:r>
      <w:proofErr w:type="gramEnd"/>
    </w:p>
    <w:bookmarkStart w:id="3" w:name="_Ref20480964"/>
    <w:p w14:paraId="2E800012" w14:textId="3773D34A" w:rsidR="00BC55CF" w:rsidRPr="00C52A20" w:rsidRDefault="003A7C14" w:rsidP="00D906F6">
      <w:pPr>
        <w:pStyle w:val="Heading2"/>
        <w:spacing w:before="120" w:line="240" w:lineRule="auto"/>
        <w:ind w:left="426" w:hanging="426"/>
        <w:rPr>
          <w:rFonts w:ascii="Arial" w:hAnsi="Arial" w:cs="Arial"/>
          <w:b/>
          <w:bCs/>
          <w:sz w:val="32"/>
          <w:szCs w:val="32"/>
        </w:rPr>
      </w:pPr>
      <w:r w:rsidRPr="003A7C14">
        <w:rPr>
          <w:rFonts w:ascii="Arial" w:eastAsiaTheme="minorHAnsi" w:hAnsi="Arial" w:cs="Arial"/>
          <w:color w:val="auto"/>
          <w:sz w:val="24"/>
          <w:szCs w:val="24"/>
          <w:shd w:val="clear" w:color="auto" w:fill="FFFFFF"/>
        </w:rPr>
        <w:fldChar w:fldCharType="end"/>
      </w:r>
      <w:r w:rsidR="00BC55CF" w:rsidRPr="00C52A20">
        <w:rPr>
          <w:rFonts w:ascii="Arial" w:hAnsi="Arial" w:cs="Arial"/>
          <w:b/>
          <w:bCs/>
          <w:sz w:val="32"/>
          <w:szCs w:val="32"/>
        </w:rPr>
        <w:t>1.0 Purpose</w:t>
      </w:r>
      <w:bookmarkEnd w:id="0"/>
      <w:bookmarkEnd w:id="1"/>
      <w:bookmarkEnd w:id="2"/>
      <w:bookmarkEnd w:id="3"/>
    </w:p>
    <w:p w14:paraId="5726557E" w14:textId="77777777" w:rsidR="001D5659" w:rsidRPr="00C52A20" w:rsidRDefault="001D5659" w:rsidP="00D906F6">
      <w:pPr>
        <w:spacing w:before="120" w:after="120" w:line="240" w:lineRule="auto"/>
        <w:rPr>
          <w:rFonts w:ascii="Arial" w:hAnsi="Arial" w:cs="Arial"/>
          <w:sz w:val="22"/>
        </w:rPr>
      </w:pPr>
      <w:bookmarkStart w:id="4" w:name="_Ref20318879"/>
      <w:bookmarkStart w:id="5" w:name="_Ref20411801"/>
      <w:bookmarkStart w:id="6" w:name="_Ref20480989"/>
      <w:r w:rsidRPr="00C52A20">
        <w:rPr>
          <w:rFonts w:ascii="Arial" w:hAnsi="Arial" w:cs="Arial"/>
          <w:sz w:val="22"/>
        </w:rPr>
        <w:t>This document details the processes for approving new programs and approving changes to existing programs. Program approval is the quality assurance process that ensures effective curriculum planning and design for new programs. This includes:</w:t>
      </w:r>
    </w:p>
    <w:p w14:paraId="74AAA839" w14:textId="20392CBF" w:rsidR="001D5659" w:rsidRPr="00C52A20" w:rsidRDefault="001D5659" w:rsidP="00D906F6">
      <w:pPr>
        <w:pStyle w:val="NormalWhite"/>
        <w:numPr>
          <w:ilvl w:val="0"/>
          <w:numId w:val="44"/>
        </w:numPr>
        <w:spacing w:before="120" w:after="120" w:line="240" w:lineRule="auto"/>
        <w:ind w:left="567" w:hanging="283"/>
        <w:rPr>
          <w:rFonts w:ascii="Arial" w:hAnsi="Arial" w:cs="Arial"/>
          <w:color w:val="000000" w:themeColor="text1"/>
          <w:sz w:val="22"/>
        </w:rPr>
      </w:pPr>
      <w:r w:rsidRPr="00C52A20">
        <w:rPr>
          <w:rFonts w:ascii="Arial" w:hAnsi="Arial" w:cs="Arial"/>
          <w:color w:val="000000" w:themeColor="text1"/>
          <w:sz w:val="22"/>
        </w:rPr>
        <w:t>the planning and approval of a new program and a suite of new programs (including non-award programs, and excluding credentials and badges</w:t>
      </w:r>
      <w:r w:rsidRPr="00C52A20">
        <w:rPr>
          <w:rFonts w:ascii="Arial" w:hAnsi="Arial" w:cs="Arial"/>
          <w:color w:val="000000" w:themeColor="text1"/>
          <w:sz w:val="22"/>
          <w:vertAlign w:val="superscript"/>
        </w:rPr>
        <w:footnoteReference w:id="2"/>
      </w:r>
      <w:r w:rsidRPr="00C52A20">
        <w:rPr>
          <w:rFonts w:ascii="Arial" w:hAnsi="Arial" w:cs="Arial"/>
          <w:color w:val="000000" w:themeColor="text1"/>
          <w:sz w:val="22"/>
        </w:rPr>
        <w:t xml:space="preserve">) </w:t>
      </w:r>
    </w:p>
    <w:p w14:paraId="142E8A46" w14:textId="2EC0F9B9" w:rsidR="001D5659" w:rsidRPr="00C52A20" w:rsidRDefault="001D5659" w:rsidP="00D906F6">
      <w:pPr>
        <w:pStyle w:val="NormalWhite"/>
        <w:numPr>
          <w:ilvl w:val="0"/>
          <w:numId w:val="44"/>
        </w:numPr>
        <w:spacing w:before="120" w:after="120" w:line="240" w:lineRule="auto"/>
        <w:ind w:left="567" w:hanging="283"/>
        <w:rPr>
          <w:rFonts w:ascii="Arial" w:hAnsi="Arial" w:cs="Arial"/>
          <w:color w:val="000000" w:themeColor="text1"/>
          <w:sz w:val="22"/>
        </w:rPr>
      </w:pPr>
      <w:r w:rsidRPr="00C52A20">
        <w:rPr>
          <w:rFonts w:ascii="Arial" w:hAnsi="Arial" w:cs="Arial"/>
          <w:color w:val="000000" w:themeColor="text1"/>
          <w:sz w:val="22"/>
        </w:rPr>
        <w:t xml:space="preserve">the approval of changes to an existing program </w:t>
      </w:r>
    </w:p>
    <w:p w14:paraId="587B61F7" w14:textId="7C73A0B3" w:rsidR="001D5659" w:rsidRPr="00C52A20" w:rsidRDefault="001D5659" w:rsidP="00D906F6">
      <w:pPr>
        <w:pStyle w:val="NormalWhite"/>
        <w:numPr>
          <w:ilvl w:val="0"/>
          <w:numId w:val="44"/>
        </w:numPr>
        <w:spacing w:before="120" w:after="120" w:line="240" w:lineRule="auto"/>
        <w:ind w:left="567" w:hanging="283"/>
        <w:rPr>
          <w:rFonts w:ascii="Arial" w:hAnsi="Arial" w:cs="Arial"/>
          <w:color w:val="000000" w:themeColor="text1"/>
          <w:sz w:val="22"/>
        </w:rPr>
      </w:pPr>
      <w:r w:rsidRPr="00C52A20">
        <w:rPr>
          <w:rFonts w:ascii="Arial" w:hAnsi="Arial" w:cs="Arial"/>
          <w:color w:val="000000" w:themeColor="text1"/>
          <w:sz w:val="22"/>
        </w:rPr>
        <w:t xml:space="preserve">the approval of the withdrawal of programs. </w:t>
      </w:r>
    </w:p>
    <w:p w14:paraId="64BAC20D" w14:textId="7B80F186" w:rsidR="00A8131C" w:rsidRPr="00C52A20" w:rsidRDefault="007706AB" w:rsidP="00D906F6">
      <w:pPr>
        <w:pStyle w:val="Heading2"/>
        <w:spacing w:before="120" w:line="240" w:lineRule="auto"/>
        <w:ind w:left="426" w:hanging="426"/>
        <w:rPr>
          <w:rFonts w:ascii="Arial" w:hAnsi="Arial" w:cs="Arial"/>
          <w:b/>
          <w:bCs/>
          <w:sz w:val="32"/>
          <w:szCs w:val="32"/>
        </w:rPr>
      </w:pPr>
      <w:bookmarkStart w:id="7" w:name="_2.0_Scope"/>
      <w:bookmarkEnd w:id="7"/>
      <w:r w:rsidRPr="00C52A20">
        <w:rPr>
          <w:rFonts w:ascii="Arial" w:hAnsi="Arial" w:cs="Arial"/>
          <w:b/>
          <w:bCs/>
          <w:sz w:val="32"/>
          <w:szCs w:val="32"/>
        </w:rPr>
        <w:t xml:space="preserve">2.0 </w:t>
      </w:r>
      <w:r w:rsidR="00F97A5A" w:rsidRPr="00C52A20">
        <w:rPr>
          <w:rFonts w:ascii="Arial" w:hAnsi="Arial" w:cs="Arial"/>
          <w:b/>
          <w:bCs/>
          <w:sz w:val="32"/>
          <w:szCs w:val="32"/>
        </w:rPr>
        <w:t>Scope</w:t>
      </w:r>
      <w:bookmarkStart w:id="8" w:name="_Ref20318910"/>
      <w:bookmarkStart w:id="9" w:name="_Ref20411814"/>
      <w:bookmarkEnd w:id="4"/>
      <w:bookmarkEnd w:id="5"/>
      <w:bookmarkEnd w:id="6"/>
    </w:p>
    <w:p w14:paraId="5DD568F4" w14:textId="39B8C202" w:rsidR="001D5659" w:rsidRPr="00C52A20" w:rsidRDefault="00ED1503" w:rsidP="00D906F6">
      <w:pPr>
        <w:spacing w:before="120" w:after="120" w:line="240" w:lineRule="auto"/>
        <w:rPr>
          <w:rFonts w:ascii="Arial" w:hAnsi="Arial" w:cs="Arial"/>
          <w:sz w:val="22"/>
        </w:rPr>
      </w:pPr>
      <w:bookmarkStart w:id="10" w:name="_Ref20481014"/>
      <w:r w:rsidRPr="00C52A20">
        <w:rPr>
          <w:rFonts w:ascii="Arial" w:hAnsi="Arial" w:cs="Arial"/>
          <w:sz w:val="22"/>
        </w:rPr>
        <w:t xml:space="preserve">This </w:t>
      </w:r>
      <w:r w:rsidR="001D5659" w:rsidRPr="00C52A20">
        <w:rPr>
          <w:rFonts w:ascii="Arial" w:hAnsi="Arial" w:cs="Arial"/>
          <w:sz w:val="22"/>
        </w:rPr>
        <w:t>procedure appl</w:t>
      </w:r>
      <w:r w:rsidRPr="00C52A20">
        <w:rPr>
          <w:rFonts w:ascii="Arial" w:hAnsi="Arial" w:cs="Arial"/>
          <w:sz w:val="22"/>
        </w:rPr>
        <w:t>ies</w:t>
      </w:r>
      <w:r w:rsidR="001D5659" w:rsidRPr="00C52A20">
        <w:rPr>
          <w:rFonts w:ascii="Arial" w:hAnsi="Arial" w:cs="Arial"/>
          <w:sz w:val="22"/>
        </w:rPr>
        <w:t xml:space="preserve"> to the award programs that the University self-accredits that lead to higher education awards and non-award programs. </w:t>
      </w:r>
    </w:p>
    <w:p w14:paraId="16734CDB" w14:textId="0DDE130A" w:rsidR="00C91165" w:rsidRPr="00C52A20" w:rsidRDefault="007706AB" w:rsidP="00D906F6">
      <w:pPr>
        <w:pStyle w:val="Heading2"/>
        <w:spacing w:before="120" w:line="240" w:lineRule="auto"/>
        <w:ind w:left="426" w:hanging="426"/>
        <w:rPr>
          <w:rFonts w:ascii="Arial" w:hAnsi="Arial" w:cs="Arial"/>
          <w:b/>
          <w:bCs/>
          <w:sz w:val="32"/>
          <w:szCs w:val="32"/>
        </w:rPr>
      </w:pPr>
      <w:bookmarkStart w:id="11" w:name="_3.0_Procedure"/>
      <w:bookmarkEnd w:id="11"/>
      <w:r w:rsidRPr="00C52A20">
        <w:rPr>
          <w:rFonts w:ascii="Arial" w:hAnsi="Arial" w:cs="Arial"/>
          <w:b/>
          <w:bCs/>
          <w:sz w:val="32"/>
          <w:szCs w:val="32"/>
        </w:rPr>
        <w:t xml:space="preserve">3.0 </w:t>
      </w:r>
      <w:r w:rsidR="00C91165" w:rsidRPr="00C52A20">
        <w:rPr>
          <w:rFonts w:ascii="Arial" w:hAnsi="Arial" w:cs="Arial"/>
          <w:b/>
          <w:bCs/>
          <w:sz w:val="32"/>
          <w:szCs w:val="32"/>
        </w:rPr>
        <w:t>P</w:t>
      </w:r>
      <w:bookmarkEnd w:id="8"/>
      <w:r w:rsidR="00A71AD8" w:rsidRPr="00C52A20">
        <w:rPr>
          <w:rFonts w:ascii="Arial" w:hAnsi="Arial" w:cs="Arial"/>
          <w:b/>
          <w:bCs/>
          <w:sz w:val="32"/>
          <w:szCs w:val="32"/>
        </w:rPr>
        <w:t>rocedure</w:t>
      </w:r>
      <w:bookmarkEnd w:id="9"/>
      <w:bookmarkEnd w:id="10"/>
    </w:p>
    <w:p w14:paraId="51442B41" w14:textId="77777777" w:rsidR="001D5659" w:rsidRPr="00C52A20" w:rsidRDefault="001D5659" w:rsidP="00D906F6">
      <w:pPr>
        <w:spacing w:before="120" w:after="120" w:line="240" w:lineRule="auto"/>
        <w:rPr>
          <w:rFonts w:ascii="Arial" w:hAnsi="Arial" w:cs="Arial"/>
          <w:sz w:val="22"/>
        </w:rPr>
      </w:pPr>
      <w:bookmarkStart w:id="12" w:name="_3.1_&lt;Insert_sub-heading&gt;"/>
      <w:bookmarkEnd w:id="12"/>
      <w:r w:rsidRPr="00C52A20">
        <w:rPr>
          <w:rFonts w:ascii="Arial" w:hAnsi="Arial" w:cs="Arial"/>
          <w:sz w:val="22"/>
        </w:rPr>
        <w:t>The University offers programs that:</w:t>
      </w:r>
    </w:p>
    <w:p w14:paraId="3F3C4D02" w14:textId="6974FCB2" w:rsidR="001D5659" w:rsidRPr="00C52A20" w:rsidRDefault="001D5659" w:rsidP="00D906F6">
      <w:pPr>
        <w:pStyle w:val="NormalWhite"/>
        <w:numPr>
          <w:ilvl w:val="0"/>
          <w:numId w:val="44"/>
        </w:numPr>
        <w:spacing w:before="120" w:after="120" w:line="240" w:lineRule="auto"/>
        <w:ind w:left="567" w:hanging="283"/>
        <w:rPr>
          <w:rFonts w:ascii="Arial" w:hAnsi="Arial" w:cs="Arial"/>
          <w:color w:val="auto"/>
          <w:sz w:val="22"/>
        </w:rPr>
      </w:pPr>
      <w:r w:rsidRPr="00C52A20">
        <w:rPr>
          <w:rFonts w:ascii="Arial" w:hAnsi="Arial" w:cs="Arial"/>
          <w:color w:val="000000" w:themeColor="text1"/>
          <w:sz w:val="22"/>
        </w:rPr>
        <w:t>align</w:t>
      </w:r>
      <w:r w:rsidRPr="00C52A20">
        <w:rPr>
          <w:rFonts w:ascii="Arial" w:hAnsi="Arial" w:cs="Arial"/>
          <w:color w:val="auto"/>
          <w:sz w:val="22"/>
        </w:rPr>
        <w:t xml:space="preserve"> with the strategic principles developed annually by Program Strategy Board (which provide guidance based on the University’s Strategy 2020-2025 and the Academic Plan)</w:t>
      </w:r>
    </w:p>
    <w:p w14:paraId="07630AE4" w14:textId="480F3A37" w:rsidR="001D5659" w:rsidRPr="00C52A20" w:rsidRDefault="001D5659" w:rsidP="00D906F6">
      <w:pPr>
        <w:pStyle w:val="NormalWhite"/>
        <w:numPr>
          <w:ilvl w:val="0"/>
          <w:numId w:val="44"/>
        </w:numPr>
        <w:spacing w:before="120" w:after="120" w:line="240" w:lineRule="auto"/>
        <w:ind w:left="567" w:hanging="283"/>
        <w:rPr>
          <w:rFonts w:ascii="Arial" w:hAnsi="Arial" w:cs="Arial"/>
          <w:color w:val="000000" w:themeColor="text1"/>
          <w:sz w:val="22"/>
        </w:rPr>
      </w:pPr>
      <w:r w:rsidRPr="00C52A20">
        <w:rPr>
          <w:rFonts w:ascii="Arial" w:hAnsi="Arial" w:cs="Arial"/>
          <w:color w:val="000000" w:themeColor="text1"/>
          <w:sz w:val="22"/>
        </w:rPr>
        <w:t xml:space="preserve">respond to data about market position, competitor offerings, and market demand, to maintain relevance and </w:t>
      </w:r>
      <w:proofErr w:type="gramStart"/>
      <w:r w:rsidRPr="00C52A20">
        <w:rPr>
          <w:rFonts w:ascii="Arial" w:hAnsi="Arial" w:cs="Arial"/>
          <w:color w:val="000000" w:themeColor="text1"/>
          <w:sz w:val="22"/>
        </w:rPr>
        <w:t>currency</w:t>
      </w:r>
      <w:proofErr w:type="gramEnd"/>
    </w:p>
    <w:p w14:paraId="7DA5730A" w14:textId="0B392BFF" w:rsidR="001D5659" w:rsidRPr="00C52A20" w:rsidRDefault="001D5659" w:rsidP="00D906F6">
      <w:pPr>
        <w:pStyle w:val="NormalWhite"/>
        <w:numPr>
          <w:ilvl w:val="0"/>
          <w:numId w:val="44"/>
        </w:numPr>
        <w:spacing w:before="120" w:after="120" w:line="240" w:lineRule="auto"/>
        <w:ind w:left="567" w:hanging="283"/>
        <w:rPr>
          <w:rFonts w:ascii="Arial" w:hAnsi="Arial" w:cs="Arial"/>
          <w:color w:val="000000" w:themeColor="text1"/>
          <w:sz w:val="22"/>
        </w:rPr>
      </w:pPr>
      <w:r w:rsidRPr="00C52A20">
        <w:rPr>
          <w:rFonts w:ascii="Arial" w:hAnsi="Arial" w:cs="Arial"/>
          <w:color w:val="000000" w:themeColor="text1"/>
          <w:sz w:val="22"/>
        </w:rPr>
        <w:t xml:space="preserve">are planned with advice from relevant internal and external experts and supported by resources appropriate to quality </w:t>
      </w:r>
      <w:proofErr w:type="gramStart"/>
      <w:r w:rsidRPr="00C52A20">
        <w:rPr>
          <w:rFonts w:ascii="Arial" w:hAnsi="Arial" w:cs="Arial"/>
          <w:color w:val="000000" w:themeColor="text1"/>
          <w:sz w:val="22"/>
        </w:rPr>
        <w:t>learning</w:t>
      </w:r>
      <w:proofErr w:type="gramEnd"/>
    </w:p>
    <w:p w14:paraId="4F3B38E6" w14:textId="253E6B96" w:rsidR="001D5659" w:rsidRPr="00C52A20" w:rsidRDefault="001D5659" w:rsidP="00D906F6">
      <w:pPr>
        <w:pStyle w:val="NormalWhite"/>
        <w:numPr>
          <w:ilvl w:val="0"/>
          <w:numId w:val="44"/>
        </w:numPr>
        <w:spacing w:before="120" w:after="120" w:line="240" w:lineRule="auto"/>
        <w:ind w:left="567" w:hanging="283"/>
        <w:rPr>
          <w:rFonts w:ascii="Arial" w:hAnsi="Arial" w:cs="Arial"/>
          <w:color w:val="000000" w:themeColor="text1"/>
          <w:sz w:val="22"/>
        </w:rPr>
      </w:pPr>
      <w:r w:rsidRPr="00C52A20">
        <w:rPr>
          <w:rFonts w:ascii="Arial" w:hAnsi="Arial" w:cs="Arial"/>
          <w:color w:val="000000" w:themeColor="text1"/>
          <w:sz w:val="22"/>
        </w:rPr>
        <w:t xml:space="preserve">develop the Griffith Graduate attributes and achieve the learning outcomes appropriate to the qualification </w:t>
      </w:r>
      <w:proofErr w:type="gramStart"/>
      <w:r w:rsidRPr="00C52A20">
        <w:rPr>
          <w:rFonts w:ascii="Arial" w:hAnsi="Arial" w:cs="Arial"/>
          <w:color w:val="000000" w:themeColor="text1"/>
          <w:sz w:val="22"/>
        </w:rPr>
        <w:t>type</w:t>
      </w:r>
      <w:proofErr w:type="gramEnd"/>
    </w:p>
    <w:p w14:paraId="2E02A98C" w14:textId="33800BC6" w:rsidR="001D5659" w:rsidRPr="00C52A20" w:rsidRDefault="001D5659" w:rsidP="00D906F6">
      <w:pPr>
        <w:pStyle w:val="NormalWhite"/>
        <w:numPr>
          <w:ilvl w:val="0"/>
          <w:numId w:val="44"/>
        </w:numPr>
        <w:spacing w:before="120" w:after="120" w:line="240" w:lineRule="auto"/>
        <w:ind w:left="567" w:hanging="283"/>
        <w:rPr>
          <w:rFonts w:ascii="Arial" w:hAnsi="Arial" w:cs="Arial"/>
          <w:color w:val="000000" w:themeColor="text1"/>
          <w:sz w:val="22"/>
        </w:rPr>
      </w:pPr>
      <w:r w:rsidRPr="00C52A20">
        <w:rPr>
          <w:rFonts w:ascii="Arial" w:hAnsi="Arial" w:cs="Arial"/>
          <w:color w:val="000000" w:themeColor="text1"/>
          <w:sz w:val="22"/>
        </w:rPr>
        <w:t>meet employer and industry needs</w:t>
      </w:r>
      <w:r w:rsidR="007C5567" w:rsidRPr="00C52A20">
        <w:rPr>
          <w:rFonts w:ascii="Arial" w:hAnsi="Arial" w:cs="Arial"/>
          <w:color w:val="000000" w:themeColor="text1"/>
          <w:sz w:val="22"/>
        </w:rPr>
        <w:t>;</w:t>
      </w:r>
      <w:r w:rsidRPr="00C52A20">
        <w:rPr>
          <w:rFonts w:ascii="Arial" w:hAnsi="Arial" w:cs="Arial"/>
          <w:color w:val="000000" w:themeColor="text1"/>
          <w:sz w:val="22"/>
        </w:rPr>
        <w:t xml:space="preserve"> and </w:t>
      </w:r>
    </w:p>
    <w:p w14:paraId="5416D78C" w14:textId="22BCFB84" w:rsidR="001D5659" w:rsidRPr="00C52A20" w:rsidRDefault="001D5659" w:rsidP="00D906F6">
      <w:pPr>
        <w:pStyle w:val="NormalWhite"/>
        <w:numPr>
          <w:ilvl w:val="0"/>
          <w:numId w:val="44"/>
        </w:numPr>
        <w:spacing w:before="120" w:after="120" w:line="240" w:lineRule="auto"/>
        <w:ind w:left="567" w:hanging="283"/>
        <w:rPr>
          <w:rFonts w:ascii="Arial" w:hAnsi="Arial" w:cs="Arial"/>
          <w:color w:val="000000" w:themeColor="text1"/>
          <w:sz w:val="22"/>
        </w:rPr>
      </w:pPr>
      <w:r w:rsidRPr="00C52A20">
        <w:rPr>
          <w:rFonts w:ascii="Arial" w:hAnsi="Arial" w:cs="Arial"/>
          <w:color w:val="000000" w:themeColor="text1"/>
          <w:sz w:val="22"/>
        </w:rPr>
        <w:t xml:space="preserve">are consistent with </w:t>
      </w:r>
      <w:proofErr w:type="gramStart"/>
      <w:r w:rsidRPr="00C52A20">
        <w:rPr>
          <w:rFonts w:ascii="Arial" w:hAnsi="Arial" w:cs="Arial"/>
          <w:color w:val="000000" w:themeColor="text1"/>
          <w:sz w:val="22"/>
        </w:rPr>
        <w:t>University</w:t>
      </w:r>
      <w:proofErr w:type="gramEnd"/>
      <w:r w:rsidRPr="00C52A20">
        <w:rPr>
          <w:rFonts w:ascii="Arial" w:hAnsi="Arial" w:cs="Arial"/>
          <w:color w:val="000000" w:themeColor="text1"/>
          <w:sz w:val="22"/>
        </w:rPr>
        <w:t xml:space="preserve"> policy, external standards and requirements (including the Higher Education Standards Framework (Threshold Standards) 2021 and the Australian Qualifications Framework 2013).</w:t>
      </w:r>
    </w:p>
    <w:p w14:paraId="2CC86172" w14:textId="77777777" w:rsidR="001D5659" w:rsidRPr="00C52A20" w:rsidRDefault="001D5659" w:rsidP="00D906F6">
      <w:pPr>
        <w:pStyle w:val="Heading3"/>
        <w:spacing w:before="120" w:after="120"/>
        <w:ind w:left="567" w:firstLine="0"/>
        <w:rPr>
          <w:rFonts w:ascii="Arial" w:hAnsi="Arial" w:cs="Arial"/>
          <w:b/>
          <w:bCs/>
          <w:sz w:val="28"/>
          <w:szCs w:val="28"/>
        </w:rPr>
      </w:pPr>
      <w:bookmarkStart w:id="13" w:name="_3.1_Approval_of"/>
      <w:bookmarkEnd w:id="13"/>
      <w:r w:rsidRPr="00C52A20">
        <w:rPr>
          <w:rFonts w:ascii="Arial" w:hAnsi="Arial" w:cs="Arial"/>
          <w:b/>
          <w:bCs/>
          <w:sz w:val="28"/>
          <w:szCs w:val="28"/>
        </w:rPr>
        <w:lastRenderedPageBreak/>
        <w:t>3.1 Approval of new programs</w:t>
      </w:r>
    </w:p>
    <w:p w14:paraId="1E4F2E0E" w14:textId="660B8A4D" w:rsidR="001D5659" w:rsidRPr="00C52A20" w:rsidRDefault="001D5659" w:rsidP="00D906F6">
      <w:pPr>
        <w:spacing w:before="120" w:after="120" w:line="240" w:lineRule="auto"/>
        <w:ind w:left="567"/>
        <w:rPr>
          <w:rFonts w:ascii="Arial" w:hAnsi="Arial" w:cs="Arial"/>
          <w:sz w:val="22"/>
        </w:rPr>
      </w:pPr>
      <w:r w:rsidRPr="00C52A20">
        <w:rPr>
          <w:rFonts w:ascii="Arial" w:hAnsi="Arial" w:cs="Arial"/>
          <w:sz w:val="22"/>
        </w:rPr>
        <w:t xml:space="preserve">Approval of new programs occurs in </w:t>
      </w:r>
      <w:r w:rsidR="00ED1503" w:rsidRPr="00C52A20">
        <w:rPr>
          <w:rFonts w:ascii="Arial" w:hAnsi="Arial" w:cs="Arial"/>
          <w:sz w:val="22"/>
        </w:rPr>
        <w:t xml:space="preserve">two </w:t>
      </w:r>
      <w:r w:rsidRPr="00C52A20">
        <w:rPr>
          <w:rFonts w:ascii="Arial" w:hAnsi="Arial" w:cs="Arial"/>
          <w:sz w:val="22"/>
        </w:rPr>
        <w:t>stages. Stage 1 assess</w:t>
      </w:r>
      <w:r w:rsidR="00ED1503" w:rsidRPr="00C52A20">
        <w:rPr>
          <w:rFonts w:ascii="Arial" w:hAnsi="Arial" w:cs="Arial"/>
          <w:sz w:val="22"/>
        </w:rPr>
        <w:t>es</w:t>
      </w:r>
      <w:r w:rsidRPr="00C52A20">
        <w:rPr>
          <w:rFonts w:ascii="Arial" w:hAnsi="Arial" w:cs="Arial"/>
          <w:sz w:val="22"/>
        </w:rPr>
        <w:t xml:space="preserve"> the strategic alignment, </w:t>
      </w:r>
      <w:proofErr w:type="gramStart"/>
      <w:r w:rsidRPr="00C52A20">
        <w:rPr>
          <w:rFonts w:ascii="Arial" w:hAnsi="Arial" w:cs="Arial"/>
          <w:sz w:val="22"/>
        </w:rPr>
        <w:t>competitiveness</w:t>
      </w:r>
      <w:proofErr w:type="gramEnd"/>
      <w:r w:rsidRPr="00C52A20">
        <w:rPr>
          <w:rFonts w:ascii="Arial" w:hAnsi="Arial" w:cs="Arial"/>
          <w:sz w:val="22"/>
        </w:rPr>
        <w:t xml:space="preserve"> and financial sustainability of a proposed new program. Stage </w:t>
      </w:r>
      <w:r w:rsidR="00ED1503" w:rsidRPr="00C52A20">
        <w:rPr>
          <w:rFonts w:ascii="Arial" w:hAnsi="Arial" w:cs="Arial"/>
          <w:sz w:val="22"/>
        </w:rPr>
        <w:t xml:space="preserve">2 </w:t>
      </w:r>
      <w:r w:rsidRPr="00C52A20">
        <w:rPr>
          <w:rFonts w:ascii="Arial" w:hAnsi="Arial" w:cs="Arial"/>
          <w:sz w:val="22"/>
        </w:rPr>
        <w:t xml:space="preserve">ensures the quality, academic </w:t>
      </w:r>
      <w:proofErr w:type="gramStart"/>
      <w:r w:rsidRPr="00C52A20">
        <w:rPr>
          <w:rFonts w:ascii="Arial" w:hAnsi="Arial" w:cs="Arial"/>
          <w:sz w:val="22"/>
        </w:rPr>
        <w:t>rigour</w:t>
      </w:r>
      <w:proofErr w:type="gramEnd"/>
      <w:r w:rsidRPr="00C52A20">
        <w:rPr>
          <w:rFonts w:ascii="Arial" w:hAnsi="Arial" w:cs="Arial"/>
          <w:sz w:val="22"/>
        </w:rPr>
        <w:t xml:space="preserve"> and regulatory compliance of a proposed new program. </w:t>
      </w:r>
    </w:p>
    <w:p w14:paraId="4143C187" w14:textId="21A42728" w:rsidR="009524FB" w:rsidRPr="00C52A20" w:rsidRDefault="005C7080" w:rsidP="00D906F6">
      <w:pPr>
        <w:pStyle w:val="Heading4"/>
        <w:spacing w:before="120"/>
        <w:ind w:left="851" w:firstLine="0"/>
        <w:jc w:val="left"/>
        <w:rPr>
          <w:rFonts w:ascii="Arial" w:hAnsi="Arial"/>
          <w:sz w:val="24"/>
          <w:szCs w:val="24"/>
        </w:rPr>
      </w:pPr>
      <w:r w:rsidRPr="00C52A20">
        <w:rPr>
          <w:rFonts w:ascii="Arial" w:hAnsi="Arial"/>
          <w:sz w:val="24"/>
          <w:szCs w:val="24"/>
        </w:rPr>
        <w:t xml:space="preserve">3.1.1 </w:t>
      </w:r>
      <w:r w:rsidR="001D5659" w:rsidRPr="00C52A20">
        <w:rPr>
          <w:rFonts w:ascii="Arial" w:hAnsi="Arial"/>
          <w:sz w:val="24"/>
          <w:szCs w:val="24"/>
        </w:rPr>
        <w:t xml:space="preserve">Stage 1: </w:t>
      </w:r>
      <w:r w:rsidR="00ED1503" w:rsidRPr="00C52A20">
        <w:rPr>
          <w:rFonts w:ascii="Arial" w:hAnsi="Arial"/>
          <w:sz w:val="24"/>
          <w:szCs w:val="24"/>
        </w:rPr>
        <w:t xml:space="preserve">Approval of </w:t>
      </w:r>
      <w:r w:rsidR="001D5659" w:rsidRPr="00C52A20">
        <w:rPr>
          <w:rFonts w:ascii="Arial" w:hAnsi="Arial"/>
          <w:sz w:val="24"/>
          <w:szCs w:val="24"/>
        </w:rPr>
        <w:t xml:space="preserve">New </w:t>
      </w:r>
      <w:r w:rsidR="00ED1503" w:rsidRPr="00C52A20">
        <w:rPr>
          <w:rFonts w:ascii="Arial" w:hAnsi="Arial"/>
          <w:sz w:val="24"/>
          <w:szCs w:val="24"/>
        </w:rPr>
        <w:t>P</w:t>
      </w:r>
      <w:r w:rsidR="001D5659" w:rsidRPr="00C52A20">
        <w:rPr>
          <w:rFonts w:ascii="Arial" w:hAnsi="Arial"/>
          <w:sz w:val="24"/>
          <w:szCs w:val="24"/>
        </w:rPr>
        <w:t xml:space="preserve">rogram </w:t>
      </w:r>
      <w:r w:rsidR="00ED1503" w:rsidRPr="00C52A20">
        <w:rPr>
          <w:rFonts w:ascii="Arial" w:hAnsi="Arial"/>
          <w:sz w:val="24"/>
          <w:szCs w:val="24"/>
        </w:rPr>
        <w:t>S</w:t>
      </w:r>
      <w:r w:rsidR="001D5659" w:rsidRPr="00C52A20">
        <w:rPr>
          <w:rFonts w:ascii="Arial" w:hAnsi="Arial"/>
          <w:sz w:val="24"/>
          <w:szCs w:val="24"/>
        </w:rPr>
        <w:t xml:space="preserve">trategic </w:t>
      </w:r>
      <w:r w:rsidR="00ED1503" w:rsidRPr="00C52A20">
        <w:rPr>
          <w:rFonts w:ascii="Arial" w:hAnsi="Arial"/>
          <w:sz w:val="24"/>
          <w:szCs w:val="24"/>
        </w:rPr>
        <w:t>B</w:t>
      </w:r>
      <w:r w:rsidR="001D5659" w:rsidRPr="00C52A20">
        <w:rPr>
          <w:rFonts w:ascii="Arial" w:hAnsi="Arial"/>
          <w:sz w:val="24"/>
          <w:szCs w:val="24"/>
        </w:rPr>
        <w:t>rief</w:t>
      </w:r>
      <w:r w:rsidR="00206718" w:rsidRPr="00C52A20">
        <w:rPr>
          <w:rFonts w:ascii="Arial" w:hAnsi="Arial"/>
          <w:sz w:val="24"/>
          <w:szCs w:val="24"/>
        </w:rPr>
        <w:t xml:space="preserve"> and</w:t>
      </w:r>
      <w:r w:rsidR="00B90F32" w:rsidRPr="00C52A20">
        <w:rPr>
          <w:rFonts w:ascii="Arial" w:hAnsi="Arial"/>
          <w:sz w:val="24"/>
          <w:szCs w:val="24"/>
        </w:rPr>
        <w:t xml:space="preserve"> Business Case</w:t>
      </w:r>
      <w:r w:rsidR="001D5659" w:rsidRPr="00C52A20">
        <w:rPr>
          <w:rFonts w:ascii="Arial" w:hAnsi="Arial"/>
          <w:sz w:val="24"/>
          <w:szCs w:val="24"/>
        </w:rPr>
        <w:t xml:space="preserve"> </w:t>
      </w:r>
    </w:p>
    <w:p w14:paraId="35C33649" w14:textId="2DC5D6B3" w:rsidR="001D5659" w:rsidRPr="00C52A20" w:rsidRDefault="001D5659" w:rsidP="00D906F6">
      <w:pPr>
        <w:spacing w:before="120" w:after="120" w:line="240" w:lineRule="auto"/>
        <w:ind w:left="851"/>
        <w:rPr>
          <w:rFonts w:ascii="Arial" w:hAnsi="Arial" w:cs="Arial"/>
          <w:b/>
          <w:color w:val="000000" w:themeColor="text1"/>
          <w:sz w:val="22"/>
        </w:rPr>
      </w:pPr>
      <w:r w:rsidRPr="00C52A20">
        <w:rPr>
          <w:rFonts w:ascii="Arial" w:hAnsi="Arial" w:cs="Arial"/>
          <w:sz w:val="22"/>
        </w:rPr>
        <w:t xml:space="preserve">A new program strategic brief provides an initial, brief overview of the strategic, market and financial case for the new program. This must be completed using the prescribed </w:t>
      </w:r>
      <w:r w:rsidR="009274F5" w:rsidRPr="00C52A20">
        <w:rPr>
          <w:rFonts w:ascii="Arial" w:hAnsi="Arial" w:cs="Arial"/>
          <w:sz w:val="22"/>
        </w:rPr>
        <w:t xml:space="preserve">proposal </w:t>
      </w:r>
      <w:r w:rsidRPr="00C52A20">
        <w:rPr>
          <w:rFonts w:ascii="Arial" w:hAnsi="Arial" w:cs="Arial"/>
          <w:sz w:val="22"/>
        </w:rPr>
        <w:t>template.</w:t>
      </w:r>
    </w:p>
    <w:p w14:paraId="4ED45608" w14:textId="593929DC" w:rsidR="009524FB" w:rsidRPr="00C52A20" w:rsidRDefault="009524FB" w:rsidP="00D906F6">
      <w:pPr>
        <w:spacing w:before="120" w:after="120" w:line="240" w:lineRule="auto"/>
        <w:ind w:left="851"/>
        <w:rPr>
          <w:rFonts w:ascii="Arial" w:hAnsi="Arial" w:cs="Arial"/>
          <w:b/>
          <w:sz w:val="22"/>
        </w:rPr>
      </w:pPr>
      <w:r w:rsidRPr="00C52A20">
        <w:rPr>
          <w:rFonts w:ascii="Arial" w:hAnsi="Arial" w:cs="Arial"/>
          <w:sz w:val="22"/>
        </w:rPr>
        <w:t xml:space="preserve">Academic staff may identify potential ideas for a new program. </w:t>
      </w:r>
      <w:r w:rsidRPr="00C52A20">
        <w:rPr>
          <w:rFonts w:ascii="Arial" w:hAnsi="Arial" w:cs="Arial"/>
          <w:color w:val="000000" w:themeColor="text1"/>
          <w:sz w:val="22"/>
        </w:rPr>
        <w:t xml:space="preserve">The staff member must consult the </w:t>
      </w:r>
      <w:r w:rsidRPr="00C52A20">
        <w:rPr>
          <w:rFonts w:ascii="Arial" w:hAnsi="Arial" w:cs="Arial"/>
          <w:sz w:val="22"/>
        </w:rPr>
        <w:t>relevant</w:t>
      </w:r>
      <w:r w:rsidRPr="00C52A20">
        <w:rPr>
          <w:rFonts w:ascii="Arial" w:hAnsi="Arial" w:cs="Arial"/>
          <w:color w:val="000000" w:themeColor="text1"/>
          <w:sz w:val="22"/>
        </w:rPr>
        <w:t xml:space="preserve"> Dean (Learning </w:t>
      </w:r>
      <w:r w:rsidR="007246B6" w:rsidRPr="00C52A20">
        <w:rPr>
          <w:rFonts w:ascii="Arial" w:hAnsi="Arial" w:cs="Arial"/>
          <w:color w:val="000000" w:themeColor="text1"/>
          <w:sz w:val="22"/>
        </w:rPr>
        <w:t>and</w:t>
      </w:r>
      <w:r w:rsidRPr="00C52A20">
        <w:rPr>
          <w:rFonts w:ascii="Arial" w:hAnsi="Arial" w:cs="Arial"/>
          <w:color w:val="000000" w:themeColor="text1"/>
          <w:sz w:val="22"/>
        </w:rPr>
        <w:t xml:space="preserve"> Teaching) to discuss whether the new program idea should be pursued.  The Dean (Research) must also be consulted for new higher degree research programs.</w:t>
      </w:r>
    </w:p>
    <w:p w14:paraId="42F55D7A" w14:textId="20F53D43" w:rsidR="009524FB" w:rsidRPr="00C52A20" w:rsidRDefault="009524FB" w:rsidP="00D906F6">
      <w:pPr>
        <w:spacing w:before="120" w:after="120" w:line="240" w:lineRule="auto"/>
        <w:ind w:left="851"/>
        <w:rPr>
          <w:rFonts w:ascii="Arial" w:hAnsi="Arial" w:cs="Arial"/>
          <w:b/>
          <w:sz w:val="22"/>
        </w:rPr>
      </w:pPr>
      <w:r w:rsidRPr="00C52A20">
        <w:rPr>
          <w:rFonts w:ascii="Arial" w:hAnsi="Arial" w:cs="Arial"/>
          <w:color w:val="000000" w:themeColor="text1"/>
          <w:sz w:val="22"/>
        </w:rPr>
        <w:t xml:space="preserve">The Dean (Learning </w:t>
      </w:r>
      <w:r w:rsidR="007246B6" w:rsidRPr="00C52A20">
        <w:rPr>
          <w:rFonts w:ascii="Arial" w:hAnsi="Arial" w:cs="Arial"/>
          <w:color w:val="000000" w:themeColor="text1"/>
          <w:sz w:val="22"/>
        </w:rPr>
        <w:t>and</w:t>
      </w:r>
      <w:r w:rsidRPr="00C52A20">
        <w:rPr>
          <w:rFonts w:ascii="Arial" w:hAnsi="Arial" w:cs="Arial"/>
          <w:color w:val="000000" w:themeColor="text1"/>
          <w:sz w:val="22"/>
        </w:rPr>
        <w:t xml:space="preserve"> Teaching) leads the development of the new program strategic brief, in collaboration with academic leaders</w:t>
      </w:r>
      <w:r w:rsidR="004813B2" w:rsidRPr="00C52A20">
        <w:rPr>
          <w:rFonts w:ascii="Arial" w:hAnsi="Arial" w:cs="Arial"/>
          <w:color w:val="000000" w:themeColor="text1"/>
          <w:sz w:val="22"/>
        </w:rPr>
        <w:t xml:space="preserve"> (including Program Directors)</w:t>
      </w:r>
      <w:r w:rsidRPr="00C52A20">
        <w:rPr>
          <w:rFonts w:ascii="Arial" w:hAnsi="Arial" w:cs="Arial"/>
          <w:color w:val="000000" w:themeColor="text1"/>
          <w:sz w:val="22"/>
        </w:rPr>
        <w:t xml:space="preserve"> within the discipline and drawing on the advice of Marketing and Communications, Griffith International, and Planning and Analytics. The Dean (Research) and Dean (Learning </w:t>
      </w:r>
      <w:r w:rsidR="0043236F" w:rsidRPr="00C52A20">
        <w:rPr>
          <w:rFonts w:ascii="Arial" w:hAnsi="Arial" w:cs="Arial"/>
          <w:color w:val="000000" w:themeColor="text1"/>
          <w:sz w:val="22"/>
        </w:rPr>
        <w:t>and</w:t>
      </w:r>
      <w:r w:rsidRPr="00C52A20">
        <w:rPr>
          <w:rFonts w:ascii="Arial" w:hAnsi="Arial" w:cs="Arial"/>
          <w:color w:val="000000" w:themeColor="text1"/>
          <w:sz w:val="22"/>
        </w:rPr>
        <w:t xml:space="preserve"> Teaching) will co-lead the development of a new higher degree research program.</w:t>
      </w:r>
    </w:p>
    <w:p w14:paraId="36308B9F" w14:textId="386DDB48" w:rsidR="00C75A4D" w:rsidRPr="00C52A20" w:rsidRDefault="009524FB" w:rsidP="00D906F6">
      <w:pPr>
        <w:spacing w:before="120" w:after="120" w:line="240" w:lineRule="auto"/>
        <w:ind w:left="851"/>
        <w:rPr>
          <w:rFonts w:ascii="Arial" w:hAnsi="Arial" w:cs="Arial"/>
          <w:color w:val="000000" w:themeColor="text1"/>
          <w:sz w:val="22"/>
        </w:rPr>
      </w:pPr>
      <w:r w:rsidRPr="00C52A20">
        <w:rPr>
          <w:rFonts w:ascii="Arial" w:hAnsi="Arial" w:cs="Arial"/>
          <w:color w:val="000000" w:themeColor="text1"/>
          <w:sz w:val="22"/>
        </w:rPr>
        <w:t>The Pro Vice Chancellor recommends the new program strategic brief for consideration by Program Strategy Board</w:t>
      </w:r>
      <w:r w:rsidR="00404053" w:rsidRPr="00C52A20">
        <w:rPr>
          <w:rFonts w:ascii="Arial" w:hAnsi="Arial" w:cs="Arial"/>
          <w:color w:val="000000" w:themeColor="text1"/>
          <w:sz w:val="22"/>
        </w:rPr>
        <w:t xml:space="preserve">, or for executive approval by the </w:t>
      </w:r>
      <w:proofErr w:type="gramStart"/>
      <w:r w:rsidR="00404053" w:rsidRPr="00C52A20">
        <w:rPr>
          <w:rFonts w:ascii="Arial" w:hAnsi="Arial" w:cs="Arial"/>
          <w:color w:val="000000" w:themeColor="text1"/>
          <w:sz w:val="22"/>
        </w:rPr>
        <w:t>Provost</w:t>
      </w:r>
      <w:proofErr w:type="gramEnd"/>
      <w:r w:rsidR="00404053" w:rsidRPr="00C52A20">
        <w:rPr>
          <w:rFonts w:ascii="Arial" w:hAnsi="Arial" w:cs="Arial"/>
          <w:color w:val="000000" w:themeColor="text1"/>
          <w:sz w:val="22"/>
        </w:rPr>
        <w:t>.</w:t>
      </w:r>
    </w:p>
    <w:p w14:paraId="7F279090" w14:textId="18E00C18" w:rsidR="00C75A4D" w:rsidRPr="00C52A20" w:rsidRDefault="00C75A4D" w:rsidP="00D906F6">
      <w:pPr>
        <w:pStyle w:val="ListParagraph"/>
        <w:numPr>
          <w:ilvl w:val="0"/>
          <w:numId w:val="45"/>
        </w:numPr>
        <w:spacing w:before="120" w:after="120" w:line="240" w:lineRule="auto"/>
        <w:ind w:left="1134" w:hanging="283"/>
        <w:rPr>
          <w:rFonts w:ascii="Arial" w:hAnsi="Arial" w:cs="Arial"/>
          <w:color w:val="000000" w:themeColor="text1"/>
          <w:sz w:val="22"/>
        </w:rPr>
      </w:pPr>
      <w:r w:rsidRPr="00C52A20">
        <w:rPr>
          <w:rFonts w:ascii="Arial" w:hAnsi="Arial" w:cs="Arial"/>
          <w:color w:val="000000" w:themeColor="text1"/>
          <w:sz w:val="22"/>
        </w:rPr>
        <w:t xml:space="preserve">Where a new higher degree by research program is proposed, the Dean of the Griffith Graduate Research School and the Deputy Vice Chancellor (Research) must review the new program strategic brief and approve the use of Research Training Program funded student places before proceeding to Program Strategy Board. </w:t>
      </w:r>
    </w:p>
    <w:p w14:paraId="3E2D7866" w14:textId="77777777" w:rsidR="00C75A4D" w:rsidRPr="00C52A20" w:rsidRDefault="00C75A4D" w:rsidP="00D906F6">
      <w:pPr>
        <w:spacing w:before="120" w:after="120" w:line="240" w:lineRule="auto"/>
        <w:ind w:left="851"/>
        <w:rPr>
          <w:rFonts w:ascii="Arial" w:hAnsi="Arial" w:cs="Arial"/>
          <w:color w:val="000000" w:themeColor="text1"/>
          <w:sz w:val="22"/>
        </w:rPr>
      </w:pPr>
      <w:r w:rsidRPr="00C52A20">
        <w:rPr>
          <w:rFonts w:ascii="Arial" w:hAnsi="Arial" w:cs="Arial"/>
          <w:color w:val="000000" w:themeColor="text1"/>
          <w:sz w:val="22"/>
        </w:rPr>
        <w:t xml:space="preserve">Program Strategy Board and/or the </w:t>
      </w:r>
      <w:proofErr w:type="gramStart"/>
      <w:r w:rsidRPr="00C52A20">
        <w:rPr>
          <w:rFonts w:ascii="Arial" w:hAnsi="Arial" w:cs="Arial"/>
          <w:color w:val="000000" w:themeColor="text1"/>
          <w:sz w:val="22"/>
        </w:rPr>
        <w:t>Provost</w:t>
      </w:r>
      <w:proofErr w:type="gramEnd"/>
      <w:r w:rsidRPr="00C52A20">
        <w:rPr>
          <w:rFonts w:ascii="Arial" w:hAnsi="Arial" w:cs="Arial"/>
          <w:color w:val="000000" w:themeColor="text1"/>
          <w:sz w:val="22"/>
        </w:rPr>
        <w:t xml:space="preserve"> approves the Strategic Brief to proceed to Stage 2 or rejects the program strategic brief.</w:t>
      </w:r>
    </w:p>
    <w:p w14:paraId="2DA7C97F" w14:textId="47C4728D" w:rsidR="00C75A4D" w:rsidRPr="00C52A20" w:rsidRDefault="009524FB" w:rsidP="00D906F6">
      <w:pPr>
        <w:spacing w:before="120" w:after="120" w:line="240" w:lineRule="auto"/>
        <w:ind w:left="851"/>
        <w:rPr>
          <w:rFonts w:ascii="Arial" w:hAnsi="Arial" w:cs="Arial"/>
          <w:color w:val="000000" w:themeColor="text1"/>
          <w:sz w:val="22"/>
        </w:rPr>
      </w:pPr>
      <w:r w:rsidRPr="00C52A20">
        <w:rPr>
          <w:rFonts w:ascii="Arial" w:hAnsi="Arial" w:cs="Arial"/>
          <w:color w:val="000000" w:themeColor="text1"/>
          <w:sz w:val="22"/>
        </w:rPr>
        <w:t>Where the new program requires new resources</w:t>
      </w:r>
      <w:r w:rsidR="00B90F32" w:rsidRPr="00C52A20">
        <w:rPr>
          <w:rFonts w:ascii="Arial" w:hAnsi="Arial" w:cs="Arial"/>
          <w:color w:val="000000" w:themeColor="text1"/>
          <w:sz w:val="22"/>
        </w:rPr>
        <w:t xml:space="preserve"> (</w:t>
      </w:r>
      <w:r w:rsidR="00064839" w:rsidRPr="00C52A20">
        <w:rPr>
          <w:rFonts w:ascii="Arial" w:hAnsi="Arial" w:cs="Arial"/>
          <w:color w:val="000000" w:themeColor="text1"/>
          <w:sz w:val="22"/>
        </w:rPr>
        <w:t>for example,</w:t>
      </w:r>
      <w:r w:rsidR="00B90F32" w:rsidRPr="00C52A20">
        <w:rPr>
          <w:rFonts w:ascii="Arial" w:hAnsi="Arial" w:cs="Arial"/>
          <w:color w:val="000000" w:themeColor="text1"/>
          <w:sz w:val="22"/>
        </w:rPr>
        <w:t xml:space="preserve"> </w:t>
      </w:r>
      <w:r w:rsidR="00D855F6" w:rsidRPr="00C52A20">
        <w:rPr>
          <w:rFonts w:ascii="Arial" w:hAnsi="Arial" w:cs="Arial"/>
          <w:color w:val="000000" w:themeColor="text1"/>
          <w:sz w:val="22"/>
        </w:rPr>
        <w:t>n</w:t>
      </w:r>
      <w:r w:rsidR="00B90F32" w:rsidRPr="00C52A20">
        <w:rPr>
          <w:rFonts w:ascii="Arial" w:hAnsi="Arial" w:cs="Arial"/>
          <w:color w:val="000000" w:themeColor="text1"/>
          <w:sz w:val="22"/>
        </w:rPr>
        <w:t>ew staff, significant capital expenditure</w:t>
      </w:r>
      <w:r w:rsidR="00C34FB8" w:rsidRPr="00C52A20">
        <w:rPr>
          <w:rFonts w:ascii="Arial" w:hAnsi="Arial" w:cs="Arial"/>
          <w:color w:val="000000" w:themeColor="text1"/>
          <w:sz w:val="22"/>
        </w:rPr>
        <w:t>)</w:t>
      </w:r>
      <w:r w:rsidRPr="00C52A20">
        <w:rPr>
          <w:rFonts w:ascii="Arial" w:hAnsi="Arial" w:cs="Arial"/>
          <w:color w:val="000000" w:themeColor="text1"/>
          <w:sz w:val="22"/>
        </w:rPr>
        <w:t>, the Pro-Vice Chancellor may be requested to complete a business case for consideration</w:t>
      </w:r>
      <w:r w:rsidR="00C34FB8" w:rsidRPr="00C52A20">
        <w:rPr>
          <w:rFonts w:ascii="Arial" w:hAnsi="Arial" w:cs="Arial"/>
          <w:color w:val="000000" w:themeColor="text1"/>
          <w:sz w:val="22"/>
        </w:rPr>
        <w:t xml:space="preserve"> and approval</w:t>
      </w:r>
      <w:r w:rsidRPr="00C52A20">
        <w:rPr>
          <w:rFonts w:ascii="Arial" w:hAnsi="Arial" w:cs="Arial"/>
          <w:color w:val="000000" w:themeColor="text1"/>
          <w:sz w:val="22"/>
        </w:rPr>
        <w:t xml:space="preserve"> by the </w:t>
      </w:r>
      <w:proofErr w:type="gramStart"/>
      <w:r w:rsidRPr="00C52A20">
        <w:rPr>
          <w:rFonts w:ascii="Arial" w:hAnsi="Arial" w:cs="Arial"/>
          <w:color w:val="000000" w:themeColor="text1"/>
          <w:sz w:val="22"/>
        </w:rPr>
        <w:t>Provost</w:t>
      </w:r>
      <w:proofErr w:type="gramEnd"/>
      <w:r w:rsidR="00DB2A22" w:rsidRPr="00C52A20">
        <w:rPr>
          <w:rFonts w:ascii="Arial" w:hAnsi="Arial" w:cs="Arial"/>
          <w:color w:val="000000" w:themeColor="text1"/>
          <w:sz w:val="22"/>
        </w:rPr>
        <w:t xml:space="preserve"> before proceeding to Stage 2</w:t>
      </w:r>
      <w:r w:rsidRPr="00C52A20">
        <w:rPr>
          <w:rFonts w:ascii="Arial" w:hAnsi="Arial" w:cs="Arial"/>
          <w:color w:val="000000" w:themeColor="text1"/>
          <w:sz w:val="22"/>
        </w:rPr>
        <w:t xml:space="preserve">.  This should be completed using the prescribed template.  </w:t>
      </w:r>
    </w:p>
    <w:p w14:paraId="20BB54AB" w14:textId="77777777" w:rsidR="00C75A4D" w:rsidRPr="00C52A20" w:rsidRDefault="001D5659" w:rsidP="00D906F6">
      <w:pPr>
        <w:pStyle w:val="ListParagraph"/>
        <w:numPr>
          <w:ilvl w:val="0"/>
          <w:numId w:val="45"/>
        </w:numPr>
        <w:spacing w:before="120" w:after="120" w:line="240" w:lineRule="auto"/>
        <w:ind w:left="1134" w:hanging="283"/>
        <w:rPr>
          <w:rFonts w:ascii="Arial" w:hAnsi="Arial" w:cs="Arial"/>
          <w:color w:val="000000" w:themeColor="text1"/>
          <w:sz w:val="22"/>
        </w:rPr>
      </w:pPr>
      <w:r w:rsidRPr="00C52A20">
        <w:rPr>
          <w:rFonts w:ascii="Arial" w:hAnsi="Arial" w:cs="Arial"/>
          <w:color w:val="000000" w:themeColor="text1"/>
          <w:sz w:val="22"/>
        </w:rPr>
        <w:t>The minutes and decisions of Program Strategy Board are shared with the Vice-Chancellor, to provide an opportunity for feedback and input.</w:t>
      </w:r>
    </w:p>
    <w:p w14:paraId="0382731A" w14:textId="77777777" w:rsidR="00C75A4D" w:rsidRPr="00C52A20" w:rsidRDefault="001D5659" w:rsidP="00D906F6">
      <w:pPr>
        <w:spacing w:before="120" w:after="120" w:line="240" w:lineRule="auto"/>
        <w:ind w:left="1080"/>
        <w:rPr>
          <w:rFonts w:ascii="Arial" w:hAnsi="Arial" w:cs="Arial"/>
          <w:color w:val="000000" w:themeColor="text1"/>
          <w:sz w:val="22"/>
        </w:rPr>
      </w:pPr>
      <w:r w:rsidRPr="00C52A20">
        <w:rPr>
          <w:rFonts w:ascii="Arial" w:hAnsi="Arial" w:cs="Arial"/>
          <w:color w:val="000000" w:themeColor="text1"/>
          <w:sz w:val="22"/>
        </w:rPr>
        <w:t xml:space="preserve">Marketing and Communications, and/or Griffith International may also identify an opportunity for a new product or market. This process involves: </w:t>
      </w:r>
    </w:p>
    <w:p w14:paraId="72612E45" w14:textId="3D254A6A" w:rsidR="00C75A4D" w:rsidRPr="00C52A20" w:rsidRDefault="001D5659" w:rsidP="00D906F6">
      <w:pPr>
        <w:pStyle w:val="ListParagraph"/>
        <w:numPr>
          <w:ilvl w:val="0"/>
          <w:numId w:val="45"/>
        </w:numPr>
        <w:spacing w:before="120" w:after="120" w:line="240" w:lineRule="auto"/>
        <w:ind w:left="1134" w:hanging="283"/>
        <w:rPr>
          <w:rFonts w:ascii="Arial" w:hAnsi="Arial" w:cs="Arial"/>
          <w:color w:val="000000" w:themeColor="text1"/>
          <w:sz w:val="22"/>
        </w:rPr>
      </w:pPr>
      <w:r w:rsidRPr="00C52A20">
        <w:rPr>
          <w:rFonts w:ascii="Arial" w:hAnsi="Arial" w:cs="Arial"/>
          <w:color w:val="000000" w:themeColor="text1"/>
          <w:sz w:val="22"/>
        </w:rPr>
        <w:t>Marketing and Communications, and/or Griffith International prepare a partial new program strategic brief for submission to Program Strategy Board</w:t>
      </w:r>
      <w:r w:rsidR="006805DD" w:rsidRPr="00C52A20">
        <w:rPr>
          <w:rFonts w:ascii="Arial" w:hAnsi="Arial" w:cs="Arial"/>
          <w:sz w:val="22"/>
          <w:vertAlign w:val="superscript"/>
        </w:rPr>
        <w:footnoteReference w:id="3"/>
      </w:r>
      <w:r w:rsidRPr="00C52A20">
        <w:rPr>
          <w:rFonts w:ascii="Arial" w:hAnsi="Arial" w:cs="Arial"/>
          <w:color w:val="000000" w:themeColor="text1"/>
          <w:sz w:val="22"/>
        </w:rPr>
        <w:t xml:space="preserve">. </w:t>
      </w:r>
    </w:p>
    <w:p w14:paraId="4FBEA70E" w14:textId="77777777" w:rsidR="00C75A4D" w:rsidRPr="00C52A20" w:rsidRDefault="001D5659" w:rsidP="00D906F6">
      <w:pPr>
        <w:pStyle w:val="ListParagraph"/>
        <w:numPr>
          <w:ilvl w:val="0"/>
          <w:numId w:val="45"/>
        </w:numPr>
        <w:spacing w:before="120" w:after="120" w:line="240" w:lineRule="auto"/>
        <w:ind w:left="1134" w:hanging="283"/>
        <w:rPr>
          <w:rFonts w:ascii="Arial" w:hAnsi="Arial" w:cs="Arial"/>
          <w:color w:val="000000" w:themeColor="text1"/>
          <w:sz w:val="22"/>
        </w:rPr>
      </w:pPr>
      <w:r w:rsidRPr="00C52A20">
        <w:rPr>
          <w:rFonts w:ascii="Arial" w:hAnsi="Arial" w:cs="Arial"/>
          <w:color w:val="000000" w:themeColor="text1"/>
          <w:sz w:val="22"/>
        </w:rPr>
        <w:t xml:space="preserve">Program Strategy Board considers the partial new program strategic brief. After consideration the Program Strategy Board may: </w:t>
      </w:r>
    </w:p>
    <w:p w14:paraId="2BD9C3E6" w14:textId="10776732" w:rsidR="001D5659" w:rsidRPr="00C52A20" w:rsidRDefault="001D5659" w:rsidP="00D906F6">
      <w:pPr>
        <w:pStyle w:val="ListParagraph"/>
        <w:numPr>
          <w:ilvl w:val="1"/>
          <w:numId w:val="39"/>
        </w:numPr>
        <w:spacing w:before="120" w:after="120" w:line="240" w:lineRule="auto"/>
        <w:ind w:left="1418" w:hanging="284"/>
        <w:rPr>
          <w:rFonts w:ascii="Arial" w:hAnsi="Arial" w:cs="Arial"/>
          <w:color w:val="000000" w:themeColor="text1"/>
          <w:sz w:val="22"/>
        </w:rPr>
      </w:pPr>
      <w:r w:rsidRPr="00C52A20">
        <w:rPr>
          <w:rFonts w:ascii="Arial" w:hAnsi="Arial" w:cs="Arial"/>
          <w:sz w:val="22"/>
        </w:rPr>
        <w:t xml:space="preserve">Request a more detailed market scan from Marketing and Communications, and/or </w:t>
      </w:r>
    </w:p>
    <w:p w14:paraId="7FE3047A" w14:textId="566B6642" w:rsidR="00C75A4D" w:rsidRPr="00C52A20" w:rsidRDefault="001D5659" w:rsidP="00D906F6">
      <w:pPr>
        <w:pStyle w:val="BulletPoints"/>
        <w:numPr>
          <w:ilvl w:val="1"/>
          <w:numId w:val="39"/>
        </w:numPr>
        <w:spacing w:before="120" w:after="120" w:line="240" w:lineRule="auto"/>
        <w:ind w:left="1418" w:hanging="284"/>
        <w:rPr>
          <w:rFonts w:ascii="Arial" w:hAnsi="Arial" w:cs="Arial"/>
          <w:sz w:val="22"/>
        </w:rPr>
      </w:pPr>
      <w:r w:rsidRPr="00C52A20">
        <w:rPr>
          <w:rFonts w:ascii="Arial" w:hAnsi="Arial" w:cs="Arial"/>
          <w:sz w:val="22"/>
        </w:rPr>
        <w:t xml:space="preserve">Request that the relevant Academic Group(s) consider a program offering which could respond to the market </w:t>
      </w:r>
      <w:proofErr w:type="gramStart"/>
      <w:r w:rsidRPr="00C52A20">
        <w:rPr>
          <w:rFonts w:ascii="Arial" w:hAnsi="Arial" w:cs="Arial"/>
          <w:sz w:val="22"/>
        </w:rPr>
        <w:t>opportunity, and</w:t>
      </w:r>
      <w:proofErr w:type="gramEnd"/>
      <w:r w:rsidRPr="00C52A20">
        <w:rPr>
          <w:rFonts w:ascii="Arial" w:hAnsi="Arial" w:cs="Arial"/>
          <w:sz w:val="22"/>
        </w:rPr>
        <w:t xml:space="preserve"> consider whether the proposed program offering could be resourced and delivered by the discipline.</w:t>
      </w:r>
    </w:p>
    <w:p w14:paraId="1D4FBB7F" w14:textId="713EE66A" w:rsidR="00C75A4D" w:rsidRPr="00C52A20" w:rsidRDefault="001D5659" w:rsidP="00D906F6">
      <w:pPr>
        <w:pStyle w:val="ListParagraph"/>
        <w:numPr>
          <w:ilvl w:val="0"/>
          <w:numId w:val="45"/>
        </w:numPr>
        <w:spacing w:before="120" w:after="120" w:line="240" w:lineRule="auto"/>
        <w:ind w:left="1134" w:hanging="283"/>
        <w:rPr>
          <w:rFonts w:ascii="Arial" w:hAnsi="Arial" w:cs="Arial"/>
          <w:sz w:val="22"/>
        </w:rPr>
      </w:pPr>
      <w:r w:rsidRPr="00C52A20">
        <w:rPr>
          <w:rFonts w:ascii="Arial" w:hAnsi="Arial" w:cs="Arial"/>
          <w:color w:val="000000" w:themeColor="text1"/>
          <w:sz w:val="22"/>
        </w:rPr>
        <w:lastRenderedPageBreak/>
        <w:t xml:space="preserve">The Pro Vice Chancellor and Dean (Learning </w:t>
      </w:r>
      <w:r w:rsidR="0042521E" w:rsidRPr="00C52A20">
        <w:rPr>
          <w:rFonts w:ascii="Arial" w:hAnsi="Arial" w:cs="Arial"/>
          <w:color w:val="000000" w:themeColor="text1"/>
          <w:sz w:val="22"/>
        </w:rPr>
        <w:t>and</w:t>
      </w:r>
      <w:r w:rsidRPr="00C52A20">
        <w:rPr>
          <w:rFonts w:ascii="Arial" w:hAnsi="Arial" w:cs="Arial"/>
          <w:color w:val="000000" w:themeColor="text1"/>
          <w:sz w:val="22"/>
        </w:rPr>
        <w:t xml:space="preserve"> Teaching) consider the advice of their Academic Group(s) (including, as appropriate, Head of School/Discipline and other academic staff) on the new program offering and whether it can be locally resourced. The Pro Vice Chancellor either: </w:t>
      </w:r>
    </w:p>
    <w:p w14:paraId="095111BC" w14:textId="3D987866" w:rsidR="001D5659" w:rsidRPr="00C52A20" w:rsidRDefault="001D5659" w:rsidP="00D906F6">
      <w:pPr>
        <w:pStyle w:val="BulletPoints"/>
        <w:numPr>
          <w:ilvl w:val="1"/>
          <w:numId w:val="39"/>
        </w:numPr>
        <w:spacing w:before="120" w:after="120" w:line="240" w:lineRule="auto"/>
        <w:ind w:left="1418" w:hanging="284"/>
        <w:rPr>
          <w:rFonts w:ascii="Arial" w:hAnsi="Arial" w:cs="Arial"/>
          <w:sz w:val="22"/>
        </w:rPr>
      </w:pPr>
      <w:r w:rsidRPr="00C52A20">
        <w:rPr>
          <w:rFonts w:ascii="Arial" w:hAnsi="Arial" w:cs="Arial"/>
          <w:sz w:val="22"/>
        </w:rPr>
        <w:t xml:space="preserve">approves proceeding to a new program business case; or </w:t>
      </w:r>
    </w:p>
    <w:p w14:paraId="06220775" w14:textId="77777777" w:rsidR="001D5659" w:rsidRPr="00C52A20" w:rsidRDefault="001D5659" w:rsidP="00D906F6">
      <w:pPr>
        <w:pStyle w:val="BulletPoints"/>
        <w:numPr>
          <w:ilvl w:val="1"/>
          <w:numId w:val="39"/>
        </w:numPr>
        <w:spacing w:before="120" w:after="120" w:line="240" w:lineRule="auto"/>
        <w:ind w:left="1418" w:hanging="284"/>
        <w:rPr>
          <w:rFonts w:ascii="Arial" w:hAnsi="Arial" w:cs="Arial"/>
          <w:sz w:val="22"/>
        </w:rPr>
      </w:pPr>
      <w:r w:rsidRPr="00C52A20">
        <w:rPr>
          <w:rFonts w:ascii="Arial" w:hAnsi="Arial" w:cs="Arial"/>
          <w:sz w:val="22"/>
        </w:rPr>
        <w:t>provides a rationale to Program Strategy Board as to why the new program should not proceed to new program business case.</w:t>
      </w:r>
    </w:p>
    <w:p w14:paraId="79A56B04" w14:textId="77BB9688" w:rsidR="001D5659" w:rsidRPr="00C52A20" w:rsidRDefault="005C7080" w:rsidP="00D906F6">
      <w:pPr>
        <w:pStyle w:val="Heading4"/>
        <w:spacing w:before="120"/>
        <w:ind w:left="851" w:firstLine="0"/>
        <w:jc w:val="left"/>
        <w:rPr>
          <w:rFonts w:ascii="Arial" w:hAnsi="Arial"/>
          <w:sz w:val="22"/>
        </w:rPr>
      </w:pPr>
      <w:r w:rsidRPr="00C52A20">
        <w:rPr>
          <w:rFonts w:ascii="Arial" w:hAnsi="Arial"/>
          <w:sz w:val="22"/>
        </w:rPr>
        <w:t xml:space="preserve">3.1.2 </w:t>
      </w:r>
      <w:r w:rsidR="001D5659" w:rsidRPr="00C52A20">
        <w:rPr>
          <w:rFonts w:ascii="Arial" w:hAnsi="Arial"/>
          <w:sz w:val="22"/>
        </w:rPr>
        <w:t xml:space="preserve">Stage </w:t>
      </w:r>
      <w:r w:rsidR="00C03DF0" w:rsidRPr="00C52A20">
        <w:rPr>
          <w:rFonts w:ascii="Arial" w:hAnsi="Arial"/>
          <w:sz w:val="22"/>
        </w:rPr>
        <w:t>2</w:t>
      </w:r>
      <w:r w:rsidR="001D5659" w:rsidRPr="00C52A20">
        <w:rPr>
          <w:rFonts w:ascii="Arial" w:hAnsi="Arial"/>
          <w:sz w:val="22"/>
        </w:rPr>
        <w:t>:</w:t>
      </w:r>
      <w:r w:rsidR="00C03DF0" w:rsidRPr="00C52A20">
        <w:rPr>
          <w:rFonts w:ascii="Arial" w:hAnsi="Arial"/>
          <w:sz w:val="22"/>
        </w:rPr>
        <w:t xml:space="preserve"> Approval of</w:t>
      </w:r>
      <w:r w:rsidR="001D5659" w:rsidRPr="00C52A20">
        <w:rPr>
          <w:rFonts w:ascii="Arial" w:hAnsi="Arial"/>
          <w:sz w:val="22"/>
        </w:rPr>
        <w:t xml:space="preserve"> </w:t>
      </w:r>
      <w:r w:rsidR="007D35F3" w:rsidRPr="00C52A20">
        <w:rPr>
          <w:rFonts w:ascii="Arial" w:hAnsi="Arial"/>
          <w:sz w:val="22"/>
        </w:rPr>
        <w:t xml:space="preserve">Curriculum </w:t>
      </w:r>
      <w:r w:rsidR="00C03DF0" w:rsidRPr="00C52A20">
        <w:rPr>
          <w:rFonts w:ascii="Arial" w:hAnsi="Arial"/>
          <w:sz w:val="22"/>
        </w:rPr>
        <w:t>P</w:t>
      </w:r>
      <w:r w:rsidR="001D5659" w:rsidRPr="00C52A20">
        <w:rPr>
          <w:rFonts w:ascii="Arial" w:hAnsi="Arial"/>
          <w:sz w:val="22"/>
        </w:rPr>
        <w:t xml:space="preserve">roposal </w:t>
      </w:r>
    </w:p>
    <w:p w14:paraId="5A075F2E" w14:textId="648DEDCD" w:rsidR="001D5659" w:rsidRPr="00C52A20" w:rsidRDefault="001D5659" w:rsidP="00D906F6">
      <w:pPr>
        <w:spacing w:before="120" w:after="120" w:line="240" w:lineRule="auto"/>
        <w:ind w:left="851"/>
        <w:rPr>
          <w:rFonts w:ascii="Arial" w:hAnsi="Arial" w:cs="Arial"/>
          <w:sz w:val="22"/>
        </w:rPr>
      </w:pPr>
      <w:r w:rsidRPr="00C52A20">
        <w:rPr>
          <w:rFonts w:ascii="Arial" w:hAnsi="Arial" w:cs="Arial"/>
          <w:sz w:val="22"/>
        </w:rPr>
        <w:t>After</w:t>
      </w:r>
      <w:r w:rsidR="00EA6A90" w:rsidRPr="00C52A20">
        <w:rPr>
          <w:rFonts w:ascii="Arial" w:hAnsi="Arial" w:cs="Arial"/>
          <w:sz w:val="22"/>
        </w:rPr>
        <w:t xml:space="preserve"> the new program</w:t>
      </w:r>
      <w:r w:rsidR="00796DCE" w:rsidRPr="00C52A20">
        <w:rPr>
          <w:rFonts w:ascii="Arial" w:hAnsi="Arial" w:cs="Arial"/>
          <w:sz w:val="22"/>
        </w:rPr>
        <w:t xml:space="preserve"> strategic brief</w:t>
      </w:r>
      <w:r w:rsidR="00EA6A90" w:rsidRPr="00C52A20">
        <w:rPr>
          <w:rFonts w:ascii="Arial" w:hAnsi="Arial" w:cs="Arial"/>
          <w:sz w:val="22"/>
        </w:rPr>
        <w:t xml:space="preserve"> has been approved</w:t>
      </w:r>
      <w:r w:rsidRPr="00C52A20">
        <w:rPr>
          <w:rFonts w:ascii="Arial" w:hAnsi="Arial" w:cs="Arial"/>
          <w:sz w:val="22"/>
        </w:rPr>
        <w:t xml:space="preserve">, the Dean (Learning </w:t>
      </w:r>
      <w:r w:rsidR="0042521E" w:rsidRPr="00C52A20">
        <w:rPr>
          <w:rFonts w:ascii="Arial" w:hAnsi="Arial" w:cs="Arial"/>
          <w:sz w:val="22"/>
        </w:rPr>
        <w:t>and</w:t>
      </w:r>
      <w:r w:rsidRPr="00C52A20">
        <w:rPr>
          <w:rFonts w:ascii="Arial" w:hAnsi="Arial" w:cs="Arial"/>
          <w:sz w:val="22"/>
        </w:rPr>
        <w:t xml:space="preserve"> </w:t>
      </w:r>
      <w:r w:rsidRPr="00C52A20">
        <w:rPr>
          <w:rFonts w:ascii="Arial" w:hAnsi="Arial" w:cs="Arial"/>
          <w:color w:val="000000" w:themeColor="text1"/>
          <w:sz w:val="22"/>
        </w:rPr>
        <w:t>Teaching</w:t>
      </w:r>
      <w:r w:rsidRPr="00C52A20">
        <w:rPr>
          <w:rFonts w:ascii="Arial" w:hAnsi="Arial" w:cs="Arial"/>
          <w:sz w:val="22"/>
        </w:rPr>
        <w:t xml:space="preserve">) is responsible for the quality of the program proposal and for overseeing the </w:t>
      </w:r>
      <w:r w:rsidR="00591393" w:rsidRPr="00C52A20">
        <w:rPr>
          <w:rFonts w:ascii="Arial" w:hAnsi="Arial" w:cs="Arial"/>
          <w:sz w:val="22"/>
        </w:rPr>
        <w:t xml:space="preserve">Curriculum </w:t>
      </w:r>
      <w:r w:rsidRPr="00C52A20">
        <w:rPr>
          <w:rFonts w:ascii="Arial" w:hAnsi="Arial" w:cs="Arial"/>
          <w:sz w:val="22"/>
        </w:rPr>
        <w:t xml:space="preserve">Proposal. Where the new program is a Higher Degree by Research program, the Dean (Learning </w:t>
      </w:r>
      <w:r w:rsidR="0043236F" w:rsidRPr="00C52A20">
        <w:rPr>
          <w:rFonts w:ascii="Arial" w:hAnsi="Arial" w:cs="Arial"/>
          <w:sz w:val="22"/>
        </w:rPr>
        <w:t>and</w:t>
      </w:r>
      <w:r w:rsidRPr="00C52A20">
        <w:rPr>
          <w:rFonts w:ascii="Arial" w:hAnsi="Arial" w:cs="Arial"/>
          <w:sz w:val="22"/>
        </w:rPr>
        <w:t xml:space="preserve"> Teaching) and Dean (Research) should co-lead the development of the New Program Proposal.</w:t>
      </w:r>
      <w:r w:rsidR="00586F32" w:rsidRPr="00C52A20">
        <w:rPr>
          <w:rFonts w:ascii="Arial" w:hAnsi="Arial" w:cs="Arial"/>
          <w:sz w:val="22"/>
        </w:rPr>
        <w:t xml:space="preserve">  Academic leads, including Program Directors, will support this process.</w:t>
      </w:r>
    </w:p>
    <w:p w14:paraId="67DB42BF" w14:textId="795052FD" w:rsidR="001D5659" w:rsidRPr="00C52A20" w:rsidRDefault="001D5659" w:rsidP="00D906F6">
      <w:pPr>
        <w:spacing w:before="120" w:after="120" w:line="240" w:lineRule="auto"/>
        <w:ind w:left="851"/>
        <w:rPr>
          <w:rFonts w:ascii="Arial" w:hAnsi="Arial" w:cs="Arial"/>
          <w:iCs/>
          <w:sz w:val="22"/>
        </w:rPr>
      </w:pPr>
      <w:r w:rsidRPr="00C52A20">
        <w:rPr>
          <w:rFonts w:ascii="Arial" w:hAnsi="Arial" w:cs="Arial"/>
          <w:sz w:val="22"/>
        </w:rPr>
        <w:t xml:space="preserve">The </w:t>
      </w:r>
      <w:r w:rsidRPr="00C52A20">
        <w:rPr>
          <w:rFonts w:ascii="Arial" w:hAnsi="Arial" w:cs="Arial"/>
          <w:iCs/>
          <w:sz w:val="22"/>
        </w:rPr>
        <w:t xml:space="preserve">New </w:t>
      </w:r>
      <w:r w:rsidRPr="00C52A20">
        <w:rPr>
          <w:rFonts w:ascii="Arial" w:hAnsi="Arial" w:cs="Arial"/>
          <w:color w:val="000000" w:themeColor="text1"/>
          <w:sz w:val="22"/>
        </w:rPr>
        <w:t>Program</w:t>
      </w:r>
      <w:r w:rsidRPr="00C52A20">
        <w:rPr>
          <w:rFonts w:ascii="Arial" w:hAnsi="Arial" w:cs="Arial"/>
          <w:iCs/>
          <w:sz w:val="22"/>
        </w:rPr>
        <w:t xml:space="preserve"> Proposal describes the program’s curriculum including the consistency with the requirements of </w:t>
      </w:r>
      <w:proofErr w:type="gramStart"/>
      <w:r w:rsidR="003845AD" w:rsidRPr="00C52A20">
        <w:rPr>
          <w:rFonts w:ascii="Arial" w:hAnsi="Arial" w:cs="Arial"/>
          <w:iCs/>
          <w:sz w:val="22"/>
        </w:rPr>
        <w:t>University</w:t>
      </w:r>
      <w:proofErr w:type="gramEnd"/>
      <w:r w:rsidR="003845AD" w:rsidRPr="00C52A20">
        <w:rPr>
          <w:rFonts w:ascii="Arial" w:hAnsi="Arial" w:cs="Arial"/>
          <w:iCs/>
          <w:sz w:val="22"/>
        </w:rPr>
        <w:t xml:space="preserve"> policy and procedure, and legislative requirements</w:t>
      </w:r>
      <w:r w:rsidRPr="00C52A20">
        <w:rPr>
          <w:rFonts w:ascii="Arial" w:hAnsi="Arial" w:cs="Arial"/>
          <w:iCs/>
          <w:sz w:val="22"/>
        </w:rPr>
        <w:t>. This must be completed using the prescribed</w:t>
      </w:r>
      <w:r w:rsidR="0059540C" w:rsidRPr="00C52A20">
        <w:rPr>
          <w:rFonts w:ascii="Arial" w:hAnsi="Arial" w:cs="Arial"/>
          <w:iCs/>
          <w:sz w:val="22"/>
        </w:rPr>
        <w:t xml:space="preserve"> proposal</w:t>
      </w:r>
      <w:r w:rsidRPr="00C52A20">
        <w:rPr>
          <w:rFonts w:ascii="Arial" w:hAnsi="Arial" w:cs="Arial"/>
          <w:iCs/>
          <w:sz w:val="22"/>
        </w:rPr>
        <w:t xml:space="preserve"> template</w:t>
      </w:r>
      <w:r w:rsidR="00EB286C" w:rsidRPr="00C52A20">
        <w:rPr>
          <w:rFonts w:ascii="Arial" w:hAnsi="Arial" w:cs="Arial"/>
          <w:iCs/>
          <w:sz w:val="22"/>
        </w:rPr>
        <w:t>.</w:t>
      </w:r>
      <w:r w:rsidRPr="00C52A20">
        <w:rPr>
          <w:rFonts w:ascii="Arial" w:hAnsi="Arial" w:cs="Arial"/>
          <w:iCs/>
          <w:sz w:val="22"/>
        </w:rPr>
        <w:t xml:space="preserve"> </w:t>
      </w:r>
    </w:p>
    <w:p w14:paraId="619C8DD3" w14:textId="198CB3D1" w:rsidR="001D5659" w:rsidRPr="00C52A20" w:rsidRDefault="001D5659" w:rsidP="00D906F6">
      <w:pPr>
        <w:spacing w:before="120" w:after="120" w:line="240" w:lineRule="auto"/>
        <w:ind w:left="851"/>
        <w:rPr>
          <w:rFonts w:ascii="Arial" w:hAnsi="Arial" w:cs="Arial"/>
          <w:sz w:val="22"/>
        </w:rPr>
      </w:pPr>
      <w:r w:rsidRPr="00C52A20">
        <w:rPr>
          <w:rFonts w:ascii="Arial" w:hAnsi="Arial" w:cs="Arial"/>
          <w:sz w:val="22"/>
        </w:rPr>
        <w:t xml:space="preserve">The New Program Proposal as recommended by the Dean (Learning </w:t>
      </w:r>
      <w:r w:rsidR="0043236F" w:rsidRPr="00C52A20">
        <w:rPr>
          <w:rFonts w:ascii="Arial" w:hAnsi="Arial" w:cs="Arial"/>
          <w:sz w:val="22"/>
        </w:rPr>
        <w:t>and</w:t>
      </w:r>
      <w:r w:rsidRPr="00C52A20">
        <w:rPr>
          <w:rFonts w:ascii="Arial" w:hAnsi="Arial" w:cs="Arial"/>
          <w:sz w:val="22"/>
        </w:rPr>
        <w:t xml:space="preserve"> Teaching) is considered by the Group Board of the host Group. For double/vertical degrees with a </w:t>
      </w:r>
      <w:r w:rsidRPr="00C52A20">
        <w:rPr>
          <w:rFonts w:ascii="Arial" w:hAnsi="Arial" w:cs="Arial"/>
          <w:color w:val="000000" w:themeColor="text1"/>
          <w:sz w:val="22"/>
        </w:rPr>
        <w:t>component</w:t>
      </w:r>
      <w:r w:rsidRPr="00C52A20">
        <w:rPr>
          <w:rFonts w:ascii="Arial" w:hAnsi="Arial" w:cs="Arial"/>
          <w:sz w:val="22"/>
        </w:rPr>
        <w:t xml:space="preserve"> offered by a different Academic Group, the other relevant Group should also consider the New Program Proposal.</w:t>
      </w:r>
    </w:p>
    <w:p w14:paraId="44C8091C" w14:textId="77777777" w:rsidR="00CB5F2C" w:rsidRPr="00C52A20" w:rsidRDefault="001D5659" w:rsidP="00D906F6">
      <w:pPr>
        <w:spacing w:before="120" w:after="120" w:line="240" w:lineRule="auto"/>
        <w:ind w:left="851"/>
        <w:rPr>
          <w:rFonts w:ascii="Arial" w:hAnsi="Arial" w:cs="Arial"/>
          <w:sz w:val="22"/>
        </w:rPr>
      </w:pPr>
      <w:r w:rsidRPr="00C52A20">
        <w:rPr>
          <w:rFonts w:ascii="Arial" w:hAnsi="Arial" w:cs="Arial"/>
          <w:sz w:val="22"/>
        </w:rPr>
        <w:t xml:space="preserve">Following </w:t>
      </w:r>
      <w:r w:rsidRPr="00C52A20">
        <w:rPr>
          <w:rFonts w:ascii="Arial" w:hAnsi="Arial" w:cs="Arial"/>
          <w:color w:val="000000" w:themeColor="text1"/>
          <w:sz w:val="22"/>
        </w:rPr>
        <w:t>Group</w:t>
      </w:r>
      <w:r w:rsidRPr="00C52A20">
        <w:rPr>
          <w:rFonts w:ascii="Arial" w:hAnsi="Arial" w:cs="Arial"/>
          <w:sz w:val="22"/>
        </w:rPr>
        <w:t xml:space="preserve"> Board consideration:</w:t>
      </w:r>
    </w:p>
    <w:p w14:paraId="26FDD9DF" w14:textId="45DB25BA" w:rsidR="00CB5F2C" w:rsidRPr="00C52A20" w:rsidRDefault="00D855F6" w:rsidP="00D906F6">
      <w:pPr>
        <w:pStyle w:val="ListParagraph"/>
        <w:numPr>
          <w:ilvl w:val="0"/>
          <w:numId w:val="45"/>
        </w:numPr>
        <w:spacing w:before="120" w:after="120" w:line="240" w:lineRule="auto"/>
        <w:ind w:left="1134" w:hanging="283"/>
        <w:rPr>
          <w:rFonts w:ascii="Arial" w:hAnsi="Arial" w:cs="Arial"/>
          <w:sz w:val="22"/>
        </w:rPr>
      </w:pPr>
      <w:r w:rsidRPr="00C52A20">
        <w:rPr>
          <w:rFonts w:ascii="Arial" w:hAnsi="Arial" w:cs="Arial"/>
          <w:color w:val="000000" w:themeColor="text1"/>
          <w:sz w:val="22"/>
        </w:rPr>
        <w:t>f</w:t>
      </w:r>
      <w:r w:rsidR="001D5659" w:rsidRPr="00C52A20">
        <w:rPr>
          <w:rFonts w:ascii="Arial" w:hAnsi="Arial" w:cs="Arial"/>
          <w:color w:val="000000" w:themeColor="text1"/>
          <w:sz w:val="22"/>
        </w:rPr>
        <w:t>or coursework programs, the New Program Proposal must be considered and approved by Programs Committee.</w:t>
      </w:r>
    </w:p>
    <w:p w14:paraId="3BE203B7" w14:textId="03433162" w:rsidR="001D5659" w:rsidRPr="00C52A20" w:rsidRDefault="00D855F6" w:rsidP="00D906F6">
      <w:pPr>
        <w:pStyle w:val="ListParagraph"/>
        <w:numPr>
          <w:ilvl w:val="0"/>
          <w:numId w:val="45"/>
        </w:numPr>
        <w:spacing w:before="120" w:after="120" w:line="240" w:lineRule="auto"/>
        <w:ind w:left="1134" w:hanging="283"/>
        <w:rPr>
          <w:rFonts w:ascii="Arial" w:hAnsi="Arial" w:cs="Arial"/>
          <w:sz w:val="22"/>
        </w:rPr>
      </w:pPr>
      <w:r w:rsidRPr="00C52A20">
        <w:rPr>
          <w:rFonts w:ascii="Arial" w:hAnsi="Arial" w:cs="Arial"/>
          <w:color w:val="000000" w:themeColor="text1"/>
          <w:sz w:val="22"/>
        </w:rPr>
        <w:t>f</w:t>
      </w:r>
      <w:r w:rsidR="001D5659" w:rsidRPr="00C52A20">
        <w:rPr>
          <w:rFonts w:ascii="Arial" w:hAnsi="Arial" w:cs="Arial"/>
          <w:color w:val="000000" w:themeColor="text1"/>
          <w:sz w:val="22"/>
        </w:rPr>
        <w:t xml:space="preserve">or Higher Degree by Research programs, the New Program Proposal must be considered by the Board of Graduate Research, and then must be </w:t>
      </w:r>
      <w:r w:rsidR="00C03DF0" w:rsidRPr="00C52A20">
        <w:rPr>
          <w:rFonts w:ascii="Arial" w:hAnsi="Arial" w:cs="Arial"/>
          <w:color w:val="000000" w:themeColor="text1"/>
          <w:sz w:val="22"/>
        </w:rPr>
        <w:t xml:space="preserve">recommended for </w:t>
      </w:r>
      <w:r w:rsidR="001D5659" w:rsidRPr="00C52A20">
        <w:rPr>
          <w:rFonts w:ascii="Arial" w:hAnsi="Arial" w:cs="Arial"/>
          <w:color w:val="000000" w:themeColor="text1"/>
          <w:sz w:val="22"/>
        </w:rPr>
        <w:t>approv</w:t>
      </w:r>
      <w:r w:rsidR="00C03DF0" w:rsidRPr="00C52A20">
        <w:rPr>
          <w:rFonts w:ascii="Arial" w:hAnsi="Arial" w:cs="Arial"/>
          <w:color w:val="000000" w:themeColor="text1"/>
          <w:sz w:val="22"/>
        </w:rPr>
        <w:t>al</w:t>
      </w:r>
      <w:r w:rsidR="001D5659" w:rsidRPr="00C52A20">
        <w:rPr>
          <w:rFonts w:ascii="Arial" w:hAnsi="Arial" w:cs="Arial"/>
          <w:color w:val="000000" w:themeColor="text1"/>
          <w:sz w:val="22"/>
        </w:rPr>
        <w:t xml:space="preserve"> by Programs Committee.</w:t>
      </w:r>
      <w:r w:rsidR="00713053" w:rsidRPr="00C52A20">
        <w:rPr>
          <w:rFonts w:ascii="Arial" w:hAnsi="Arial" w:cs="Arial"/>
          <w:color w:val="000000" w:themeColor="text1"/>
          <w:sz w:val="22"/>
        </w:rPr>
        <w:t xml:space="preserve">  </w:t>
      </w:r>
    </w:p>
    <w:p w14:paraId="02C97FD7" w14:textId="3B03D679" w:rsidR="001D5659" w:rsidRPr="00C52A20" w:rsidRDefault="001D5659" w:rsidP="00B12F65">
      <w:pPr>
        <w:pStyle w:val="Heading3"/>
        <w:spacing w:before="120" w:after="120"/>
        <w:ind w:left="567" w:firstLine="0"/>
        <w:rPr>
          <w:rFonts w:ascii="Arial" w:hAnsi="Arial" w:cs="Arial"/>
          <w:b/>
          <w:bCs/>
          <w:sz w:val="28"/>
          <w:szCs w:val="28"/>
        </w:rPr>
      </w:pPr>
      <w:bookmarkStart w:id="14" w:name="_3.3_Approval_of"/>
      <w:bookmarkStart w:id="15" w:name="_3.2_Approval_of"/>
      <w:bookmarkEnd w:id="14"/>
      <w:bookmarkEnd w:id="15"/>
      <w:r w:rsidRPr="00C52A20">
        <w:rPr>
          <w:rFonts w:ascii="Arial" w:hAnsi="Arial" w:cs="Arial"/>
          <w:b/>
          <w:bCs/>
          <w:sz w:val="28"/>
          <w:szCs w:val="28"/>
        </w:rPr>
        <w:t>3.</w:t>
      </w:r>
      <w:r w:rsidR="00A20099" w:rsidRPr="00C52A20">
        <w:rPr>
          <w:rFonts w:ascii="Arial" w:hAnsi="Arial" w:cs="Arial"/>
          <w:b/>
          <w:bCs/>
          <w:sz w:val="28"/>
          <w:szCs w:val="28"/>
        </w:rPr>
        <w:t>2</w:t>
      </w:r>
      <w:r w:rsidRPr="00C52A20">
        <w:rPr>
          <w:rFonts w:ascii="Arial" w:hAnsi="Arial" w:cs="Arial"/>
          <w:b/>
          <w:bCs/>
          <w:sz w:val="28"/>
          <w:szCs w:val="28"/>
        </w:rPr>
        <w:t xml:space="preserve"> Approval of</w:t>
      </w:r>
      <w:r w:rsidR="00AF532F" w:rsidRPr="00C52A20">
        <w:rPr>
          <w:rFonts w:ascii="Arial" w:hAnsi="Arial" w:cs="Arial"/>
          <w:b/>
          <w:bCs/>
          <w:sz w:val="28"/>
          <w:szCs w:val="28"/>
        </w:rPr>
        <w:t xml:space="preserve"> major</w:t>
      </w:r>
      <w:r w:rsidRPr="00C52A20">
        <w:rPr>
          <w:rFonts w:ascii="Arial" w:hAnsi="Arial" w:cs="Arial"/>
          <w:b/>
          <w:bCs/>
          <w:sz w:val="28"/>
          <w:szCs w:val="28"/>
        </w:rPr>
        <w:t xml:space="preserve"> changes to an existing program </w:t>
      </w:r>
    </w:p>
    <w:p w14:paraId="59FD93EA" w14:textId="37BB8CAC" w:rsidR="001D5659" w:rsidRPr="00C52A20" w:rsidRDefault="005C7080" w:rsidP="00B12F65">
      <w:pPr>
        <w:pStyle w:val="Heading4"/>
        <w:spacing w:before="120"/>
        <w:ind w:left="851" w:firstLine="0"/>
        <w:jc w:val="left"/>
        <w:rPr>
          <w:rFonts w:ascii="Arial" w:hAnsi="Arial"/>
          <w:sz w:val="22"/>
          <w:lang w:eastAsia="en-GB"/>
        </w:rPr>
      </w:pPr>
      <w:r w:rsidRPr="00C52A20">
        <w:rPr>
          <w:rFonts w:ascii="Arial" w:hAnsi="Arial"/>
          <w:sz w:val="22"/>
          <w:lang w:eastAsia="en-GB"/>
        </w:rPr>
        <w:t xml:space="preserve">3.2.1 </w:t>
      </w:r>
      <w:r w:rsidR="001D5659" w:rsidRPr="00C52A20">
        <w:rPr>
          <w:rFonts w:ascii="Arial" w:hAnsi="Arial"/>
          <w:sz w:val="22"/>
          <w:lang w:eastAsia="en-GB"/>
        </w:rPr>
        <w:t xml:space="preserve">Step 1: </w:t>
      </w:r>
      <w:r w:rsidR="00C03DF0" w:rsidRPr="00C52A20">
        <w:rPr>
          <w:rFonts w:ascii="Arial" w:hAnsi="Arial"/>
          <w:sz w:val="22"/>
          <w:lang w:eastAsia="en-GB"/>
        </w:rPr>
        <w:t xml:space="preserve">Major changes </w:t>
      </w:r>
      <w:r w:rsidR="001D5659" w:rsidRPr="00C52A20">
        <w:rPr>
          <w:rFonts w:ascii="Arial" w:hAnsi="Arial"/>
          <w:sz w:val="22"/>
          <w:lang w:eastAsia="en-GB"/>
        </w:rPr>
        <w:t>with strategic and financial implications</w:t>
      </w:r>
    </w:p>
    <w:p w14:paraId="7020532F" w14:textId="2FEAFBD7" w:rsidR="001D5659" w:rsidRPr="00C52A20" w:rsidRDefault="001D5659" w:rsidP="00D906F6">
      <w:pPr>
        <w:spacing w:before="120" w:after="120" w:line="240" w:lineRule="auto"/>
        <w:ind w:left="851"/>
        <w:rPr>
          <w:rFonts w:ascii="Arial" w:hAnsi="Arial" w:cs="Arial"/>
          <w:sz w:val="22"/>
          <w:lang w:eastAsia="en-GB"/>
        </w:rPr>
      </w:pPr>
      <w:r w:rsidRPr="00C52A20">
        <w:rPr>
          <w:rFonts w:ascii="Arial" w:hAnsi="Arial" w:cs="Arial"/>
          <w:sz w:val="22"/>
          <w:lang w:eastAsia="en-GB"/>
        </w:rPr>
        <w:t xml:space="preserve">Program Strategy Board </w:t>
      </w:r>
      <w:r w:rsidR="00C03DF0" w:rsidRPr="00C52A20">
        <w:rPr>
          <w:rFonts w:ascii="Arial" w:hAnsi="Arial" w:cs="Arial"/>
          <w:sz w:val="22"/>
          <w:lang w:eastAsia="en-GB"/>
        </w:rPr>
        <w:t xml:space="preserve">will consider changes to existing programs </w:t>
      </w:r>
      <w:r w:rsidRPr="00C52A20">
        <w:rPr>
          <w:rFonts w:ascii="Arial" w:hAnsi="Arial" w:cs="Arial"/>
          <w:sz w:val="22"/>
          <w:lang w:eastAsia="en-GB"/>
        </w:rPr>
        <w:t xml:space="preserve">that have strategic and financial </w:t>
      </w:r>
      <w:r w:rsidRPr="00C52A20">
        <w:rPr>
          <w:rFonts w:ascii="Arial" w:hAnsi="Arial" w:cs="Arial"/>
          <w:color w:val="000000" w:themeColor="text1"/>
          <w:sz w:val="22"/>
        </w:rPr>
        <w:t>implications</w:t>
      </w:r>
      <w:r w:rsidRPr="00C52A20">
        <w:rPr>
          <w:rFonts w:ascii="Arial" w:hAnsi="Arial" w:cs="Arial"/>
          <w:sz w:val="22"/>
          <w:lang w:eastAsia="en-GB"/>
        </w:rPr>
        <w:t xml:space="preserve"> for Griffith</w:t>
      </w:r>
      <w:r w:rsidR="00C03DF0" w:rsidRPr="00C52A20">
        <w:rPr>
          <w:rFonts w:ascii="Arial" w:hAnsi="Arial" w:cs="Arial"/>
          <w:sz w:val="22"/>
          <w:lang w:eastAsia="en-GB"/>
        </w:rPr>
        <w:t xml:space="preserve"> (refer to Appendix 1 for guidelines)</w:t>
      </w:r>
      <w:r w:rsidRPr="00C52A20">
        <w:rPr>
          <w:rFonts w:ascii="Arial" w:hAnsi="Arial" w:cs="Arial"/>
          <w:sz w:val="22"/>
          <w:lang w:eastAsia="en-GB"/>
        </w:rPr>
        <w:t xml:space="preserve">. </w:t>
      </w:r>
    </w:p>
    <w:p w14:paraId="2324252B" w14:textId="14E8ACCD" w:rsidR="001D5659" w:rsidRPr="00C52A20" w:rsidRDefault="001D5659" w:rsidP="00D906F6">
      <w:pPr>
        <w:spacing w:before="120" w:after="120" w:line="240" w:lineRule="auto"/>
        <w:ind w:left="851"/>
        <w:rPr>
          <w:rFonts w:ascii="Arial" w:hAnsi="Arial" w:cs="Arial"/>
          <w:sz w:val="22"/>
          <w:lang w:eastAsia="en-GB"/>
        </w:rPr>
      </w:pPr>
      <w:r w:rsidRPr="00C52A20">
        <w:rPr>
          <w:rFonts w:ascii="Arial" w:hAnsi="Arial" w:cs="Arial"/>
          <w:sz w:val="22"/>
          <w:lang w:eastAsia="en-GB"/>
        </w:rPr>
        <w:t>Program Strategy Board will require the proposed change</w:t>
      </w:r>
      <w:r w:rsidR="00C03DF0" w:rsidRPr="00C52A20">
        <w:rPr>
          <w:rFonts w:ascii="Arial" w:hAnsi="Arial" w:cs="Arial"/>
          <w:sz w:val="22"/>
          <w:lang w:eastAsia="en-GB"/>
        </w:rPr>
        <w:t>s</w:t>
      </w:r>
      <w:r w:rsidRPr="00C52A20">
        <w:rPr>
          <w:rFonts w:ascii="Arial" w:hAnsi="Arial" w:cs="Arial"/>
          <w:sz w:val="22"/>
          <w:lang w:eastAsia="en-GB"/>
        </w:rPr>
        <w:t xml:space="preserve"> to be detailed in the strategic brief template </w:t>
      </w:r>
      <w:r w:rsidR="00C03DF0" w:rsidRPr="00C52A20">
        <w:rPr>
          <w:rFonts w:ascii="Arial" w:hAnsi="Arial" w:cs="Arial"/>
          <w:sz w:val="22"/>
          <w:lang w:eastAsia="en-GB"/>
        </w:rPr>
        <w:t>(</w:t>
      </w:r>
      <w:r w:rsidRPr="00C52A20">
        <w:rPr>
          <w:rFonts w:ascii="Arial" w:hAnsi="Arial" w:cs="Arial"/>
          <w:sz w:val="22"/>
          <w:lang w:eastAsia="en-GB"/>
        </w:rPr>
        <w:t xml:space="preserve">and </w:t>
      </w:r>
      <w:r w:rsidRPr="00C52A20">
        <w:rPr>
          <w:rFonts w:ascii="Arial" w:hAnsi="Arial" w:cs="Arial"/>
          <w:color w:val="000000" w:themeColor="text1"/>
          <w:sz w:val="22"/>
        </w:rPr>
        <w:t>business</w:t>
      </w:r>
      <w:r w:rsidRPr="00C52A20">
        <w:rPr>
          <w:rFonts w:ascii="Arial" w:hAnsi="Arial" w:cs="Arial"/>
          <w:sz w:val="22"/>
          <w:lang w:eastAsia="en-GB"/>
        </w:rPr>
        <w:t xml:space="preserve"> case template</w:t>
      </w:r>
      <w:r w:rsidR="00C03DF0" w:rsidRPr="00C52A20">
        <w:rPr>
          <w:rFonts w:ascii="Arial" w:hAnsi="Arial" w:cs="Arial"/>
          <w:sz w:val="22"/>
          <w:lang w:eastAsia="en-GB"/>
        </w:rPr>
        <w:t xml:space="preserve"> where required</w:t>
      </w:r>
      <w:r w:rsidR="003E7035" w:rsidRPr="00C52A20">
        <w:rPr>
          <w:rFonts w:ascii="Arial" w:hAnsi="Arial" w:cs="Arial"/>
          <w:sz w:val="22"/>
          <w:lang w:eastAsia="en-GB"/>
        </w:rPr>
        <w:t>)</w:t>
      </w:r>
      <w:r w:rsidRPr="00C52A20">
        <w:rPr>
          <w:rFonts w:ascii="Arial" w:hAnsi="Arial" w:cs="Arial"/>
          <w:sz w:val="22"/>
          <w:lang w:eastAsia="en-GB"/>
        </w:rPr>
        <w:t>.</w:t>
      </w:r>
      <w:r w:rsidRPr="00C52A20">
        <w:rPr>
          <w:rStyle w:val="FootnoteReference"/>
          <w:rFonts w:ascii="Arial" w:hAnsi="Arial" w:cs="Arial"/>
          <w:sz w:val="22"/>
          <w:lang w:eastAsia="en-GB"/>
        </w:rPr>
        <w:footnoteReference w:id="4"/>
      </w:r>
      <w:r w:rsidRPr="00C52A20">
        <w:rPr>
          <w:rFonts w:ascii="Arial" w:hAnsi="Arial" w:cs="Arial"/>
          <w:sz w:val="22"/>
          <w:lang w:eastAsia="en-GB"/>
        </w:rPr>
        <w:t xml:space="preserve"> </w:t>
      </w:r>
      <w:r w:rsidR="003E7035" w:rsidRPr="00C52A20">
        <w:rPr>
          <w:rFonts w:ascii="Arial" w:hAnsi="Arial" w:cs="Arial"/>
          <w:sz w:val="22"/>
          <w:lang w:eastAsia="en-GB"/>
        </w:rPr>
        <w:t xml:space="preserve">Following approval by </w:t>
      </w:r>
      <w:r w:rsidRPr="00C52A20">
        <w:rPr>
          <w:rFonts w:ascii="Arial" w:hAnsi="Arial" w:cs="Arial"/>
          <w:sz w:val="22"/>
          <w:lang w:eastAsia="en-GB"/>
        </w:rPr>
        <w:t>Program Strategy Board</w:t>
      </w:r>
      <w:r w:rsidR="003E7035" w:rsidRPr="00C52A20">
        <w:rPr>
          <w:rFonts w:ascii="Arial" w:hAnsi="Arial" w:cs="Arial"/>
          <w:sz w:val="22"/>
          <w:lang w:eastAsia="en-GB"/>
        </w:rPr>
        <w:t xml:space="preserve">, the Academic Group will progress to </w:t>
      </w:r>
      <w:r w:rsidRPr="00C52A20">
        <w:rPr>
          <w:rFonts w:ascii="Arial" w:hAnsi="Arial" w:cs="Arial"/>
          <w:sz w:val="22"/>
          <w:lang w:eastAsia="en-GB"/>
        </w:rPr>
        <w:t>step 2.</w:t>
      </w:r>
    </w:p>
    <w:p w14:paraId="7206FDB9" w14:textId="17C12575" w:rsidR="001D5659" w:rsidRPr="00C52A20" w:rsidRDefault="005C7080" w:rsidP="00B12F65">
      <w:pPr>
        <w:pStyle w:val="Heading4"/>
        <w:spacing w:before="120"/>
        <w:ind w:left="851" w:firstLine="0"/>
        <w:jc w:val="left"/>
        <w:rPr>
          <w:rStyle w:val="normaltextrun"/>
          <w:rFonts w:ascii="Arial" w:hAnsi="Arial"/>
          <w:sz w:val="22"/>
        </w:rPr>
      </w:pPr>
      <w:r w:rsidRPr="00C52A20">
        <w:rPr>
          <w:rFonts w:ascii="Arial" w:hAnsi="Arial"/>
          <w:sz w:val="22"/>
        </w:rPr>
        <w:t xml:space="preserve">3.2.2 </w:t>
      </w:r>
      <w:r w:rsidR="001D5659" w:rsidRPr="00C52A20">
        <w:rPr>
          <w:rFonts w:ascii="Arial" w:hAnsi="Arial"/>
          <w:sz w:val="22"/>
        </w:rPr>
        <w:t>Step</w:t>
      </w:r>
      <w:r w:rsidR="001D5659" w:rsidRPr="00C52A20">
        <w:rPr>
          <w:rStyle w:val="normaltextrun"/>
          <w:rFonts w:ascii="Arial" w:hAnsi="Arial"/>
          <w:sz w:val="22"/>
        </w:rPr>
        <w:t xml:space="preserve"> 2: Approval </w:t>
      </w:r>
      <w:r w:rsidR="003E7035" w:rsidRPr="00C52A20">
        <w:rPr>
          <w:rStyle w:val="normaltextrun"/>
          <w:rFonts w:ascii="Arial" w:hAnsi="Arial"/>
          <w:sz w:val="22"/>
        </w:rPr>
        <w:t>of Major Change Proposal</w:t>
      </w:r>
    </w:p>
    <w:p w14:paraId="11409034" w14:textId="6B11BF80" w:rsidR="001D5659" w:rsidRPr="00C52A20" w:rsidRDefault="001D5659" w:rsidP="00B12F65">
      <w:pPr>
        <w:spacing w:before="120" w:after="120" w:line="240" w:lineRule="auto"/>
        <w:ind w:left="851"/>
        <w:rPr>
          <w:rFonts w:ascii="Arial" w:hAnsi="Arial" w:cs="Arial"/>
          <w:sz w:val="22"/>
        </w:rPr>
      </w:pPr>
      <w:r w:rsidRPr="00C52A20">
        <w:rPr>
          <w:rFonts w:ascii="Arial" w:hAnsi="Arial" w:cs="Arial"/>
          <w:sz w:val="22"/>
          <w:lang w:eastAsia="en-GB"/>
        </w:rPr>
        <w:t>Major</w:t>
      </w:r>
      <w:r w:rsidRPr="00C52A20">
        <w:rPr>
          <w:rFonts w:ascii="Arial" w:hAnsi="Arial" w:cs="Arial"/>
          <w:sz w:val="22"/>
        </w:rPr>
        <w:t xml:space="preserve"> changes to existing programs require consideration by Group Board. If the existing program is Higher Degree by Research, the Board of Graduate Research must also consider and recommend the major change. Following this, Programs Committee considers and approves major changes.</w:t>
      </w:r>
      <w:r w:rsidR="00BD7B3B" w:rsidRPr="00C52A20">
        <w:rPr>
          <w:rFonts w:ascii="Arial" w:hAnsi="Arial" w:cs="Arial"/>
          <w:sz w:val="22"/>
          <w:lang w:eastAsia="en-GB"/>
        </w:rPr>
        <w:t xml:space="preserve"> Major</w:t>
      </w:r>
      <w:r w:rsidR="00BD7B3B" w:rsidRPr="00C52A20">
        <w:rPr>
          <w:rFonts w:ascii="Arial" w:hAnsi="Arial" w:cs="Arial"/>
          <w:sz w:val="22"/>
        </w:rPr>
        <w:t xml:space="preserve"> changes must be documented in the Major Change to Program Proposal template.</w:t>
      </w:r>
      <w:r w:rsidRPr="00C52A20">
        <w:rPr>
          <w:rFonts w:ascii="Arial" w:hAnsi="Arial" w:cs="Arial"/>
          <w:sz w:val="22"/>
        </w:rPr>
        <w:t xml:space="preserve"> </w:t>
      </w:r>
    </w:p>
    <w:p w14:paraId="104EE595" w14:textId="7A88964C" w:rsidR="00E8516E" w:rsidRPr="00C52A20" w:rsidRDefault="00E8516E" w:rsidP="00B12F65">
      <w:pPr>
        <w:pStyle w:val="Heading4"/>
        <w:spacing w:before="120"/>
        <w:ind w:left="851" w:firstLine="0"/>
        <w:jc w:val="left"/>
        <w:rPr>
          <w:rFonts w:ascii="Arial" w:hAnsi="Arial"/>
          <w:bCs/>
          <w:sz w:val="22"/>
          <w:lang w:eastAsia="en-GB"/>
        </w:rPr>
      </w:pPr>
      <w:r w:rsidRPr="00C52A20">
        <w:rPr>
          <w:rFonts w:ascii="Arial" w:hAnsi="Arial"/>
          <w:bCs/>
          <w:sz w:val="22"/>
          <w:lang w:eastAsia="en-GB"/>
        </w:rPr>
        <w:t xml:space="preserve">3.2.3 Changes to </w:t>
      </w:r>
      <w:r w:rsidR="003D085C" w:rsidRPr="00C52A20">
        <w:rPr>
          <w:rFonts w:ascii="Arial" w:hAnsi="Arial"/>
          <w:bCs/>
          <w:sz w:val="22"/>
          <w:lang w:eastAsia="en-GB"/>
        </w:rPr>
        <w:t>p</w:t>
      </w:r>
      <w:r w:rsidRPr="00C52A20">
        <w:rPr>
          <w:rFonts w:ascii="Arial" w:hAnsi="Arial"/>
          <w:bCs/>
          <w:sz w:val="22"/>
          <w:lang w:eastAsia="en-GB"/>
        </w:rPr>
        <w:t xml:space="preserve">rogram </w:t>
      </w:r>
      <w:r w:rsidR="003D085C" w:rsidRPr="00C52A20">
        <w:rPr>
          <w:rFonts w:ascii="Arial" w:hAnsi="Arial"/>
          <w:bCs/>
          <w:sz w:val="22"/>
          <w:lang w:eastAsia="en-GB"/>
        </w:rPr>
        <w:t>r</w:t>
      </w:r>
      <w:r w:rsidRPr="00C52A20">
        <w:rPr>
          <w:rFonts w:ascii="Arial" w:hAnsi="Arial"/>
          <w:bCs/>
          <w:sz w:val="22"/>
          <w:lang w:eastAsia="en-GB"/>
        </w:rPr>
        <w:t>equirements</w:t>
      </w:r>
      <w:r w:rsidR="00C118D3" w:rsidRPr="00C52A20">
        <w:rPr>
          <w:rFonts w:ascii="Arial" w:hAnsi="Arial"/>
          <w:bCs/>
          <w:sz w:val="22"/>
          <w:lang w:eastAsia="en-GB"/>
        </w:rPr>
        <w:t xml:space="preserve"> and program title</w:t>
      </w:r>
    </w:p>
    <w:p w14:paraId="132F119E" w14:textId="4B39A235" w:rsidR="00E84CD5" w:rsidRPr="00C52A20" w:rsidRDefault="00F96119" w:rsidP="00B12F65">
      <w:pPr>
        <w:spacing w:before="120" w:after="120" w:line="240" w:lineRule="auto"/>
        <w:ind w:left="851"/>
        <w:rPr>
          <w:rFonts w:ascii="Arial" w:hAnsi="Arial" w:cs="Arial"/>
          <w:sz w:val="22"/>
          <w:lang w:eastAsia="en-GB"/>
        </w:rPr>
      </w:pPr>
      <w:r w:rsidRPr="00C52A20">
        <w:rPr>
          <w:rFonts w:ascii="Arial" w:hAnsi="Arial" w:cs="Arial"/>
          <w:sz w:val="22"/>
          <w:lang w:eastAsia="en-GB"/>
        </w:rPr>
        <w:t>Programs Committee may approve changes to the program requirements</w:t>
      </w:r>
      <w:r w:rsidR="00C118D3" w:rsidRPr="00C52A20">
        <w:rPr>
          <w:rFonts w:ascii="Arial" w:hAnsi="Arial" w:cs="Arial"/>
          <w:sz w:val="22"/>
          <w:lang w:eastAsia="en-GB"/>
        </w:rPr>
        <w:t xml:space="preserve"> and/or program tile</w:t>
      </w:r>
      <w:r w:rsidRPr="00C52A20">
        <w:rPr>
          <w:rFonts w:ascii="Arial" w:hAnsi="Arial" w:cs="Arial"/>
          <w:sz w:val="22"/>
          <w:lang w:eastAsia="en-GB"/>
        </w:rPr>
        <w:t xml:space="preserve">.  </w:t>
      </w:r>
      <w:r w:rsidR="00C118D3" w:rsidRPr="00C52A20">
        <w:rPr>
          <w:rFonts w:ascii="Arial" w:hAnsi="Arial" w:cs="Arial"/>
          <w:sz w:val="22"/>
          <w:lang w:eastAsia="en-GB"/>
        </w:rPr>
        <w:t xml:space="preserve">The revised program </w:t>
      </w:r>
      <w:r w:rsidRPr="00C52A20">
        <w:rPr>
          <w:rFonts w:ascii="Arial" w:hAnsi="Arial" w:cs="Arial"/>
          <w:sz w:val="22"/>
          <w:lang w:eastAsia="en-GB"/>
        </w:rPr>
        <w:t>normally appl</w:t>
      </w:r>
      <w:r w:rsidR="00C118D3" w:rsidRPr="00C52A20">
        <w:rPr>
          <w:rFonts w:ascii="Arial" w:hAnsi="Arial" w:cs="Arial"/>
          <w:sz w:val="22"/>
          <w:lang w:eastAsia="en-GB"/>
        </w:rPr>
        <w:t>ies</w:t>
      </w:r>
      <w:r w:rsidRPr="00C52A20">
        <w:rPr>
          <w:rFonts w:ascii="Arial" w:hAnsi="Arial" w:cs="Arial"/>
          <w:sz w:val="22"/>
          <w:lang w:eastAsia="en-GB"/>
        </w:rPr>
        <w:t xml:space="preserve"> to students admitted in a future dated trimester/teaching </w:t>
      </w:r>
      <w:r w:rsidRPr="00C52A20">
        <w:rPr>
          <w:rFonts w:ascii="Arial" w:hAnsi="Arial" w:cs="Arial"/>
          <w:sz w:val="22"/>
          <w:lang w:eastAsia="en-GB"/>
        </w:rPr>
        <w:lastRenderedPageBreak/>
        <w:t xml:space="preserve">period.  </w:t>
      </w:r>
      <w:r w:rsidR="00B663AA" w:rsidRPr="00C52A20">
        <w:rPr>
          <w:rFonts w:ascii="Arial" w:hAnsi="Arial" w:cs="Arial"/>
          <w:sz w:val="22"/>
          <w:lang w:eastAsia="en-GB"/>
        </w:rPr>
        <w:t>T</w:t>
      </w:r>
      <w:r w:rsidR="00491355" w:rsidRPr="00C52A20">
        <w:rPr>
          <w:rFonts w:ascii="Arial" w:hAnsi="Arial" w:cs="Arial"/>
          <w:sz w:val="22"/>
          <w:lang w:eastAsia="en-GB"/>
        </w:rPr>
        <w:t xml:space="preserve">ransition arrangements </w:t>
      </w:r>
      <w:r w:rsidR="000D205F" w:rsidRPr="00C52A20">
        <w:rPr>
          <w:rFonts w:ascii="Arial" w:hAnsi="Arial" w:cs="Arial"/>
          <w:sz w:val="22"/>
          <w:lang w:eastAsia="en-GB"/>
        </w:rPr>
        <w:t xml:space="preserve">for </w:t>
      </w:r>
      <w:r w:rsidR="00547CDD" w:rsidRPr="00C52A20">
        <w:rPr>
          <w:rFonts w:ascii="Arial" w:hAnsi="Arial" w:cs="Arial"/>
          <w:sz w:val="22"/>
          <w:lang w:eastAsia="en-GB"/>
        </w:rPr>
        <w:t xml:space="preserve">continuing students should be </w:t>
      </w:r>
      <w:r w:rsidR="00C118D3" w:rsidRPr="00C52A20">
        <w:rPr>
          <w:rFonts w:ascii="Arial" w:hAnsi="Arial" w:cs="Arial"/>
          <w:sz w:val="22"/>
          <w:lang w:eastAsia="en-GB"/>
        </w:rPr>
        <w:t>identified</w:t>
      </w:r>
      <w:r w:rsidR="006C5C86" w:rsidRPr="00C52A20">
        <w:rPr>
          <w:rFonts w:ascii="Arial" w:hAnsi="Arial" w:cs="Arial"/>
          <w:sz w:val="22"/>
          <w:lang w:eastAsia="en-GB"/>
        </w:rPr>
        <w:t xml:space="preserve"> where </w:t>
      </w:r>
      <w:r w:rsidR="00E50C9A" w:rsidRPr="00C52A20">
        <w:rPr>
          <w:rFonts w:ascii="Arial" w:hAnsi="Arial" w:cs="Arial"/>
          <w:sz w:val="22"/>
          <w:lang w:eastAsia="en-GB"/>
        </w:rPr>
        <w:t>relevant</w:t>
      </w:r>
      <w:r w:rsidR="00B94049" w:rsidRPr="00C52A20">
        <w:rPr>
          <w:rFonts w:ascii="Arial" w:hAnsi="Arial" w:cs="Arial"/>
          <w:sz w:val="22"/>
          <w:lang w:eastAsia="en-GB"/>
        </w:rPr>
        <w:t>.</w:t>
      </w:r>
      <w:r w:rsidR="00D61497" w:rsidRPr="00C52A20">
        <w:rPr>
          <w:rFonts w:ascii="Arial" w:hAnsi="Arial" w:cs="Arial"/>
          <w:sz w:val="22"/>
          <w:lang w:eastAsia="en-GB"/>
        </w:rPr>
        <w:t xml:space="preserve">  Transition arrangements may require students to transfer </w:t>
      </w:r>
      <w:r w:rsidR="00741496" w:rsidRPr="00C52A20">
        <w:rPr>
          <w:rFonts w:ascii="Arial" w:hAnsi="Arial" w:cs="Arial"/>
          <w:sz w:val="22"/>
          <w:lang w:eastAsia="en-GB"/>
        </w:rPr>
        <w:t>to a different program to complete their requirements.</w:t>
      </w:r>
    </w:p>
    <w:p w14:paraId="6B306159" w14:textId="318597FE" w:rsidR="002F67F5" w:rsidRPr="00C52A20" w:rsidRDefault="002F67F5" w:rsidP="00B12F65">
      <w:pPr>
        <w:pStyle w:val="Heading3"/>
        <w:spacing w:before="120" w:after="120"/>
        <w:ind w:left="567" w:firstLine="0"/>
        <w:rPr>
          <w:rFonts w:ascii="Arial" w:hAnsi="Arial" w:cs="Arial"/>
          <w:b/>
          <w:bCs/>
          <w:sz w:val="28"/>
          <w:szCs w:val="28"/>
        </w:rPr>
      </w:pPr>
      <w:bookmarkStart w:id="16" w:name="_3.3_Approval_of_1"/>
      <w:bookmarkEnd w:id="16"/>
      <w:r w:rsidRPr="00C52A20">
        <w:rPr>
          <w:rFonts w:ascii="Arial" w:hAnsi="Arial" w:cs="Arial"/>
          <w:b/>
          <w:bCs/>
          <w:sz w:val="28"/>
          <w:szCs w:val="28"/>
        </w:rPr>
        <w:t xml:space="preserve">3.3 Approval of other program changes </w:t>
      </w:r>
    </w:p>
    <w:p w14:paraId="38696689" w14:textId="5FD37CF3" w:rsidR="001D5659" w:rsidRPr="00C52A20" w:rsidRDefault="00CB5F2C" w:rsidP="00B12F65">
      <w:pPr>
        <w:pStyle w:val="Heading4"/>
        <w:spacing w:before="120"/>
        <w:ind w:left="851" w:firstLine="0"/>
        <w:jc w:val="left"/>
        <w:rPr>
          <w:rFonts w:ascii="Arial" w:hAnsi="Arial"/>
          <w:sz w:val="22"/>
        </w:rPr>
      </w:pPr>
      <w:r w:rsidRPr="00C52A20">
        <w:rPr>
          <w:rFonts w:ascii="Arial" w:hAnsi="Arial"/>
          <w:sz w:val="22"/>
        </w:rPr>
        <w:t xml:space="preserve">3.3.1 </w:t>
      </w:r>
      <w:r w:rsidR="001D5659" w:rsidRPr="00C52A20">
        <w:rPr>
          <w:rFonts w:ascii="Arial" w:hAnsi="Arial"/>
          <w:sz w:val="22"/>
          <w:lang w:eastAsia="en-GB"/>
        </w:rPr>
        <w:t>Approval</w:t>
      </w:r>
      <w:r w:rsidR="001D5659" w:rsidRPr="00C52A20">
        <w:rPr>
          <w:rFonts w:ascii="Arial" w:hAnsi="Arial"/>
          <w:sz w:val="22"/>
        </w:rPr>
        <w:t xml:space="preserve"> of minor changes to programs </w:t>
      </w:r>
    </w:p>
    <w:p w14:paraId="3E8F6C9D" w14:textId="49ECDFFB" w:rsidR="001D5659" w:rsidRPr="00C52A20" w:rsidRDefault="001D5659" w:rsidP="00B12F65">
      <w:pPr>
        <w:spacing w:before="120" w:after="120" w:line="240" w:lineRule="auto"/>
        <w:ind w:left="851"/>
        <w:rPr>
          <w:rFonts w:ascii="Arial" w:hAnsi="Arial" w:cs="Arial"/>
          <w:sz w:val="22"/>
        </w:rPr>
      </w:pPr>
      <w:r w:rsidRPr="00C52A20">
        <w:rPr>
          <w:rFonts w:ascii="Arial" w:hAnsi="Arial" w:cs="Arial"/>
          <w:sz w:val="22"/>
        </w:rPr>
        <w:t>Deans</w:t>
      </w:r>
      <w:r w:rsidR="00F57002" w:rsidRPr="00C52A20">
        <w:rPr>
          <w:rFonts w:ascii="Arial" w:hAnsi="Arial" w:cs="Arial"/>
          <w:sz w:val="22"/>
        </w:rPr>
        <w:t>’</w:t>
      </w:r>
      <w:r w:rsidRPr="00C52A20">
        <w:rPr>
          <w:rFonts w:ascii="Arial" w:hAnsi="Arial" w:cs="Arial"/>
          <w:sz w:val="22"/>
        </w:rPr>
        <w:t xml:space="preserve"> </w:t>
      </w:r>
      <w:r w:rsidR="00C82BFB" w:rsidRPr="00C52A20">
        <w:rPr>
          <w:rFonts w:ascii="Arial" w:hAnsi="Arial" w:cs="Arial"/>
          <w:sz w:val="22"/>
        </w:rPr>
        <w:t>(</w:t>
      </w:r>
      <w:r w:rsidRPr="00C52A20">
        <w:rPr>
          <w:rFonts w:ascii="Arial" w:hAnsi="Arial" w:cs="Arial"/>
          <w:sz w:val="22"/>
        </w:rPr>
        <w:t>L</w:t>
      </w:r>
      <w:r w:rsidR="00C82BFB" w:rsidRPr="00C52A20">
        <w:rPr>
          <w:rFonts w:ascii="Arial" w:hAnsi="Arial" w:cs="Arial"/>
          <w:sz w:val="22"/>
        </w:rPr>
        <w:t xml:space="preserve">earning </w:t>
      </w:r>
      <w:r w:rsidR="00D855F6" w:rsidRPr="00C52A20">
        <w:rPr>
          <w:rFonts w:ascii="Arial" w:hAnsi="Arial" w:cs="Arial"/>
          <w:sz w:val="22"/>
        </w:rPr>
        <w:t>and</w:t>
      </w:r>
      <w:r w:rsidR="00C82BFB" w:rsidRPr="00C52A20">
        <w:rPr>
          <w:rFonts w:ascii="Arial" w:hAnsi="Arial" w:cs="Arial"/>
          <w:sz w:val="22"/>
        </w:rPr>
        <w:t xml:space="preserve"> </w:t>
      </w:r>
      <w:r w:rsidRPr="00C52A20">
        <w:rPr>
          <w:rFonts w:ascii="Arial" w:hAnsi="Arial" w:cs="Arial"/>
          <w:sz w:val="22"/>
        </w:rPr>
        <w:t>T</w:t>
      </w:r>
      <w:r w:rsidR="00C82BFB" w:rsidRPr="00C52A20">
        <w:rPr>
          <w:rFonts w:ascii="Arial" w:hAnsi="Arial" w:cs="Arial"/>
          <w:sz w:val="22"/>
        </w:rPr>
        <w:t>eaching)</w:t>
      </w:r>
      <w:r w:rsidRPr="00C52A20">
        <w:rPr>
          <w:rFonts w:ascii="Arial" w:hAnsi="Arial" w:cs="Arial"/>
          <w:sz w:val="22"/>
        </w:rPr>
        <w:t xml:space="preserve"> approve minor changes to programs using the</w:t>
      </w:r>
      <w:r w:rsidR="00DB63CE" w:rsidRPr="00C52A20">
        <w:rPr>
          <w:rFonts w:ascii="Arial" w:hAnsi="Arial" w:cs="Arial"/>
          <w:sz w:val="22"/>
        </w:rPr>
        <w:t xml:space="preserve"> prescribed proposal template</w:t>
      </w:r>
      <w:r w:rsidRPr="00C52A20">
        <w:rPr>
          <w:rFonts w:ascii="Arial" w:hAnsi="Arial" w:cs="Arial"/>
          <w:sz w:val="22"/>
        </w:rPr>
        <w:t>. A minor change may include renaming an academic plan</w:t>
      </w:r>
      <w:r w:rsidR="00D855F6" w:rsidRPr="00C52A20">
        <w:rPr>
          <w:rFonts w:ascii="Arial" w:hAnsi="Arial" w:cs="Arial"/>
          <w:sz w:val="22"/>
        </w:rPr>
        <w:t>,</w:t>
      </w:r>
      <w:r w:rsidRPr="00C52A20">
        <w:rPr>
          <w:rFonts w:ascii="Arial" w:hAnsi="Arial" w:cs="Arial"/>
          <w:sz w:val="22"/>
        </w:rPr>
        <w:t xml:space="preserve"> </w:t>
      </w:r>
      <w:proofErr w:type="gramStart"/>
      <w:r w:rsidRPr="00C52A20">
        <w:rPr>
          <w:rFonts w:ascii="Arial" w:hAnsi="Arial" w:cs="Arial"/>
          <w:sz w:val="22"/>
        </w:rPr>
        <w:t>adding</w:t>
      </w:r>
      <w:proofErr w:type="gramEnd"/>
      <w:r w:rsidRPr="00C52A20">
        <w:rPr>
          <w:rFonts w:ascii="Arial" w:hAnsi="Arial" w:cs="Arial"/>
          <w:sz w:val="22"/>
        </w:rPr>
        <w:t xml:space="preserve"> or withdrawing a course within a program</w:t>
      </w:r>
      <w:r w:rsidR="00C8656F" w:rsidRPr="00C52A20">
        <w:rPr>
          <w:rFonts w:ascii="Arial" w:hAnsi="Arial" w:cs="Arial"/>
          <w:sz w:val="22"/>
        </w:rPr>
        <w:t>, chang</w:t>
      </w:r>
      <w:r w:rsidR="008D4686" w:rsidRPr="00C52A20">
        <w:rPr>
          <w:rFonts w:ascii="Arial" w:hAnsi="Arial" w:cs="Arial"/>
          <w:sz w:val="22"/>
        </w:rPr>
        <w:t>ing</w:t>
      </w:r>
      <w:r w:rsidR="00C8656F" w:rsidRPr="00C52A20">
        <w:rPr>
          <w:rFonts w:ascii="Arial" w:hAnsi="Arial" w:cs="Arial"/>
          <w:sz w:val="22"/>
        </w:rPr>
        <w:t xml:space="preserve"> the campus and/or trimester of offer of a course</w:t>
      </w:r>
      <w:r w:rsidR="008D4686" w:rsidRPr="00C52A20">
        <w:rPr>
          <w:rFonts w:ascii="Arial" w:hAnsi="Arial" w:cs="Arial"/>
          <w:sz w:val="22"/>
        </w:rPr>
        <w:t>, and changing the position of a course within a program</w:t>
      </w:r>
      <w:r w:rsidRPr="00C52A20">
        <w:rPr>
          <w:rFonts w:ascii="Arial" w:hAnsi="Arial" w:cs="Arial"/>
          <w:sz w:val="22"/>
        </w:rPr>
        <w:t>.</w:t>
      </w:r>
    </w:p>
    <w:p w14:paraId="1F468A85" w14:textId="1F598843" w:rsidR="001D5659" w:rsidRPr="00C52A20" w:rsidRDefault="001D5659" w:rsidP="00B12F65">
      <w:pPr>
        <w:spacing w:before="120" w:after="120" w:line="240" w:lineRule="auto"/>
        <w:ind w:left="851"/>
        <w:rPr>
          <w:rFonts w:ascii="Arial" w:hAnsi="Arial" w:cs="Arial"/>
          <w:sz w:val="22"/>
        </w:rPr>
      </w:pPr>
      <w:r w:rsidRPr="00C52A20">
        <w:rPr>
          <w:rFonts w:ascii="Arial" w:hAnsi="Arial" w:cs="Arial"/>
          <w:sz w:val="22"/>
        </w:rPr>
        <w:t>Approval</w:t>
      </w:r>
      <w:r w:rsidRPr="00C52A20">
        <w:rPr>
          <w:rFonts w:ascii="Arial" w:eastAsia="Times New Roman" w:hAnsi="Arial" w:cs="Arial"/>
          <w:sz w:val="22"/>
        </w:rPr>
        <w:t xml:space="preserve"> of changes to courses follow the processes outlined in the </w:t>
      </w:r>
      <w:r w:rsidR="00D855F6" w:rsidRPr="00C52A20">
        <w:rPr>
          <w:rFonts w:ascii="Arial" w:eastAsia="Times New Roman" w:hAnsi="Arial" w:cs="Arial"/>
          <w:sz w:val="22"/>
        </w:rPr>
        <w:t xml:space="preserve">Course Approval </w:t>
      </w:r>
      <w:r w:rsidRPr="00C52A20">
        <w:rPr>
          <w:rFonts w:ascii="Arial" w:eastAsia="Times New Roman" w:hAnsi="Arial" w:cs="Arial"/>
          <w:sz w:val="22"/>
        </w:rPr>
        <w:t>Procedure</w:t>
      </w:r>
      <w:r w:rsidRPr="00C52A20">
        <w:rPr>
          <w:rFonts w:ascii="Arial" w:hAnsi="Arial" w:cs="Arial"/>
          <w:sz w:val="22"/>
        </w:rPr>
        <w:t>.</w:t>
      </w:r>
    </w:p>
    <w:p w14:paraId="703CCEBB" w14:textId="1AFD0F73" w:rsidR="001D5659" w:rsidRPr="00C52A20" w:rsidRDefault="005C7080" w:rsidP="00B12F65">
      <w:pPr>
        <w:pStyle w:val="Heading4"/>
        <w:spacing w:before="120"/>
        <w:ind w:left="851" w:firstLine="0"/>
        <w:jc w:val="left"/>
        <w:rPr>
          <w:rFonts w:ascii="Arial" w:hAnsi="Arial"/>
          <w:sz w:val="22"/>
          <w:lang w:eastAsia="en-GB"/>
        </w:rPr>
      </w:pPr>
      <w:r w:rsidRPr="00C52A20">
        <w:rPr>
          <w:rFonts w:ascii="Arial" w:hAnsi="Arial"/>
          <w:sz w:val="22"/>
          <w:lang w:eastAsia="en-GB"/>
        </w:rPr>
        <w:t xml:space="preserve">3.3.2 </w:t>
      </w:r>
      <w:r w:rsidR="001D5659" w:rsidRPr="00C52A20">
        <w:rPr>
          <w:rFonts w:ascii="Arial" w:hAnsi="Arial"/>
          <w:sz w:val="22"/>
          <w:lang w:eastAsia="en-GB"/>
        </w:rPr>
        <w:t>Administrative change to an existing program</w:t>
      </w:r>
    </w:p>
    <w:p w14:paraId="2736D31A" w14:textId="77777777" w:rsidR="00B12F65" w:rsidRPr="00C52A20" w:rsidRDefault="001D5659" w:rsidP="00B12F65">
      <w:pPr>
        <w:spacing w:before="120" w:after="120" w:line="240" w:lineRule="auto"/>
        <w:ind w:left="851"/>
        <w:rPr>
          <w:rFonts w:ascii="Arial" w:hAnsi="Arial" w:cs="Arial"/>
          <w:sz w:val="22"/>
        </w:rPr>
      </w:pPr>
      <w:r w:rsidRPr="00C52A20">
        <w:rPr>
          <w:rFonts w:ascii="Arial" w:hAnsi="Arial" w:cs="Arial"/>
          <w:sz w:val="22"/>
        </w:rPr>
        <w:t xml:space="preserve">Administrative changes </w:t>
      </w:r>
      <w:r w:rsidR="00C82BFB" w:rsidRPr="00C52A20">
        <w:rPr>
          <w:rFonts w:ascii="Arial" w:hAnsi="Arial" w:cs="Arial"/>
          <w:sz w:val="22"/>
        </w:rPr>
        <w:t xml:space="preserve">that </w:t>
      </w:r>
      <w:r w:rsidRPr="00C52A20">
        <w:rPr>
          <w:rFonts w:ascii="Arial" w:hAnsi="Arial" w:cs="Arial"/>
          <w:sz w:val="22"/>
        </w:rPr>
        <w:t>Program Directors identify are actioned by the Group Program Partner. An administrative change can include, for example:</w:t>
      </w:r>
    </w:p>
    <w:p w14:paraId="41B48A4C" w14:textId="37007289" w:rsidR="001D5659" w:rsidRPr="00C52A20" w:rsidRDefault="00D855F6" w:rsidP="00B12F65">
      <w:pPr>
        <w:pStyle w:val="ListParagraph"/>
        <w:numPr>
          <w:ilvl w:val="0"/>
          <w:numId w:val="45"/>
        </w:numPr>
        <w:spacing w:before="120" w:after="120" w:line="240" w:lineRule="auto"/>
        <w:ind w:left="1134" w:hanging="283"/>
        <w:rPr>
          <w:rFonts w:ascii="Arial" w:hAnsi="Arial" w:cs="Arial"/>
          <w:color w:val="000000" w:themeColor="text1"/>
          <w:sz w:val="22"/>
        </w:rPr>
      </w:pPr>
      <w:r w:rsidRPr="00C52A20">
        <w:rPr>
          <w:rFonts w:ascii="Arial" w:hAnsi="Arial" w:cs="Arial"/>
          <w:color w:val="000000" w:themeColor="text1"/>
          <w:sz w:val="22"/>
        </w:rPr>
        <w:t>c</w:t>
      </w:r>
      <w:r w:rsidR="001D5659" w:rsidRPr="00C52A20">
        <w:rPr>
          <w:rFonts w:ascii="Arial" w:hAnsi="Arial" w:cs="Arial"/>
          <w:color w:val="000000" w:themeColor="text1"/>
          <w:sz w:val="22"/>
        </w:rPr>
        <w:t>orrecting errors or updating due to changes in, for instance, role titles or terminology</w:t>
      </w:r>
    </w:p>
    <w:p w14:paraId="462A642B" w14:textId="77992FB4" w:rsidR="001D5659" w:rsidRPr="00C52A20" w:rsidRDefault="00D855F6" w:rsidP="00B12F65">
      <w:pPr>
        <w:pStyle w:val="ListParagraph"/>
        <w:numPr>
          <w:ilvl w:val="0"/>
          <w:numId w:val="45"/>
        </w:numPr>
        <w:spacing w:before="120" w:after="120" w:line="240" w:lineRule="auto"/>
        <w:ind w:left="1134" w:hanging="283"/>
        <w:rPr>
          <w:rFonts w:ascii="Arial" w:hAnsi="Arial" w:cs="Arial"/>
          <w:color w:val="000000" w:themeColor="text1"/>
          <w:sz w:val="22"/>
        </w:rPr>
      </w:pPr>
      <w:r w:rsidRPr="00C52A20">
        <w:rPr>
          <w:rFonts w:ascii="Arial" w:hAnsi="Arial" w:cs="Arial"/>
          <w:color w:val="000000" w:themeColor="text1"/>
          <w:sz w:val="22"/>
        </w:rPr>
        <w:t>u</w:t>
      </w:r>
      <w:r w:rsidR="001D5659" w:rsidRPr="00C52A20">
        <w:rPr>
          <w:rFonts w:ascii="Arial" w:hAnsi="Arial" w:cs="Arial"/>
          <w:color w:val="000000" w:themeColor="text1"/>
          <w:sz w:val="22"/>
        </w:rPr>
        <w:t xml:space="preserve">pdating text on </w:t>
      </w:r>
      <w:r w:rsidRPr="00C52A20">
        <w:rPr>
          <w:rFonts w:ascii="Arial" w:hAnsi="Arial" w:cs="Arial"/>
          <w:color w:val="000000" w:themeColor="text1"/>
          <w:sz w:val="22"/>
        </w:rPr>
        <w:t xml:space="preserve">the </w:t>
      </w:r>
      <w:r w:rsidR="001D5659" w:rsidRPr="00C52A20">
        <w:rPr>
          <w:rFonts w:ascii="Arial" w:hAnsi="Arial" w:cs="Arial"/>
          <w:color w:val="000000" w:themeColor="text1"/>
          <w:sz w:val="22"/>
        </w:rPr>
        <w:t xml:space="preserve">Programs </w:t>
      </w:r>
      <w:r w:rsidRPr="00C52A20">
        <w:rPr>
          <w:rFonts w:ascii="Arial" w:hAnsi="Arial" w:cs="Arial"/>
          <w:color w:val="000000" w:themeColor="text1"/>
          <w:sz w:val="22"/>
        </w:rPr>
        <w:t xml:space="preserve">and </w:t>
      </w:r>
      <w:r w:rsidR="001D5659" w:rsidRPr="00C52A20">
        <w:rPr>
          <w:rFonts w:ascii="Arial" w:hAnsi="Arial" w:cs="Arial"/>
          <w:color w:val="000000" w:themeColor="text1"/>
          <w:sz w:val="22"/>
        </w:rPr>
        <w:t>Courses /Degree Finder</w:t>
      </w:r>
      <w:r w:rsidRPr="00C52A20">
        <w:rPr>
          <w:rFonts w:ascii="Arial" w:hAnsi="Arial" w:cs="Arial"/>
          <w:color w:val="000000" w:themeColor="text1"/>
          <w:sz w:val="22"/>
        </w:rPr>
        <w:t xml:space="preserve"> websites</w:t>
      </w:r>
    </w:p>
    <w:p w14:paraId="6351A84D" w14:textId="4AC813C9" w:rsidR="001D5659" w:rsidRPr="00C52A20" w:rsidRDefault="00D855F6" w:rsidP="00B12F65">
      <w:pPr>
        <w:pStyle w:val="ListParagraph"/>
        <w:numPr>
          <w:ilvl w:val="0"/>
          <w:numId w:val="45"/>
        </w:numPr>
        <w:spacing w:before="120" w:after="120" w:line="240" w:lineRule="auto"/>
        <w:ind w:left="1134" w:hanging="283"/>
        <w:rPr>
          <w:rFonts w:ascii="Arial" w:hAnsi="Arial" w:cs="Arial"/>
          <w:color w:val="000000" w:themeColor="text1"/>
          <w:sz w:val="22"/>
        </w:rPr>
      </w:pPr>
      <w:r w:rsidRPr="00C52A20">
        <w:rPr>
          <w:rFonts w:ascii="Arial" w:hAnsi="Arial" w:cs="Arial"/>
          <w:color w:val="000000" w:themeColor="text1"/>
          <w:sz w:val="22"/>
        </w:rPr>
        <w:t>c</w:t>
      </w:r>
      <w:r w:rsidR="001D5659" w:rsidRPr="00C52A20">
        <w:rPr>
          <w:rFonts w:ascii="Arial" w:hAnsi="Arial" w:cs="Arial"/>
          <w:color w:val="000000" w:themeColor="text1"/>
          <w:sz w:val="22"/>
        </w:rPr>
        <w:t>hanges that are approved per other processes e.g. credit, pathway programs.</w:t>
      </w:r>
    </w:p>
    <w:p w14:paraId="4EB27447" w14:textId="1598A805" w:rsidR="001D5659" w:rsidRPr="00C52A20" w:rsidRDefault="001D5659" w:rsidP="00B12F65">
      <w:pPr>
        <w:pStyle w:val="Heading3"/>
        <w:numPr>
          <w:ilvl w:val="1"/>
          <w:numId w:val="43"/>
        </w:numPr>
        <w:spacing w:before="120" w:after="120"/>
        <w:ind w:hanging="513"/>
        <w:rPr>
          <w:rFonts w:ascii="Arial" w:hAnsi="Arial" w:cs="Arial"/>
          <w:b/>
          <w:bCs/>
          <w:sz w:val="28"/>
          <w:szCs w:val="28"/>
        </w:rPr>
      </w:pPr>
      <w:bookmarkStart w:id="17" w:name="_3.4_Approval_of"/>
      <w:bookmarkStart w:id="18" w:name="_Approval_of_program"/>
      <w:bookmarkEnd w:id="17"/>
      <w:bookmarkEnd w:id="18"/>
      <w:r w:rsidRPr="00C52A20">
        <w:rPr>
          <w:rFonts w:ascii="Arial" w:hAnsi="Arial" w:cs="Arial"/>
          <w:b/>
          <w:bCs/>
          <w:sz w:val="28"/>
          <w:szCs w:val="28"/>
        </w:rPr>
        <w:t xml:space="preserve">Approval of program withdrawal </w:t>
      </w:r>
    </w:p>
    <w:p w14:paraId="3F73602A" w14:textId="0A20486F" w:rsidR="00EE598D" w:rsidRPr="00C52A20" w:rsidRDefault="003F2171" w:rsidP="00B12F65">
      <w:pPr>
        <w:spacing w:before="120" w:after="120" w:line="240" w:lineRule="auto"/>
        <w:ind w:left="567"/>
        <w:rPr>
          <w:rFonts w:ascii="Arial" w:hAnsi="Arial" w:cs="Arial"/>
          <w:sz w:val="22"/>
        </w:rPr>
      </w:pPr>
      <w:r w:rsidRPr="00C52A20">
        <w:rPr>
          <w:rFonts w:ascii="Arial" w:hAnsi="Arial" w:cs="Arial"/>
          <w:sz w:val="22"/>
        </w:rPr>
        <w:t>Programs</w:t>
      </w:r>
      <w:r w:rsidRPr="00C52A20">
        <w:rPr>
          <w:rFonts w:ascii="Arial" w:hAnsi="Arial" w:cs="Arial"/>
          <w:color w:val="000000" w:themeColor="text1"/>
          <w:sz w:val="22"/>
        </w:rPr>
        <w:t xml:space="preserve"> may be withdrawn using the prescribed template</w:t>
      </w:r>
      <w:r w:rsidR="001D5659" w:rsidRPr="00C52A20">
        <w:rPr>
          <w:rFonts w:ascii="Arial" w:hAnsi="Arial" w:cs="Arial"/>
          <w:sz w:val="22"/>
        </w:rPr>
        <w:t xml:space="preserve">. </w:t>
      </w:r>
      <w:r w:rsidR="006156F7" w:rsidRPr="00C52A20">
        <w:rPr>
          <w:rFonts w:ascii="Arial" w:hAnsi="Arial" w:cs="Arial"/>
          <w:sz w:val="22"/>
        </w:rPr>
        <w:t>A teach out plan must be included where there are current enrolments</w:t>
      </w:r>
      <w:r w:rsidR="001D5659" w:rsidRPr="00C52A20">
        <w:rPr>
          <w:rFonts w:ascii="Arial" w:hAnsi="Arial" w:cs="Arial"/>
          <w:sz w:val="22"/>
        </w:rPr>
        <w:t>.</w:t>
      </w:r>
      <w:r w:rsidR="00C82BFB" w:rsidRPr="00C52A20">
        <w:rPr>
          <w:rFonts w:ascii="Arial" w:hAnsi="Arial" w:cs="Arial"/>
          <w:sz w:val="22"/>
        </w:rPr>
        <w:t xml:space="preserve">  The Pro Vice Chancellor will consider the </w:t>
      </w:r>
      <w:r w:rsidR="00EF1612" w:rsidRPr="00C52A20">
        <w:rPr>
          <w:rFonts w:ascii="Arial" w:hAnsi="Arial" w:cs="Arial"/>
          <w:sz w:val="22"/>
        </w:rPr>
        <w:t xml:space="preserve">program withdrawal </w:t>
      </w:r>
      <w:r w:rsidR="00C82BFB" w:rsidRPr="00C52A20">
        <w:rPr>
          <w:rFonts w:ascii="Arial" w:hAnsi="Arial" w:cs="Arial"/>
          <w:sz w:val="22"/>
        </w:rPr>
        <w:t xml:space="preserve">and recommend the </w:t>
      </w:r>
      <w:r w:rsidR="009675A9" w:rsidRPr="00C52A20">
        <w:rPr>
          <w:rFonts w:ascii="Arial" w:hAnsi="Arial" w:cs="Arial"/>
          <w:sz w:val="22"/>
        </w:rPr>
        <w:t xml:space="preserve">change </w:t>
      </w:r>
      <w:r w:rsidR="00C82BFB" w:rsidRPr="00C52A20">
        <w:rPr>
          <w:rFonts w:ascii="Arial" w:hAnsi="Arial" w:cs="Arial"/>
          <w:sz w:val="22"/>
        </w:rPr>
        <w:t>to Programs Committee.  Higher Degree by Research programs must be considered by the Board of Graduate Research prior to Programs Committee.</w:t>
      </w:r>
    </w:p>
    <w:p w14:paraId="24577F90" w14:textId="2F3C9090" w:rsidR="00EE598D" w:rsidRPr="00C52A20" w:rsidRDefault="00EE598D" w:rsidP="00B12F65">
      <w:pPr>
        <w:spacing w:before="120" w:after="120" w:line="240" w:lineRule="auto"/>
        <w:ind w:left="567"/>
        <w:rPr>
          <w:rStyle w:val="normaltextrun"/>
          <w:rFonts w:ascii="Arial" w:hAnsi="Arial" w:cs="Arial"/>
          <w:sz w:val="22"/>
        </w:rPr>
      </w:pPr>
      <w:r w:rsidRPr="00C52A20">
        <w:rPr>
          <w:rStyle w:val="normaltextrun"/>
          <w:rFonts w:ascii="Arial" w:hAnsi="Arial" w:cs="Arial"/>
          <w:b/>
          <w:bCs/>
          <w:color w:val="000000" w:themeColor="text1"/>
          <w:sz w:val="22"/>
        </w:rPr>
        <w:t>Teach</w:t>
      </w:r>
      <w:r w:rsidR="001E5823" w:rsidRPr="00C52A20">
        <w:rPr>
          <w:rStyle w:val="normaltextrun"/>
          <w:rFonts w:ascii="Arial" w:hAnsi="Arial" w:cs="Arial"/>
          <w:b/>
          <w:bCs/>
          <w:color w:val="000000" w:themeColor="text1"/>
          <w:sz w:val="22"/>
        </w:rPr>
        <w:t>-</w:t>
      </w:r>
      <w:proofErr w:type="gramStart"/>
      <w:r w:rsidRPr="00C52A20">
        <w:rPr>
          <w:rStyle w:val="normaltextrun"/>
          <w:rFonts w:ascii="Arial" w:hAnsi="Arial" w:cs="Arial"/>
          <w:b/>
          <w:bCs/>
          <w:color w:val="000000" w:themeColor="text1"/>
          <w:sz w:val="22"/>
        </w:rPr>
        <w:t xml:space="preserve">out </w:t>
      </w:r>
      <w:r w:rsidR="004C55A4" w:rsidRPr="00C52A20">
        <w:rPr>
          <w:rStyle w:val="normaltextrun"/>
          <w:rFonts w:ascii="Arial" w:hAnsi="Arial" w:cs="Arial"/>
          <w:b/>
          <w:bCs/>
          <w:color w:val="000000" w:themeColor="text1"/>
          <w:sz w:val="22"/>
        </w:rPr>
        <w:t xml:space="preserve"> arrangements</w:t>
      </w:r>
      <w:proofErr w:type="gramEnd"/>
      <w:r w:rsidRPr="00C52A20">
        <w:rPr>
          <w:rStyle w:val="normaltextrun"/>
          <w:rFonts w:ascii="Arial" w:hAnsi="Arial" w:cs="Arial"/>
          <w:b/>
          <w:bCs/>
          <w:color w:val="000000" w:themeColor="text1"/>
          <w:sz w:val="22"/>
        </w:rPr>
        <w:t>:</w:t>
      </w:r>
      <w:r w:rsidRPr="00C52A20">
        <w:rPr>
          <w:rStyle w:val="normaltextrun"/>
          <w:rFonts w:ascii="Arial" w:hAnsi="Arial" w:cs="Arial"/>
          <w:color w:val="000000" w:themeColor="text1"/>
          <w:sz w:val="22"/>
        </w:rPr>
        <w:t xml:space="preserve"> Teach</w:t>
      </w:r>
      <w:r w:rsidR="001E5823" w:rsidRPr="00C52A20">
        <w:rPr>
          <w:rStyle w:val="normaltextrun"/>
          <w:rFonts w:ascii="Arial" w:hAnsi="Arial" w:cs="Arial"/>
          <w:color w:val="000000" w:themeColor="text1"/>
          <w:sz w:val="22"/>
        </w:rPr>
        <w:t>-</w:t>
      </w:r>
      <w:r w:rsidRPr="00C52A20">
        <w:rPr>
          <w:rStyle w:val="normaltextrun"/>
          <w:rFonts w:ascii="Arial" w:hAnsi="Arial" w:cs="Arial"/>
          <w:color w:val="000000" w:themeColor="text1"/>
          <w:sz w:val="22"/>
        </w:rPr>
        <w:t>out arrangements for withdrawn programs will be approved with the maximum period</w:t>
      </w:r>
      <w:r w:rsidR="00B12F65" w:rsidRPr="00C52A20">
        <w:rPr>
          <w:rStyle w:val="normaltextrun"/>
          <w:rFonts w:ascii="Arial" w:hAnsi="Arial" w:cs="Arial"/>
          <w:color w:val="000000" w:themeColor="text1"/>
          <w:sz w:val="22"/>
        </w:rPr>
        <w:t xml:space="preserve"> being</w:t>
      </w:r>
      <w:r w:rsidRPr="00C52A20">
        <w:rPr>
          <w:rStyle w:val="normaltextrun"/>
          <w:rFonts w:ascii="Arial" w:hAnsi="Arial" w:cs="Arial"/>
          <w:color w:val="000000" w:themeColor="text1"/>
          <w:sz w:val="22"/>
        </w:rPr>
        <w:t xml:space="preserve"> the standard length of the program, from the last admit term for commencing students.  Arrangements for currently enrolled students may require them to transfer to a new program to complete their degree requirements. Arrangements should be communicated to students.</w:t>
      </w:r>
    </w:p>
    <w:p w14:paraId="60618E20" w14:textId="6B118A7F" w:rsidR="00EE598D" w:rsidRPr="00C52A20" w:rsidRDefault="00C249E1" w:rsidP="00B12F65">
      <w:pPr>
        <w:spacing w:before="120" w:after="120" w:line="240" w:lineRule="auto"/>
        <w:ind w:left="567"/>
        <w:rPr>
          <w:rFonts w:ascii="Arial" w:hAnsi="Arial" w:cs="Arial"/>
          <w:sz w:val="22"/>
        </w:rPr>
      </w:pPr>
      <w:r w:rsidRPr="00C52A20">
        <w:rPr>
          <w:rFonts w:ascii="Arial" w:hAnsi="Arial" w:cs="Arial"/>
          <w:sz w:val="22"/>
        </w:rPr>
        <w:t>The teach-out</w:t>
      </w:r>
      <w:r w:rsidR="00B12F65" w:rsidRPr="00C52A20">
        <w:rPr>
          <w:rFonts w:ascii="Arial" w:hAnsi="Arial" w:cs="Arial"/>
          <w:sz w:val="22"/>
        </w:rPr>
        <w:t xml:space="preserve"> plan </w:t>
      </w:r>
      <w:r w:rsidRPr="00C52A20">
        <w:rPr>
          <w:rFonts w:ascii="Arial" w:hAnsi="Arial" w:cs="Arial"/>
          <w:sz w:val="22"/>
        </w:rPr>
        <w:t>must</w:t>
      </w:r>
      <w:r w:rsidR="004331E9" w:rsidRPr="00C52A20">
        <w:rPr>
          <w:rFonts w:ascii="Arial" w:hAnsi="Arial" w:cs="Arial"/>
          <w:sz w:val="22"/>
        </w:rPr>
        <w:t xml:space="preserve"> identify last offerings for relevant core courses and address implications for student progress in the withdrawn program.</w:t>
      </w:r>
    </w:p>
    <w:p w14:paraId="37C669A7" w14:textId="3256A973" w:rsidR="001D5659" w:rsidRPr="00C52A20" w:rsidRDefault="00C82BFB" w:rsidP="00B12F65">
      <w:pPr>
        <w:spacing w:before="120" w:after="120" w:line="240" w:lineRule="auto"/>
        <w:ind w:left="567"/>
        <w:rPr>
          <w:rFonts w:ascii="Arial" w:hAnsi="Arial" w:cs="Arial"/>
          <w:sz w:val="22"/>
        </w:rPr>
      </w:pPr>
      <w:r w:rsidRPr="00C52A20">
        <w:rPr>
          <w:rFonts w:ascii="Arial" w:hAnsi="Arial" w:cs="Arial"/>
          <w:sz w:val="22"/>
        </w:rPr>
        <w:t xml:space="preserve">In </w:t>
      </w:r>
      <w:r w:rsidRPr="00C52A20">
        <w:rPr>
          <w:rFonts w:ascii="Arial" w:hAnsi="Arial" w:cs="Arial"/>
          <w:color w:val="000000" w:themeColor="text1"/>
          <w:sz w:val="22"/>
        </w:rPr>
        <w:t>some</w:t>
      </w:r>
      <w:r w:rsidRPr="00C52A20">
        <w:rPr>
          <w:rFonts w:ascii="Arial" w:hAnsi="Arial" w:cs="Arial"/>
          <w:sz w:val="22"/>
        </w:rPr>
        <w:t xml:space="preserve"> cases, a program withdrawal may have funding and/or financial impacts on the University.  </w:t>
      </w:r>
      <w:r w:rsidR="00B12F65" w:rsidRPr="00C52A20">
        <w:rPr>
          <w:rFonts w:ascii="Arial" w:hAnsi="Arial" w:cs="Arial"/>
          <w:sz w:val="22"/>
        </w:rPr>
        <w:t>This i</w:t>
      </w:r>
      <w:r w:rsidRPr="00C52A20">
        <w:rPr>
          <w:rFonts w:ascii="Arial" w:hAnsi="Arial" w:cs="Arial"/>
          <w:sz w:val="22"/>
        </w:rPr>
        <w:t xml:space="preserve">ncludes changes that impact the University’s Funding Agreement.  In these instances, </w:t>
      </w:r>
      <w:r w:rsidR="00E77CD4" w:rsidRPr="00C52A20">
        <w:rPr>
          <w:rFonts w:ascii="Arial" w:hAnsi="Arial" w:cs="Arial"/>
          <w:sz w:val="22"/>
        </w:rPr>
        <w:t xml:space="preserve">Programs Committee will recommend the program withdrawal to </w:t>
      </w:r>
      <w:r w:rsidRPr="00C52A20">
        <w:rPr>
          <w:rFonts w:ascii="Arial" w:hAnsi="Arial" w:cs="Arial"/>
          <w:sz w:val="22"/>
        </w:rPr>
        <w:t xml:space="preserve">the </w:t>
      </w:r>
      <w:proofErr w:type="gramStart"/>
      <w:r w:rsidRPr="00C52A20">
        <w:rPr>
          <w:rFonts w:ascii="Arial" w:hAnsi="Arial" w:cs="Arial"/>
          <w:sz w:val="22"/>
        </w:rPr>
        <w:t>Provost</w:t>
      </w:r>
      <w:proofErr w:type="gramEnd"/>
      <w:r w:rsidRPr="00C52A20">
        <w:rPr>
          <w:rFonts w:ascii="Arial" w:hAnsi="Arial" w:cs="Arial"/>
          <w:sz w:val="22"/>
        </w:rPr>
        <w:t xml:space="preserve"> </w:t>
      </w:r>
      <w:r w:rsidR="00E77CD4" w:rsidRPr="00C52A20">
        <w:rPr>
          <w:rFonts w:ascii="Arial" w:hAnsi="Arial" w:cs="Arial"/>
          <w:sz w:val="22"/>
        </w:rPr>
        <w:t xml:space="preserve">for consideration and </w:t>
      </w:r>
      <w:r w:rsidR="00673B04" w:rsidRPr="00C52A20">
        <w:rPr>
          <w:rFonts w:ascii="Arial" w:hAnsi="Arial" w:cs="Arial"/>
          <w:sz w:val="22"/>
        </w:rPr>
        <w:t>approval</w:t>
      </w:r>
      <w:bookmarkStart w:id="19" w:name="_3.5_(If_required)"/>
      <w:bookmarkEnd w:id="19"/>
      <w:r w:rsidR="005C7080" w:rsidRPr="00C52A20">
        <w:rPr>
          <w:rFonts w:ascii="Arial" w:hAnsi="Arial" w:cs="Arial"/>
          <w:sz w:val="22"/>
        </w:rPr>
        <w:t>.</w:t>
      </w:r>
    </w:p>
    <w:p w14:paraId="59D0082E" w14:textId="30D3A4C3" w:rsidR="00941E4F" w:rsidRPr="00C52A20" w:rsidRDefault="00941E4F" w:rsidP="00B12F65">
      <w:pPr>
        <w:pStyle w:val="Heading3"/>
        <w:numPr>
          <w:ilvl w:val="1"/>
          <w:numId w:val="43"/>
        </w:numPr>
        <w:spacing w:before="120" w:after="120"/>
        <w:ind w:left="1134" w:hanging="567"/>
        <w:rPr>
          <w:rFonts w:ascii="Arial" w:hAnsi="Arial" w:cs="Arial"/>
          <w:b/>
          <w:bCs/>
          <w:sz w:val="28"/>
          <w:szCs w:val="28"/>
        </w:rPr>
      </w:pPr>
      <w:bookmarkStart w:id="20" w:name="_Approval_of_Non-Award"/>
      <w:bookmarkEnd w:id="20"/>
      <w:r w:rsidRPr="00C52A20">
        <w:rPr>
          <w:rFonts w:ascii="Arial" w:hAnsi="Arial" w:cs="Arial"/>
          <w:b/>
          <w:bCs/>
          <w:sz w:val="28"/>
          <w:szCs w:val="28"/>
        </w:rPr>
        <w:t>Approval of Non-Award Programs</w:t>
      </w:r>
    </w:p>
    <w:p w14:paraId="3CFCB2C5" w14:textId="4168A608" w:rsidR="003B340C" w:rsidRPr="00C52A20" w:rsidRDefault="00255596" w:rsidP="00B12F65">
      <w:pPr>
        <w:spacing w:before="120" w:after="120" w:line="240" w:lineRule="auto"/>
        <w:ind w:left="567"/>
        <w:rPr>
          <w:rFonts w:ascii="Arial" w:hAnsi="Arial" w:cs="Arial"/>
          <w:sz w:val="22"/>
        </w:rPr>
      </w:pPr>
      <w:r w:rsidRPr="00C52A20">
        <w:rPr>
          <w:rFonts w:ascii="Arial" w:hAnsi="Arial" w:cs="Arial"/>
          <w:sz w:val="22"/>
        </w:rPr>
        <w:t xml:space="preserve">Programs Committee is responsible for approving non-award programs identified in the </w:t>
      </w:r>
      <w:r w:rsidRPr="00C52A20">
        <w:rPr>
          <w:rFonts w:ascii="Arial" w:hAnsi="Arial" w:cs="Arial"/>
          <w:i/>
          <w:iCs/>
          <w:sz w:val="22"/>
        </w:rPr>
        <w:t>Program A</w:t>
      </w:r>
      <w:r w:rsidR="00035246" w:rsidRPr="00C52A20">
        <w:rPr>
          <w:rFonts w:ascii="Arial" w:hAnsi="Arial" w:cs="Arial"/>
          <w:i/>
          <w:iCs/>
          <w:sz w:val="22"/>
        </w:rPr>
        <w:t>ttributes and Requirements Procedure</w:t>
      </w:r>
      <w:r w:rsidR="00035246" w:rsidRPr="00C52A20">
        <w:rPr>
          <w:rFonts w:ascii="Arial" w:hAnsi="Arial" w:cs="Arial"/>
          <w:sz w:val="22"/>
        </w:rPr>
        <w:t xml:space="preserve">. </w:t>
      </w:r>
    </w:p>
    <w:p w14:paraId="29D75CE1" w14:textId="2E24194A" w:rsidR="00B54CE9" w:rsidRPr="00C52A20" w:rsidRDefault="00B54CE9" w:rsidP="00D906F6">
      <w:pPr>
        <w:pStyle w:val="Heading2"/>
        <w:spacing w:before="120" w:line="240" w:lineRule="auto"/>
        <w:ind w:left="426" w:hanging="426"/>
        <w:rPr>
          <w:rFonts w:ascii="Arial" w:hAnsi="Arial" w:cs="Arial"/>
          <w:b/>
          <w:bCs/>
          <w:sz w:val="32"/>
          <w:szCs w:val="32"/>
        </w:rPr>
      </w:pPr>
      <w:bookmarkStart w:id="21" w:name="_3.2_&lt;Insert_sub-heading&gt;"/>
      <w:bookmarkStart w:id="22" w:name="_Ref20320732"/>
      <w:bookmarkStart w:id="23" w:name="_Ref20320710"/>
      <w:bookmarkEnd w:id="21"/>
      <w:r w:rsidRPr="00C52A20">
        <w:rPr>
          <w:rFonts w:ascii="Arial" w:hAnsi="Arial" w:cs="Arial"/>
          <w:b/>
          <w:bCs/>
          <w:sz w:val="32"/>
          <w:szCs w:val="32"/>
        </w:rPr>
        <w:t>4.0 Definitions</w:t>
      </w:r>
      <w:bookmarkEnd w:id="22"/>
    </w:p>
    <w:bookmarkEnd w:id="23"/>
    <w:p w14:paraId="6175878E" w14:textId="77777777" w:rsidR="001C4C15" w:rsidRPr="00C52A20" w:rsidRDefault="001C4C15" w:rsidP="00D906F6">
      <w:pPr>
        <w:spacing w:before="120" w:after="120" w:line="240" w:lineRule="auto"/>
        <w:rPr>
          <w:rFonts w:ascii="Arial" w:hAnsi="Arial" w:cs="Arial"/>
          <w:sz w:val="22"/>
        </w:rPr>
      </w:pPr>
      <w:r w:rsidRPr="00C52A20">
        <w:rPr>
          <w:rFonts w:ascii="Arial" w:hAnsi="Arial" w:cs="Arial"/>
          <w:b/>
          <w:bCs/>
          <w:sz w:val="22"/>
        </w:rPr>
        <w:t xml:space="preserve">Award program </w:t>
      </w:r>
      <w:r w:rsidRPr="00C52A20">
        <w:rPr>
          <w:rFonts w:ascii="Arial" w:hAnsi="Arial" w:cs="Arial"/>
          <w:sz w:val="22"/>
        </w:rPr>
        <w:t>is an approved course of study that leads to a qualification located at levels 5, 6, 7, 8, 9 or 10 of the Australian Qualifications Framework and meets the corresponding specifications (including the levels criteria and qualification type descriptors). </w:t>
      </w:r>
    </w:p>
    <w:p w14:paraId="12043C51" w14:textId="10B17AB9" w:rsidR="00EA6D72" w:rsidRPr="00C52A20" w:rsidRDefault="00EA6D72" w:rsidP="00D906F6">
      <w:pPr>
        <w:spacing w:before="120" w:after="120" w:line="240" w:lineRule="auto"/>
        <w:rPr>
          <w:rFonts w:ascii="Arial" w:hAnsi="Arial" w:cs="Arial"/>
          <w:sz w:val="22"/>
        </w:rPr>
      </w:pPr>
      <w:r w:rsidRPr="00C52A20">
        <w:rPr>
          <w:rFonts w:ascii="Arial" w:eastAsia="Calibri" w:hAnsi="Arial" w:cs="Arial"/>
          <w:b/>
          <w:bCs/>
          <w:sz w:val="22"/>
        </w:rPr>
        <w:t>Course</w:t>
      </w:r>
      <w:r w:rsidRPr="00C52A20">
        <w:rPr>
          <w:rFonts w:ascii="Arial" w:eastAsia="Calibri" w:hAnsi="Arial" w:cs="Arial"/>
          <w:sz w:val="22"/>
        </w:rPr>
        <w:t xml:space="preserve"> </w:t>
      </w:r>
      <w:r w:rsidRPr="00C52A20">
        <w:rPr>
          <w:rFonts w:ascii="Arial" w:hAnsi="Arial" w:cs="Arial"/>
          <w:sz w:val="22"/>
        </w:rPr>
        <w:t xml:space="preserve">refers to a component of a qualification, normally undertaken over a single trimester, in which the student enrols and on completion of which the student is awarded a grade, such grades appearing on a student’s academic transcript. Learning outcomes, assessment tasks and achievement standards are specified for each course appropriate to a level and qualification type. </w:t>
      </w:r>
    </w:p>
    <w:p w14:paraId="3DCF167F" w14:textId="77777777" w:rsidR="00C52A20" w:rsidRDefault="00D855F6" w:rsidP="00D906F6">
      <w:pPr>
        <w:spacing w:before="120" w:after="120" w:line="240" w:lineRule="auto"/>
        <w:rPr>
          <w:rFonts w:ascii="Arial" w:hAnsi="Arial" w:cs="Arial"/>
          <w:sz w:val="22"/>
        </w:rPr>
      </w:pPr>
      <w:r w:rsidRPr="00C52A20">
        <w:rPr>
          <w:rFonts w:ascii="Arial" w:eastAsia="Calibri" w:hAnsi="Arial" w:cs="Arial"/>
          <w:b/>
          <w:bCs/>
          <w:sz w:val="22"/>
        </w:rPr>
        <w:lastRenderedPageBreak/>
        <w:t xml:space="preserve">Coursework </w:t>
      </w:r>
      <w:r w:rsidRPr="00C52A20">
        <w:rPr>
          <w:rFonts w:ascii="Arial" w:hAnsi="Arial" w:cs="Arial"/>
          <w:sz w:val="22"/>
        </w:rPr>
        <w:t>is a method of teaching and learning that leads to the acquisition of skills and knowledge that does not include a major research component.</w:t>
      </w:r>
    </w:p>
    <w:p w14:paraId="4FAC6490" w14:textId="4C9EE572" w:rsidR="00EA6D72" w:rsidRPr="00C52A20" w:rsidRDefault="00EA6D72" w:rsidP="00D906F6">
      <w:pPr>
        <w:spacing w:before="120" w:after="120" w:line="240" w:lineRule="auto"/>
        <w:rPr>
          <w:rFonts w:ascii="Arial" w:hAnsi="Arial" w:cs="Arial"/>
          <w:sz w:val="22"/>
        </w:rPr>
      </w:pPr>
      <w:r w:rsidRPr="00C52A20">
        <w:rPr>
          <w:rFonts w:ascii="Arial" w:eastAsia="Calibri" w:hAnsi="Arial" w:cs="Arial"/>
          <w:b/>
          <w:bCs/>
          <w:sz w:val="22"/>
        </w:rPr>
        <w:t>Higher Degree by Research</w:t>
      </w:r>
      <w:r w:rsidRPr="00C52A20">
        <w:rPr>
          <w:rFonts w:ascii="Arial" w:eastAsia="Calibri" w:hAnsi="Arial" w:cs="Arial"/>
          <w:sz w:val="22"/>
        </w:rPr>
        <w:t xml:space="preserve"> </w:t>
      </w:r>
      <w:r w:rsidRPr="00C52A20">
        <w:rPr>
          <w:rFonts w:ascii="Arial" w:hAnsi="Arial" w:cs="Arial"/>
          <w:sz w:val="22"/>
        </w:rPr>
        <w:t xml:space="preserve">refers to a Research Masters or Research Doctorate where a: </w:t>
      </w:r>
    </w:p>
    <w:p w14:paraId="239ACCDE" w14:textId="77777777" w:rsidR="00EA6D72" w:rsidRPr="00C52A20" w:rsidRDefault="00EA6D72" w:rsidP="00C52A20">
      <w:pPr>
        <w:pStyle w:val="ListParagraph"/>
        <w:numPr>
          <w:ilvl w:val="0"/>
          <w:numId w:val="48"/>
        </w:numPr>
        <w:spacing w:before="120" w:after="120" w:line="240" w:lineRule="auto"/>
        <w:ind w:left="567" w:hanging="284"/>
        <w:rPr>
          <w:rFonts w:ascii="Arial" w:hAnsi="Arial" w:cs="Arial"/>
          <w:sz w:val="22"/>
        </w:rPr>
      </w:pPr>
      <w:r w:rsidRPr="00C52A20">
        <w:rPr>
          <w:rFonts w:ascii="Arial" w:hAnsi="Arial" w:cs="Arial"/>
          <w:sz w:val="22"/>
        </w:rPr>
        <w:t xml:space="preserve">Research Masters means a Level 9 qualification as described in the AQF and where a minimum of two-thirds of the program of learning is for research, research training and independent </w:t>
      </w:r>
      <w:proofErr w:type="gramStart"/>
      <w:r w:rsidRPr="00C52A20">
        <w:rPr>
          <w:rFonts w:ascii="Arial" w:hAnsi="Arial" w:cs="Arial"/>
          <w:sz w:val="22"/>
        </w:rPr>
        <w:t>study</w:t>
      </w:r>
      <w:proofErr w:type="gramEnd"/>
    </w:p>
    <w:p w14:paraId="136E1D17" w14:textId="1D48DD3A" w:rsidR="00EA6D72" w:rsidRPr="00C52A20" w:rsidRDefault="00EA6D72" w:rsidP="00C52A20">
      <w:pPr>
        <w:pStyle w:val="ListParagraph"/>
        <w:numPr>
          <w:ilvl w:val="0"/>
          <w:numId w:val="48"/>
        </w:numPr>
        <w:spacing w:before="120" w:after="120" w:line="240" w:lineRule="auto"/>
        <w:ind w:left="567" w:hanging="284"/>
        <w:rPr>
          <w:rFonts w:ascii="Arial" w:hAnsi="Arial" w:cs="Arial"/>
          <w:sz w:val="22"/>
        </w:rPr>
      </w:pPr>
      <w:r w:rsidRPr="00C52A20">
        <w:rPr>
          <w:rFonts w:ascii="Arial" w:hAnsi="Arial" w:cs="Arial"/>
          <w:sz w:val="22"/>
        </w:rPr>
        <w:t xml:space="preserve">Research Doctorate means a Level 10 qualification as described in the AQF and where a minimum of two years of the program of learning, and typically two-thirds of the qualification, is research. </w:t>
      </w:r>
    </w:p>
    <w:p w14:paraId="53B1396D" w14:textId="00EF38F8" w:rsidR="00D855F6" w:rsidRPr="00C52A20" w:rsidRDefault="00D855F6" w:rsidP="00D906F6">
      <w:pPr>
        <w:spacing w:before="120" w:after="120" w:line="240" w:lineRule="auto"/>
        <w:rPr>
          <w:rFonts w:ascii="Arial" w:eastAsia="Calibri" w:hAnsi="Arial" w:cs="Arial"/>
          <w:sz w:val="22"/>
        </w:rPr>
      </w:pPr>
      <w:r w:rsidRPr="00C52A20">
        <w:rPr>
          <w:rFonts w:ascii="Arial" w:eastAsia="Calibri" w:hAnsi="Arial" w:cs="Arial"/>
          <w:b/>
          <w:bCs/>
          <w:sz w:val="22"/>
        </w:rPr>
        <w:t xml:space="preserve">Non-award program </w:t>
      </w:r>
      <w:r w:rsidRPr="00C52A20">
        <w:rPr>
          <w:rFonts w:ascii="Arial" w:eastAsia="Calibri" w:hAnsi="Arial" w:cs="Arial"/>
          <w:sz w:val="22"/>
        </w:rPr>
        <w:t>is a</w:t>
      </w:r>
      <w:r w:rsidRPr="00C52A20">
        <w:rPr>
          <w:rFonts w:ascii="Arial" w:hAnsi="Arial" w:cs="Arial"/>
          <w:sz w:val="22"/>
        </w:rPr>
        <w:t>n approved course of study that does not lead to an award of the University. The non-award program may comprise courses normally taken as part of an award program but is a non-AQF qualification. Non-award programs include continuing education, executive education, professional development, tertiary preparation, enabling, and English Language Intensive Courses for Overseas Students (ELICOS) programs.</w:t>
      </w:r>
    </w:p>
    <w:p w14:paraId="757C6E39" w14:textId="54484529" w:rsidR="00D855F6" w:rsidRPr="00C52A20" w:rsidRDefault="00D855F6" w:rsidP="00D906F6">
      <w:pPr>
        <w:spacing w:before="120" w:after="120" w:line="240" w:lineRule="auto"/>
        <w:rPr>
          <w:rFonts w:ascii="Arial" w:hAnsi="Arial" w:cs="Arial"/>
          <w:sz w:val="22"/>
        </w:rPr>
      </w:pPr>
      <w:r w:rsidRPr="00C52A20">
        <w:rPr>
          <w:rFonts w:ascii="Arial" w:eastAsia="Calibri" w:hAnsi="Arial" w:cs="Arial"/>
          <w:b/>
          <w:bCs/>
          <w:sz w:val="22"/>
        </w:rPr>
        <w:t>Program</w:t>
      </w:r>
      <w:r w:rsidRPr="00C52A20">
        <w:rPr>
          <w:rFonts w:ascii="Arial" w:eastAsia="Calibri" w:hAnsi="Arial" w:cs="Arial"/>
          <w:sz w:val="22"/>
        </w:rPr>
        <w:t xml:space="preserve"> </w:t>
      </w:r>
      <w:r w:rsidRPr="00C52A20">
        <w:rPr>
          <w:rFonts w:ascii="Arial" w:hAnsi="Arial" w:cs="Arial"/>
          <w:sz w:val="22"/>
        </w:rPr>
        <w:t>is an approved course of study. A student is admitted to a program.</w:t>
      </w:r>
    </w:p>
    <w:p w14:paraId="7063CB3D" w14:textId="3EE32F3D" w:rsidR="00C7445A" w:rsidRPr="00C52A20" w:rsidRDefault="00C7445A" w:rsidP="00D906F6">
      <w:pPr>
        <w:spacing w:before="120" w:after="120" w:line="240" w:lineRule="auto"/>
        <w:rPr>
          <w:rFonts w:ascii="Arial" w:hAnsi="Arial" w:cs="Arial"/>
          <w:sz w:val="22"/>
        </w:rPr>
      </w:pPr>
      <w:r w:rsidRPr="00C52A20">
        <w:rPr>
          <w:rFonts w:ascii="Arial" w:hAnsi="Arial" w:cs="Arial"/>
          <w:b/>
          <w:bCs/>
          <w:sz w:val="22"/>
        </w:rPr>
        <w:t>Program Director</w:t>
      </w:r>
      <w:r w:rsidRPr="00C52A20">
        <w:rPr>
          <w:rFonts w:ascii="Arial" w:hAnsi="Arial" w:cs="Arial"/>
          <w:sz w:val="22"/>
        </w:rPr>
        <w:t xml:space="preserve"> is the academic staff member (normally Level D or above), appointed by the Dean (Learning and Teaching) to provide curriculum leadership for and quality enhancement of one program or a Program Cluster while working collegially with the Head of School/ Deputy Head of School, academic and professional staff to ensure an effective and positive student learning experience. There shall only be one Program Director for a program. The Program Director may lead one or more program clusters.</w:t>
      </w:r>
    </w:p>
    <w:p w14:paraId="759E5AB2" w14:textId="77777777" w:rsidR="00B12F65" w:rsidRPr="00C52A20" w:rsidRDefault="00AE49CF" w:rsidP="00B12F65">
      <w:pPr>
        <w:spacing w:before="120" w:after="120" w:line="240" w:lineRule="auto"/>
        <w:rPr>
          <w:rStyle w:val="normaltextrun"/>
          <w:rFonts w:ascii="Arial" w:hAnsi="Arial" w:cs="Arial"/>
          <w:sz w:val="22"/>
          <w:shd w:val="clear" w:color="auto" w:fill="FFFFFF"/>
        </w:rPr>
      </w:pPr>
      <w:r w:rsidRPr="00C52A20">
        <w:rPr>
          <w:rStyle w:val="normaltextrun"/>
          <w:rFonts w:ascii="Arial" w:hAnsi="Arial" w:cs="Arial"/>
          <w:b/>
          <w:bCs/>
          <w:color w:val="000000"/>
          <w:sz w:val="22"/>
          <w:shd w:val="clear" w:color="auto" w:fill="FFFFFF"/>
        </w:rPr>
        <w:t xml:space="preserve">Teach Out </w:t>
      </w:r>
      <w:r w:rsidRPr="00C52A20">
        <w:rPr>
          <w:rStyle w:val="normaltextrun"/>
          <w:rFonts w:ascii="Arial" w:hAnsi="Arial" w:cs="Arial"/>
          <w:color w:val="000000"/>
          <w:sz w:val="22"/>
          <w:shd w:val="clear" w:color="auto" w:fill="FFFFFF"/>
        </w:rPr>
        <w:t>refers to a program with a sunset clause in which no commencing students can be enrolled, and arrangements are in place to ensure that all existing enrolled students can either complete the program of study within a specified timeframe or transition to a replacement program.</w:t>
      </w:r>
      <w:r w:rsidRPr="00C52A20">
        <w:rPr>
          <w:rStyle w:val="normaltextrun"/>
          <w:rFonts w:ascii="Arial" w:hAnsi="Arial" w:cs="Arial"/>
          <w:sz w:val="22"/>
          <w:shd w:val="clear" w:color="auto" w:fill="FFFFFF"/>
        </w:rPr>
        <w:t> </w:t>
      </w:r>
    </w:p>
    <w:p w14:paraId="4D96593B" w14:textId="77777777" w:rsidR="00C52A20" w:rsidRDefault="00C52A20">
      <w:pPr>
        <w:spacing w:after="0" w:line="240" w:lineRule="auto"/>
        <w:rPr>
          <w:rFonts w:ascii="Arial" w:eastAsiaTheme="majorEastAsia" w:hAnsi="Arial" w:cs="Arial"/>
          <w:b/>
          <w:bCs/>
          <w:color w:val="E30918"/>
          <w:sz w:val="32"/>
          <w:szCs w:val="32"/>
        </w:rPr>
      </w:pPr>
      <w:bookmarkStart w:id="24" w:name="_5.0_Appendix"/>
      <w:bookmarkEnd w:id="24"/>
      <w:r>
        <w:rPr>
          <w:rFonts w:ascii="Arial" w:hAnsi="Arial" w:cs="Arial"/>
          <w:b/>
          <w:bCs/>
          <w:sz w:val="32"/>
          <w:szCs w:val="32"/>
        </w:rPr>
        <w:br w:type="page"/>
      </w:r>
    </w:p>
    <w:p w14:paraId="4AB34A51" w14:textId="5B224AA4" w:rsidR="009F58EB" w:rsidRPr="00C52A20" w:rsidRDefault="00B12F65" w:rsidP="00B12F65">
      <w:pPr>
        <w:pStyle w:val="Heading2"/>
        <w:spacing w:before="120" w:line="240" w:lineRule="auto"/>
        <w:ind w:left="426" w:hanging="426"/>
        <w:rPr>
          <w:rFonts w:ascii="Arial" w:hAnsi="Arial" w:cs="Arial"/>
          <w:b/>
          <w:bCs/>
          <w:sz w:val="32"/>
          <w:szCs w:val="32"/>
        </w:rPr>
      </w:pPr>
      <w:r w:rsidRPr="00C52A20">
        <w:rPr>
          <w:rFonts w:ascii="Arial" w:hAnsi="Arial" w:cs="Arial"/>
          <w:b/>
          <w:bCs/>
          <w:sz w:val="32"/>
          <w:szCs w:val="32"/>
        </w:rPr>
        <w:lastRenderedPageBreak/>
        <w:t>Appendix</w:t>
      </w:r>
    </w:p>
    <w:p w14:paraId="0AFAA445" w14:textId="20F68A05" w:rsidR="000712C5" w:rsidRDefault="000712C5" w:rsidP="00C52A20">
      <w:pPr>
        <w:pStyle w:val="Heading3"/>
        <w:spacing w:before="120" w:after="120"/>
        <w:ind w:left="0" w:firstLine="0"/>
        <w:rPr>
          <w:rFonts w:ascii="Arial" w:hAnsi="Arial" w:cs="Arial"/>
          <w:b/>
          <w:bCs/>
          <w:sz w:val="28"/>
          <w:szCs w:val="28"/>
        </w:rPr>
      </w:pPr>
      <w:r w:rsidRPr="00C52A20">
        <w:rPr>
          <w:rFonts w:ascii="Arial" w:hAnsi="Arial" w:cs="Arial"/>
          <w:b/>
          <w:bCs/>
          <w:sz w:val="28"/>
          <w:szCs w:val="28"/>
        </w:rPr>
        <w:t>Guidelines for identifying major changes with strategic and/or</w:t>
      </w:r>
      <w:r w:rsidR="00C52A20">
        <w:rPr>
          <w:rFonts w:ascii="Arial" w:hAnsi="Arial" w:cs="Arial"/>
          <w:b/>
          <w:bCs/>
          <w:sz w:val="28"/>
          <w:szCs w:val="28"/>
        </w:rPr>
        <w:t xml:space="preserve"> </w:t>
      </w:r>
      <w:r w:rsidRPr="00C52A20">
        <w:rPr>
          <w:rFonts w:ascii="Arial" w:hAnsi="Arial" w:cs="Arial"/>
          <w:b/>
          <w:bCs/>
          <w:sz w:val="28"/>
          <w:szCs w:val="28"/>
        </w:rPr>
        <w:t xml:space="preserve">resourcing </w:t>
      </w:r>
      <w:proofErr w:type="gramStart"/>
      <w:r w:rsidRPr="00C52A20">
        <w:rPr>
          <w:rFonts w:ascii="Arial" w:hAnsi="Arial" w:cs="Arial"/>
          <w:b/>
          <w:bCs/>
          <w:sz w:val="28"/>
          <w:szCs w:val="28"/>
        </w:rPr>
        <w:t>implications</w:t>
      </w:r>
      <w:proofErr w:type="gramEnd"/>
    </w:p>
    <w:tbl>
      <w:tblPr>
        <w:tblStyle w:val="TableGrid"/>
        <w:tblW w:w="4796"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4"/>
        <w:gridCol w:w="6098"/>
      </w:tblGrid>
      <w:tr w:rsidR="00B12F65" w:rsidRPr="00C52A20" w14:paraId="2A8D387E" w14:textId="77777777" w:rsidTr="00C52A20">
        <w:trPr>
          <w:trHeight w:val="454"/>
          <w:tblHeader/>
        </w:trPr>
        <w:tc>
          <w:tcPr>
            <w:tcW w:w="1883" w:type="pct"/>
            <w:shd w:val="clear" w:color="auto" w:fill="auto"/>
          </w:tcPr>
          <w:p w14:paraId="4C7C96AD" w14:textId="650A6232" w:rsidR="000712C5" w:rsidRPr="00C52A20" w:rsidRDefault="00B12F65" w:rsidP="00C52A20">
            <w:pPr>
              <w:pStyle w:val="Heading2"/>
              <w:spacing w:before="120" w:line="240" w:lineRule="auto"/>
              <w:rPr>
                <w:rFonts w:ascii="Arial" w:hAnsi="Arial" w:cs="Arial"/>
                <w:b/>
                <w:bCs/>
                <w:color w:val="000000" w:themeColor="text1"/>
                <w:sz w:val="24"/>
                <w:szCs w:val="24"/>
              </w:rPr>
            </w:pPr>
            <w:r w:rsidRPr="00C52A20">
              <w:rPr>
                <w:rFonts w:ascii="Arial" w:hAnsi="Arial" w:cs="Arial"/>
                <w:b/>
                <w:bCs/>
                <w:color w:val="000000" w:themeColor="text1"/>
                <w:sz w:val="24"/>
                <w:szCs w:val="24"/>
              </w:rPr>
              <w:t xml:space="preserve">GUIDELINES </w:t>
            </w:r>
          </w:p>
        </w:tc>
        <w:tc>
          <w:tcPr>
            <w:tcW w:w="3117" w:type="pct"/>
            <w:shd w:val="clear" w:color="auto" w:fill="auto"/>
          </w:tcPr>
          <w:p w14:paraId="62AD39BF" w14:textId="18A50CA0" w:rsidR="000712C5" w:rsidRPr="00C52A20" w:rsidRDefault="00B12F65" w:rsidP="00C52A20">
            <w:pPr>
              <w:pStyle w:val="Heading2"/>
              <w:spacing w:before="120" w:line="240" w:lineRule="auto"/>
              <w:ind w:left="174"/>
              <w:rPr>
                <w:rFonts w:ascii="Arial" w:hAnsi="Arial" w:cs="Arial"/>
                <w:b/>
                <w:bCs/>
                <w:color w:val="000000" w:themeColor="text1"/>
                <w:sz w:val="24"/>
                <w:szCs w:val="24"/>
              </w:rPr>
            </w:pPr>
            <w:r w:rsidRPr="00C52A20">
              <w:rPr>
                <w:rFonts w:ascii="Arial" w:hAnsi="Arial" w:cs="Arial"/>
                <w:b/>
                <w:bCs/>
                <w:color w:val="000000" w:themeColor="text1"/>
                <w:sz w:val="24"/>
                <w:szCs w:val="24"/>
              </w:rPr>
              <w:t>EXAMPLES</w:t>
            </w:r>
          </w:p>
        </w:tc>
      </w:tr>
      <w:tr w:rsidR="000712C5" w:rsidRPr="00C52A20" w14:paraId="23688113" w14:textId="77777777" w:rsidTr="00C52A20">
        <w:tc>
          <w:tcPr>
            <w:tcW w:w="1883" w:type="pct"/>
            <w:shd w:val="clear" w:color="auto" w:fill="auto"/>
          </w:tcPr>
          <w:p w14:paraId="06BD0707" w14:textId="77777777" w:rsidR="000712C5" w:rsidRPr="00C52A20" w:rsidRDefault="000712C5" w:rsidP="00C52A20">
            <w:pPr>
              <w:spacing w:before="120" w:after="120" w:line="240" w:lineRule="auto"/>
              <w:rPr>
                <w:rFonts w:ascii="Arial" w:hAnsi="Arial" w:cs="Arial"/>
                <w:sz w:val="22"/>
              </w:rPr>
            </w:pPr>
            <w:r w:rsidRPr="00C52A20">
              <w:rPr>
                <w:rFonts w:ascii="Arial" w:hAnsi="Arial" w:cs="Arial"/>
                <w:color w:val="000000" w:themeColor="text1"/>
                <w:kern w:val="24"/>
                <w:sz w:val="22"/>
              </w:rPr>
              <w:t>Program changes with implications for Griffith’s strategic direction, reputation, and international partnerships / footprint</w:t>
            </w:r>
          </w:p>
        </w:tc>
        <w:tc>
          <w:tcPr>
            <w:tcW w:w="3117" w:type="pct"/>
            <w:shd w:val="clear" w:color="auto" w:fill="auto"/>
          </w:tcPr>
          <w:p w14:paraId="1CC35570"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 xml:space="preserve">Adding an additional campus to an existing program. </w:t>
            </w:r>
          </w:p>
          <w:p w14:paraId="0CB15E84"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Changing an existing program in a manner that involves Griffith entering a new discipline (even if the Academic Group can fund it within their budget).</w:t>
            </w:r>
          </w:p>
          <w:p w14:paraId="0B83A39B"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Changing the international partnership arrangements for an existing program.</w:t>
            </w:r>
          </w:p>
          <w:p w14:paraId="542826E2"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Withdrawal of a program from a campus.</w:t>
            </w:r>
          </w:p>
        </w:tc>
      </w:tr>
      <w:tr w:rsidR="000712C5" w:rsidRPr="00C52A20" w14:paraId="3656F08B" w14:textId="77777777" w:rsidTr="00C52A20">
        <w:tc>
          <w:tcPr>
            <w:tcW w:w="1883" w:type="pct"/>
            <w:shd w:val="clear" w:color="auto" w:fill="auto"/>
          </w:tcPr>
          <w:p w14:paraId="7B2C68A0" w14:textId="227CD830" w:rsidR="000712C5" w:rsidRPr="00C52A20" w:rsidRDefault="000712C5" w:rsidP="00C52A20">
            <w:pPr>
              <w:spacing w:before="120" w:after="120" w:line="240" w:lineRule="auto"/>
              <w:rPr>
                <w:rFonts w:ascii="Arial" w:hAnsi="Arial" w:cs="Arial"/>
                <w:sz w:val="22"/>
              </w:rPr>
            </w:pPr>
            <w:r w:rsidRPr="00C52A20">
              <w:rPr>
                <w:rFonts w:ascii="Arial" w:hAnsi="Arial" w:cs="Arial"/>
                <w:color w:val="000000" w:themeColor="text1"/>
                <w:kern w:val="24"/>
                <w:sz w:val="22"/>
              </w:rPr>
              <w:t>Program changes which involve costs/investments that cannot be funded within existing budgets.</w:t>
            </w:r>
          </w:p>
        </w:tc>
        <w:tc>
          <w:tcPr>
            <w:tcW w:w="3117" w:type="pct"/>
            <w:shd w:val="clear" w:color="auto" w:fill="auto"/>
          </w:tcPr>
          <w:p w14:paraId="71B6C133"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 xml:space="preserve">Changes to a program which require investment in new teaching spaces. </w:t>
            </w:r>
          </w:p>
          <w:p w14:paraId="0B1EC422" w14:textId="240B3108"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Changes to a program which require investment in additional staff</w:t>
            </w:r>
            <w:r w:rsidR="00982ACC" w:rsidRPr="00C52A20">
              <w:rPr>
                <w:rFonts w:ascii="Arial" w:hAnsi="Arial" w:cs="Arial"/>
                <w:sz w:val="22"/>
              </w:rPr>
              <w:t>, resources</w:t>
            </w:r>
            <w:r w:rsidRPr="00C52A20">
              <w:rPr>
                <w:rFonts w:ascii="Arial" w:hAnsi="Arial" w:cs="Arial"/>
                <w:sz w:val="22"/>
              </w:rPr>
              <w:t xml:space="preserve"> or new equipment which cannot</w:t>
            </w:r>
            <w:r w:rsidR="00982ACC" w:rsidRPr="00C52A20">
              <w:rPr>
                <w:rFonts w:ascii="Arial" w:hAnsi="Arial" w:cs="Arial"/>
                <w:sz w:val="22"/>
              </w:rPr>
              <w:t xml:space="preserve"> be</w:t>
            </w:r>
            <w:r w:rsidRPr="00C52A20">
              <w:rPr>
                <w:rFonts w:ascii="Arial" w:hAnsi="Arial" w:cs="Arial"/>
                <w:sz w:val="22"/>
              </w:rPr>
              <w:t xml:space="preserve"> fund</w:t>
            </w:r>
            <w:r w:rsidR="00982ACC" w:rsidRPr="00C52A20">
              <w:rPr>
                <w:rFonts w:ascii="Arial" w:hAnsi="Arial" w:cs="Arial"/>
                <w:sz w:val="22"/>
              </w:rPr>
              <w:t>ed</w:t>
            </w:r>
            <w:r w:rsidRPr="00C52A20">
              <w:rPr>
                <w:rFonts w:ascii="Arial" w:hAnsi="Arial" w:cs="Arial"/>
                <w:sz w:val="22"/>
              </w:rPr>
              <w:t xml:space="preserve"> within existing budgets.</w:t>
            </w:r>
          </w:p>
        </w:tc>
      </w:tr>
      <w:tr w:rsidR="000712C5" w:rsidRPr="00C52A20" w14:paraId="14612B5C" w14:textId="77777777" w:rsidTr="00C52A20">
        <w:tc>
          <w:tcPr>
            <w:tcW w:w="1883" w:type="pct"/>
            <w:tcBorders>
              <w:bottom w:val="single" w:sz="4" w:space="0" w:color="auto"/>
            </w:tcBorders>
            <w:shd w:val="clear" w:color="auto" w:fill="auto"/>
          </w:tcPr>
          <w:p w14:paraId="4056D412" w14:textId="77777777" w:rsidR="000712C5" w:rsidRPr="00C52A20" w:rsidRDefault="000712C5" w:rsidP="00C52A20">
            <w:pPr>
              <w:spacing w:before="120" w:after="120" w:line="240" w:lineRule="auto"/>
              <w:rPr>
                <w:rFonts w:ascii="Arial" w:hAnsi="Arial" w:cs="Arial"/>
                <w:sz w:val="22"/>
              </w:rPr>
            </w:pPr>
            <w:r w:rsidRPr="00C52A20">
              <w:rPr>
                <w:rFonts w:ascii="Arial" w:hAnsi="Arial" w:cs="Arial"/>
                <w:color w:val="000000" w:themeColor="text1"/>
                <w:kern w:val="24"/>
                <w:sz w:val="22"/>
              </w:rPr>
              <w:t>Program changes with implications for Griffith’s load planning, or which shift students from one funding source to another funding source.</w:t>
            </w:r>
          </w:p>
        </w:tc>
        <w:tc>
          <w:tcPr>
            <w:tcW w:w="3117" w:type="pct"/>
            <w:tcBorders>
              <w:bottom w:val="single" w:sz="4" w:space="0" w:color="auto"/>
            </w:tcBorders>
            <w:shd w:val="clear" w:color="auto" w:fill="auto"/>
          </w:tcPr>
          <w:p w14:paraId="5E128CA1"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Changes to a program that move students from full fees to funded places (e.g. CGS or RTP), or that move students from funded places to full fees.</w:t>
            </w:r>
          </w:p>
          <w:p w14:paraId="08A9F161"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Replacement or redesign of more than 50% of the courses within a program.</w:t>
            </w:r>
          </w:p>
          <w:p w14:paraId="7A9DD77F"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Suspension of an intake for a program.</w:t>
            </w:r>
          </w:p>
        </w:tc>
      </w:tr>
      <w:tr w:rsidR="000712C5" w:rsidRPr="00C52A20" w14:paraId="5CF2522A" w14:textId="77777777" w:rsidTr="00C52A20">
        <w:tc>
          <w:tcPr>
            <w:tcW w:w="1883" w:type="pct"/>
            <w:tcBorders>
              <w:top w:val="single" w:sz="4" w:space="0" w:color="auto"/>
              <w:bottom w:val="single" w:sz="4" w:space="0" w:color="auto"/>
            </w:tcBorders>
            <w:shd w:val="clear" w:color="auto" w:fill="auto"/>
          </w:tcPr>
          <w:p w14:paraId="6EC92496" w14:textId="77777777" w:rsidR="000712C5" w:rsidRPr="00C52A20" w:rsidRDefault="000712C5" w:rsidP="00C52A20">
            <w:pPr>
              <w:spacing w:before="120" w:after="120" w:line="240" w:lineRule="auto"/>
              <w:rPr>
                <w:rFonts w:ascii="Arial" w:hAnsi="Arial" w:cs="Arial"/>
                <w:sz w:val="22"/>
              </w:rPr>
            </w:pPr>
            <w:r w:rsidRPr="00C52A20">
              <w:rPr>
                <w:rFonts w:ascii="Arial" w:hAnsi="Arial" w:cs="Arial"/>
                <w:color w:val="000000" w:themeColor="text1"/>
                <w:kern w:val="24"/>
                <w:sz w:val="22"/>
              </w:rPr>
              <w:t>Program changes which seek to substantially alter the target markets of the program.</w:t>
            </w:r>
          </w:p>
        </w:tc>
        <w:tc>
          <w:tcPr>
            <w:tcW w:w="3117" w:type="pct"/>
            <w:tcBorders>
              <w:top w:val="single" w:sz="4" w:space="0" w:color="auto"/>
              <w:bottom w:val="single" w:sz="4" w:space="0" w:color="auto"/>
            </w:tcBorders>
            <w:shd w:val="clear" w:color="auto" w:fill="auto"/>
          </w:tcPr>
          <w:p w14:paraId="358D893A"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Adding an online offer to an existing program.</w:t>
            </w:r>
          </w:p>
          <w:p w14:paraId="11D63DEE"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Adding a new major to an existing program.</w:t>
            </w:r>
          </w:p>
          <w:p w14:paraId="63128E5A"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 xml:space="preserve">Changes to the name of a program that substantially impacts the target markets. </w:t>
            </w:r>
          </w:p>
          <w:p w14:paraId="59EC0A0E" w14:textId="5C64D77F"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 xml:space="preserve">Changes to </w:t>
            </w:r>
            <w:r w:rsidR="00105D14" w:rsidRPr="00C52A20">
              <w:rPr>
                <w:rFonts w:ascii="Arial" w:hAnsi="Arial" w:cs="Arial"/>
                <w:sz w:val="22"/>
              </w:rPr>
              <w:t xml:space="preserve">admission </w:t>
            </w:r>
            <w:r w:rsidRPr="00C52A20">
              <w:rPr>
                <w:rFonts w:ascii="Arial" w:hAnsi="Arial" w:cs="Arial"/>
                <w:sz w:val="22"/>
              </w:rPr>
              <w:t>requirements that substantially impact the target markets.</w:t>
            </w:r>
          </w:p>
          <w:p w14:paraId="4F4AA27D"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 xml:space="preserve">Changes to program design which impact on international students’ ability to meet student visa requirements. </w:t>
            </w:r>
          </w:p>
          <w:p w14:paraId="7D48625C" w14:textId="77777777" w:rsidR="000712C5" w:rsidRPr="00C52A20" w:rsidRDefault="000712C5" w:rsidP="00C52A20">
            <w:pPr>
              <w:spacing w:before="120" w:after="120" w:line="240" w:lineRule="auto"/>
              <w:ind w:left="174"/>
              <w:rPr>
                <w:rFonts w:ascii="Arial" w:hAnsi="Arial" w:cs="Arial"/>
                <w:sz w:val="22"/>
              </w:rPr>
            </w:pPr>
            <w:r w:rsidRPr="00C52A20">
              <w:rPr>
                <w:rFonts w:ascii="Arial" w:hAnsi="Arial" w:cs="Arial"/>
                <w:sz w:val="22"/>
              </w:rPr>
              <w:t>Changes to the level or duration of a program that impact the target markets.</w:t>
            </w:r>
          </w:p>
        </w:tc>
      </w:tr>
    </w:tbl>
    <w:p w14:paraId="012D6779" w14:textId="710D9DE1" w:rsidR="00C52A20" w:rsidRDefault="00C52A20">
      <w:pPr>
        <w:spacing w:after="0" w:line="240" w:lineRule="auto"/>
        <w:rPr>
          <w:rFonts w:ascii="Arial" w:eastAsiaTheme="majorEastAsia" w:hAnsi="Arial" w:cs="Arial"/>
          <w:b/>
          <w:bCs/>
          <w:color w:val="E30918"/>
          <w:sz w:val="32"/>
          <w:szCs w:val="32"/>
        </w:rPr>
      </w:pPr>
      <w:bookmarkStart w:id="25" w:name="_6.0_Information"/>
      <w:bookmarkEnd w:id="25"/>
    </w:p>
    <w:p w14:paraId="326EB82D" w14:textId="77777777" w:rsidR="00C52A20" w:rsidRDefault="00C52A20">
      <w:pPr>
        <w:spacing w:after="0" w:line="240" w:lineRule="auto"/>
        <w:rPr>
          <w:rFonts w:ascii="Arial" w:eastAsiaTheme="majorEastAsia" w:hAnsi="Arial" w:cs="Arial"/>
          <w:b/>
          <w:bCs/>
          <w:color w:val="E30918"/>
          <w:sz w:val="32"/>
          <w:szCs w:val="32"/>
        </w:rPr>
      </w:pPr>
      <w:r>
        <w:rPr>
          <w:rFonts w:ascii="Arial" w:eastAsiaTheme="majorEastAsia" w:hAnsi="Arial" w:cs="Arial"/>
          <w:b/>
          <w:bCs/>
          <w:color w:val="E30918"/>
          <w:sz w:val="32"/>
          <w:szCs w:val="32"/>
        </w:rPr>
        <w:br w:type="page"/>
      </w:r>
    </w:p>
    <w:p w14:paraId="2439C2FC" w14:textId="520B3E42" w:rsidR="000712C5" w:rsidRPr="00C52A20" w:rsidRDefault="00C52A20" w:rsidP="00B12F65">
      <w:pPr>
        <w:pStyle w:val="Heading2"/>
        <w:spacing w:before="120" w:line="240" w:lineRule="auto"/>
        <w:ind w:left="426" w:hanging="426"/>
        <w:rPr>
          <w:rFonts w:ascii="Arial" w:hAnsi="Arial" w:cs="Arial"/>
          <w:b/>
          <w:bCs/>
          <w:sz w:val="32"/>
          <w:szCs w:val="32"/>
        </w:rPr>
      </w:pPr>
      <w:bookmarkStart w:id="26" w:name="_5.0_Information"/>
      <w:bookmarkEnd w:id="26"/>
      <w:r>
        <w:rPr>
          <w:rFonts w:ascii="Arial" w:hAnsi="Arial" w:cs="Arial"/>
          <w:b/>
          <w:bCs/>
          <w:sz w:val="32"/>
          <w:szCs w:val="32"/>
        </w:rPr>
        <w:lastRenderedPageBreak/>
        <w:t>5</w:t>
      </w:r>
      <w:r w:rsidR="00B12F65" w:rsidRPr="00C52A20">
        <w:rPr>
          <w:rFonts w:ascii="Arial" w:hAnsi="Arial" w:cs="Arial"/>
          <w:b/>
          <w:bCs/>
          <w:sz w:val="32"/>
          <w:szCs w:val="32"/>
        </w:rPr>
        <w:t>.0 Information</w:t>
      </w:r>
    </w:p>
    <w:tbl>
      <w:tblPr>
        <w:tblStyle w:val="TableGrid1"/>
        <w:tblW w:w="5000" w:type="pct"/>
        <w:shd w:val="clear" w:color="auto" w:fill="F2F2F2" w:themeFill="background1" w:themeFillShade="F2"/>
        <w:tblLook w:val="04A0" w:firstRow="1" w:lastRow="0" w:firstColumn="1" w:lastColumn="0" w:noHBand="0" w:noVBand="1"/>
      </w:tblPr>
      <w:tblGrid>
        <w:gridCol w:w="2492"/>
        <w:gridCol w:w="7706"/>
      </w:tblGrid>
      <w:tr w:rsidR="00B12F65" w:rsidRPr="00C52A20" w14:paraId="247995A4" w14:textId="77777777" w:rsidTr="48232881">
        <w:tc>
          <w:tcPr>
            <w:tcW w:w="1222" w:type="pct"/>
            <w:tcBorders>
              <w:top w:val="nil"/>
              <w:left w:val="nil"/>
              <w:bottom w:val="single" w:sz="4" w:space="0" w:color="auto"/>
              <w:right w:val="nil"/>
            </w:tcBorders>
            <w:shd w:val="clear" w:color="auto" w:fill="auto"/>
          </w:tcPr>
          <w:p w14:paraId="629B4B38"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Title</w:t>
            </w:r>
          </w:p>
        </w:tc>
        <w:tc>
          <w:tcPr>
            <w:tcW w:w="3778" w:type="pct"/>
            <w:tcBorders>
              <w:top w:val="nil"/>
              <w:left w:val="nil"/>
              <w:bottom w:val="single" w:sz="4" w:space="0" w:color="auto"/>
              <w:right w:val="nil"/>
            </w:tcBorders>
            <w:shd w:val="clear" w:color="auto" w:fill="auto"/>
          </w:tcPr>
          <w:p w14:paraId="7AA1990E"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 xml:space="preserve">Program Approval Procedure </w:t>
            </w:r>
          </w:p>
        </w:tc>
      </w:tr>
      <w:tr w:rsidR="00B12F65" w:rsidRPr="00C52A20" w14:paraId="5B2F341E" w14:textId="77777777" w:rsidTr="48232881">
        <w:tc>
          <w:tcPr>
            <w:tcW w:w="1222" w:type="pct"/>
            <w:tcBorders>
              <w:top w:val="single" w:sz="4" w:space="0" w:color="auto"/>
              <w:left w:val="nil"/>
              <w:bottom w:val="single" w:sz="4" w:space="0" w:color="auto"/>
              <w:right w:val="nil"/>
            </w:tcBorders>
            <w:shd w:val="clear" w:color="auto" w:fill="auto"/>
          </w:tcPr>
          <w:p w14:paraId="676E6940" w14:textId="77777777" w:rsidR="00B12F65" w:rsidRPr="00C52A20" w:rsidRDefault="00B12F65" w:rsidP="00363BCA">
            <w:pPr>
              <w:spacing w:before="120" w:after="120" w:line="240" w:lineRule="auto"/>
              <w:rPr>
                <w:rFonts w:ascii="Arial" w:hAnsi="Arial" w:cs="Arial"/>
                <w:color w:val="000000" w:themeColor="text1"/>
                <w:sz w:val="22"/>
              </w:rPr>
            </w:pPr>
            <w:r w:rsidRPr="00C52A20">
              <w:rPr>
                <w:rFonts w:ascii="Arial" w:hAnsi="Arial" w:cs="Arial"/>
                <w:color w:val="000000" w:themeColor="text1"/>
                <w:sz w:val="22"/>
              </w:rPr>
              <w:t>Document number</w:t>
            </w:r>
          </w:p>
        </w:tc>
        <w:tc>
          <w:tcPr>
            <w:tcW w:w="3778" w:type="pct"/>
            <w:tcBorders>
              <w:top w:val="single" w:sz="4" w:space="0" w:color="auto"/>
              <w:left w:val="nil"/>
              <w:bottom w:val="single" w:sz="4" w:space="0" w:color="auto"/>
              <w:right w:val="nil"/>
            </w:tcBorders>
            <w:shd w:val="clear" w:color="auto" w:fill="auto"/>
          </w:tcPr>
          <w:p w14:paraId="11C8B0B1" w14:textId="77777777" w:rsidR="00B12F65" w:rsidRPr="00C52A20" w:rsidRDefault="00B12F65" w:rsidP="00363BCA">
            <w:pPr>
              <w:spacing w:before="120" w:after="120" w:line="240" w:lineRule="auto"/>
              <w:rPr>
                <w:rFonts w:ascii="Arial" w:eastAsia="Arial" w:hAnsi="Arial" w:cs="Arial"/>
                <w:color w:val="000000" w:themeColor="text1"/>
                <w:sz w:val="22"/>
              </w:rPr>
            </w:pPr>
            <w:r w:rsidRPr="00C52A20">
              <w:rPr>
                <w:rFonts w:ascii="Arial" w:eastAsia="Arial" w:hAnsi="Arial" w:cs="Arial"/>
                <w:color w:val="000000" w:themeColor="text1"/>
                <w:sz w:val="22"/>
              </w:rPr>
              <w:t>2023/0000379</w:t>
            </w:r>
          </w:p>
        </w:tc>
      </w:tr>
      <w:tr w:rsidR="00B12F65" w:rsidRPr="00C52A20" w14:paraId="06F26D76" w14:textId="77777777" w:rsidTr="48232881">
        <w:tc>
          <w:tcPr>
            <w:tcW w:w="1222" w:type="pct"/>
            <w:tcBorders>
              <w:top w:val="single" w:sz="4" w:space="0" w:color="auto"/>
              <w:left w:val="nil"/>
              <w:bottom w:val="single" w:sz="4" w:space="0" w:color="auto"/>
              <w:right w:val="nil"/>
            </w:tcBorders>
            <w:shd w:val="clear" w:color="auto" w:fill="auto"/>
          </w:tcPr>
          <w:p w14:paraId="3CEF371E"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Purpose</w:t>
            </w:r>
          </w:p>
        </w:tc>
        <w:tc>
          <w:tcPr>
            <w:tcW w:w="3778" w:type="pct"/>
            <w:tcBorders>
              <w:top w:val="single" w:sz="4" w:space="0" w:color="auto"/>
              <w:left w:val="nil"/>
              <w:bottom w:val="single" w:sz="4" w:space="0" w:color="auto"/>
              <w:right w:val="nil"/>
            </w:tcBorders>
            <w:shd w:val="clear" w:color="auto" w:fill="auto"/>
          </w:tcPr>
          <w:p w14:paraId="40225A08"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This document details the processes for approving new programs and approving changes to existing programs. Program approval is the quality assurance process that ensures effective curriculum planning and design for new programs. This includes:</w:t>
            </w:r>
          </w:p>
          <w:p w14:paraId="00E4C079" w14:textId="77777777" w:rsidR="00B12F65" w:rsidRPr="00C52A20" w:rsidRDefault="00B12F65" w:rsidP="00363BCA">
            <w:pPr>
              <w:pStyle w:val="ListParagraph"/>
              <w:numPr>
                <w:ilvl w:val="0"/>
                <w:numId w:val="49"/>
              </w:numPr>
              <w:spacing w:before="120" w:after="120" w:line="240" w:lineRule="auto"/>
              <w:ind w:left="318" w:hanging="283"/>
              <w:rPr>
                <w:rFonts w:ascii="Arial" w:hAnsi="Arial" w:cs="Arial"/>
                <w:sz w:val="22"/>
              </w:rPr>
            </w:pPr>
            <w:r w:rsidRPr="00C52A20">
              <w:rPr>
                <w:rFonts w:ascii="Arial" w:hAnsi="Arial" w:cs="Arial"/>
                <w:sz w:val="22"/>
              </w:rPr>
              <w:t xml:space="preserve">the planning and approval of a new program and a suite of new programs (including non-award programs, and excluding credentials and badges) </w:t>
            </w:r>
          </w:p>
          <w:p w14:paraId="62B89415" w14:textId="77777777" w:rsidR="00B12F65" w:rsidRPr="00C52A20" w:rsidRDefault="00B12F65" w:rsidP="00363BCA">
            <w:pPr>
              <w:pStyle w:val="ListParagraph"/>
              <w:numPr>
                <w:ilvl w:val="0"/>
                <w:numId w:val="49"/>
              </w:numPr>
              <w:spacing w:before="120" w:after="120" w:line="240" w:lineRule="auto"/>
              <w:ind w:left="318" w:hanging="283"/>
              <w:rPr>
                <w:rFonts w:ascii="Arial" w:hAnsi="Arial" w:cs="Arial"/>
                <w:color w:val="000000" w:themeColor="text1"/>
                <w:sz w:val="22"/>
              </w:rPr>
            </w:pPr>
            <w:r w:rsidRPr="00C52A20">
              <w:rPr>
                <w:rFonts w:ascii="Arial" w:hAnsi="Arial" w:cs="Arial"/>
                <w:color w:val="000000" w:themeColor="text1"/>
                <w:sz w:val="22"/>
              </w:rPr>
              <w:t xml:space="preserve">the approval of changes to an existing program </w:t>
            </w:r>
          </w:p>
          <w:p w14:paraId="5E15D753" w14:textId="77777777" w:rsidR="00B12F65" w:rsidRPr="00C52A20" w:rsidRDefault="00B12F65" w:rsidP="00363BCA">
            <w:pPr>
              <w:pStyle w:val="ListParagraph"/>
              <w:numPr>
                <w:ilvl w:val="0"/>
                <w:numId w:val="49"/>
              </w:numPr>
              <w:spacing w:before="120" w:after="120" w:line="240" w:lineRule="auto"/>
              <w:ind w:left="318" w:hanging="283"/>
              <w:rPr>
                <w:rFonts w:ascii="Arial" w:hAnsi="Arial" w:cs="Arial"/>
                <w:sz w:val="22"/>
              </w:rPr>
            </w:pPr>
            <w:r w:rsidRPr="00C52A20">
              <w:rPr>
                <w:rFonts w:ascii="Arial" w:hAnsi="Arial" w:cs="Arial"/>
                <w:color w:val="000000" w:themeColor="text1"/>
                <w:sz w:val="22"/>
              </w:rPr>
              <w:t xml:space="preserve">the approval of the withdrawal of programs. </w:t>
            </w:r>
          </w:p>
        </w:tc>
      </w:tr>
      <w:tr w:rsidR="00B12F65" w:rsidRPr="00C52A20" w14:paraId="71D90B79" w14:textId="77777777" w:rsidTr="48232881">
        <w:tc>
          <w:tcPr>
            <w:tcW w:w="1222" w:type="pct"/>
            <w:tcBorders>
              <w:top w:val="single" w:sz="4" w:space="0" w:color="auto"/>
              <w:left w:val="nil"/>
              <w:bottom w:val="single" w:sz="4" w:space="0" w:color="auto"/>
              <w:right w:val="nil"/>
            </w:tcBorders>
            <w:shd w:val="clear" w:color="auto" w:fill="auto"/>
          </w:tcPr>
          <w:p w14:paraId="1D5E0755"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Audience</w:t>
            </w:r>
          </w:p>
        </w:tc>
        <w:tc>
          <w:tcPr>
            <w:tcW w:w="3778" w:type="pct"/>
            <w:tcBorders>
              <w:top w:val="single" w:sz="4" w:space="0" w:color="auto"/>
              <w:left w:val="nil"/>
              <w:bottom w:val="single" w:sz="4" w:space="0" w:color="auto"/>
              <w:right w:val="nil"/>
            </w:tcBorders>
            <w:shd w:val="clear" w:color="auto" w:fill="auto"/>
          </w:tcPr>
          <w:p w14:paraId="3B4C1BF3"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Staff</w:t>
            </w:r>
          </w:p>
        </w:tc>
      </w:tr>
      <w:tr w:rsidR="00B12F65" w:rsidRPr="00C52A20" w14:paraId="7FAC1680" w14:textId="77777777" w:rsidTr="48232881">
        <w:tc>
          <w:tcPr>
            <w:tcW w:w="1222" w:type="pct"/>
            <w:tcBorders>
              <w:top w:val="single" w:sz="4" w:space="0" w:color="auto"/>
              <w:left w:val="nil"/>
              <w:bottom w:val="single" w:sz="4" w:space="0" w:color="auto"/>
              <w:right w:val="nil"/>
            </w:tcBorders>
            <w:shd w:val="clear" w:color="auto" w:fill="auto"/>
          </w:tcPr>
          <w:p w14:paraId="2E9A04C3"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Category</w:t>
            </w:r>
          </w:p>
        </w:tc>
        <w:tc>
          <w:tcPr>
            <w:tcW w:w="3778" w:type="pct"/>
            <w:tcBorders>
              <w:top w:val="single" w:sz="4" w:space="0" w:color="auto"/>
              <w:left w:val="nil"/>
              <w:bottom w:val="single" w:sz="4" w:space="0" w:color="auto"/>
              <w:right w:val="nil"/>
            </w:tcBorders>
            <w:shd w:val="clear" w:color="auto" w:fill="auto"/>
          </w:tcPr>
          <w:p w14:paraId="65B58494"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Academic</w:t>
            </w:r>
          </w:p>
        </w:tc>
      </w:tr>
      <w:tr w:rsidR="00B12F65" w:rsidRPr="00C52A20" w14:paraId="75E2964A" w14:textId="77777777" w:rsidTr="48232881">
        <w:tc>
          <w:tcPr>
            <w:tcW w:w="1222" w:type="pct"/>
            <w:tcBorders>
              <w:top w:val="single" w:sz="4" w:space="0" w:color="auto"/>
              <w:left w:val="nil"/>
              <w:bottom w:val="single" w:sz="4" w:space="0" w:color="auto"/>
              <w:right w:val="nil"/>
            </w:tcBorders>
            <w:shd w:val="clear" w:color="auto" w:fill="auto"/>
          </w:tcPr>
          <w:p w14:paraId="07E82C8E"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Subcategory</w:t>
            </w:r>
          </w:p>
        </w:tc>
        <w:tc>
          <w:tcPr>
            <w:tcW w:w="3778" w:type="pct"/>
            <w:tcBorders>
              <w:top w:val="single" w:sz="4" w:space="0" w:color="auto"/>
              <w:left w:val="nil"/>
              <w:bottom w:val="single" w:sz="4" w:space="0" w:color="auto"/>
              <w:right w:val="nil"/>
            </w:tcBorders>
            <w:shd w:val="clear" w:color="auto" w:fill="auto"/>
          </w:tcPr>
          <w:p w14:paraId="71020765"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Learning and Teaching</w:t>
            </w:r>
          </w:p>
        </w:tc>
      </w:tr>
      <w:tr w:rsidR="00B12F65" w:rsidRPr="00C52A20" w14:paraId="3C50B913" w14:textId="77777777" w:rsidTr="00C52A20">
        <w:tc>
          <w:tcPr>
            <w:tcW w:w="1222" w:type="pct"/>
            <w:tcBorders>
              <w:top w:val="single" w:sz="4" w:space="0" w:color="auto"/>
              <w:left w:val="nil"/>
              <w:bottom w:val="single" w:sz="4" w:space="0" w:color="auto"/>
              <w:right w:val="nil"/>
            </w:tcBorders>
            <w:shd w:val="clear" w:color="auto" w:fill="auto"/>
          </w:tcPr>
          <w:p w14:paraId="10AC849B"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Approval date</w:t>
            </w:r>
          </w:p>
        </w:tc>
        <w:tc>
          <w:tcPr>
            <w:tcW w:w="3778" w:type="pct"/>
            <w:tcBorders>
              <w:top w:val="single" w:sz="4" w:space="0" w:color="auto"/>
              <w:left w:val="nil"/>
              <w:bottom w:val="single" w:sz="4" w:space="0" w:color="auto"/>
              <w:right w:val="nil"/>
            </w:tcBorders>
            <w:shd w:val="clear" w:color="auto" w:fill="auto"/>
          </w:tcPr>
          <w:p w14:paraId="4567DB31"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20 July 2023</w:t>
            </w:r>
          </w:p>
        </w:tc>
      </w:tr>
      <w:tr w:rsidR="00B12F65" w:rsidRPr="00C52A20" w14:paraId="44517A53" w14:textId="77777777" w:rsidTr="00C52A20">
        <w:tc>
          <w:tcPr>
            <w:tcW w:w="1222" w:type="pct"/>
            <w:tcBorders>
              <w:top w:val="single" w:sz="4" w:space="0" w:color="auto"/>
              <w:left w:val="nil"/>
              <w:bottom w:val="single" w:sz="4" w:space="0" w:color="auto"/>
              <w:right w:val="nil"/>
            </w:tcBorders>
            <w:shd w:val="clear" w:color="auto" w:fill="auto"/>
          </w:tcPr>
          <w:p w14:paraId="7FD8D24F"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Effective date</w:t>
            </w:r>
          </w:p>
        </w:tc>
        <w:tc>
          <w:tcPr>
            <w:tcW w:w="3778" w:type="pct"/>
            <w:tcBorders>
              <w:top w:val="single" w:sz="4" w:space="0" w:color="auto"/>
              <w:left w:val="nil"/>
              <w:bottom w:val="single" w:sz="4" w:space="0" w:color="auto"/>
              <w:right w:val="nil"/>
            </w:tcBorders>
            <w:shd w:val="clear" w:color="auto" w:fill="auto"/>
          </w:tcPr>
          <w:p w14:paraId="3C091AAF" w14:textId="56B7AD31" w:rsidR="00B12F65" w:rsidRPr="00C52A20" w:rsidRDefault="00B12F65" w:rsidP="00363BCA">
            <w:pPr>
              <w:spacing w:before="120" w:after="120" w:line="240" w:lineRule="auto"/>
              <w:rPr>
                <w:rFonts w:ascii="Arial" w:hAnsi="Arial" w:cs="Arial"/>
                <w:sz w:val="22"/>
              </w:rPr>
            </w:pPr>
            <w:r w:rsidRPr="00C52A20">
              <w:rPr>
                <w:rFonts w:ascii="Arial" w:hAnsi="Arial" w:cs="Arial"/>
                <w:sz w:val="22"/>
              </w:rPr>
              <w:t>Trimester 1 2024</w:t>
            </w:r>
          </w:p>
        </w:tc>
      </w:tr>
      <w:tr w:rsidR="00B12F65" w:rsidRPr="00C52A20" w14:paraId="623F48A9" w14:textId="77777777" w:rsidTr="00C52A20">
        <w:tc>
          <w:tcPr>
            <w:tcW w:w="1222" w:type="pct"/>
            <w:tcBorders>
              <w:top w:val="single" w:sz="4" w:space="0" w:color="auto"/>
              <w:left w:val="nil"/>
              <w:bottom w:val="single" w:sz="4" w:space="0" w:color="auto"/>
              <w:right w:val="nil"/>
            </w:tcBorders>
            <w:shd w:val="clear" w:color="auto" w:fill="auto"/>
          </w:tcPr>
          <w:p w14:paraId="04CE9853"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Review date</w:t>
            </w:r>
          </w:p>
        </w:tc>
        <w:tc>
          <w:tcPr>
            <w:tcW w:w="3778" w:type="pct"/>
            <w:tcBorders>
              <w:top w:val="single" w:sz="4" w:space="0" w:color="auto"/>
              <w:left w:val="nil"/>
              <w:bottom w:val="single" w:sz="4" w:space="0" w:color="auto"/>
              <w:right w:val="nil"/>
            </w:tcBorders>
            <w:shd w:val="clear" w:color="auto" w:fill="auto"/>
          </w:tcPr>
          <w:p w14:paraId="04B65749"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2028</w:t>
            </w:r>
          </w:p>
        </w:tc>
      </w:tr>
      <w:tr w:rsidR="00B12F65" w:rsidRPr="00C52A20" w14:paraId="344218BD" w14:textId="77777777" w:rsidTr="48232881">
        <w:tc>
          <w:tcPr>
            <w:tcW w:w="1222" w:type="pct"/>
            <w:tcBorders>
              <w:top w:val="single" w:sz="4" w:space="0" w:color="auto"/>
              <w:left w:val="nil"/>
              <w:bottom w:val="single" w:sz="4" w:space="0" w:color="auto"/>
              <w:right w:val="nil"/>
            </w:tcBorders>
            <w:shd w:val="clear" w:color="auto" w:fill="auto"/>
          </w:tcPr>
          <w:p w14:paraId="30D35DA0"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Policy advisor</w:t>
            </w:r>
          </w:p>
        </w:tc>
        <w:tc>
          <w:tcPr>
            <w:tcW w:w="3778" w:type="pct"/>
            <w:tcBorders>
              <w:top w:val="single" w:sz="4" w:space="0" w:color="auto"/>
              <w:left w:val="nil"/>
              <w:bottom w:val="single" w:sz="4" w:space="0" w:color="auto"/>
              <w:right w:val="nil"/>
            </w:tcBorders>
            <w:shd w:val="clear" w:color="auto" w:fill="auto"/>
          </w:tcPr>
          <w:p w14:paraId="37BBA1FC"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Senior Manager, Student Credentials</w:t>
            </w:r>
          </w:p>
        </w:tc>
      </w:tr>
      <w:tr w:rsidR="00B12F65" w:rsidRPr="00C52A20" w14:paraId="1B1F3313" w14:textId="77777777" w:rsidTr="48232881">
        <w:trPr>
          <w:trHeight w:val="362"/>
        </w:trPr>
        <w:tc>
          <w:tcPr>
            <w:tcW w:w="1222" w:type="pct"/>
            <w:tcBorders>
              <w:top w:val="single" w:sz="4" w:space="0" w:color="auto"/>
              <w:left w:val="nil"/>
              <w:bottom w:val="single" w:sz="4" w:space="0" w:color="auto"/>
              <w:right w:val="nil"/>
            </w:tcBorders>
            <w:shd w:val="clear" w:color="auto" w:fill="auto"/>
          </w:tcPr>
          <w:p w14:paraId="66BBDC7B"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Approving authority</w:t>
            </w:r>
          </w:p>
        </w:tc>
        <w:tc>
          <w:tcPr>
            <w:tcW w:w="3778" w:type="pct"/>
            <w:tcBorders>
              <w:top w:val="single" w:sz="4" w:space="0" w:color="auto"/>
              <w:left w:val="nil"/>
              <w:bottom w:val="single" w:sz="4" w:space="0" w:color="auto"/>
              <w:right w:val="nil"/>
            </w:tcBorders>
            <w:shd w:val="clear" w:color="auto" w:fill="auto"/>
          </w:tcPr>
          <w:p w14:paraId="50064202" w14:textId="0056CD05" w:rsidR="00B12F65" w:rsidRPr="00C52A20" w:rsidRDefault="00B12F65" w:rsidP="48232881">
            <w:pPr>
              <w:spacing w:before="120" w:after="120" w:line="240" w:lineRule="auto"/>
              <w:rPr>
                <w:rFonts w:ascii="Arial" w:hAnsi="Arial" w:cs="Arial"/>
                <w:sz w:val="22"/>
              </w:rPr>
            </w:pPr>
            <w:r w:rsidRPr="00C52A20">
              <w:rPr>
                <w:rFonts w:ascii="Arial" w:hAnsi="Arial" w:cs="Arial"/>
                <w:sz w:val="22"/>
              </w:rPr>
              <w:t>Pro</w:t>
            </w:r>
            <w:r w:rsidR="4102CC2D" w:rsidRPr="00C52A20">
              <w:rPr>
                <w:rFonts w:ascii="Arial" w:hAnsi="Arial" w:cs="Arial"/>
                <w:sz w:val="22"/>
              </w:rPr>
              <w:t>vost</w:t>
            </w:r>
          </w:p>
        </w:tc>
      </w:tr>
    </w:tbl>
    <w:p w14:paraId="260BE6F1" w14:textId="7A7F21A9" w:rsidR="00B12F65" w:rsidRPr="00C52A20" w:rsidRDefault="00C52A20" w:rsidP="00B12F65">
      <w:pPr>
        <w:pStyle w:val="Heading2"/>
        <w:spacing w:before="120" w:line="240" w:lineRule="auto"/>
        <w:ind w:left="426" w:hanging="426"/>
        <w:rPr>
          <w:rFonts w:ascii="Arial" w:hAnsi="Arial" w:cs="Arial"/>
          <w:b/>
          <w:bCs/>
          <w:sz w:val="32"/>
          <w:szCs w:val="32"/>
        </w:rPr>
      </w:pPr>
      <w:bookmarkStart w:id="27" w:name="_7.0_Related_Policy"/>
      <w:bookmarkStart w:id="28" w:name="_6.0_Related_Policy"/>
      <w:bookmarkEnd w:id="27"/>
      <w:bookmarkEnd w:id="28"/>
      <w:r>
        <w:rPr>
          <w:rFonts w:ascii="Arial" w:hAnsi="Arial" w:cs="Arial"/>
          <w:b/>
          <w:bCs/>
          <w:sz w:val="32"/>
          <w:szCs w:val="32"/>
        </w:rPr>
        <w:t>6</w:t>
      </w:r>
      <w:r w:rsidR="00B12F65" w:rsidRPr="00C52A20">
        <w:rPr>
          <w:rFonts w:ascii="Arial" w:hAnsi="Arial" w:cs="Arial"/>
          <w:b/>
          <w:bCs/>
          <w:sz w:val="32"/>
          <w:szCs w:val="32"/>
        </w:rPr>
        <w:t>.0 Related Policy Documents and Supporting Documents</w:t>
      </w:r>
    </w:p>
    <w:tbl>
      <w:tblPr>
        <w:tblStyle w:val="TableGrid1"/>
        <w:tblW w:w="5005" w:type="pct"/>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5"/>
        <w:gridCol w:w="7713"/>
      </w:tblGrid>
      <w:tr w:rsidR="00B12F65" w:rsidRPr="00C52A20" w14:paraId="01B17DE7" w14:textId="77777777" w:rsidTr="00B12F65">
        <w:tc>
          <w:tcPr>
            <w:tcW w:w="1222" w:type="pct"/>
          </w:tcPr>
          <w:p w14:paraId="72AFF1B2"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 xml:space="preserve">Australian Government Legislation and Policy </w:t>
            </w:r>
          </w:p>
        </w:tc>
        <w:tc>
          <w:tcPr>
            <w:tcW w:w="3778" w:type="pct"/>
          </w:tcPr>
          <w:p w14:paraId="62D82ACE" w14:textId="77777777" w:rsidR="00B12F65" w:rsidRPr="00C52A20" w:rsidRDefault="00B12F65" w:rsidP="00363BCA">
            <w:pPr>
              <w:spacing w:before="120" w:after="120" w:line="240" w:lineRule="auto"/>
              <w:rPr>
                <w:rStyle w:val="Hyperlink"/>
                <w:rFonts w:ascii="Arial" w:hAnsi="Arial" w:cs="Arial"/>
                <w:sz w:val="22"/>
              </w:rPr>
            </w:pPr>
            <w:r w:rsidRPr="00C52A20">
              <w:rPr>
                <w:rStyle w:val="Hyperlink"/>
                <w:rFonts w:ascii="Arial" w:hAnsi="Arial" w:cs="Arial"/>
                <w:sz w:val="22"/>
              </w:rPr>
              <w:t>Australian Qualifications Framework 2013</w:t>
            </w:r>
          </w:p>
          <w:p w14:paraId="19EF0578" w14:textId="77777777" w:rsidR="00B12F65" w:rsidRPr="00C52A20" w:rsidRDefault="00000000" w:rsidP="00363BCA">
            <w:pPr>
              <w:spacing w:before="120" w:after="120" w:line="240" w:lineRule="auto"/>
              <w:rPr>
                <w:rFonts w:ascii="Arial" w:hAnsi="Arial" w:cs="Arial"/>
                <w:sz w:val="22"/>
              </w:rPr>
            </w:pPr>
            <w:hyperlink r:id="rId11" w:history="1">
              <w:r w:rsidR="00B12F65" w:rsidRPr="00C52A20">
                <w:rPr>
                  <w:rStyle w:val="Hyperlink"/>
                  <w:rFonts w:ascii="Arial" w:hAnsi="Arial" w:cs="Arial"/>
                  <w:sz w:val="22"/>
                </w:rPr>
                <w:t>Higher Education Standards Framework</w:t>
              </w:r>
            </w:hyperlink>
            <w:r w:rsidR="00B12F65" w:rsidRPr="00C52A20">
              <w:rPr>
                <w:rStyle w:val="Hyperlink"/>
                <w:rFonts w:ascii="Arial" w:hAnsi="Arial" w:cs="Arial"/>
                <w:sz w:val="22"/>
              </w:rPr>
              <w:t xml:space="preserve"> (Threshold Standards) 2021</w:t>
            </w:r>
            <w:hyperlink r:id="rId12" w:history="1">
              <w:r w:rsidR="00B12F65" w:rsidRPr="00C52A20">
                <w:rPr>
                  <w:rStyle w:val="Hyperlink"/>
                  <w:rFonts w:ascii="Arial" w:hAnsi="Arial" w:cs="Arial"/>
                  <w:sz w:val="22"/>
                </w:rPr>
                <w:t>National Code of Practice for Providers of Education and Training to Overseas Students 2018</w:t>
              </w:r>
            </w:hyperlink>
          </w:p>
        </w:tc>
      </w:tr>
      <w:tr w:rsidR="00B12F65" w:rsidRPr="00C52A20" w14:paraId="2120EC79" w14:textId="77777777" w:rsidTr="00B12F65">
        <w:tc>
          <w:tcPr>
            <w:tcW w:w="1222" w:type="pct"/>
          </w:tcPr>
          <w:p w14:paraId="1137A7F7" w14:textId="77777777" w:rsidR="00B12F65" w:rsidRPr="00C52A20" w:rsidRDefault="00B12F65" w:rsidP="00363BCA">
            <w:pPr>
              <w:spacing w:before="120" w:after="120" w:line="240" w:lineRule="auto"/>
              <w:rPr>
                <w:rFonts w:ascii="Arial" w:hAnsi="Arial" w:cs="Arial"/>
                <w:sz w:val="22"/>
              </w:rPr>
            </w:pPr>
            <w:r w:rsidRPr="00C52A20">
              <w:rPr>
                <w:rFonts w:ascii="Arial" w:hAnsi="Arial" w:cs="Arial"/>
                <w:sz w:val="22"/>
              </w:rPr>
              <w:t>Policy</w:t>
            </w:r>
          </w:p>
        </w:tc>
        <w:tc>
          <w:tcPr>
            <w:tcW w:w="3778" w:type="pct"/>
          </w:tcPr>
          <w:p w14:paraId="1F33662F" w14:textId="77777777" w:rsidR="00B12F65" w:rsidRPr="00C52A20" w:rsidRDefault="00B12F65" w:rsidP="00363BCA">
            <w:pPr>
              <w:spacing w:before="120" w:after="120" w:line="240" w:lineRule="auto"/>
              <w:rPr>
                <w:rFonts w:ascii="Arial" w:hAnsi="Arial" w:cs="Arial"/>
                <w:color w:val="E30918"/>
                <w:sz w:val="22"/>
                <w:u w:val="single"/>
              </w:rPr>
            </w:pPr>
            <w:r w:rsidRPr="00C52A20">
              <w:rPr>
                <w:rStyle w:val="Hyperlink"/>
                <w:rFonts w:ascii="Arial" w:hAnsi="Arial" w:cs="Arial"/>
                <w:sz w:val="22"/>
              </w:rPr>
              <w:t>Academic Awards and Qualifications Policy</w:t>
            </w:r>
          </w:p>
          <w:p w14:paraId="11E3CD14" w14:textId="77777777" w:rsidR="00B12F65" w:rsidRPr="00C52A20" w:rsidRDefault="00000000" w:rsidP="00363BCA">
            <w:pPr>
              <w:spacing w:before="120" w:after="120" w:line="240" w:lineRule="auto"/>
              <w:rPr>
                <w:rStyle w:val="Hyperlink"/>
                <w:rFonts w:ascii="Arial" w:hAnsi="Arial" w:cs="Arial"/>
                <w:sz w:val="22"/>
              </w:rPr>
            </w:pPr>
            <w:hyperlink r:id="rId13" w:history="1">
              <w:r w:rsidR="00B12F65" w:rsidRPr="00C52A20">
                <w:rPr>
                  <w:rStyle w:val="Hyperlink"/>
                  <w:rFonts w:ascii="Arial" w:hAnsi="Arial" w:cs="Arial"/>
                  <w:sz w:val="22"/>
                </w:rPr>
                <w:t xml:space="preserve">Credit and Recognition of Prior Learning Policy </w:t>
              </w:r>
            </w:hyperlink>
          </w:p>
          <w:p w14:paraId="6B3F2DFD" w14:textId="77777777" w:rsidR="00B12F65" w:rsidRPr="00C52A20" w:rsidRDefault="00000000" w:rsidP="00363BCA">
            <w:pPr>
              <w:spacing w:before="120" w:after="120" w:line="240" w:lineRule="auto"/>
              <w:rPr>
                <w:rStyle w:val="Hyperlink"/>
                <w:rFonts w:ascii="Arial" w:hAnsi="Arial" w:cs="Arial"/>
                <w:sz w:val="22"/>
              </w:rPr>
            </w:pPr>
            <w:hyperlink r:id="rId14" w:history="1">
              <w:r w:rsidR="00B12F65" w:rsidRPr="00C52A20">
                <w:rPr>
                  <w:rStyle w:val="Hyperlink"/>
                  <w:rFonts w:ascii="Arial" w:hAnsi="Arial" w:cs="Arial"/>
                  <w:sz w:val="22"/>
                </w:rPr>
                <w:t>Framework for Quality Assurance</w:t>
              </w:r>
            </w:hyperlink>
          </w:p>
          <w:p w14:paraId="71D425D0" w14:textId="5B5E9982" w:rsidR="00B12F65" w:rsidRPr="00C52A20" w:rsidRDefault="00000000" w:rsidP="00363BCA">
            <w:pPr>
              <w:pStyle w:val="BulletPoints"/>
              <w:numPr>
                <w:ilvl w:val="0"/>
                <w:numId w:val="0"/>
              </w:numPr>
              <w:spacing w:before="120" w:after="120" w:line="240" w:lineRule="auto"/>
              <w:rPr>
                <w:rStyle w:val="Hyperlink"/>
                <w:rFonts w:ascii="Arial" w:hAnsi="Arial" w:cs="Arial"/>
                <w:color w:val="auto"/>
                <w:sz w:val="22"/>
                <w:u w:val="none"/>
              </w:rPr>
            </w:pPr>
            <w:hyperlink r:id="rId15" w:history="1">
              <w:r w:rsidR="00B12F65" w:rsidRPr="00C52A20">
                <w:rPr>
                  <w:rStyle w:val="Hyperlink"/>
                  <w:rFonts w:ascii="Arial" w:hAnsi="Arial" w:cs="Arial"/>
                  <w:sz w:val="22"/>
                </w:rPr>
                <w:t xml:space="preserve">Higher Degree </w:t>
              </w:r>
              <w:r w:rsidR="002D1D6B" w:rsidRPr="00C52A20">
                <w:rPr>
                  <w:rStyle w:val="Hyperlink"/>
                  <w:rFonts w:ascii="Arial" w:hAnsi="Arial" w:cs="Arial"/>
                  <w:sz w:val="22"/>
                </w:rPr>
                <w:t xml:space="preserve">by </w:t>
              </w:r>
              <w:r w:rsidR="00B12F65" w:rsidRPr="00C52A20">
                <w:rPr>
                  <w:rStyle w:val="Hyperlink"/>
                  <w:rFonts w:ascii="Arial" w:hAnsi="Arial" w:cs="Arial"/>
                  <w:sz w:val="22"/>
                </w:rPr>
                <w:t xml:space="preserve">Research Policy </w:t>
              </w:r>
            </w:hyperlink>
          </w:p>
          <w:p w14:paraId="72BB93C5" w14:textId="77777777" w:rsidR="00B12F65" w:rsidRPr="00C52A20" w:rsidRDefault="00000000" w:rsidP="00363BCA">
            <w:pPr>
              <w:spacing w:before="120" w:after="120" w:line="240" w:lineRule="auto"/>
              <w:rPr>
                <w:rFonts w:ascii="Arial" w:hAnsi="Arial" w:cs="Arial"/>
                <w:color w:val="E30918"/>
                <w:sz w:val="22"/>
                <w:u w:val="single"/>
              </w:rPr>
            </w:pPr>
            <w:hyperlink r:id="rId16" w:history="1">
              <w:r w:rsidR="00B12F65" w:rsidRPr="00C52A20">
                <w:rPr>
                  <w:rStyle w:val="Hyperlink"/>
                  <w:rFonts w:ascii="Arial" w:hAnsi="Arial" w:cs="Arial"/>
                  <w:sz w:val="22"/>
                </w:rPr>
                <w:t>Programs and Courses Policy</w:t>
              </w:r>
            </w:hyperlink>
            <w:r w:rsidR="00B12F65" w:rsidRPr="00C52A20">
              <w:rPr>
                <w:rFonts w:ascii="Arial" w:hAnsi="Arial" w:cs="Arial"/>
                <w:sz w:val="22"/>
              </w:rPr>
              <w:t xml:space="preserve"> </w:t>
            </w:r>
          </w:p>
        </w:tc>
      </w:tr>
      <w:tr w:rsidR="00B12F65" w:rsidRPr="00C52A20" w14:paraId="2A8C21B3" w14:textId="77777777" w:rsidTr="00B12F65">
        <w:tc>
          <w:tcPr>
            <w:tcW w:w="1222" w:type="pct"/>
            <w:tcBorders>
              <w:bottom w:val="single" w:sz="4" w:space="0" w:color="auto"/>
            </w:tcBorders>
          </w:tcPr>
          <w:p w14:paraId="071C93D6" w14:textId="0CB25A44" w:rsidR="00B12F65" w:rsidRPr="00C52A20" w:rsidRDefault="00B12F65" w:rsidP="00363BCA">
            <w:pPr>
              <w:spacing w:before="120" w:after="120" w:line="240" w:lineRule="auto"/>
              <w:rPr>
                <w:rFonts w:ascii="Arial" w:hAnsi="Arial" w:cs="Arial"/>
                <w:sz w:val="22"/>
              </w:rPr>
            </w:pPr>
            <w:r w:rsidRPr="00C52A20">
              <w:rPr>
                <w:rFonts w:ascii="Arial" w:hAnsi="Arial" w:cs="Arial"/>
                <w:sz w:val="22"/>
              </w:rPr>
              <w:t>Procedure</w:t>
            </w:r>
          </w:p>
        </w:tc>
        <w:tc>
          <w:tcPr>
            <w:tcW w:w="3778" w:type="pct"/>
            <w:tcBorders>
              <w:bottom w:val="single" w:sz="4" w:space="0" w:color="auto"/>
            </w:tcBorders>
          </w:tcPr>
          <w:p w14:paraId="0276C988" w14:textId="77777777" w:rsidR="006F072D" w:rsidRPr="00C52A20" w:rsidRDefault="00000000" w:rsidP="006F072D">
            <w:pPr>
              <w:spacing w:before="120" w:after="120" w:line="240" w:lineRule="auto"/>
              <w:rPr>
                <w:rFonts w:ascii="Arial" w:hAnsi="Arial" w:cs="Arial"/>
                <w:sz w:val="22"/>
              </w:rPr>
            </w:pPr>
            <w:hyperlink r:id="rId17" w:history="1">
              <w:r w:rsidR="006F072D" w:rsidRPr="00C52A20">
                <w:rPr>
                  <w:rStyle w:val="Hyperlink"/>
                  <w:rFonts w:ascii="Arial" w:hAnsi="Arial" w:cs="Arial"/>
                  <w:sz w:val="22"/>
                </w:rPr>
                <w:t>Course Approval Procedure</w:t>
              </w:r>
            </w:hyperlink>
          </w:p>
          <w:p w14:paraId="221E177D" w14:textId="77777777" w:rsidR="006F072D" w:rsidRPr="00C52A20" w:rsidRDefault="00000000" w:rsidP="006F072D">
            <w:pPr>
              <w:spacing w:before="120" w:after="120" w:line="240" w:lineRule="auto"/>
              <w:rPr>
                <w:rFonts w:ascii="Arial" w:hAnsi="Arial" w:cs="Arial"/>
                <w:sz w:val="22"/>
              </w:rPr>
            </w:pPr>
            <w:hyperlink r:id="rId18" w:history="1">
              <w:r w:rsidR="006F072D" w:rsidRPr="00C52A20">
                <w:rPr>
                  <w:rStyle w:val="Hyperlink"/>
                  <w:rFonts w:ascii="Arial" w:hAnsi="Arial" w:cs="Arial"/>
                  <w:sz w:val="22"/>
                </w:rPr>
                <w:t>Course Attributes and Requirements Procedure</w:t>
              </w:r>
            </w:hyperlink>
          </w:p>
          <w:p w14:paraId="7777C8E9" w14:textId="77777777" w:rsidR="006F072D" w:rsidRPr="00C52A20" w:rsidRDefault="00000000" w:rsidP="006F072D">
            <w:pPr>
              <w:spacing w:before="120" w:after="120" w:line="240" w:lineRule="auto"/>
              <w:rPr>
                <w:rFonts w:ascii="Arial" w:hAnsi="Arial" w:cs="Arial"/>
                <w:sz w:val="22"/>
              </w:rPr>
            </w:pPr>
            <w:hyperlink r:id="rId19" w:history="1">
              <w:r w:rsidR="006F072D" w:rsidRPr="00C52A20">
                <w:rPr>
                  <w:rStyle w:val="Hyperlink"/>
                  <w:rFonts w:ascii="Arial" w:hAnsi="Arial" w:cs="Arial"/>
                  <w:sz w:val="22"/>
                </w:rPr>
                <w:t>Micro-credential and Digital Badge Approval and Review Procedure</w:t>
              </w:r>
            </w:hyperlink>
          </w:p>
          <w:p w14:paraId="496393D2" w14:textId="77777777" w:rsidR="006F072D" w:rsidRPr="00C52A20" w:rsidRDefault="00000000" w:rsidP="006F072D">
            <w:pPr>
              <w:spacing w:before="120" w:after="120" w:line="240" w:lineRule="auto"/>
              <w:rPr>
                <w:rFonts w:ascii="Arial" w:hAnsi="Arial" w:cs="Arial"/>
                <w:sz w:val="22"/>
              </w:rPr>
            </w:pPr>
            <w:hyperlink r:id="rId20" w:history="1">
              <w:r w:rsidR="006F072D" w:rsidRPr="00C52A20">
                <w:rPr>
                  <w:rStyle w:val="Hyperlink"/>
                  <w:rFonts w:ascii="Arial" w:hAnsi="Arial" w:cs="Arial"/>
                  <w:sz w:val="22"/>
                </w:rPr>
                <w:t>Program and Course Review Procedure</w:t>
              </w:r>
            </w:hyperlink>
          </w:p>
          <w:p w14:paraId="0C2ABED3" w14:textId="77777777" w:rsidR="006F072D" w:rsidRPr="00C52A20" w:rsidRDefault="00000000" w:rsidP="006F072D">
            <w:pPr>
              <w:spacing w:before="120" w:after="120" w:line="240" w:lineRule="auto"/>
              <w:rPr>
                <w:rFonts w:ascii="Arial" w:hAnsi="Arial" w:cs="Arial"/>
                <w:sz w:val="22"/>
              </w:rPr>
            </w:pPr>
            <w:hyperlink r:id="rId21" w:history="1">
              <w:r w:rsidR="006F072D" w:rsidRPr="00C52A20">
                <w:rPr>
                  <w:rStyle w:val="Hyperlink"/>
                  <w:rFonts w:ascii="Arial" w:hAnsi="Arial" w:cs="Arial"/>
                  <w:sz w:val="22"/>
                </w:rPr>
                <w:t>Program Approval Procedure</w:t>
              </w:r>
            </w:hyperlink>
          </w:p>
          <w:p w14:paraId="6A9D2B1F" w14:textId="5EE76ED4" w:rsidR="006F072D" w:rsidRPr="00C52A20" w:rsidRDefault="00000000" w:rsidP="006F072D">
            <w:pPr>
              <w:spacing w:before="120" w:after="120" w:line="240" w:lineRule="auto"/>
              <w:rPr>
                <w:rFonts w:ascii="Arial" w:hAnsi="Arial" w:cs="Arial"/>
                <w:sz w:val="22"/>
              </w:rPr>
            </w:pPr>
            <w:hyperlink r:id="rId22" w:history="1">
              <w:r w:rsidR="006F072D" w:rsidRPr="00C52A20">
                <w:rPr>
                  <w:rStyle w:val="Hyperlink"/>
                  <w:rFonts w:ascii="Arial" w:hAnsi="Arial" w:cs="Arial"/>
                  <w:sz w:val="22"/>
                </w:rPr>
                <w:t>Qualifications Procedure</w:t>
              </w:r>
            </w:hyperlink>
          </w:p>
        </w:tc>
      </w:tr>
      <w:tr w:rsidR="00B12F65" w:rsidRPr="00C52A20" w14:paraId="3B3DB9A3" w14:textId="77777777" w:rsidTr="00B12F65">
        <w:tc>
          <w:tcPr>
            <w:tcW w:w="1222" w:type="pct"/>
            <w:tcBorders>
              <w:top w:val="single" w:sz="4" w:space="0" w:color="auto"/>
              <w:bottom w:val="single" w:sz="4" w:space="0" w:color="auto"/>
            </w:tcBorders>
          </w:tcPr>
          <w:p w14:paraId="5CF596E8" w14:textId="15A2415D" w:rsidR="00B12F65" w:rsidRPr="00C52A20" w:rsidRDefault="00B12F65" w:rsidP="00363BCA">
            <w:pPr>
              <w:spacing w:before="120" w:after="120" w:line="240" w:lineRule="auto"/>
              <w:rPr>
                <w:rFonts w:ascii="Arial" w:hAnsi="Arial" w:cs="Arial"/>
                <w:sz w:val="22"/>
              </w:rPr>
            </w:pPr>
            <w:r w:rsidRPr="00C52A20">
              <w:rPr>
                <w:rFonts w:ascii="Arial" w:hAnsi="Arial" w:cs="Arial"/>
                <w:sz w:val="22"/>
              </w:rPr>
              <w:lastRenderedPageBreak/>
              <w:t>Schedule</w:t>
            </w:r>
          </w:p>
        </w:tc>
        <w:tc>
          <w:tcPr>
            <w:tcW w:w="3778" w:type="pct"/>
            <w:tcBorders>
              <w:top w:val="single" w:sz="4" w:space="0" w:color="auto"/>
              <w:bottom w:val="single" w:sz="4" w:space="0" w:color="auto"/>
            </w:tcBorders>
          </w:tcPr>
          <w:p w14:paraId="573D7A12" w14:textId="77777777" w:rsidR="006F072D" w:rsidRPr="00C52A20" w:rsidRDefault="00000000" w:rsidP="00363BCA">
            <w:pPr>
              <w:spacing w:before="120" w:after="120" w:line="240" w:lineRule="auto"/>
              <w:rPr>
                <w:rStyle w:val="Hyperlink"/>
                <w:rFonts w:ascii="Arial" w:hAnsi="Arial" w:cs="Arial"/>
                <w:sz w:val="22"/>
              </w:rPr>
            </w:pPr>
            <w:hyperlink r:id="rId23" w:history="1">
              <w:r w:rsidR="006F072D" w:rsidRPr="00C52A20">
                <w:rPr>
                  <w:rStyle w:val="Hyperlink"/>
                  <w:rFonts w:ascii="Arial" w:hAnsi="Arial" w:cs="Arial"/>
                  <w:sz w:val="22"/>
                </w:rPr>
                <w:t>Academic Awards and Qualifications Schedule</w:t>
              </w:r>
            </w:hyperlink>
          </w:p>
          <w:p w14:paraId="482B2BD7" w14:textId="44F23D5B" w:rsidR="00B12F65" w:rsidRPr="00C52A20" w:rsidRDefault="00000000" w:rsidP="00363BCA">
            <w:pPr>
              <w:spacing w:before="120" w:after="120" w:line="240" w:lineRule="auto"/>
              <w:rPr>
                <w:rFonts w:ascii="Arial" w:hAnsi="Arial" w:cs="Arial"/>
                <w:sz w:val="22"/>
              </w:rPr>
            </w:pPr>
            <w:hyperlink r:id="rId24" w:history="1">
              <w:r w:rsidR="00B12F65" w:rsidRPr="00C52A20">
                <w:rPr>
                  <w:rStyle w:val="Hyperlink"/>
                  <w:rFonts w:ascii="Arial" w:hAnsi="Arial" w:cs="Arial"/>
                  <w:sz w:val="22"/>
                </w:rPr>
                <w:t>Course Attributes Schedule</w:t>
              </w:r>
            </w:hyperlink>
          </w:p>
        </w:tc>
      </w:tr>
    </w:tbl>
    <w:p w14:paraId="1F4C858A" w14:textId="77777777" w:rsidR="00C03DF0" w:rsidRPr="00C52A20" w:rsidRDefault="00C03DF0" w:rsidP="00D906F6">
      <w:pPr>
        <w:tabs>
          <w:tab w:val="left" w:pos="8550"/>
        </w:tabs>
        <w:spacing w:before="120" w:after="120" w:line="240" w:lineRule="auto"/>
        <w:rPr>
          <w:rFonts w:ascii="Arial" w:hAnsi="Arial" w:cs="Arial"/>
          <w:sz w:val="22"/>
        </w:rPr>
      </w:pPr>
    </w:p>
    <w:sectPr w:rsidR="00C03DF0" w:rsidRPr="00C52A20" w:rsidSect="00A44C4F">
      <w:headerReference w:type="default" r:id="rId25"/>
      <w:footerReference w:type="default" r:id="rId26"/>
      <w:headerReference w:type="first" r:id="rId27"/>
      <w:footerReference w:type="first" r:id="rId28"/>
      <w:type w:val="continuous"/>
      <w:pgSz w:w="11900"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19C2" w14:textId="77777777" w:rsidR="00A44C4F" w:rsidRDefault="00A44C4F" w:rsidP="00F45E9C">
      <w:r>
        <w:separator/>
      </w:r>
    </w:p>
  </w:endnote>
  <w:endnote w:type="continuationSeparator" w:id="0">
    <w:p w14:paraId="24FD998B" w14:textId="77777777" w:rsidR="00A44C4F" w:rsidRDefault="00A44C4F" w:rsidP="00F45E9C">
      <w:r>
        <w:continuationSeparator/>
      </w:r>
    </w:p>
  </w:endnote>
  <w:endnote w:type="continuationNotice" w:id="1">
    <w:p w14:paraId="60CEFC56" w14:textId="77777777" w:rsidR="00A44C4F" w:rsidRDefault="00A44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FoundrySterling-Book">
    <w:altName w:val="Courier Ne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299BD252" w14:textId="77777777" w:rsidR="00DB433C" w:rsidRDefault="007C1483" w:rsidP="00DB433C">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219A81FA" w14:textId="368D6B65" w:rsidR="00DB433C" w:rsidRDefault="00B56083" w:rsidP="00DB433C">
        <w:pPr>
          <w:pStyle w:val="Footer"/>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Program Approval </w:t>
        </w:r>
        <w:r w:rsidR="00DB433C">
          <w:rPr>
            <w:rFonts w:asciiTheme="minorHAnsi" w:hAnsiTheme="minorHAnsi" w:cstheme="minorHAnsi"/>
            <w:color w:val="70787B"/>
            <w:sz w:val="15"/>
            <w:szCs w:val="15"/>
          </w:rPr>
          <w:t>Procedure</w:t>
        </w:r>
        <w:r w:rsidR="00DB433C" w:rsidRPr="00102B8A">
          <w:rPr>
            <w:rFonts w:asciiTheme="minorHAnsi" w:hAnsiTheme="minorHAnsi" w:cstheme="minorHAnsi"/>
            <w:color w:val="70787B"/>
            <w:sz w:val="15"/>
            <w:szCs w:val="15"/>
          </w:rPr>
          <w:t xml:space="preserve"> | </w:t>
        </w:r>
        <w:r w:rsidR="00A01EC0">
          <w:rPr>
            <w:rFonts w:asciiTheme="minorHAnsi" w:hAnsiTheme="minorHAnsi" w:cstheme="minorHAnsi"/>
            <w:color w:val="70787B"/>
            <w:sz w:val="15"/>
            <w:szCs w:val="15"/>
          </w:rPr>
          <w:t xml:space="preserve">July </w:t>
        </w:r>
        <w:r>
          <w:rPr>
            <w:rFonts w:asciiTheme="minorHAnsi" w:hAnsiTheme="minorHAnsi" w:cstheme="minorHAnsi"/>
            <w:color w:val="70787B"/>
            <w:sz w:val="15"/>
            <w:szCs w:val="15"/>
          </w:rPr>
          <w:t>2023</w:t>
        </w:r>
      </w:p>
      <w:p w14:paraId="3F791A2E" w14:textId="3050627E" w:rsidR="00DB433C" w:rsidRPr="00102B8A" w:rsidRDefault="00DB433C" w:rsidP="00DB433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01EC0">
          <w:rPr>
            <w:rFonts w:asciiTheme="minorHAnsi" w:hAnsiTheme="minorHAnsi" w:cstheme="minorHAnsi"/>
            <w:color w:val="70787B"/>
            <w:sz w:val="15"/>
            <w:szCs w:val="15"/>
          </w:rPr>
          <w:t>2023/0000379</w:t>
        </w:r>
      </w:p>
      <w:p w14:paraId="59A619E6" w14:textId="25C54097" w:rsidR="00152D7D" w:rsidRPr="00102B8A" w:rsidRDefault="00EA6D72" w:rsidP="00EA6D72">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rPr>
        <w:rFonts w:asciiTheme="majorHAnsi" w:hAnsiTheme="majorHAnsi" w:cstheme="majorBidi"/>
        <w:noProof/>
      </w:rPr>
    </w:sdtEndPr>
    <w:sdtContent>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488CFC80" w14:textId="4B6974A1" w:rsidR="001D5659" w:rsidRDefault="00B56083" w:rsidP="001D5659">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Program Approval </w:t>
    </w:r>
    <w:r w:rsidR="001D5659">
      <w:rPr>
        <w:rFonts w:asciiTheme="minorHAnsi" w:hAnsiTheme="minorHAnsi" w:cstheme="minorHAnsi"/>
        <w:color w:val="70787B"/>
        <w:sz w:val="15"/>
        <w:szCs w:val="15"/>
      </w:rPr>
      <w:t>Procedure</w:t>
    </w:r>
    <w:r w:rsidR="001D5659" w:rsidRPr="00102B8A">
      <w:rPr>
        <w:rFonts w:asciiTheme="minorHAnsi" w:hAnsiTheme="minorHAnsi" w:cstheme="minorHAnsi"/>
        <w:color w:val="70787B"/>
        <w:sz w:val="15"/>
        <w:szCs w:val="15"/>
      </w:rPr>
      <w:t xml:space="preserve"> | </w:t>
    </w:r>
    <w:r w:rsidR="00A01EC0">
      <w:rPr>
        <w:rFonts w:asciiTheme="minorHAnsi" w:hAnsiTheme="minorHAnsi" w:cstheme="minorHAnsi"/>
        <w:color w:val="70787B"/>
        <w:sz w:val="15"/>
        <w:szCs w:val="15"/>
      </w:rPr>
      <w:t>July</w:t>
    </w:r>
    <w:r>
      <w:rPr>
        <w:rFonts w:asciiTheme="minorHAnsi" w:hAnsiTheme="minorHAnsi" w:cstheme="minorHAnsi"/>
        <w:color w:val="70787B"/>
        <w:sz w:val="15"/>
        <w:szCs w:val="15"/>
      </w:rPr>
      <w:t xml:space="preserve"> 2023</w:t>
    </w:r>
  </w:p>
  <w:p w14:paraId="63BF9563" w14:textId="1292A874" w:rsidR="001D5659" w:rsidRPr="00102B8A" w:rsidRDefault="001D5659" w:rsidP="001D5659">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A01EC0">
      <w:rPr>
        <w:rFonts w:asciiTheme="minorHAnsi" w:hAnsiTheme="minorHAnsi" w:cstheme="minorHAnsi"/>
        <w:color w:val="70787B"/>
        <w:sz w:val="15"/>
        <w:szCs w:val="15"/>
      </w:rPr>
      <w:t xml:space="preserve"> 2023/0000379</w:t>
    </w:r>
    <w:r>
      <w:rPr>
        <w:rFonts w:asciiTheme="minorHAnsi" w:hAnsiTheme="minorHAnsi" w:cstheme="minorHAnsi"/>
        <w:color w:val="70787B"/>
        <w:sz w:val="15"/>
        <w:szCs w:val="15"/>
      </w:rPr>
      <w:t xml:space="preserve"> </w:t>
    </w:r>
  </w:p>
  <w:p w14:paraId="1CB45989" w14:textId="2A16CF22" w:rsidR="007C1483" w:rsidRPr="00102B8A" w:rsidRDefault="001D5659" w:rsidP="001D5659">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r w:rsidR="007C1483"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xmlns:arto="http://schemas.microsoft.com/office/word/2006/arto">
          <w:pict>
            <v:group id="Group 8" style="position:absolute;margin-left:0;margin-top:-218.95pt;width:280.7pt;height:280.65pt;z-index:251665408;mso-position-horizontal:left;mso-position-horizontal-relative:page;mso-width-relative:margin;mso-height-relative:margin" coordsize="39606,39598" o:spid="_x0000_s1026" w14:anchorId="4BD28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28EB" w14:textId="77777777" w:rsidR="00A44C4F" w:rsidRDefault="00A44C4F" w:rsidP="00F45E9C">
      <w:r>
        <w:separator/>
      </w:r>
    </w:p>
  </w:footnote>
  <w:footnote w:type="continuationSeparator" w:id="0">
    <w:p w14:paraId="3CAB9413" w14:textId="77777777" w:rsidR="00A44C4F" w:rsidRDefault="00A44C4F" w:rsidP="00F45E9C">
      <w:r>
        <w:continuationSeparator/>
      </w:r>
    </w:p>
  </w:footnote>
  <w:footnote w:type="continuationNotice" w:id="1">
    <w:p w14:paraId="7C6729AC" w14:textId="77777777" w:rsidR="00A44C4F" w:rsidRDefault="00A44C4F">
      <w:pPr>
        <w:spacing w:after="0" w:line="240" w:lineRule="auto"/>
      </w:pPr>
    </w:p>
  </w:footnote>
  <w:footnote w:id="2">
    <w:p w14:paraId="106A25F6" w14:textId="1F553080" w:rsidR="001D5659" w:rsidRPr="0008451B" w:rsidRDefault="001D5659" w:rsidP="001D5659">
      <w:pPr>
        <w:pStyle w:val="FootnoteText"/>
        <w:spacing w:before="0"/>
        <w:rPr>
          <w:rFonts w:ascii="Arial" w:hAnsi="Arial" w:cs="Arial"/>
          <w:sz w:val="18"/>
          <w:szCs w:val="18"/>
        </w:rPr>
      </w:pPr>
      <w:r w:rsidRPr="0008451B">
        <w:rPr>
          <w:rStyle w:val="FootnoteReference"/>
          <w:rFonts w:ascii="Arial" w:hAnsi="Arial" w:cs="Arial"/>
          <w:sz w:val="18"/>
          <w:szCs w:val="18"/>
        </w:rPr>
        <w:footnoteRef/>
      </w:r>
      <w:r w:rsidRPr="0008451B">
        <w:rPr>
          <w:rFonts w:ascii="Arial" w:hAnsi="Arial" w:cs="Arial"/>
          <w:sz w:val="18"/>
          <w:szCs w:val="18"/>
        </w:rPr>
        <w:t xml:space="preserve"> </w:t>
      </w:r>
      <w:r w:rsidR="00ED1503">
        <w:rPr>
          <w:rFonts w:ascii="Arial" w:hAnsi="Arial" w:cs="Arial"/>
          <w:sz w:val="18"/>
          <w:szCs w:val="18"/>
        </w:rPr>
        <w:t>Micro-c</w:t>
      </w:r>
      <w:r w:rsidRPr="0008451B">
        <w:rPr>
          <w:rFonts w:ascii="Arial" w:hAnsi="Arial" w:cs="Arial"/>
          <w:sz w:val="18"/>
          <w:szCs w:val="18"/>
        </w:rPr>
        <w:t xml:space="preserve">redentials and badges are excluded from this Procedure, and are covered by the </w:t>
      </w:r>
      <w:r w:rsidR="005E046F">
        <w:rPr>
          <w:rStyle w:val="Hyperlink"/>
          <w:rFonts w:ascii="Arial" w:hAnsi="Arial" w:cs="Arial"/>
          <w:sz w:val="18"/>
          <w:szCs w:val="18"/>
        </w:rPr>
        <w:t>Micro-credential and Digital Badge Approval and Review Procedure</w:t>
      </w:r>
    </w:p>
  </w:footnote>
  <w:footnote w:id="3">
    <w:p w14:paraId="4F7CA33C" w14:textId="77777777" w:rsidR="006805DD" w:rsidRPr="007C5567" w:rsidRDefault="006805DD" w:rsidP="006805DD">
      <w:pPr>
        <w:pStyle w:val="FootnoteText"/>
        <w:rPr>
          <w:rFonts w:ascii="Arial" w:hAnsi="Arial" w:cs="Arial"/>
          <w:sz w:val="16"/>
          <w:szCs w:val="16"/>
        </w:rPr>
      </w:pPr>
      <w:r w:rsidRPr="007C5567">
        <w:rPr>
          <w:rStyle w:val="FootnoteReference"/>
          <w:rFonts w:ascii="Arial" w:hAnsi="Arial" w:cs="Arial"/>
          <w:sz w:val="16"/>
          <w:szCs w:val="16"/>
        </w:rPr>
        <w:footnoteRef/>
      </w:r>
      <w:r w:rsidRPr="007C5567">
        <w:rPr>
          <w:rFonts w:ascii="Arial" w:hAnsi="Arial" w:cs="Arial"/>
          <w:sz w:val="16"/>
          <w:szCs w:val="16"/>
        </w:rPr>
        <w:t xml:space="preserve"> Note: This would exclude the academic case for the product. Marketing and Communications and/or Griffith International submissions would only include the market case for the new product. The submission would be approved by the Vice President Marketing and Communication or Vice President Global prior to submission to Program Strategy Board</w:t>
      </w:r>
    </w:p>
  </w:footnote>
  <w:footnote w:id="4">
    <w:p w14:paraId="6D8AA6C2" w14:textId="77777777" w:rsidR="001D5659" w:rsidRDefault="001D5659" w:rsidP="001D5659">
      <w:pPr>
        <w:pStyle w:val="FootnoteText"/>
        <w:spacing w:before="0" w:after="0"/>
      </w:pPr>
      <w:r w:rsidRPr="00227E5A">
        <w:rPr>
          <w:rStyle w:val="FootnoteReference"/>
          <w:rFonts w:ascii="Arial" w:hAnsi="Arial" w:cs="Arial"/>
          <w:sz w:val="18"/>
          <w:szCs w:val="18"/>
        </w:rPr>
        <w:footnoteRef/>
      </w:r>
      <w:r w:rsidRPr="00227E5A">
        <w:rPr>
          <w:rFonts w:ascii="Arial" w:hAnsi="Arial" w:cs="Arial"/>
          <w:sz w:val="18"/>
          <w:szCs w:val="18"/>
        </w:rPr>
        <w:t xml:space="preserve"> The Chair of Program Strategy Board will determine if only a strategic brief is required, or if both a strategic brief and a business case are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1686838E" w:rsidR="00F45E9C" w:rsidRPr="00F7147F" w:rsidRDefault="00AF273D" w:rsidP="007A132E">
    <w:pPr>
      <w:pStyle w:val="Header"/>
      <w:ind w:right="-348"/>
      <w:jc w:val="right"/>
      <w:rPr>
        <w:rFonts w:ascii="Arial" w:hAnsi="Arial" w:cs="Arial"/>
        <w:b/>
        <w:sz w:val="52"/>
        <w:szCs w:val="52"/>
      </w:rPr>
    </w:pPr>
    <w:r w:rsidRPr="00D906F6">
      <w:rPr>
        <w:rFonts w:ascii="Griffith Sans Text" w:hAnsi="Griffith Sans Text" w:cs="Arial"/>
        <w:b/>
        <w:bCs/>
        <w:noProof/>
        <w:color w:val="E30918"/>
        <w:sz w:val="52"/>
        <w:szCs w:val="52"/>
      </w:rPr>
      <w:drawing>
        <wp:anchor distT="0" distB="0" distL="114300" distR="114300" simplePos="0" relativeHeight="251663363" behindDoc="1" locked="0" layoutInCell="1" allowOverlap="1" wp14:anchorId="4171A192" wp14:editId="529FD539">
          <wp:simplePos x="0" y="0"/>
          <wp:positionH relativeFrom="margin">
            <wp:align>left</wp:align>
          </wp:positionH>
          <wp:positionV relativeFrom="page">
            <wp:posOffset>439089</wp:posOffset>
          </wp:positionV>
          <wp:extent cx="2047875" cy="434975"/>
          <wp:effectExtent l="0" t="0" r="9525" b="3175"/>
          <wp:wrapTight wrapText="bothSides">
            <wp:wrapPolygon edited="0">
              <wp:start x="0" y="0"/>
              <wp:lineTo x="0" y="20812"/>
              <wp:lineTo x="21500" y="20812"/>
              <wp:lineTo x="21500" y="0"/>
              <wp:lineTo x="0" y="0"/>
            </wp:wrapPolygon>
          </wp:wrapTight>
          <wp:docPr id="832310383" name="Picture 832310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39BA" w14:textId="29E2FB34" w:rsidR="00D906F6" w:rsidRPr="000D3B39" w:rsidRDefault="00D906F6" w:rsidP="00D906F6">
    <w:pPr>
      <w:pStyle w:val="Header"/>
      <w:ind w:right="-348"/>
      <w:jc w:val="right"/>
      <w:rPr>
        <w:b/>
        <w:bCs/>
      </w:rPr>
    </w:pPr>
    <w:r w:rsidRPr="00D906F6">
      <w:rPr>
        <w:rFonts w:ascii="Griffith Sans Text" w:hAnsi="Griffith Sans Text" w:cs="Arial"/>
        <w:b/>
        <w:bCs/>
        <w:noProof/>
        <w:color w:val="E30918"/>
        <w:sz w:val="52"/>
        <w:szCs w:val="52"/>
      </w:rPr>
      <mc:AlternateContent>
        <mc:Choice Requires="wps">
          <w:drawing>
            <wp:anchor distT="0" distB="0" distL="114300" distR="114300" simplePos="0" relativeHeight="251660291" behindDoc="1" locked="0" layoutInCell="1" allowOverlap="1" wp14:anchorId="69B63EB8" wp14:editId="6670A77F">
              <wp:simplePos x="0" y="0"/>
              <wp:positionH relativeFrom="column">
                <wp:posOffset>2926466</wp:posOffset>
              </wp:positionH>
              <wp:positionV relativeFrom="page">
                <wp:posOffset>-772161</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5" coordsize="21600,21600" o:spt="5" adj="10800" path="m@0,l,21600r21600,xe" w14:anchorId="11746BC9">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30.45pt;margin-top:-60.8pt;width:450.35pt;height:220.55pt;rotation:180;z-index:-25165618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">
              <w10:wrap anchory="page"/>
            </v:shape>
          </w:pict>
        </mc:Fallback>
      </mc:AlternateContent>
    </w:r>
    <w:r w:rsidRPr="00D906F6">
      <w:rPr>
        <w:rFonts w:ascii="Griffith Sans Text" w:hAnsi="Griffith Sans Text" w:cs="Arial"/>
        <w:b/>
        <w:bCs/>
        <w:noProof/>
        <w:color w:val="E30918"/>
        <w:sz w:val="52"/>
        <w:szCs w:val="52"/>
      </w:rPr>
      <w:drawing>
        <wp:anchor distT="0" distB="0" distL="114300" distR="114300" simplePos="0" relativeHeight="251661315" behindDoc="1" locked="0" layoutInCell="1" allowOverlap="1" wp14:anchorId="3B0E8DA8" wp14:editId="42D73904">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930961856" name="Picture 19309618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D906F6">
      <w:rPr>
        <w:rFonts w:ascii="Griffith Sans Text" w:hAnsi="Griffith Sans Text" w:cs="Arial"/>
        <w:b/>
        <w:bCs/>
        <w:color w:val="FFFFFF" w:themeColor="background1"/>
        <w:sz w:val="52"/>
        <w:szCs w:val="52"/>
      </w:rPr>
      <w:t>Procedure</w:t>
    </w:r>
    <w:r>
      <w:rPr>
        <w:rFonts w:ascii="Arial" w:hAnsi="Arial" w:cs="Arial"/>
        <w:b/>
        <w:bCs/>
        <w:color w:val="FFFFFF" w:themeColor="background1"/>
        <w:sz w:val="22"/>
      </w:rPr>
      <w:br/>
    </w:r>
    <w:r w:rsidRPr="00D906F6">
      <w:rPr>
        <w:rFonts w:ascii="Arial" w:hAnsi="Arial" w:cs="Arial"/>
        <w:b/>
        <w:bCs/>
        <w:color w:val="808080" w:themeColor="background1" w:themeShade="80"/>
        <w:sz w:val="22"/>
      </w:rPr>
      <w:br/>
    </w:r>
    <w:r w:rsidRPr="00C52A20">
      <w:rPr>
        <w:rFonts w:ascii="Arial" w:hAnsi="Arial" w:cs="Arial"/>
        <w:b/>
        <w:bCs/>
        <w:color w:val="000000" w:themeColor="text1"/>
        <w:sz w:val="22"/>
        <w:u w:val="single"/>
      </w:rPr>
      <w:t>NOTE</w:t>
    </w:r>
    <w:r w:rsidRPr="00C52A20">
      <w:rPr>
        <w:rFonts w:ascii="Arial" w:hAnsi="Arial" w:cs="Arial"/>
        <w:b/>
        <w:bCs/>
        <w:color w:val="000000" w:themeColor="text1"/>
        <w:sz w:val="22"/>
      </w:rPr>
      <w:t>:  Effective from Trimester 1 2024</w:t>
    </w:r>
    <w:r w:rsidRPr="00C52A20">
      <w:rPr>
        <w:rFonts w:ascii="Arial" w:hAnsi="Arial" w:cs="Arial"/>
        <w:b/>
        <w:bCs/>
        <w:color w:val="000000" w:themeColor="text1"/>
        <w:sz w:val="52"/>
        <w:szCs w:val="52"/>
      </w:rPr>
      <w:t xml:space="preserve"> </w:t>
    </w:r>
  </w:p>
  <w:p w14:paraId="6BDFAA70" w14:textId="77777777" w:rsidR="00AC5951" w:rsidRDefault="00AC5951" w:rsidP="007C1483">
    <w:pPr>
      <w:pStyle w:val="Header"/>
      <w:ind w:right="-34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0A3BEB"/>
    <w:multiLevelType w:val="hybridMultilevel"/>
    <w:tmpl w:val="E7D44392"/>
    <w:lvl w:ilvl="0" w:tplc="CAAEE890">
      <w:start w:val="1"/>
      <w:numFmt w:val="bullet"/>
      <w:lvlText w:val=""/>
      <w:lvlJc w:val="left"/>
      <w:pPr>
        <w:ind w:left="1797" w:hanging="360"/>
      </w:pPr>
      <w:rPr>
        <w:rFonts w:ascii="Wingdings" w:hAnsi="Wingdings" w:hint="default"/>
        <w:color w:val="E30918"/>
        <w:sz w:val="20"/>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BA0A52"/>
    <w:multiLevelType w:val="multilevel"/>
    <w:tmpl w:val="2010602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0952E1"/>
    <w:multiLevelType w:val="hybridMultilevel"/>
    <w:tmpl w:val="46442F46"/>
    <w:lvl w:ilvl="0" w:tplc="BEA4178E">
      <w:start w:val="1"/>
      <w:numFmt w:val="bullet"/>
      <w:lvlText w:val=""/>
      <w:lvlJc w:val="left"/>
      <w:pPr>
        <w:ind w:left="1800" w:hanging="360"/>
      </w:pPr>
      <w:rPr>
        <w:rFonts w:ascii="Wingdings" w:hAnsi="Wingdings" w:hint="default"/>
        <w:color w:val="E30918"/>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6F33E9"/>
    <w:multiLevelType w:val="hybridMultilevel"/>
    <w:tmpl w:val="7758C530"/>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695DCB"/>
    <w:multiLevelType w:val="hybridMultilevel"/>
    <w:tmpl w:val="C7C8BE96"/>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B4466D"/>
    <w:multiLevelType w:val="hybridMultilevel"/>
    <w:tmpl w:val="594AE4D8"/>
    <w:lvl w:ilvl="0" w:tplc="EDEC25B0">
      <w:start w:val="1"/>
      <w:numFmt w:val="bullet"/>
      <w:lvlText w:val=""/>
      <w:lvlJc w:val="left"/>
      <w:pPr>
        <w:ind w:left="1800" w:hanging="360"/>
      </w:pPr>
      <w:rPr>
        <w:rFonts w:ascii="Symbol" w:hAnsi="Symbol" w:hint="default"/>
        <w:color w:val="E51F30"/>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8694E81"/>
    <w:multiLevelType w:val="hybridMultilevel"/>
    <w:tmpl w:val="3932C330"/>
    <w:lvl w:ilvl="0" w:tplc="EDEC25B0">
      <w:start w:val="1"/>
      <w:numFmt w:val="bullet"/>
      <w:lvlText w:val=""/>
      <w:lvlJc w:val="left"/>
      <w:pPr>
        <w:ind w:left="1440" w:hanging="360"/>
      </w:pPr>
      <w:rPr>
        <w:rFonts w:ascii="Symbol" w:hAnsi="Symbol" w:hint="default"/>
        <w:color w:val="E51F3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5F45437"/>
    <w:multiLevelType w:val="hybridMultilevel"/>
    <w:tmpl w:val="0C3CCE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4CD70FA5"/>
    <w:multiLevelType w:val="multilevel"/>
    <w:tmpl w:val="B652091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E27602"/>
    <w:multiLevelType w:val="hybridMultilevel"/>
    <w:tmpl w:val="64D6BCC6"/>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1E36E04"/>
    <w:multiLevelType w:val="hybridMultilevel"/>
    <w:tmpl w:val="A290216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4" w15:restartNumberingAfterBreak="0">
    <w:nsid w:val="7AD63B0D"/>
    <w:multiLevelType w:val="hybridMultilevel"/>
    <w:tmpl w:val="3F38B46E"/>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45"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62762721">
    <w:abstractNumId w:val="10"/>
  </w:num>
  <w:num w:numId="2" w16cid:durableId="723915127">
    <w:abstractNumId w:val="6"/>
  </w:num>
  <w:num w:numId="3" w16cid:durableId="524249356">
    <w:abstractNumId w:val="23"/>
  </w:num>
  <w:num w:numId="4" w16cid:durableId="630130480">
    <w:abstractNumId w:val="45"/>
  </w:num>
  <w:num w:numId="5" w16cid:durableId="1092504933">
    <w:abstractNumId w:val="28"/>
  </w:num>
  <w:num w:numId="6" w16cid:durableId="1234664483">
    <w:abstractNumId w:val="26"/>
  </w:num>
  <w:num w:numId="7" w16cid:durableId="1788818886">
    <w:abstractNumId w:val="30"/>
  </w:num>
  <w:num w:numId="8" w16cid:durableId="2062511316">
    <w:abstractNumId w:val="9"/>
  </w:num>
  <w:num w:numId="9" w16cid:durableId="1836454025">
    <w:abstractNumId w:val="15"/>
  </w:num>
  <w:num w:numId="10" w16cid:durableId="291862576">
    <w:abstractNumId w:val="34"/>
  </w:num>
  <w:num w:numId="11" w16cid:durableId="1813983331">
    <w:abstractNumId w:val="22"/>
  </w:num>
  <w:num w:numId="12" w16cid:durableId="687953874">
    <w:abstractNumId w:val="31"/>
  </w:num>
  <w:num w:numId="13" w16cid:durableId="1070470368">
    <w:abstractNumId w:val="7"/>
  </w:num>
  <w:num w:numId="14" w16cid:durableId="1936018741">
    <w:abstractNumId w:val="32"/>
  </w:num>
  <w:num w:numId="15" w16cid:durableId="452140203">
    <w:abstractNumId w:val="4"/>
  </w:num>
  <w:num w:numId="16" w16cid:durableId="223764160">
    <w:abstractNumId w:val="38"/>
  </w:num>
  <w:num w:numId="17" w16cid:durableId="1511406022">
    <w:abstractNumId w:val="40"/>
  </w:num>
  <w:num w:numId="18" w16cid:durableId="1349018837">
    <w:abstractNumId w:val="24"/>
  </w:num>
  <w:num w:numId="19" w16cid:durableId="672805333">
    <w:abstractNumId w:val="36"/>
  </w:num>
  <w:num w:numId="20" w16cid:durableId="1354379649">
    <w:abstractNumId w:val="46"/>
  </w:num>
  <w:num w:numId="21" w16cid:durableId="817645503">
    <w:abstractNumId w:val="0"/>
  </w:num>
  <w:num w:numId="22" w16cid:durableId="283997307">
    <w:abstractNumId w:val="13"/>
  </w:num>
  <w:num w:numId="23" w16cid:durableId="235359743">
    <w:abstractNumId w:val="1"/>
  </w:num>
  <w:num w:numId="24" w16cid:durableId="1881429408">
    <w:abstractNumId w:val="43"/>
  </w:num>
  <w:num w:numId="25" w16cid:durableId="1914773975">
    <w:abstractNumId w:val="14"/>
  </w:num>
  <w:num w:numId="26" w16cid:durableId="1867214866">
    <w:abstractNumId w:val="20"/>
  </w:num>
  <w:num w:numId="27" w16cid:durableId="1320844255">
    <w:abstractNumId w:val="3"/>
  </w:num>
  <w:num w:numId="28" w16cid:durableId="1647970753">
    <w:abstractNumId w:val="17"/>
  </w:num>
  <w:num w:numId="29" w16cid:durableId="688487689">
    <w:abstractNumId w:val="8"/>
  </w:num>
  <w:num w:numId="30" w16cid:durableId="174854554">
    <w:abstractNumId w:val="41"/>
  </w:num>
  <w:num w:numId="31" w16cid:durableId="1864783395">
    <w:abstractNumId w:val="11"/>
  </w:num>
  <w:num w:numId="32" w16cid:durableId="452789616">
    <w:abstractNumId w:val="35"/>
  </w:num>
  <w:num w:numId="33" w16cid:durableId="1490748229">
    <w:abstractNumId w:val="42"/>
  </w:num>
  <w:num w:numId="34" w16cid:durableId="396128467">
    <w:abstractNumId w:val="33"/>
  </w:num>
  <w:num w:numId="35" w16cid:durableId="1225682820">
    <w:abstractNumId w:val="37"/>
  </w:num>
  <w:num w:numId="36" w16cid:durableId="2079093000">
    <w:abstractNumId w:val="27"/>
  </w:num>
  <w:num w:numId="37" w16cid:durableId="441340556">
    <w:abstractNumId w:val="25"/>
  </w:num>
  <w:num w:numId="38" w16cid:durableId="1681350233">
    <w:abstractNumId w:val="39"/>
  </w:num>
  <w:num w:numId="39" w16cid:durableId="829176172">
    <w:abstractNumId w:val="12"/>
  </w:num>
  <w:num w:numId="40" w16cid:durableId="1226255083">
    <w:abstractNumId w:val="16"/>
  </w:num>
  <w:num w:numId="41" w16cid:durableId="284852047">
    <w:abstractNumId w:val="44"/>
  </w:num>
  <w:num w:numId="42" w16cid:durableId="1024600830">
    <w:abstractNumId w:val="2"/>
  </w:num>
  <w:num w:numId="43" w16cid:durableId="811871837">
    <w:abstractNumId w:val="5"/>
  </w:num>
  <w:num w:numId="44" w16cid:durableId="1586762960">
    <w:abstractNumId w:val="21"/>
  </w:num>
  <w:num w:numId="45" w16cid:durableId="1995181707">
    <w:abstractNumId w:val="19"/>
  </w:num>
  <w:num w:numId="46" w16cid:durableId="1884363945">
    <w:abstractNumId w:val="23"/>
  </w:num>
  <w:num w:numId="47" w16cid:durableId="811170037">
    <w:abstractNumId w:val="23"/>
  </w:num>
  <w:num w:numId="48" w16cid:durableId="185560636">
    <w:abstractNumId w:val="29"/>
  </w:num>
  <w:num w:numId="49" w16cid:durableId="21456556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wA2ILYzNjQzMDUyUdpeDU4uLM/DyQAsNaAKyFISUsAAAA"/>
  </w:docVars>
  <w:rsids>
    <w:rsidRoot w:val="00BB332B"/>
    <w:rsid w:val="00007CE6"/>
    <w:rsid w:val="0001254D"/>
    <w:rsid w:val="00012F47"/>
    <w:rsid w:val="00021C01"/>
    <w:rsid w:val="0002258D"/>
    <w:rsid w:val="00035246"/>
    <w:rsid w:val="000372F6"/>
    <w:rsid w:val="00037E6F"/>
    <w:rsid w:val="000408E3"/>
    <w:rsid w:val="00040BB8"/>
    <w:rsid w:val="00041B5B"/>
    <w:rsid w:val="00042FBA"/>
    <w:rsid w:val="0004363D"/>
    <w:rsid w:val="00045D5F"/>
    <w:rsid w:val="00050910"/>
    <w:rsid w:val="00051573"/>
    <w:rsid w:val="00052E7B"/>
    <w:rsid w:val="00052F81"/>
    <w:rsid w:val="00053A5F"/>
    <w:rsid w:val="0005409D"/>
    <w:rsid w:val="00056724"/>
    <w:rsid w:val="000576DF"/>
    <w:rsid w:val="00063FCF"/>
    <w:rsid w:val="00064839"/>
    <w:rsid w:val="000674C0"/>
    <w:rsid w:val="000712C5"/>
    <w:rsid w:val="00080E25"/>
    <w:rsid w:val="000849AD"/>
    <w:rsid w:val="00087697"/>
    <w:rsid w:val="00090EE4"/>
    <w:rsid w:val="0009125F"/>
    <w:rsid w:val="00091616"/>
    <w:rsid w:val="000A576E"/>
    <w:rsid w:val="000A736B"/>
    <w:rsid w:val="000B1450"/>
    <w:rsid w:val="000B2888"/>
    <w:rsid w:val="000B3767"/>
    <w:rsid w:val="000B43C9"/>
    <w:rsid w:val="000B7D0C"/>
    <w:rsid w:val="000C2C05"/>
    <w:rsid w:val="000D205F"/>
    <w:rsid w:val="000D4169"/>
    <w:rsid w:val="000D5843"/>
    <w:rsid w:val="000E2A8A"/>
    <w:rsid w:val="000E4114"/>
    <w:rsid w:val="000E4CBE"/>
    <w:rsid w:val="000E51B4"/>
    <w:rsid w:val="000E5D52"/>
    <w:rsid w:val="000E5D83"/>
    <w:rsid w:val="000E6B26"/>
    <w:rsid w:val="00102763"/>
    <w:rsid w:val="00102B8A"/>
    <w:rsid w:val="00102D19"/>
    <w:rsid w:val="00104000"/>
    <w:rsid w:val="00105063"/>
    <w:rsid w:val="00105D14"/>
    <w:rsid w:val="0010768E"/>
    <w:rsid w:val="00111054"/>
    <w:rsid w:val="00114681"/>
    <w:rsid w:val="0012198A"/>
    <w:rsid w:val="00122CF0"/>
    <w:rsid w:val="001254E2"/>
    <w:rsid w:val="0013141E"/>
    <w:rsid w:val="00132167"/>
    <w:rsid w:val="00145D35"/>
    <w:rsid w:val="00147A35"/>
    <w:rsid w:val="00147B11"/>
    <w:rsid w:val="00152D7D"/>
    <w:rsid w:val="001537D5"/>
    <w:rsid w:val="00162972"/>
    <w:rsid w:val="00167117"/>
    <w:rsid w:val="001722D4"/>
    <w:rsid w:val="001735D3"/>
    <w:rsid w:val="0017412E"/>
    <w:rsid w:val="00180673"/>
    <w:rsid w:val="00180A28"/>
    <w:rsid w:val="00181BF5"/>
    <w:rsid w:val="00186787"/>
    <w:rsid w:val="00187159"/>
    <w:rsid w:val="00192ACD"/>
    <w:rsid w:val="001A138A"/>
    <w:rsid w:val="001A1ABF"/>
    <w:rsid w:val="001B1196"/>
    <w:rsid w:val="001C4C15"/>
    <w:rsid w:val="001D0DB6"/>
    <w:rsid w:val="001D1946"/>
    <w:rsid w:val="001D2660"/>
    <w:rsid w:val="001D5659"/>
    <w:rsid w:val="001D57D2"/>
    <w:rsid w:val="001E2985"/>
    <w:rsid w:val="001E5823"/>
    <w:rsid w:val="001E60E9"/>
    <w:rsid w:val="001E6438"/>
    <w:rsid w:val="001F5E2B"/>
    <w:rsid w:val="002015FA"/>
    <w:rsid w:val="002043F8"/>
    <w:rsid w:val="00206718"/>
    <w:rsid w:val="00213CAB"/>
    <w:rsid w:val="002301BB"/>
    <w:rsid w:val="00231CF0"/>
    <w:rsid w:val="002322AE"/>
    <w:rsid w:val="00233068"/>
    <w:rsid w:val="00237311"/>
    <w:rsid w:val="002438EC"/>
    <w:rsid w:val="0024475D"/>
    <w:rsid w:val="00246CB4"/>
    <w:rsid w:val="00255596"/>
    <w:rsid w:val="00265581"/>
    <w:rsid w:val="00272168"/>
    <w:rsid w:val="00272A33"/>
    <w:rsid w:val="0027526D"/>
    <w:rsid w:val="00280E7D"/>
    <w:rsid w:val="002848DA"/>
    <w:rsid w:val="00284D80"/>
    <w:rsid w:val="002A1DE8"/>
    <w:rsid w:val="002A78A0"/>
    <w:rsid w:val="002B02ED"/>
    <w:rsid w:val="002B0F0A"/>
    <w:rsid w:val="002B100C"/>
    <w:rsid w:val="002B432B"/>
    <w:rsid w:val="002B5AE6"/>
    <w:rsid w:val="002C4450"/>
    <w:rsid w:val="002D1D6B"/>
    <w:rsid w:val="002E14B8"/>
    <w:rsid w:val="002E285B"/>
    <w:rsid w:val="002E4FA8"/>
    <w:rsid w:val="002E70DC"/>
    <w:rsid w:val="002F13EA"/>
    <w:rsid w:val="002F5132"/>
    <w:rsid w:val="002F52A9"/>
    <w:rsid w:val="002F6138"/>
    <w:rsid w:val="002F67F5"/>
    <w:rsid w:val="003045F8"/>
    <w:rsid w:val="00305299"/>
    <w:rsid w:val="00305C35"/>
    <w:rsid w:val="00311F29"/>
    <w:rsid w:val="00320C55"/>
    <w:rsid w:val="003217A6"/>
    <w:rsid w:val="00322FF9"/>
    <w:rsid w:val="00326707"/>
    <w:rsid w:val="00332215"/>
    <w:rsid w:val="00332EC1"/>
    <w:rsid w:val="00333B53"/>
    <w:rsid w:val="0034650A"/>
    <w:rsid w:val="00350CB0"/>
    <w:rsid w:val="003572D6"/>
    <w:rsid w:val="0037658D"/>
    <w:rsid w:val="00376904"/>
    <w:rsid w:val="00376FB2"/>
    <w:rsid w:val="00382F39"/>
    <w:rsid w:val="003845AD"/>
    <w:rsid w:val="0038519F"/>
    <w:rsid w:val="003873FF"/>
    <w:rsid w:val="00394AC0"/>
    <w:rsid w:val="003A7C0C"/>
    <w:rsid w:val="003A7C14"/>
    <w:rsid w:val="003B0C9A"/>
    <w:rsid w:val="003B1D32"/>
    <w:rsid w:val="003B340C"/>
    <w:rsid w:val="003C20B4"/>
    <w:rsid w:val="003C4CA3"/>
    <w:rsid w:val="003C57B9"/>
    <w:rsid w:val="003C7A8B"/>
    <w:rsid w:val="003D085C"/>
    <w:rsid w:val="003D0FE4"/>
    <w:rsid w:val="003D2F56"/>
    <w:rsid w:val="003D418D"/>
    <w:rsid w:val="003D51F2"/>
    <w:rsid w:val="003D5267"/>
    <w:rsid w:val="003E0B6D"/>
    <w:rsid w:val="003E1E69"/>
    <w:rsid w:val="003E5024"/>
    <w:rsid w:val="003E514B"/>
    <w:rsid w:val="003E7035"/>
    <w:rsid w:val="003F2171"/>
    <w:rsid w:val="003F32AF"/>
    <w:rsid w:val="003F67AC"/>
    <w:rsid w:val="004030A9"/>
    <w:rsid w:val="00404053"/>
    <w:rsid w:val="00405DD2"/>
    <w:rsid w:val="004127D7"/>
    <w:rsid w:val="004144E6"/>
    <w:rsid w:val="004251EE"/>
    <w:rsid w:val="0042521E"/>
    <w:rsid w:val="0043236F"/>
    <w:rsid w:val="004331E9"/>
    <w:rsid w:val="00441014"/>
    <w:rsid w:val="00441539"/>
    <w:rsid w:val="004430BB"/>
    <w:rsid w:val="00443ADF"/>
    <w:rsid w:val="00452F4C"/>
    <w:rsid w:val="004617E4"/>
    <w:rsid w:val="00466B7E"/>
    <w:rsid w:val="00470DC3"/>
    <w:rsid w:val="00471B85"/>
    <w:rsid w:val="004723ED"/>
    <w:rsid w:val="00473800"/>
    <w:rsid w:val="004806F8"/>
    <w:rsid w:val="004813B2"/>
    <w:rsid w:val="00491355"/>
    <w:rsid w:val="0049225D"/>
    <w:rsid w:val="004A7466"/>
    <w:rsid w:val="004B38E1"/>
    <w:rsid w:val="004B67EB"/>
    <w:rsid w:val="004B767C"/>
    <w:rsid w:val="004C25CD"/>
    <w:rsid w:val="004C49E3"/>
    <w:rsid w:val="004C55A4"/>
    <w:rsid w:val="004C77E1"/>
    <w:rsid w:val="004C7D17"/>
    <w:rsid w:val="004D2859"/>
    <w:rsid w:val="004D2BE0"/>
    <w:rsid w:val="004D7998"/>
    <w:rsid w:val="004E17AF"/>
    <w:rsid w:val="004E2E48"/>
    <w:rsid w:val="004E50B9"/>
    <w:rsid w:val="004F01DA"/>
    <w:rsid w:val="004F3E9A"/>
    <w:rsid w:val="00503A3B"/>
    <w:rsid w:val="0050415F"/>
    <w:rsid w:val="00504E01"/>
    <w:rsid w:val="005104A1"/>
    <w:rsid w:val="0051107C"/>
    <w:rsid w:val="00511137"/>
    <w:rsid w:val="00525C75"/>
    <w:rsid w:val="005279AC"/>
    <w:rsid w:val="005366DB"/>
    <w:rsid w:val="005411C6"/>
    <w:rsid w:val="00541F5A"/>
    <w:rsid w:val="00545FF8"/>
    <w:rsid w:val="00547ADF"/>
    <w:rsid w:val="00547CDD"/>
    <w:rsid w:val="0055123D"/>
    <w:rsid w:val="00553B87"/>
    <w:rsid w:val="00555576"/>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86F32"/>
    <w:rsid w:val="00590C60"/>
    <w:rsid w:val="00591393"/>
    <w:rsid w:val="005921B6"/>
    <w:rsid w:val="005943D5"/>
    <w:rsid w:val="0059540C"/>
    <w:rsid w:val="005A03C1"/>
    <w:rsid w:val="005A09EF"/>
    <w:rsid w:val="005A0C6A"/>
    <w:rsid w:val="005A4405"/>
    <w:rsid w:val="005A612B"/>
    <w:rsid w:val="005A7A34"/>
    <w:rsid w:val="005B3CB1"/>
    <w:rsid w:val="005B5914"/>
    <w:rsid w:val="005B5C34"/>
    <w:rsid w:val="005C7080"/>
    <w:rsid w:val="005D047A"/>
    <w:rsid w:val="005E046F"/>
    <w:rsid w:val="005E1E03"/>
    <w:rsid w:val="005E4006"/>
    <w:rsid w:val="005E494F"/>
    <w:rsid w:val="005E6EDA"/>
    <w:rsid w:val="0061131C"/>
    <w:rsid w:val="006153ED"/>
    <w:rsid w:val="006156F7"/>
    <w:rsid w:val="00617A06"/>
    <w:rsid w:val="00634387"/>
    <w:rsid w:val="0064557D"/>
    <w:rsid w:val="006464BB"/>
    <w:rsid w:val="00647006"/>
    <w:rsid w:val="00650A40"/>
    <w:rsid w:val="00650D42"/>
    <w:rsid w:val="00650F00"/>
    <w:rsid w:val="0065542A"/>
    <w:rsid w:val="00661D55"/>
    <w:rsid w:val="006626D7"/>
    <w:rsid w:val="00662A4D"/>
    <w:rsid w:val="006640BF"/>
    <w:rsid w:val="006664D5"/>
    <w:rsid w:val="00667F87"/>
    <w:rsid w:val="00673B04"/>
    <w:rsid w:val="00674AC7"/>
    <w:rsid w:val="00675E94"/>
    <w:rsid w:val="006805DD"/>
    <w:rsid w:val="00686AED"/>
    <w:rsid w:val="00693316"/>
    <w:rsid w:val="0069439E"/>
    <w:rsid w:val="00696054"/>
    <w:rsid w:val="006A2939"/>
    <w:rsid w:val="006A4F70"/>
    <w:rsid w:val="006B31ED"/>
    <w:rsid w:val="006B4968"/>
    <w:rsid w:val="006B720B"/>
    <w:rsid w:val="006C182A"/>
    <w:rsid w:val="006C2418"/>
    <w:rsid w:val="006C5C86"/>
    <w:rsid w:val="006D1A97"/>
    <w:rsid w:val="006D2A66"/>
    <w:rsid w:val="006D4D5D"/>
    <w:rsid w:val="006F072D"/>
    <w:rsid w:val="006F246A"/>
    <w:rsid w:val="00701F3E"/>
    <w:rsid w:val="00702795"/>
    <w:rsid w:val="00704A2C"/>
    <w:rsid w:val="00706418"/>
    <w:rsid w:val="00707E82"/>
    <w:rsid w:val="0071121B"/>
    <w:rsid w:val="00713053"/>
    <w:rsid w:val="007246B6"/>
    <w:rsid w:val="0072491E"/>
    <w:rsid w:val="00741496"/>
    <w:rsid w:val="00742899"/>
    <w:rsid w:val="00747401"/>
    <w:rsid w:val="0075505C"/>
    <w:rsid w:val="0075730D"/>
    <w:rsid w:val="007654ED"/>
    <w:rsid w:val="007706AB"/>
    <w:rsid w:val="00771F35"/>
    <w:rsid w:val="00773B30"/>
    <w:rsid w:val="00776C5D"/>
    <w:rsid w:val="00781368"/>
    <w:rsid w:val="0078241D"/>
    <w:rsid w:val="00784315"/>
    <w:rsid w:val="007866BC"/>
    <w:rsid w:val="0078767D"/>
    <w:rsid w:val="00792AD8"/>
    <w:rsid w:val="0079386C"/>
    <w:rsid w:val="00796DCE"/>
    <w:rsid w:val="007A132E"/>
    <w:rsid w:val="007A3046"/>
    <w:rsid w:val="007A36D7"/>
    <w:rsid w:val="007A578C"/>
    <w:rsid w:val="007B0365"/>
    <w:rsid w:val="007B100E"/>
    <w:rsid w:val="007B61B5"/>
    <w:rsid w:val="007B685A"/>
    <w:rsid w:val="007C00D0"/>
    <w:rsid w:val="007C1483"/>
    <w:rsid w:val="007C14CB"/>
    <w:rsid w:val="007C5567"/>
    <w:rsid w:val="007C68AC"/>
    <w:rsid w:val="007D2C38"/>
    <w:rsid w:val="007D2CF5"/>
    <w:rsid w:val="007D35F3"/>
    <w:rsid w:val="007D65B8"/>
    <w:rsid w:val="007E4096"/>
    <w:rsid w:val="007F07C2"/>
    <w:rsid w:val="007F1C81"/>
    <w:rsid w:val="007F2B02"/>
    <w:rsid w:val="008013F7"/>
    <w:rsid w:val="00807345"/>
    <w:rsid w:val="008075B2"/>
    <w:rsid w:val="00813D87"/>
    <w:rsid w:val="00814590"/>
    <w:rsid w:val="0081659D"/>
    <w:rsid w:val="00823301"/>
    <w:rsid w:val="00825110"/>
    <w:rsid w:val="008267C5"/>
    <w:rsid w:val="008268D7"/>
    <w:rsid w:val="00831703"/>
    <w:rsid w:val="008342CC"/>
    <w:rsid w:val="00834839"/>
    <w:rsid w:val="008402B5"/>
    <w:rsid w:val="00843997"/>
    <w:rsid w:val="008444AE"/>
    <w:rsid w:val="0084695A"/>
    <w:rsid w:val="008542C4"/>
    <w:rsid w:val="00854523"/>
    <w:rsid w:val="00854ED8"/>
    <w:rsid w:val="0086273D"/>
    <w:rsid w:val="00863385"/>
    <w:rsid w:val="00871013"/>
    <w:rsid w:val="008752F2"/>
    <w:rsid w:val="0087791D"/>
    <w:rsid w:val="008805DD"/>
    <w:rsid w:val="0088405A"/>
    <w:rsid w:val="00886A0D"/>
    <w:rsid w:val="0089398C"/>
    <w:rsid w:val="00895F33"/>
    <w:rsid w:val="008A4D93"/>
    <w:rsid w:val="008A54D4"/>
    <w:rsid w:val="008B16BB"/>
    <w:rsid w:val="008C58B5"/>
    <w:rsid w:val="008D030A"/>
    <w:rsid w:val="008D13E8"/>
    <w:rsid w:val="008D1E3C"/>
    <w:rsid w:val="008D4686"/>
    <w:rsid w:val="008E1D32"/>
    <w:rsid w:val="008E4171"/>
    <w:rsid w:val="008E4C9F"/>
    <w:rsid w:val="008E5D69"/>
    <w:rsid w:val="008F1373"/>
    <w:rsid w:val="008F19FC"/>
    <w:rsid w:val="008F5D03"/>
    <w:rsid w:val="009015AB"/>
    <w:rsid w:val="00911012"/>
    <w:rsid w:val="00911B41"/>
    <w:rsid w:val="0091205A"/>
    <w:rsid w:val="00921567"/>
    <w:rsid w:val="009252DB"/>
    <w:rsid w:val="00925E0C"/>
    <w:rsid w:val="0092637C"/>
    <w:rsid w:val="00926581"/>
    <w:rsid w:val="009274F5"/>
    <w:rsid w:val="00933D23"/>
    <w:rsid w:val="00941E4F"/>
    <w:rsid w:val="009459B4"/>
    <w:rsid w:val="00945B70"/>
    <w:rsid w:val="00946B2D"/>
    <w:rsid w:val="00947F35"/>
    <w:rsid w:val="00950014"/>
    <w:rsid w:val="009524FB"/>
    <w:rsid w:val="0095399A"/>
    <w:rsid w:val="00954F24"/>
    <w:rsid w:val="009675A9"/>
    <w:rsid w:val="0097437D"/>
    <w:rsid w:val="00974E55"/>
    <w:rsid w:val="00980F8E"/>
    <w:rsid w:val="00982ACC"/>
    <w:rsid w:val="0098690D"/>
    <w:rsid w:val="0098747B"/>
    <w:rsid w:val="00987959"/>
    <w:rsid w:val="0099187B"/>
    <w:rsid w:val="009923F4"/>
    <w:rsid w:val="00996B07"/>
    <w:rsid w:val="00997C7A"/>
    <w:rsid w:val="00997D62"/>
    <w:rsid w:val="00997DEA"/>
    <w:rsid w:val="009A54E8"/>
    <w:rsid w:val="009A6028"/>
    <w:rsid w:val="009B3179"/>
    <w:rsid w:val="009B7685"/>
    <w:rsid w:val="009C1955"/>
    <w:rsid w:val="009C3D6A"/>
    <w:rsid w:val="009D577A"/>
    <w:rsid w:val="009E2F2F"/>
    <w:rsid w:val="009E6390"/>
    <w:rsid w:val="009E7471"/>
    <w:rsid w:val="009F10CA"/>
    <w:rsid w:val="009F15CB"/>
    <w:rsid w:val="009F1BD8"/>
    <w:rsid w:val="009F313A"/>
    <w:rsid w:val="009F58EB"/>
    <w:rsid w:val="00A01EC0"/>
    <w:rsid w:val="00A01F42"/>
    <w:rsid w:val="00A04082"/>
    <w:rsid w:val="00A06C38"/>
    <w:rsid w:val="00A10EE9"/>
    <w:rsid w:val="00A127BD"/>
    <w:rsid w:val="00A20099"/>
    <w:rsid w:val="00A24E55"/>
    <w:rsid w:val="00A25AA1"/>
    <w:rsid w:val="00A30A6E"/>
    <w:rsid w:val="00A36943"/>
    <w:rsid w:val="00A401A9"/>
    <w:rsid w:val="00A44C4F"/>
    <w:rsid w:val="00A50ED4"/>
    <w:rsid w:val="00A60321"/>
    <w:rsid w:val="00A63331"/>
    <w:rsid w:val="00A64338"/>
    <w:rsid w:val="00A65908"/>
    <w:rsid w:val="00A67DAE"/>
    <w:rsid w:val="00A70E6F"/>
    <w:rsid w:val="00A71AD8"/>
    <w:rsid w:val="00A7577D"/>
    <w:rsid w:val="00A7785F"/>
    <w:rsid w:val="00A804BA"/>
    <w:rsid w:val="00A8131C"/>
    <w:rsid w:val="00A8142C"/>
    <w:rsid w:val="00A82A75"/>
    <w:rsid w:val="00A83C16"/>
    <w:rsid w:val="00A84CEC"/>
    <w:rsid w:val="00A8677D"/>
    <w:rsid w:val="00A95F56"/>
    <w:rsid w:val="00A96164"/>
    <w:rsid w:val="00A961AC"/>
    <w:rsid w:val="00AA227D"/>
    <w:rsid w:val="00AA4460"/>
    <w:rsid w:val="00AB30DD"/>
    <w:rsid w:val="00AC25B5"/>
    <w:rsid w:val="00AC5951"/>
    <w:rsid w:val="00AC7392"/>
    <w:rsid w:val="00AD1316"/>
    <w:rsid w:val="00AD6696"/>
    <w:rsid w:val="00AE49CF"/>
    <w:rsid w:val="00AE4EA8"/>
    <w:rsid w:val="00AE51FB"/>
    <w:rsid w:val="00AF273D"/>
    <w:rsid w:val="00AF3B1E"/>
    <w:rsid w:val="00AF4034"/>
    <w:rsid w:val="00AF532F"/>
    <w:rsid w:val="00AF56C6"/>
    <w:rsid w:val="00AF5BF6"/>
    <w:rsid w:val="00B0284B"/>
    <w:rsid w:val="00B02B70"/>
    <w:rsid w:val="00B03A41"/>
    <w:rsid w:val="00B04BAA"/>
    <w:rsid w:val="00B12F65"/>
    <w:rsid w:val="00B13C45"/>
    <w:rsid w:val="00B15D0B"/>
    <w:rsid w:val="00B264BF"/>
    <w:rsid w:val="00B2697F"/>
    <w:rsid w:val="00B26C9A"/>
    <w:rsid w:val="00B3123A"/>
    <w:rsid w:val="00B34AA7"/>
    <w:rsid w:val="00B43C60"/>
    <w:rsid w:val="00B442D0"/>
    <w:rsid w:val="00B51DF8"/>
    <w:rsid w:val="00B53615"/>
    <w:rsid w:val="00B54CE9"/>
    <w:rsid w:val="00B56083"/>
    <w:rsid w:val="00B56FD6"/>
    <w:rsid w:val="00B57117"/>
    <w:rsid w:val="00B60154"/>
    <w:rsid w:val="00B663AA"/>
    <w:rsid w:val="00B76376"/>
    <w:rsid w:val="00B90033"/>
    <w:rsid w:val="00B90F32"/>
    <w:rsid w:val="00B92A13"/>
    <w:rsid w:val="00B94049"/>
    <w:rsid w:val="00B942E2"/>
    <w:rsid w:val="00B954C5"/>
    <w:rsid w:val="00BA0015"/>
    <w:rsid w:val="00BA0D7E"/>
    <w:rsid w:val="00BA4BF0"/>
    <w:rsid w:val="00BA5B5E"/>
    <w:rsid w:val="00BA6219"/>
    <w:rsid w:val="00BA70D7"/>
    <w:rsid w:val="00BA7F01"/>
    <w:rsid w:val="00BB0B98"/>
    <w:rsid w:val="00BB332B"/>
    <w:rsid w:val="00BB3D5F"/>
    <w:rsid w:val="00BB407A"/>
    <w:rsid w:val="00BB66B5"/>
    <w:rsid w:val="00BC2318"/>
    <w:rsid w:val="00BC3ED3"/>
    <w:rsid w:val="00BC44CB"/>
    <w:rsid w:val="00BC55CF"/>
    <w:rsid w:val="00BC64E7"/>
    <w:rsid w:val="00BD107C"/>
    <w:rsid w:val="00BD32B2"/>
    <w:rsid w:val="00BD53B4"/>
    <w:rsid w:val="00BD7B3B"/>
    <w:rsid w:val="00BE5645"/>
    <w:rsid w:val="00BF3090"/>
    <w:rsid w:val="00C03DF0"/>
    <w:rsid w:val="00C118D3"/>
    <w:rsid w:val="00C153BF"/>
    <w:rsid w:val="00C16500"/>
    <w:rsid w:val="00C249E1"/>
    <w:rsid w:val="00C25FF1"/>
    <w:rsid w:val="00C31ECA"/>
    <w:rsid w:val="00C33CC5"/>
    <w:rsid w:val="00C34FB8"/>
    <w:rsid w:val="00C35EBF"/>
    <w:rsid w:val="00C40554"/>
    <w:rsid w:val="00C43588"/>
    <w:rsid w:val="00C46013"/>
    <w:rsid w:val="00C52A20"/>
    <w:rsid w:val="00C5755D"/>
    <w:rsid w:val="00C61357"/>
    <w:rsid w:val="00C62911"/>
    <w:rsid w:val="00C62BC1"/>
    <w:rsid w:val="00C644BC"/>
    <w:rsid w:val="00C655EF"/>
    <w:rsid w:val="00C66D6E"/>
    <w:rsid w:val="00C71C17"/>
    <w:rsid w:val="00C7445A"/>
    <w:rsid w:val="00C74FCB"/>
    <w:rsid w:val="00C75A4D"/>
    <w:rsid w:val="00C80B51"/>
    <w:rsid w:val="00C80F2E"/>
    <w:rsid w:val="00C82BFB"/>
    <w:rsid w:val="00C8656F"/>
    <w:rsid w:val="00C91165"/>
    <w:rsid w:val="00C97251"/>
    <w:rsid w:val="00C97759"/>
    <w:rsid w:val="00CA7E35"/>
    <w:rsid w:val="00CB5F2C"/>
    <w:rsid w:val="00CB6D88"/>
    <w:rsid w:val="00CC43B2"/>
    <w:rsid w:val="00CC69B4"/>
    <w:rsid w:val="00CC7438"/>
    <w:rsid w:val="00CD2290"/>
    <w:rsid w:val="00CD4C02"/>
    <w:rsid w:val="00CD4DCE"/>
    <w:rsid w:val="00CD613A"/>
    <w:rsid w:val="00CD6D22"/>
    <w:rsid w:val="00CE044C"/>
    <w:rsid w:val="00CE061D"/>
    <w:rsid w:val="00CE0A50"/>
    <w:rsid w:val="00CE3DAF"/>
    <w:rsid w:val="00CE4484"/>
    <w:rsid w:val="00CE7136"/>
    <w:rsid w:val="00CF2EBA"/>
    <w:rsid w:val="00CF6D79"/>
    <w:rsid w:val="00CF7F1B"/>
    <w:rsid w:val="00D03485"/>
    <w:rsid w:val="00D14EF0"/>
    <w:rsid w:val="00D1605A"/>
    <w:rsid w:val="00D20DE3"/>
    <w:rsid w:val="00D22A18"/>
    <w:rsid w:val="00D26813"/>
    <w:rsid w:val="00D31975"/>
    <w:rsid w:val="00D33E0C"/>
    <w:rsid w:val="00D35A2C"/>
    <w:rsid w:val="00D41A10"/>
    <w:rsid w:val="00D44766"/>
    <w:rsid w:val="00D5114B"/>
    <w:rsid w:val="00D61497"/>
    <w:rsid w:val="00D65AB9"/>
    <w:rsid w:val="00D66192"/>
    <w:rsid w:val="00D66ECF"/>
    <w:rsid w:val="00D67F1F"/>
    <w:rsid w:val="00D77C9B"/>
    <w:rsid w:val="00D8453B"/>
    <w:rsid w:val="00D855AA"/>
    <w:rsid w:val="00D855F6"/>
    <w:rsid w:val="00D85CA2"/>
    <w:rsid w:val="00D86597"/>
    <w:rsid w:val="00D906F6"/>
    <w:rsid w:val="00D94F19"/>
    <w:rsid w:val="00D95767"/>
    <w:rsid w:val="00D96F38"/>
    <w:rsid w:val="00D97D50"/>
    <w:rsid w:val="00DA1549"/>
    <w:rsid w:val="00DA2E6E"/>
    <w:rsid w:val="00DA348D"/>
    <w:rsid w:val="00DA3C93"/>
    <w:rsid w:val="00DB05ED"/>
    <w:rsid w:val="00DB0A25"/>
    <w:rsid w:val="00DB2A22"/>
    <w:rsid w:val="00DB433C"/>
    <w:rsid w:val="00DB46CC"/>
    <w:rsid w:val="00DB53FB"/>
    <w:rsid w:val="00DB63CE"/>
    <w:rsid w:val="00DB6892"/>
    <w:rsid w:val="00DB783E"/>
    <w:rsid w:val="00DC4115"/>
    <w:rsid w:val="00DC4670"/>
    <w:rsid w:val="00DD657E"/>
    <w:rsid w:val="00DD6A23"/>
    <w:rsid w:val="00DD7190"/>
    <w:rsid w:val="00DD72B2"/>
    <w:rsid w:val="00DE207C"/>
    <w:rsid w:val="00DE2258"/>
    <w:rsid w:val="00DE57A8"/>
    <w:rsid w:val="00DE745A"/>
    <w:rsid w:val="00DE7E4C"/>
    <w:rsid w:val="00DF173D"/>
    <w:rsid w:val="00DF2924"/>
    <w:rsid w:val="00E00AD2"/>
    <w:rsid w:val="00E02A2F"/>
    <w:rsid w:val="00E05C6B"/>
    <w:rsid w:val="00E0633F"/>
    <w:rsid w:val="00E06F89"/>
    <w:rsid w:val="00E071D8"/>
    <w:rsid w:val="00E136B5"/>
    <w:rsid w:val="00E13917"/>
    <w:rsid w:val="00E14ADF"/>
    <w:rsid w:val="00E17726"/>
    <w:rsid w:val="00E225C6"/>
    <w:rsid w:val="00E235C1"/>
    <w:rsid w:val="00E3370E"/>
    <w:rsid w:val="00E33EAB"/>
    <w:rsid w:val="00E33FEE"/>
    <w:rsid w:val="00E36011"/>
    <w:rsid w:val="00E40115"/>
    <w:rsid w:val="00E40567"/>
    <w:rsid w:val="00E406BB"/>
    <w:rsid w:val="00E4546F"/>
    <w:rsid w:val="00E50C9A"/>
    <w:rsid w:val="00E5631A"/>
    <w:rsid w:val="00E5772B"/>
    <w:rsid w:val="00E60AC9"/>
    <w:rsid w:val="00E61154"/>
    <w:rsid w:val="00E61325"/>
    <w:rsid w:val="00E77CD4"/>
    <w:rsid w:val="00E83148"/>
    <w:rsid w:val="00E84CD5"/>
    <w:rsid w:val="00E8516E"/>
    <w:rsid w:val="00E870F4"/>
    <w:rsid w:val="00E87249"/>
    <w:rsid w:val="00EA6390"/>
    <w:rsid w:val="00EA6454"/>
    <w:rsid w:val="00EA6A90"/>
    <w:rsid w:val="00EA6D72"/>
    <w:rsid w:val="00EA794F"/>
    <w:rsid w:val="00EA7C4B"/>
    <w:rsid w:val="00EB04C1"/>
    <w:rsid w:val="00EB286C"/>
    <w:rsid w:val="00EB5631"/>
    <w:rsid w:val="00EB67EB"/>
    <w:rsid w:val="00EB789F"/>
    <w:rsid w:val="00EC0BCC"/>
    <w:rsid w:val="00EC1778"/>
    <w:rsid w:val="00EC1D04"/>
    <w:rsid w:val="00ED12B6"/>
    <w:rsid w:val="00ED1503"/>
    <w:rsid w:val="00EE02E1"/>
    <w:rsid w:val="00EE0708"/>
    <w:rsid w:val="00EE421A"/>
    <w:rsid w:val="00EE48EF"/>
    <w:rsid w:val="00EE5045"/>
    <w:rsid w:val="00EE598D"/>
    <w:rsid w:val="00EF083E"/>
    <w:rsid w:val="00EF0FC1"/>
    <w:rsid w:val="00EF1612"/>
    <w:rsid w:val="00EF2D1C"/>
    <w:rsid w:val="00EF391B"/>
    <w:rsid w:val="00F014A2"/>
    <w:rsid w:val="00F02DBB"/>
    <w:rsid w:val="00F035C0"/>
    <w:rsid w:val="00F14720"/>
    <w:rsid w:val="00F26FEF"/>
    <w:rsid w:val="00F3151F"/>
    <w:rsid w:val="00F32BFD"/>
    <w:rsid w:val="00F41226"/>
    <w:rsid w:val="00F41592"/>
    <w:rsid w:val="00F45E9C"/>
    <w:rsid w:val="00F471E2"/>
    <w:rsid w:val="00F57002"/>
    <w:rsid w:val="00F64FE7"/>
    <w:rsid w:val="00F65E11"/>
    <w:rsid w:val="00F673C0"/>
    <w:rsid w:val="00F7147F"/>
    <w:rsid w:val="00F71CBA"/>
    <w:rsid w:val="00F74B45"/>
    <w:rsid w:val="00F86E95"/>
    <w:rsid w:val="00F92F84"/>
    <w:rsid w:val="00F96119"/>
    <w:rsid w:val="00F97A5A"/>
    <w:rsid w:val="00FA1219"/>
    <w:rsid w:val="00FA64E1"/>
    <w:rsid w:val="00FB01BB"/>
    <w:rsid w:val="00FB0914"/>
    <w:rsid w:val="00FB0D8F"/>
    <w:rsid w:val="00FB21CD"/>
    <w:rsid w:val="00FB353A"/>
    <w:rsid w:val="00FB60AE"/>
    <w:rsid w:val="00FB6309"/>
    <w:rsid w:val="00FC25DD"/>
    <w:rsid w:val="00FC43E9"/>
    <w:rsid w:val="00FC4EBB"/>
    <w:rsid w:val="00FD4F36"/>
    <w:rsid w:val="00FD540F"/>
    <w:rsid w:val="00FE0943"/>
    <w:rsid w:val="00FE28CF"/>
    <w:rsid w:val="00FE505D"/>
    <w:rsid w:val="00FF5957"/>
    <w:rsid w:val="00FF5AB3"/>
    <w:rsid w:val="4102CC2D"/>
    <w:rsid w:val="48232881"/>
    <w:rsid w:val="50F6097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406E3A18-2970-4D32-9412-FC9F8FCA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normaltextrun">
    <w:name w:val="normaltextrun"/>
    <w:basedOn w:val="DefaultParagraphFont"/>
    <w:rsid w:val="001D5659"/>
  </w:style>
  <w:style w:type="character" w:customStyle="1" w:styleId="eop">
    <w:name w:val="eop"/>
    <w:basedOn w:val="DefaultParagraphFont"/>
    <w:rsid w:val="001D5659"/>
  </w:style>
  <w:style w:type="table" w:customStyle="1" w:styleId="TableGrid1">
    <w:name w:val="Table Grid1"/>
    <w:basedOn w:val="TableNormal"/>
    <w:next w:val="TableGrid"/>
    <w:rsid w:val="00EA6D72"/>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F56"/>
    <w:rPr>
      <w:rFonts w:ascii="FoundrySterling-Book" w:hAnsi="FoundrySterling-Book"/>
      <w:sz w:val="20"/>
      <w:szCs w:val="22"/>
      <w:lang w:eastAsia="en-AU"/>
    </w:rPr>
  </w:style>
  <w:style w:type="character" w:styleId="CommentReference">
    <w:name w:val="annotation reference"/>
    <w:basedOn w:val="DefaultParagraphFont"/>
    <w:uiPriority w:val="99"/>
    <w:semiHidden/>
    <w:unhideWhenUsed/>
    <w:rsid w:val="00C82BFB"/>
    <w:rPr>
      <w:sz w:val="16"/>
      <w:szCs w:val="16"/>
    </w:rPr>
  </w:style>
  <w:style w:type="paragraph" w:styleId="CommentText">
    <w:name w:val="annotation text"/>
    <w:basedOn w:val="Normal"/>
    <w:link w:val="CommentTextChar"/>
    <w:uiPriority w:val="99"/>
    <w:unhideWhenUsed/>
    <w:rsid w:val="00C82BFB"/>
    <w:pPr>
      <w:spacing w:line="240" w:lineRule="auto"/>
    </w:pPr>
    <w:rPr>
      <w:szCs w:val="20"/>
    </w:rPr>
  </w:style>
  <w:style w:type="character" w:customStyle="1" w:styleId="CommentTextChar">
    <w:name w:val="Comment Text Char"/>
    <w:basedOn w:val="DefaultParagraphFont"/>
    <w:link w:val="CommentText"/>
    <w:uiPriority w:val="99"/>
    <w:rsid w:val="00C82BFB"/>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C82BFB"/>
    <w:rPr>
      <w:b/>
      <w:bCs/>
    </w:rPr>
  </w:style>
  <w:style w:type="character" w:customStyle="1" w:styleId="CommentSubjectChar">
    <w:name w:val="Comment Subject Char"/>
    <w:basedOn w:val="CommentTextChar"/>
    <w:link w:val="CommentSubject"/>
    <w:uiPriority w:val="99"/>
    <w:semiHidden/>
    <w:rsid w:val="00C82BFB"/>
    <w:rPr>
      <w:rFonts w:ascii="FoundrySterling-Book" w:hAnsi="FoundrySterling-Book"/>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Credit%20and%20Recognition%20of%20Prior%20Learning%20Policy.pdf" TargetMode="External"/><Relationship Id="rId18" Type="http://schemas.openxmlformats.org/officeDocument/2006/relationships/hyperlink" Target="https://sharepointpubstor.blob.core.windows.net/policylibrary-prod/Course%20Attributes%20and%20Requirements%20Procedur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harepointpubstor.blob.core.windows.net/policylibrary-prod/Program%20Approval%20Procedure.pdf" TargetMode="External"/><Relationship Id="rId7" Type="http://schemas.openxmlformats.org/officeDocument/2006/relationships/settings" Target="settings.xml"/><Relationship Id="rId12" Type="http://schemas.openxmlformats.org/officeDocument/2006/relationships/hyperlink" Target="https://www.legislation.gov.au/Details/F2017L01182" TargetMode="External"/><Relationship Id="rId17" Type="http://schemas.openxmlformats.org/officeDocument/2006/relationships/hyperlink" Target="https://sharepointpubstor.blob.core.windows.net/policylibrary-prod/Course%20Approval%20Procedur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Program%20and%20Course%20Policy.pdf" TargetMode="External"/><Relationship Id="rId20" Type="http://schemas.openxmlformats.org/officeDocument/2006/relationships/hyperlink" Target="https://sharepointpubstor.blob.core.windows.net/policylibrary-prod/Program%20and%20Course%20Review%20Procedur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qsa.gov.au/higher-education-standards-framework-2021" TargetMode="External"/><Relationship Id="rId24" Type="http://schemas.openxmlformats.org/officeDocument/2006/relationships/hyperlink" Target="https://sharepointpubstor.blob.core.windows.net/policylibrary-prod/Course%20Attributes%20Schedule.pdf" TargetMode="External"/><Relationship Id="rId5" Type="http://schemas.openxmlformats.org/officeDocument/2006/relationships/numbering" Target="numbering.xml"/><Relationship Id="rId15" Type="http://schemas.openxmlformats.org/officeDocument/2006/relationships/hyperlink" Target="https://sharepointpubstor.blob.core.windows.net/policylibrary-prod/Higher%20Degree%20by%20Research%20Policy.pdf" TargetMode="External"/><Relationship Id="rId23" Type="http://schemas.openxmlformats.org/officeDocument/2006/relationships/hyperlink" Target="https://sharepointpubstor.blob.core.windows.net/policylibrary-prod/Academic%20Awards%20and%20Qualifications%20Schedul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harepointpubstor.blob.core.windows.net/policylibrary-prod/Micro-credential%20and%20Digital%20Badge%20Approval%20and%20Review%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Framework%20for%20Quality%20Assurance.pdf" TargetMode="External"/><Relationship Id="rId22" Type="http://schemas.openxmlformats.org/officeDocument/2006/relationships/hyperlink" Target="https://sharepointpubstor.blob.core.windows.net/policylibrary-prod/Qualifications%20Procedure.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Georgina Ma</DisplayName>
        <AccountId>20</AccountId>
        <AccountType/>
      </UserInfo>
      <UserInfo>
        <DisplayName>Sally Colley</DisplayName>
        <AccountId>70</AccountId>
        <AccountType/>
      </UserInfo>
      <UserInfo>
        <DisplayName>Sarah Dunstan</DisplayName>
        <AccountId>84</AccountId>
        <AccountType/>
      </UserInfo>
      <UserInfo>
        <DisplayName>Jill Misson</DisplayName>
        <AccountId>62</AccountId>
        <AccountType/>
      </UserInfo>
      <UserInfo>
        <DisplayName>Melissa Watt</DisplayName>
        <AccountId>104</AccountId>
        <AccountType/>
      </UserInfo>
      <UserInfo>
        <DisplayName>Kate Rees</DisplayName>
        <AccountId>19</AccountId>
        <AccountType/>
      </UserInfo>
    </SharedWithUsers>
    <PublishOn xmlns="2f261a70-825f-4a37-b7b5-f6ecc2f4c5fa">2023-12-05T03:38:53+00:00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558</Value>
      <Value>77</Value>
      <Value>519</Value>
      <Value>551</Value>
    </TaxCatchAll>
    <PolicyCategoryParent xmlns="2f261a70-825f-4a37-b7b5-f6ecc2f4c5fa" xsi:nil="true"/>
    <LastPublished xmlns="2f261a70-825f-4a37-b7b5-f6ecc2f4c5fa">2023-12-14T14:00:00+00:00</LastPublished>
    <doccomments xmlns="2f261a70-825f-4a37-b7b5-f6ecc2f4c5fa">Academic Committee 03/2023 (20 July) endorsed recommending Programs Committee approval of the new Program Approval Procedure (2023/0000379) for implementation effective from Trimester 1, 2024.</doccomments>
    <datedeclared xmlns="2f261a70-825f-4a37-b7b5-f6ecc2f4c5fa">2023-07-19T14:00:00+00:00</datedeclared>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4B2E-8C56-4818-BC2A-B6DAC13A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docMetadata/LabelInfo.xml><?xml version="1.0" encoding="utf-8"?>
<clbl:labelList xmlns:clbl="http://schemas.microsoft.com/office/2020/mipLabelMetadata">
  <clbl:label id="{9d78f839-bdcb-4a99-8775-1d79bece4e3b}" enabled="1" method="Privilege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12</TotalTime>
  <Pages>8</Pages>
  <Words>2748</Words>
  <Characters>15666</Characters>
  <Application>Microsoft Office Word</Application>
  <DocSecurity>0</DocSecurity>
  <Lines>130</Lines>
  <Paragraphs>36</Paragraphs>
  <ScaleCrop>false</ScaleCrop>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Approval Procedure</dc:title>
  <dc:subject/>
  <dc:creator>Rebecca Voisey</dc:creator>
  <cp:keywords/>
  <dc:description/>
  <cp:lastModifiedBy>Donna Kalaentzis</cp:lastModifiedBy>
  <cp:revision>3</cp:revision>
  <cp:lastPrinted>2019-10-02T21:35:00Z</cp:lastPrinted>
  <dcterms:created xsi:type="dcterms:W3CDTF">2024-04-12T03:32:00Z</dcterms:created>
  <dcterms:modified xsi:type="dcterms:W3CDTF">2024-04-12T03:32:00Z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559;#Provost|bee6e04a-89d5-44a2-a3ef-d33cdfe1b4af</vt:lpwstr>
  </property>
  <property fmtid="{D5CDD505-2E9C-101B-9397-08002B2CF9AE}" pid="12" name="policycategory">
    <vt:lpwstr/>
  </property>
  <property fmtid="{D5CDD505-2E9C-101B-9397-08002B2CF9AE}" pid="13" name="glossaryterms">
    <vt:lpwstr/>
  </property>
  <property fmtid="{D5CDD505-2E9C-101B-9397-08002B2CF9AE}" pid="14" name="officearea">
    <vt:lpwstr>551;#Student Life|10f28419-8eea-4122-9bbc-3c3d69c6fcc4</vt:lpwstr>
  </property>
  <property fmtid="{D5CDD505-2E9C-101B-9397-08002B2CF9AE}" pid="15" name="policyreview">
    <vt:lpwstr>558;#2028|3482dbca-7716-46bb-b113-935721929a44</vt:lpwstr>
  </property>
  <property fmtid="{D5CDD505-2E9C-101B-9397-08002B2CF9AE}" pid="16" name="policyaudience">
    <vt:lpwstr>77;#Staff|45ee306d-49ae-43fa-a3ef-02f70754fd2d</vt:lpwstr>
  </property>
  <property fmtid="{D5CDD505-2E9C-101B-9397-08002B2CF9AE}" pid="17" name="SharedWithUsers">
    <vt:lpwstr>20;#Georgina Ma;#70;#Sally Colley;#84;#Sarah Dunstan;#62;#Jill Misson;#104;#Melissa Watt;#19;#Kate Rees</vt:lpwstr>
  </property>
  <property fmtid="{D5CDD505-2E9C-101B-9397-08002B2CF9AE}" pid="18" name="policy-category">
    <vt:lpwstr>519;#Academic|19fb9ccf-3758-4715-9546-fdd966adec75</vt:lpwstr>
  </property>
  <property fmtid="{D5CDD505-2E9C-101B-9397-08002B2CF9AE}" pid="19" name="Managed_Testing_Field">
    <vt:lpwstr/>
  </property>
  <property fmtid="{D5CDD505-2E9C-101B-9397-08002B2CF9AE}" pid="20" name="GrammarlyDocumentId">
    <vt:lpwstr>5adc19736ac7e8356942c7e7e07c7512a59212fd94f5dc201629f5ba0fbdcde6</vt:lpwstr>
  </property>
  <property fmtid="{D5CDD505-2E9C-101B-9397-08002B2CF9AE}" pid="21" name="MSIP_Label_9d78f839-bdcb-4a99-8775-1d79bece4e3b_Enabled">
    <vt:lpwstr>true</vt:lpwstr>
  </property>
  <property fmtid="{D5CDD505-2E9C-101B-9397-08002B2CF9AE}" pid="22" name="MSIP_Label_9d78f839-bdcb-4a99-8775-1d79bece4e3b_SetDate">
    <vt:lpwstr>2022-11-08T00:36:56Z</vt:lpwstr>
  </property>
  <property fmtid="{D5CDD505-2E9C-101B-9397-08002B2CF9AE}" pid="23" name="MSIP_Label_9d78f839-bdcb-4a99-8775-1d79bece4e3b_Method">
    <vt:lpwstr>Privileged</vt:lpwstr>
  </property>
  <property fmtid="{D5CDD505-2E9C-101B-9397-08002B2CF9AE}" pid="24" name="MSIP_Label_9d78f839-bdcb-4a99-8775-1d79bece4e3b_Name">
    <vt:lpwstr>OFFICIAL Internal (Limited access)</vt:lpwstr>
  </property>
  <property fmtid="{D5CDD505-2E9C-101B-9397-08002B2CF9AE}" pid="25" name="MSIP_Label_9d78f839-bdcb-4a99-8775-1d79bece4e3b_SiteId">
    <vt:lpwstr>5a7cc8ab-a4dc-4f9b-bf60-66714049ad62</vt:lpwstr>
  </property>
  <property fmtid="{D5CDD505-2E9C-101B-9397-08002B2CF9AE}" pid="26" name="MSIP_Label_9d78f839-bdcb-4a99-8775-1d79bece4e3b_ActionId">
    <vt:lpwstr>34125d1b-b906-4784-a840-2fa68b4b5b95</vt:lpwstr>
  </property>
  <property fmtid="{D5CDD505-2E9C-101B-9397-08002B2CF9AE}" pid="27" name="MSIP_Label_9d78f839-bdcb-4a99-8775-1d79bece4e3b_ContentBits">
    <vt:lpwstr>0</vt:lpwstr>
  </property>
  <property fmtid="{D5CDD505-2E9C-101B-9397-08002B2CF9AE}" pid="28" name="MSIP_Label_adaa4be3-f650-4692-881a-64ae220cbceb_SiteId">
    <vt:lpwstr>5a7cc8ab-a4dc-4f9b-bf60-66714049ad62</vt:lpwstr>
  </property>
  <property fmtid="{D5CDD505-2E9C-101B-9397-08002B2CF9AE}" pid="29" name="MSIP_Label_adaa4be3-f650-4692-881a-64ae220cbceb_Name">
    <vt:lpwstr>OFFICIAL  Internal (External sharing)</vt:lpwstr>
  </property>
  <property fmtid="{D5CDD505-2E9C-101B-9397-08002B2CF9AE}" pid="30" name="MSIP_Label_adaa4be3-f650-4692-881a-64ae220cbceb_Method">
    <vt:lpwstr>Standard</vt:lpwstr>
  </property>
  <property fmtid="{D5CDD505-2E9C-101B-9397-08002B2CF9AE}" pid="31" name="MSIP_Label_adaa4be3-f650-4692-881a-64ae220cbceb_ActionId">
    <vt:lpwstr>5316ca0c-bf71-481a-a864-cc0660277dd5</vt:lpwstr>
  </property>
  <property fmtid="{D5CDD505-2E9C-101B-9397-08002B2CF9AE}" pid="32" name="MSIP_Label_adaa4be3-f650-4692-881a-64ae220cbceb_Enabled">
    <vt:lpwstr>true</vt:lpwstr>
  </property>
  <property fmtid="{D5CDD505-2E9C-101B-9397-08002B2CF9AE}" pid="33" name="MSIP_Label_adaa4be3-f650-4692-881a-64ae220cbceb_ContentBits">
    <vt:lpwstr>0</vt:lpwstr>
  </property>
  <property fmtid="{D5CDD505-2E9C-101B-9397-08002B2CF9AE}" pid="34" name="MSIP_Label_adaa4be3-f650-4692-881a-64ae220cbceb_SetDate">
    <vt:lpwstr>2022-11-10T04:37:09Z</vt:lpwstr>
  </property>
</Properties>
</file>