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5BDCC6D4" w:rsidR="00ED6047" w:rsidRPr="000C7000" w:rsidRDefault="00B31058" w:rsidP="00A144B2">
      <w:pPr>
        <w:pStyle w:val="Heading1"/>
        <w:spacing w:before="0" w:after="240"/>
        <w:rPr>
          <w:rFonts w:ascii="Griffith Sans Text" w:hAnsi="Griffith Sans Text"/>
          <w:sz w:val="52"/>
          <w:szCs w:val="32"/>
        </w:rPr>
      </w:pPr>
      <w:r w:rsidRPr="00B31058">
        <w:rPr>
          <w:rFonts w:ascii="Griffith Sans Text" w:hAnsi="Griffith Sans Text"/>
          <w:sz w:val="52"/>
          <w:szCs w:val="32"/>
        </w:rPr>
        <w:t xml:space="preserve">Professional Employee Educational </w:t>
      </w:r>
      <w:r>
        <w:rPr>
          <w:rFonts w:ascii="Griffith Sans Text" w:hAnsi="Griffith Sans Text"/>
          <w:sz w:val="52"/>
          <w:szCs w:val="32"/>
        </w:rPr>
        <w:br/>
      </w:r>
      <w:r w:rsidRPr="00B31058">
        <w:rPr>
          <w:rFonts w:ascii="Griffith Sans Text" w:hAnsi="Griffith Sans Text"/>
          <w:sz w:val="52"/>
          <w:szCs w:val="32"/>
        </w:rPr>
        <w:t>Assistance</w:t>
      </w:r>
    </w:p>
    <w:p w14:paraId="4B56D564" w14:textId="33010313" w:rsidR="00A144B2" w:rsidRPr="000C7000" w:rsidRDefault="00DD5EDE"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DD5EDE"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77777777" w:rsidR="00732202" w:rsidRPr="000C7000" w:rsidRDefault="00FF586B"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28660D">
        <w:rPr>
          <w:rFonts w:ascii="Griffith Sans Text" w:hAnsi="Griffith Sans Text"/>
          <w:b w:val="0"/>
          <w:bCs w:val="0"/>
          <w:sz w:val="24"/>
          <w:szCs w:val="18"/>
        </w:rPr>
        <w:instrText>HYPERLINK  \l "_3.4_Educational_Assistance"</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72682D">
        <w:rPr>
          <w:rFonts w:ascii="Griffith Sans Text" w:hAnsi="Griffith Sans Text"/>
          <w:b w:val="0"/>
          <w:bCs w:val="0"/>
          <w:sz w:val="24"/>
          <w:szCs w:val="18"/>
        </w:rPr>
        <w:br/>
      </w:r>
      <w:r w:rsidR="0072682D" w:rsidRPr="0072682D">
        <w:rPr>
          <w:rFonts w:ascii="Griffith Sans Text" w:hAnsi="Griffith Sans Text"/>
          <w:b w:val="0"/>
          <w:bCs w:val="0"/>
          <w:sz w:val="24"/>
          <w:szCs w:val="18"/>
        </w:rPr>
        <w:t xml:space="preserve">3.1 Application process | 3.2 Categories of Educational Assistance | 3.3 Types of Educational Assistance | </w:t>
      </w:r>
      <w:r w:rsidR="0028660D">
        <w:rPr>
          <w:rFonts w:ascii="Griffith Sans Text" w:hAnsi="Griffith Sans Text"/>
          <w:b w:val="0"/>
          <w:bCs w:val="0"/>
          <w:sz w:val="24"/>
          <w:szCs w:val="18"/>
        </w:rPr>
        <w:br/>
      </w:r>
      <w:r w:rsidR="0072682D" w:rsidRPr="0072682D">
        <w:rPr>
          <w:rFonts w:ascii="Griffith Sans Text" w:hAnsi="Griffith Sans Text"/>
          <w:b w:val="0"/>
          <w:bCs w:val="0"/>
          <w:sz w:val="24"/>
          <w:szCs w:val="18"/>
        </w:rPr>
        <w:t>3.4 Educational Assistance Allowance Payments</w:t>
      </w:r>
    </w:p>
    <w:p w14:paraId="574A747E" w14:textId="566E80F7" w:rsidR="00A144B2" w:rsidRPr="000C7000"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340AF527" w14:textId="077585ED" w:rsidR="00736973" w:rsidRPr="00736973" w:rsidRDefault="00736973" w:rsidP="00736973">
      <w:pPr>
        <w:rPr>
          <w:rFonts w:cs="Arial"/>
        </w:rPr>
      </w:pPr>
      <w:r w:rsidRPr="00736973">
        <w:rPr>
          <w:rFonts w:cs="Arial"/>
        </w:rPr>
        <w:t xml:space="preserve">Griffith University is committed to attracting and retaining talented people and providing a working environment that enables career and professional development to develop an </w:t>
      </w:r>
      <w:r w:rsidR="0099291B" w:rsidRPr="00736973">
        <w:rPr>
          <w:rFonts w:cs="Arial"/>
        </w:rPr>
        <w:t>employee’s</w:t>
      </w:r>
      <w:r w:rsidRPr="00736973">
        <w:rPr>
          <w:rFonts w:cs="Arial"/>
        </w:rPr>
        <w:t xml:space="preserve"> knowledge, skills and capabilities through formal study at recognised institutions. </w:t>
      </w:r>
    </w:p>
    <w:p w14:paraId="236BB40F" w14:textId="429F9191" w:rsidR="00736973" w:rsidRPr="00736973" w:rsidRDefault="00736973" w:rsidP="00736973">
      <w:pPr>
        <w:rPr>
          <w:rFonts w:cs="Arial"/>
        </w:rPr>
      </w:pPr>
      <w:r w:rsidRPr="00736973">
        <w:rPr>
          <w:rFonts w:cs="Arial"/>
        </w:rPr>
        <w:t>This procedure outlines information for an employee, manager</w:t>
      </w:r>
      <w:r w:rsidR="0099291B">
        <w:rPr>
          <w:rFonts w:cs="Arial"/>
        </w:rPr>
        <w:t>,</w:t>
      </w:r>
      <w:r w:rsidRPr="00736973">
        <w:rPr>
          <w:rFonts w:cs="Arial"/>
        </w:rPr>
        <w:t xml:space="preserve"> and a Head of Element about the educational assistance program including the categories of educational assistance and the types of assistance (financial and non-financial) that may be available.</w:t>
      </w:r>
    </w:p>
    <w:p w14:paraId="75E76396" w14:textId="77777777" w:rsidR="00736973" w:rsidRPr="00736973" w:rsidRDefault="00736973" w:rsidP="00736973">
      <w:pPr>
        <w:rPr>
          <w:rFonts w:cs="Arial"/>
        </w:rPr>
      </w:pPr>
      <w:r w:rsidRPr="00736973">
        <w:rPr>
          <w:rFonts w:cs="Arial"/>
        </w:rPr>
        <w:t>The following types of formal education programs are eligible for educational assistance under this scheme:</w:t>
      </w:r>
    </w:p>
    <w:p w14:paraId="48E45DEA" w14:textId="49A1B080" w:rsidR="00736973" w:rsidRPr="00736973" w:rsidRDefault="00736973" w:rsidP="00736973">
      <w:pPr>
        <w:pStyle w:val="ListParagraph"/>
        <w:numPr>
          <w:ilvl w:val="0"/>
          <w:numId w:val="37"/>
        </w:numPr>
        <w:rPr>
          <w:rFonts w:cs="Arial"/>
        </w:rPr>
      </w:pPr>
      <w:r w:rsidRPr="00736973">
        <w:rPr>
          <w:rFonts w:cs="Arial"/>
        </w:rPr>
        <w:t>undergraduate and postgraduate programs;</w:t>
      </w:r>
    </w:p>
    <w:p w14:paraId="7BF3AD8D" w14:textId="3423A68C" w:rsidR="00736973" w:rsidRPr="00736973" w:rsidRDefault="00736973" w:rsidP="00736973">
      <w:pPr>
        <w:pStyle w:val="ListParagraph"/>
        <w:numPr>
          <w:ilvl w:val="0"/>
          <w:numId w:val="37"/>
        </w:numPr>
        <w:rPr>
          <w:rFonts w:cs="Arial"/>
        </w:rPr>
      </w:pPr>
      <w:r w:rsidRPr="00736973">
        <w:rPr>
          <w:rFonts w:cs="Arial"/>
        </w:rPr>
        <w:t>course or program of study at TAFE/ VET institutions;</w:t>
      </w:r>
    </w:p>
    <w:p w14:paraId="4E55E85E" w14:textId="176C5F17" w:rsidR="00736973" w:rsidRPr="00736973" w:rsidRDefault="00736973" w:rsidP="00736973">
      <w:pPr>
        <w:pStyle w:val="ListParagraph"/>
        <w:numPr>
          <w:ilvl w:val="0"/>
          <w:numId w:val="37"/>
        </w:numPr>
        <w:rPr>
          <w:rFonts w:cs="Arial"/>
        </w:rPr>
      </w:pPr>
      <w:r w:rsidRPr="00736973">
        <w:rPr>
          <w:rFonts w:cs="Arial"/>
        </w:rPr>
        <w:t>commercial and advanced trade courses which are offered by accredited training institutions; and</w:t>
      </w:r>
    </w:p>
    <w:p w14:paraId="5841146F" w14:textId="1E8AD07E" w:rsidR="00820F73" w:rsidRPr="00736973" w:rsidRDefault="00736973" w:rsidP="00736973">
      <w:pPr>
        <w:pStyle w:val="ListParagraph"/>
        <w:numPr>
          <w:ilvl w:val="0"/>
          <w:numId w:val="37"/>
        </w:numPr>
        <w:rPr>
          <w:rFonts w:cs="Arial"/>
        </w:rPr>
      </w:pPr>
      <w:r w:rsidRPr="00736973">
        <w:rPr>
          <w:rFonts w:cs="Arial"/>
        </w:rPr>
        <w:t>in exceptional cases, employee may be eligible for assistance in undertaking a higher degree research (HDR) program.</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7EA0318D" w:rsidR="00A144B2" w:rsidRPr="004922AF" w:rsidRDefault="00736973" w:rsidP="004922AF">
      <w:pPr>
        <w:rPr>
          <w:rFonts w:eastAsia="Calibri" w:cs="Arial"/>
        </w:rPr>
      </w:pPr>
      <w:r w:rsidRPr="00736973">
        <w:rPr>
          <w:rFonts w:eastAsia="Calibri" w:cs="Arial"/>
        </w:rPr>
        <w:t xml:space="preserve">This procedure applies to continuing and fixed term professional employee with appointment terms of </w:t>
      </w:r>
      <w:r w:rsidR="0099291B">
        <w:rPr>
          <w:rFonts w:eastAsia="Calibri" w:cs="Arial"/>
        </w:rPr>
        <w:br/>
      </w:r>
      <w:r w:rsidRPr="00736973">
        <w:rPr>
          <w:rFonts w:eastAsia="Calibri" w:cs="Arial"/>
        </w:rPr>
        <w:t>12 months or more will be eligible to apply for educational assistance.</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301FA844" w14:textId="3919274E" w:rsidR="00A144B2" w:rsidRPr="001520D3" w:rsidRDefault="00A144B2" w:rsidP="001520D3">
      <w:pPr>
        <w:pStyle w:val="Heading3"/>
        <w:ind w:left="567"/>
        <w:rPr>
          <w:rFonts w:ascii="Griffith Sans Text" w:hAnsi="Griffith Sans Text"/>
        </w:rPr>
      </w:pPr>
      <w:bookmarkStart w:id="4" w:name="_3.1_[Insert_sub-heading]"/>
      <w:bookmarkStart w:id="5" w:name="_3.1_Application_process"/>
      <w:bookmarkEnd w:id="4"/>
      <w:bookmarkEnd w:id="5"/>
      <w:r w:rsidRPr="001520D3">
        <w:rPr>
          <w:rFonts w:ascii="Griffith Sans Text" w:hAnsi="Griffith Sans Text"/>
        </w:rPr>
        <w:t xml:space="preserve">3.1 </w:t>
      </w:r>
      <w:r w:rsidR="00736973" w:rsidRPr="00736973">
        <w:rPr>
          <w:rFonts w:ascii="Griffith Sans Text" w:hAnsi="Griffith Sans Text"/>
        </w:rPr>
        <w:t>Application process</w:t>
      </w:r>
    </w:p>
    <w:p w14:paraId="40E4D158" w14:textId="6F181A6D" w:rsidR="00736973" w:rsidRPr="00626404" w:rsidRDefault="00736973" w:rsidP="0099291B">
      <w:pPr>
        <w:pStyle w:val="Subsubhead"/>
        <w:rPr>
          <w:lang w:eastAsia="en-GB"/>
        </w:rPr>
      </w:pPr>
      <w:r>
        <w:rPr>
          <w:lang w:eastAsia="en-GB"/>
        </w:rPr>
        <w:t xml:space="preserve">An employee </w:t>
      </w:r>
      <w:r w:rsidR="0099291B">
        <w:rPr>
          <w:lang w:eastAsia="en-GB"/>
        </w:rPr>
        <w:t>who</w:t>
      </w:r>
      <w:r w:rsidRPr="00626404">
        <w:rPr>
          <w:lang w:eastAsia="en-GB"/>
        </w:rPr>
        <w:t xml:space="preserve"> wish</w:t>
      </w:r>
      <w:r>
        <w:rPr>
          <w:lang w:eastAsia="en-GB"/>
        </w:rPr>
        <w:t>es</w:t>
      </w:r>
      <w:r w:rsidRPr="00626404">
        <w:rPr>
          <w:lang w:eastAsia="en-GB"/>
        </w:rPr>
        <w:t xml:space="preserve"> to undertake study and claim educational assistance must apply each year using the</w:t>
      </w:r>
      <w:r>
        <w:rPr>
          <w:lang w:eastAsia="en-GB"/>
        </w:rPr>
        <w:t xml:space="preserve"> </w:t>
      </w:r>
      <w:r w:rsidRPr="00DD5EDE">
        <w:rPr>
          <w:lang w:eastAsia="en-GB"/>
        </w:rPr>
        <w:t>Professional Employee Educational Assistance Scheme Application Form</w:t>
      </w:r>
      <w:r w:rsidRPr="082B4293">
        <w:rPr>
          <w:lang w:eastAsia="en-GB"/>
        </w:rPr>
        <w:t xml:space="preserve"> for approval of a course or program of study prior to enrolment.   </w:t>
      </w:r>
    </w:p>
    <w:p w14:paraId="253FFF94" w14:textId="77777777" w:rsidR="00736973" w:rsidRPr="00626404" w:rsidRDefault="00736973" w:rsidP="00A01FEC">
      <w:pPr>
        <w:pStyle w:val="Subsubhead"/>
        <w:rPr>
          <w:lang w:eastAsia="en-GB"/>
        </w:rPr>
      </w:pPr>
      <w:r w:rsidRPr="00626404">
        <w:rPr>
          <w:lang w:eastAsia="en-GB"/>
        </w:rPr>
        <w:t xml:space="preserve">Applications are to be submitted to the </w:t>
      </w:r>
      <w:r>
        <w:rPr>
          <w:lang w:eastAsia="en-GB"/>
        </w:rPr>
        <w:t>employee</w:t>
      </w:r>
      <w:r w:rsidRPr="00626404">
        <w:rPr>
          <w:lang w:eastAsia="en-GB"/>
        </w:rPr>
        <w:t xml:space="preserve">’s </w:t>
      </w:r>
      <w:r>
        <w:rPr>
          <w:lang w:eastAsia="en-GB"/>
        </w:rPr>
        <w:t>manager</w:t>
      </w:r>
      <w:r w:rsidRPr="00626404">
        <w:rPr>
          <w:lang w:eastAsia="en-GB"/>
        </w:rPr>
        <w:t xml:space="preserve"> for recommendation to the Head of Element no later than four weeks prior to the commencement of study.  </w:t>
      </w:r>
    </w:p>
    <w:p w14:paraId="233C85BE" w14:textId="77777777" w:rsidR="00736973" w:rsidRPr="00B0285F" w:rsidRDefault="00736973" w:rsidP="00A01FEC">
      <w:pPr>
        <w:pStyle w:val="Subsubhead"/>
        <w:rPr>
          <w:lang w:eastAsia="en-GB"/>
        </w:rPr>
      </w:pPr>
      <w:r w:rsidRPr="00B0285F">
        <w:rPr>
          <w:lang w:eastAsia="en-GB"/>
        </w:rPr>
        <w:t xml:space="preserve">Applications are only valid for a period of one year or for the duration of the course or program of study, whichever is the lesser.  </w:t>
      </w:r>
      <w:r>
        <w:rPr>
          <w:lang w:eastAsia="en-GB"/>
        </w:rPr>
        <w:t>Employee</w:t>
      </w:r>
      <w:r w:rsidRPr="00B0285F">
        <w:rPr>
          <w:lang w:eastAsia="en-GB"/>
        </w:rPr>
        <w:t>s who require assistance for more than one year must submit an application for educational assistance each year.</w:t>
      </w:r>
    </w:p>
    <w:p w14:paraId="63E38D9B" w14:textId="77777777" w:rsidR="00736973" w:rsidRPr="00B0285F" w:rsidRDefault="00736973" w:rsidP="00A01FEC">
      <w:pPr>
        <w:pStyle w:val="Subsubhead"/>
        <w:rPr>
          <w:lang w:eastAsia="en-GB"/>
        </w:rPr>
      </w:pPr>
      <w:r w:rsidRPr="00B0285F">
        <w:rPr>
          <w:lang w:eastAsia="en-GB"/>
        </w:rPr>
        <w:lastRenderedPageBreak/>
        <w:t>The criteria used to determine the level and type of study assistance to be granted is subject to an assessment including the following:</w:t>
      </w:r>
    </w:p>
    <w:p w14:paraId="2BBC6D5E" w14:textId="77777777" w:rsidR="00736973" w:rsidRPr="00736973" w:rsidRDefault="00736973" w:rsidP="00A01FEC">
      <w:pPr>
        <w:pStyle w:val="Subsubhead"/>
        <w:numPr>
          <w:ilvl w:val="0"/>
          <w:numId w:val="42"/>
        </w:numPr>
        <w:rPr>
          <w:color w:val="000000" w:themeColor="text1"/>
        </w:rPr>
      </w:pPr>
      <w:r w:rsidRPr="00736973">
        <w:rPr>
          <w:color w:val="000000" w:themeColor="text1"/>
        </w:rPr>
        <w:t>the relevance of the proposed course or program of study to the employee’s current position and duties or anticipated duties;</w:t>
      </w:r>
    </w:p>
    <w:p w14:paraId="76BC84DD" w14:textId="77777777" w:rsidR="00736973" w:rsidRPr="00736973" w:rsidRDefault="00736973" w:rsidP="00A01FEC">
      <w:pPr>
        <w:pStyle w:val="Subsubhead"/>
        <w:numPr>
          <w:ilvl w:val="0"/>
          <w:numId w:val="42"/>
        </w:numPr>
        <w:rPr>
          <w:color w:val="000000" w:themeColor="text1"/>
        </w:rPr>
      </w:pPr>
      <w:r w:rsidRPr="00736973">
        <w:rPr>
          <w:color w:val="000000" w:themeColor="text1"/>
        </w:rPr>
        <w:t>balancing the professional development needs of the individual with the needs of the work unit and University;</w:t>
      </w:r>
    </w:p>
    <w:p w14:paraId="39420AB2" w14:textId="77777777" w:rsidR="00736973" w:rsidRPr="00736973" w:rsidRDefault="00736973" w:rsidP="00A01FEC">
      <w:pPr>
        <w:pStyle w:val="Subsubhead"/>
        <w:numPr>
          <w:ilvl w:val="0"/>
          <w:numId w:val="42"/>
        </w:numPr>
        <w:rPr>
          <w:color w:val="000000" w:themeColor="text1"/>
        </w:rPr>
      </w:pPr>
      <w:r w:rsidRPr="00736973">
        <w:rPr>
          <w:color w:val="000000" w:themeColor="text1"/>
        </w:rPr>
        <w:t xml:space="preserve">the employee’s record of performance at the University, existing qualifications, and record of success in previous applications for educational assistance under this or similar schemes; </w:t>
      </w:r>
    </w:p>
    <w:p w14:paraId="35A1249C" w14:textId="77777777" w:rsidR="00736973" w:rsidRPr="00736973" w:rsidRDefault="00736973" w:rsidP="00A01FEC">
      <w:pPr>
        <w:pStyle w:val="Subsubhead"/>
        <w:numPr>
          <w:ilvl w:val="0"/>
          <w:numId w:val="42"/>
        </w:numPr>
        <w:rPr>
          <w:color w:val="000000" w:themeColor="text1"/>
        </w:rPr>
      </w:pPr>
      <w:r w:rsidRPr="00736973">
        <w:rPr>
          <w:color w:val="000000" w:themeColor="text1"/>
        </w:rPr>
        <w:t>the operational controls and available resources within the employee’s work unit as determined by the Head of Element; and</w:t>
      </w:r>
    </w:p>
    <w:p w14:paraId="02063544" w14:textId="77777777" w:rsidR="00736973" w:rsidRPr="00736973" w:rsidRDefault="00736973" w:rsidP="00A01FEC">
      <w:pPr>
        <w:pStyle w:val="Subsubhead"/>
        <w:numPr>
          <w:ilvl w:val="0"/>
          <w:numId w:val="42"/>
        </w:numPr>
        <w:rPr>
          <w:color w:val="000000" w:themeColor="text1"/>
        </w:rPr>
      </w:pPr>
      <w:r w:rsidRPr="00736973">
        <w:rPr>
          <w:color w:val="000000" w:themeColor="text1"/>
        </w:rPr>
        <w:t>consideration of all applications consistent with the University’s equity and diversity goals.</w:t>
      </w:r>
    </w:p>
    <w:p w14:paraId="433614D8" w14:textId="77777777" w:rsidR="00736973" w:rsidRPr="00B0285F" w:rsidRDefault="00736973" w:rsidP="00A01FEC">
      <w:pPr>
        <w:pStyle w:val="Subsubhead"/>
        <w:rPr>
          <w:color w:val="000000" w:themeColor="text1"/>
        </w:rPr>
      </w:pPr>
      <w:r w:rsidRPr="00B0285F">
        <w:rPr>
          <w:color w:val="000000" w:themeColor="text1"/>
        </w:rPr>
        <w:t>In considering applications for educational assistance in accordance with the above criteria, the Head of Element may:</w:t>
      </w:r>
    </w:p>
    <w:p w14:paraId="0CCA8395" w14:textId="77777777" w:rsidR="00736973" w:rsidRPr="00736973" w:rsidRDefault="00736973" w:rsidP="00A01FEC">
      <w:pPr>
        <w:pStyle w:val="Subsubhead"/>
        <w:numPr>
          <w:ilvl w:val="0"/>
          <w:numId w:val="43"/>
        </w:numPr>
        <w:rPr>
          <w:color w:val="000000" w:themeColor="text1"/>
        </w:rPr>
      </w:pPr>
      <w:r w:rsidRPr="00736973">
        <w:rPr>
          <w:color w:val="000000" w:themeColor="text1"/>
        </w:rPr>
        <w:t>approve the application in full (except the approval of assistance to undertake a HDR program which requires endorsement by the Director, Human Resources);</w:t>
      </w:r>
    </w:p>
    <w:p w14:paraId="50269ED4" w14:textId="61A82CC6" w:rsidR="00736973" w:rsidRPr="00736973" w:rsidRDefault="00736973" w:rsidP="00A01FEC">
      <w:pPr>
        <w:pStyle w:val="Subsubhead"/>
        <w:numPr>
          <w:ilvl w:val="0"/>
          <w:numId w:val="43"/>
        </w:numPr>
        <w:rPr>
          <w:color w:val="000000" w:themeColor="text1"/>
        </w:rPr>
      </w:pPr>
      <w:r w:rsidRPr="00736973">
        <w:rPr>
          <w:color w:val="000000" w:themeColor="text1"/>
        </w:rPr>
        <w:t>approve the application in part (e.g., approve only some of the forms of non-financial assistance requested); or</w:t>
      </w:r>
    </w:p>
    <w:p w14:paraId="74A81197" w14:textId="77777777" w:rsidR="00736973" w:rsidRPr="00736973" w:rsidRDefault="00736973" w:rsidP="00A01FEC">
      <w:pPr>
        <w:pStyle w:val="Subsubhead"/>
        <w:numPr>
          <w:ilvl w:val="0"/>
          <w:numId w:val="43"/>
        </w:numPr>
        <w:rPr>
          <w:color w:val="000000" w:themeColor="text1"/>
        </w:rPr>
      </w:pPr>
      <w:r w:rsidRPr="00736973">
        <w:rPr>
          <w:color w:val="000000" w:themeColor="text1"/>
        </w:rPr>
        <w:t>not approve the application.</w:t>
      </w:r>
    </w:p>
    <w:p w14:paraId="6EB7C13E" w14:textId="0C768361" w:rsidR="00736973" w:rsidRPr="00DE695A" w:rsidRDefault="00736973" w:rsidP="00A01FEC">
      <w:pPr>
        <w:pStyle w:val="Subsubhead"/>
        <w:rPr>
          <w:color w:val="000000" w:themeColor="text1"/>
        </w:rPr>
      </w:pPr>
      <w:r w:rsidRPr="00B0285F">
        <w:rPr>
          <w:color w:val="000000" w:themeColor="text1"/>
        </w:rPr>
        <w:t xml:space="preserve">In approving an application for educational assistance, the Head of Element agrees to administer the </w:t>
      </w:r>
      <w:r>
        <w:rPr>
          <w:color w:val="000000" w:themeColor="text1"/>
        </w:rPr>
        <w:t>professional staff</w:t>
      </w:r>
      <w:r w:rsidRPr="00B0285F">
        <w:rPr>
          <w:color w:val="000000" w:themeColor="text1"/>
        </w:rPr>
        <w:t xml:space="preserve"> educational assistance </w:t>
      </w:r>
      <w:r>
        <w:rPr>
          <w:color w:val="000000" w:themeColor="text1"/>
        </w:rPr>
        <w:t>by</w:t>
      </w:r>
      <w:r w:rsidRPr="00B0285F">
        <w:rPr>
          <w:color w:val="000000" w:themeColor="text1"/>
        </w:rPr>
        <w:t xml:space="preserve"> </w:t>
      </w:r>
      <w:r>
        <w:rPr>
          <w:color w:val="000000" w:themeColor="text1"/>
        </w:rPr>
        <w:t>funding and monitoring progress of the approved program in accordance with 3.4 Educational Assistance Allowance Payments.</w:t>
      </w:r>
    </w:p>
    <w:p w14:paraId="1A7D5D3D" w14:textId="77777777" w:rsidR="00736973" w:rsidRPr="00DE695A" w:rsidRDefault="00736973" w:rsidP="00A01FEC">
      <w:pPr>
        <w:pStyle w:val="Subsubhead"/>
        <w:rPr>
          <w:color w:val="000000" w:themeColor="text1"/>
        </w:rPr>
      </w:pPr>
      <w:r w:rsidRPr="00DE695A">
        <w:rPr>
          <w:color w:val="000000" w:themeColor="text1"/>
        </w:rPr>
        <w:t xml:space="preserve">For approved applications, it is the </w:t>
      </w:r>
      <w:r>
        <w:rPr>
          <w:color w:val="000000" w:themeColor="text1"/>
        </w:rPr>
        <w:t>employee</w:t>
      </w:r>
      <w:r w:rsidRPr="00DE695A">
        <w:rPr>
          <w:color w:val="000000" w:themeColor="text1"/>
        </w:rPr>
        <w:t xml:space="preserve">’s responsibility to notify the </w:t>
      </w:r>
      <w:r>
        <w:rPr>
          <w:color w:val="000000" w:themeColor="text1"/>
        </w:rPr>
        <w:t>manager</w:t>
      </w:r>
      <w:r w:rsidRPr="00DE695A">
        <w:rPr>
          <w:color w:val="000000" w:themeColor="text1"/>
        </w:rPr>
        <w:t xml:space="preserve"> of a change in circumstances (such as withdrawing or discontinuing the course or program of study), and as soon as possible after the results are known, to provide their </w:t>
      </w:r>
      <w:r>
        <w:rPr>
          <w:color w:val="000000" w:themeColor="text1"/>
        </w:rPr>
        <w:t>manager</w:t>
      </w:r>
      <w:r w:rsidRPr="00DE695A">
        <w:rPr>
          <w:color w:val="000000" w:themeColor="text1"/>
        </w:rPr>
        <w:t xml:space="preserve"> with documentary evidence of completion of the courses/program of study undertaken.  Such evidence may include </w:t>
      </w:r>
      <w:r>
        <w:rPr>
          <w:color w:val="000000" w:themeColor="text1"/>
        </w:rPr>
        <w:t>a</w:t>
      </w:r>
      <w:r w:rsidRPr="00DE695A">
        <w:rPr>
          <w:color w:val="000000" w:themeColor="text1"/>
        </w:rPr>
        <w:t xml:space="preserve"> Statement of Results</w:t>
      </w:r>
      <w:r>
        <w:rPr>
          <w:color w:val="000000" w:themeColor="text1"/>
        </w:rPr>
        <w:t xml:space="preserve">, an </w:t>
      </w:r>
      <w:r w:rsidRPr="00DE695A">
        <w:rPr>
          <w:color w:val="000000" w:themeColor="text1"/>
        </w:rPr>
        <w:t xml:space="preserve">Annual Progress Report or statement from their research </w:t>
      </w:r>
      <w:r>
        <w:rPr>
          <w:color w:val="000000" w:themeColor="text1"/>
        </w:rPr>
        <w:t>supervisor</w:t>
      </w:r>
      <w:r w:rsidRPr="00DE695A">
        <w:rPr>
          <w:color w:val="000000" w:themeColor="text1"/>
        </w:rPr>
        <w:t>.</w:t>
      </w:r>
    </w:p>
    <w:p w14:paraId="566EAE6C" w14:textId="77777777" w:rsidR="00736973" w:rsidRPr="00DE695A" w:rsidRDefault="00736973" w:rsidP="00A01FEC">
      <w:pPr>
        <w:pStyle w:val="Subsubhead"/>
        <w:rPr>
          <w:color w:val="000000" w:themeColor="text1"/>
        </w:rPr>
      </w:pPr>
      <w:r w:rsidRPr="00DE695A">
        <w:rPr>
          <w:color w:val="000000" w:themeColor="text1"/>
        </w:rPr>
        <w:t>Educational assistance in the form of financial assistance will not be paid in the following circumstances:</w:t>
      </w:r>
    </w:p>
    <w:p w14:paraId="6F264717" w14:textId="77777777" w:rsidR="00736973" w:rsidRPr="00736973" w:rsidRDefault="00736973" w:rsidP="00A01FEC">
      <w:pPr>
        <w:pStyle w:val="Subsubhead"/>
        <w:numPr>
          <w:ilvl w:val="0"/>
          <w:numId w:val="44"/>
        </w:numPr>
        <w:rPr>
          <w:color w:val="000000" w:themeColor="text1"/>
        </w:rPr>
      </w:pPr>
      <w:r w:rsidRPr="00736973">
        <w:rPr>
          <w:color w:val="000000" w:themeColor="text1"/>
        </w:rPr>
        <w:t>where full fees are paid through a scholarship, bursary or similar;</w:t>
      </w:r>
    </w:p>
    <w:p w14:paraId="2A821FBD" w14:textId="77777777" w:rsidR="00736973" w:rsidRPr="00736973" w:rsidRDefault="00736973" w:rsidP="00A01FEC">
      <w:pPr>
        <w:pStyle w:val="Subsubhead"/>
        <w:numPr>
          <w:ilvl w:val="0"/>
          <w:numId w:val="44"/>
        </w:numPr>
        <w:rPr>
          <w:color w:val="000000" w:themeColor="text1"/>
        </w:rPr>
      </w:pPr>
      <w:r w:rsidRPr="00736973">
        <w:rPr>
          <w:color w:val="000000" w:themeColor="text1"/>
        </w:rPr>
        <w:t>where an employee has been unsuccessful in completing a course or program of study;</w:t>
      </w:r>
    </w:p>
    <w:p w14:paraId="5D085C2B" w14:textId="77777777" w:rsidR="00736973" w:rsidRPr="00736973" w:rsidRDefault="00736973" w:rsidP="00A01FEC">
      <w:pPr>
        <w:pStyle w:val="Subsubhead"/>
        <w:numPr>
          <w:ilvl w:val="0"/>
          <w:numId w:val="44"/>
        </w:numPr>
        <w:rPr>
          <w:color w:val="000000" w:themeColor="text1"/>
        </w:rPr>
      </w:pPr>
      <w:r w:rsidRPr="00736973">
        <w:rPr>
          <w:color w:val="000000" w:themeColor="text1"/>
        </w:rPr>
        <w:t xml:space="preserve">for a repeat course or program of study that had previously been approved for educational assistance under this or similar scheme; </w:t>
      </w:r>
    </w:p>
    <w:p w14:paraId="24C4B48A" w14:textId="77777777" w:rsidR="00736973" w:rsidRPr="00736973" w:rsidRDefault="00736973" w:rsidP="00A01FEC">
      <w:pPr>
        <w:pStyle w:val="Subsubhead"/>
        <w:numPr>
          <w:ilvl w:val="0"/>
          <w:numId w:val="44"/>
        </w:numPr>
        <w:rPr>
          <w:color w:val="000000" w:themeColor="text1"/>
        </w:rPr>
      </w:pPr>
      <w:r w:rsidRPr="00736973">
        <w:rPr>
          <w:color w:val="000000" w:themeColor="text1"/>
        </w:rPr>
        <w:t>where an employee has discontinued or withdrawn from the course or program of study;</w:t>
      </w:r>
    </w:p>
    <w:p w14:paraId="294EE096" w14:textId="77777777" w:rsidR="00736973" w:rsidRPr="00736973" w:rsidRDefault="00736973" w:rsidP="00A01FEC">
      <w:pPr>
        <w:pStyle w:val="Subsubhead"/>
        <w:numPr>
          <w:ilvl w:val="0"/>
          <w:numId w:val="44"/>
        </w:numPr>
      </w:pPr>
      <w:r w:rsidRPr="00736973">
        <w:rPr>
          <w:color w:val="000000" w:themeColor="text1"/>
        </w:rPr>
        <w:t>on notification of cessation of employment with the University.  An employee may be required to refund the full amount of the education allowance received in the last 12 months of study, unless</w:t>
      </w:r>
      <w:r w:rsidRPr="00736973">
        <w:t xml:space="preserve"> an exemption has been granted by the Director, Human Resources.an exemption has been granted by the Director, Human Resources.</w:t>
      </w:r>
    </w:p>
    <w:p w14:paraId="23A942CA" w14:textId="520A94C9" w:rsidR="0059325A" w:rsidRPr="004922AF" w:rsidRDefault="00736973" w:rsidP="00A01FEC">
      <w:pPr>
        <w:pStyle w:val="Subsubhead"/>
      </w:pPr>
      <w:r w:rsidRPr="00DE695A">
        <w:lastRenderedPageBreak/>
        <w:t xml:space="preserve">Where an application for educational assistance has not been approved, the </w:t>
      </w:r>
      <w:r>
        <w:t>employee</w:t>
      </w:r>
      <w:r w:rsidRPr="00DE695A">
        <w:t xml:space="preserve"> </w:t>
      </w:r>
      <w:r>
        <w:t>should discuss the decision with their Manager in the first instance.</w:t>
      </w:r>
    </w:p>
    <w:p w14:paraId="124F75BE" w14:textId="05537A22" w:rsidR="00E77B43" w:rsidRPr="001520D3" w:rsidRDefault="00A144B2" w:rsidP="001520D3">
      <w:pPr>
        <w:pStyle w:val="Heading3"/>
        <w:ind w:left="567"/>
        <w:rPr>
          <w:rFonts w:ascii="Griffith Sans Text" w:hAnsi="Griffith Sans Text"/>
        </w:rPr>
      </w:pPr>
      <w:bookmarkStart w:id="6" w:name="_3.2_[Insert_sub-heading]"/>
      <w:bookmarkStart w:id="7" w:name="_3.2_Categories_of"/>
      <w:bookmarkEnd w:id="6"/>
      <w:bookmarkEnd w:id="7"/>
      <w:r w:rsidRPr="001520D3">
        <w:rPr>
          <w:rFonts w:ascii="Griffith Sans Text" w:hAnsi="Griffith Sans Text"/>
        </w:rPr>
        <w:t xml:space="preserve">3.2 </w:t>
      </w:r>
      <w:r w:rsidR="00DA4608" w:rsidRPr="00DA4608">
        <w:rPr>
          <w:rFonts w:ascii="Griffith Sans Text" w:hAnsi="Griffith Sans Text"/>
        </w:rPr>
        <w:t>Categories of Educational Assistance</w:t>
      </w:r>
    </w:p>
    <w:p w14:paraId="50F3D544" w14:textId="00F19F55" w:rsidR="00B508D5" w:rsidRDefault="00DA4608" w:rsidP="00A01FEC">
      <w:pPr>
        <w:pStyle w:val="Subsubhead"/>
      </w:pPr>
      <w:r w:rsidRPr="00DA4608">
        <w:t>Applications for educational assistance are categorised under the following criteria in order to determine the types of study assistance offered to approved employee.</w:t>
      </w:r>
    </w:p>
    <w:tbl>
      <w:tblPr>
        <w:tblStyle w:val="TableGrid"/>
        <w:tblW w:w="4529"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8034"/>
      </w:tblGrid>
      <w:tr w:rsidR="00DA4608" w:rsidRPr="00102B8A" w14:paraId="7AC36202" w14:textId="77777777" w:rsidTr="00FD589C">
        <w:trPr>
          <w:trHeight w:val="454"/>
        </w:trPr>
        <w:tc>
          <w:tcPr>
            <w:tcW w:w="795" w:type="pct"/>
            <w:shd w:val="clear" w:color="auto" w:fill="595959" w:themeFill="text1" w:themeFillTint="A6"/>
          </w:tcPr>
          <w:p w14:paraId="40B3783A" w14:textId="77777777" w:rsidR="00DA4608" w:rsidRPr="00102B8A" w:rsidRDefault="00DA4608" w:rsidP="00FD589C">
            <w:pPr>
              <w:jc w:val="both"/>
              <w:rPr>
                <w:rFonts w:cs="Arial"/>
                <w:b/>
                <w:bCs/>
                <w:color w:val="FFFFFF" w:themeColor="background1"/>
                <w:sz w:val="24"/>
                <w:szCs w:val="24"/>
              </w:rPr>
            </w:pPr>
            <w:r>
              <w:rPr>
                <w:rFonts w:cs="Arial"/>
                <w:b/>
                <w:bCs/>
                <w:color w:val="FFFFFF" w:themeColor="background1"/>
                <w:sz w:val="24"/>
                <w:szCs w:val="24"/>
              </w:rPr>
              <w:t>Category</w:t>
            </w:r>
          </w:p>
        </w:tc>
        <w:tc>
          <w:tcPr>
            <w:tcW w:w="4205" w:type="pct"/>
            <w:shd w:val="clear" w:color="auto" w:fill="595959" w:themeFill="text1" w:themeFillTint="A6"/>
          </w:tcPr>
          <w:p w14:paraId="40182EAC" w14:textId="77777777" w:rsidR="00DA4608" w:rsidRPr="00102B8A" w:rsidRDefault="00DA4608" w:rsidP="00FD589C">
            <w:pPr>
              <w:jc w:val="both"/>
              <w:rPr>
                <w:rFonts w:asciiTheme="minorHAnsi" w:hAnsiTheme="minorHAnsi" w:cstheme="minorHAnsi"/>
                <w:b/>
                <w:bCs/>
                <w:color w:val="FFFFFF" w:themeColor="background1"/>
                <w:sz w:val="24"/>
                <w:szCs w:val="24"/>
              </w:rPr>
            </w:pPr>
            <w:r>
              <w:rPr>
                <w:rFonts w:cs="Arial"/>
                <w:b/>
                <w:bCs/>
                <w:color w:val="FFFFFF" w:themeColor="background1"/>
                <w:sz w:val="24"/>
                <w:szCs w:val="24"/>
              </w:rPr>
              <w:t>Description</w:t>
            </w:r>
          </w:p>
        </w:tc>
      </w:tr>
      <w:tr w:rsidR="00DA4608" w:rsidRPr="00102B8A" w14:paraId="645E6298" w14:textId="77777777" w:rsidTr="00FD589C">
        <w:tc>
          <w:tcPr>
            <w:tcW w:w="795" w:type="pct"/>
            <w:shd w:val="clear" w:color="auto" w:fill="595959" w:themeFill="text1" w:themeFillTint="A6"/>
            <w:vAlign w:val="center"/>
          </w:tcPr>
          <w:p w14:paraId="3493EBA6" w14:textId="77777777" w:rsidR="00DA4608" w:rsidRPr="00102B8A" w:rsidRDefault="00DA4608" w:rsidP="00FD589C">
            <w:pPr>
              <w:jc w:val="center"/>
              <w:rPr>
                <w:rFonts w:cs="Arial"/>
                <w:b/>
                <w:bCs/>
                <w:color w:val="FFFFFF" w:themeColor="background1"/>
                <w:sz w:val="24"/>
                <w:szCs w:val="24"/>
              </w:rPr>
            </w:pPr>
            <w:r>
              <w:rPr>
                <w:rFonts w:cs="Arial"/>
                <w:b/>
                <w:bCs/>
                <w:color w:val="FFFFFF" w:themeColor="background1"/>
                <w:sz w:val="24"/>
                <w:szCs w:val="24"/>
              </w:rPr>
              <w:t>A</w:t>
            </w:r>
          </w:p>
        </w:tc>
        <w:tc>
          <w:tcPr>
            <w:tcW w:w="4205" w:type="pct"/>
            <w:shd w:val="clear" w:color="auto" w:fill="auto"/>
          </w:tcPr>
          <w:p w14:paraId="29C42223" w14:textId="77777777" w:rsidR="00DA4608" w:rsidRPr="00102B8A" w:rsidRDefault="00DA4608" w:rsidP="00FD589C">
            <w:pPr>
              <w:jc w:val="both"/>
              <w:rPr>
                <w:rFonts w:cs="Arial"/>
                <w:szCs w:val="20"/>
              </w:rPr>
            </w:pPr>
            <w:r w:rsidRPr="00AA7F19">
              <w:rPr>
                <w:rFonts w:cs="Arial"/>
                <w:szCs w:val="20"/>
              </w:rPr>
              <w:t>applies where a</w:t>
            </w:r>
            <w:r>
              <w:rPr>
                <w:rFonts w:cs="Arial"/>
                <w:szCs w:val="20"/>
              </w:rPr>
              <w:t>n</w:t>
            </w:r>
            <w:r w:rsidRPr="00AA7F19">
              <w:rPr>
                <w:rFonts w:cs="Arial"/>
                <w:szCs w:val="20"/>
              </w:rPr>
              <w:t xml:space="preserve"> </w:t>
            </w:r>
            <w:r>
              <w:rPr>
                <w:rFonts w:cs="Arial"/>
                <w:szCs w:val="20"/>
              </w:rPr>
              <w:t>employee</w:t>
            </w:r>
            <w:r w:rsidRPr="00AA7F19">
              <w:rPr>
                <w:rFonts w:cs="Arial"/>
                <w:szCs w:val="20"/>
              </w:rPr>
              <w:t xml:space="preserve"> is required to enrol in a particular course or program of study as a condition of employment.  This condition will be explicitly stated in the </w:t>
            </w:r>
            <w:r>
              <w:rPr>
                <w:rFonts w:cs="Arial"/>
                <w:szCs w:val="20"/>
              </w:rPr>
              <w:t>employee</w:t>
            </w:r>
            <w:r w:rsidRPr="00AA7F19">
              <w:rPr>
                <w:rFonts w:cs="Arial"/>
                <w:szCs w:val="20"/>
              </w:rPr>
              <w:t>’s written offer of employment or is confirmed by H</w:t>
            </w:r>
            <w:r>
              <w:rPr>
                <w:rFonts w:cs="Arial"/>
                <w:szCs w:val="20"/>
              </w:rPr>
              <w:t xml:space="preserve">uman </w:t>
            </w:r>
            <w:r w:rsidRPr="00AA7F19">
              <w:rPr>
                <w:rFonts w:cs="Arial"/>
                <w:szCs w:val="20"/>
              </w:rPr>
              <w:t>R</w:t>
            </w:r>
            <w:r>
              <w:rPr>
                <w:rFonts w:cs="Arial"/>
                <w:szCs w:val="20"/>
              </w:rPr>
              <w:t>esources</w:t>
            </w:r>
            <w:r w:rsidRPr="00AA7F19">
              <w:rPr>
                <w:rFonts w:cs="Arial"/>
                <w:szCs w:val="20"/>
              </w:rPr>
              <w:t>.</w:t>
            </w:r>
          </w:p>
        </w:tc>
      </w:tr>
      <w:tr w:rsidR="00DA4608" w:rsidRPr="00102B8A" w14:paraId="79A1B749" w14:textId="77777777" w:rsidTr="00FD589C">
        <w:tc>
          <w:tcPr>
            <w:tcW w:w="795" w:type="pct"/>
            <w:shd w:val="clear" w:color="auto" w:fill="595959" w:themeFill="text1" w:themeFillTint="A6"/>
            <w:vAlign w:val="center"/>
          </w:tcPr>
          <w:p w14:paraId="13F93ECF" w14:textId="77777777" w:rsidR="00DA4608" w:rsidRPr="00102B8A" w:rsidRDefault="00DA4608" w:rsidP="00FD589C">
            <w:pPr>
              <w:jc w:val="center"/>
              <w:rPr>
                <w:rFonts w:cs="Arial"/>
                <w:b/>
                <w:bCs/>
                <w:color w:val="FFFFFF" w:themeColor="background1"/>
                <w:sz w:val="24"/>
                <w:szCs w:val="24"/>
              </w:rPr>
            </w:pPr>
            <w:r>
              <w:rPr>
                <w:rFonts w:cs="Arial"/>
                <w:b/>
                <w:bCs/>
                <w:color w:val="FFFFFF" w:themeColor="background1"/>
                <w:sz w:val="24"/>
                <w:szCs w:val="24"/>
              </w:rPr>
              <w:t>B</w:t>
            </w:r>
          </w:p>
        </w:tc>
        <w:tc>
          <w:tcPr>
            <w:tcW w:w="4205" w:type="pct"/>
            <w:shd w:val="clear" w:color="auto" w:fill="E6E7E8"/>
          </w:tcPr>
          <w:p w14:paraId="5BEB39A7" w14:textId="77777777" w:rsidR="00DA4608" w:rsidRPr="00B92897" w:rsidRDefault="00DA4608" w:rsidP="00FD589C">
            <w:pPr>
              <w:jc w:val="both"/>
              <w:rPr>
                <w:rFonts w:cs="Arial"/>
                <w:szCs w:val="20"/>
              </w:rPr>
            </w:pPr>
            <w:r w:rsidRPr="00B92897">
              <w:rPr>
                <w:rFonts w:cs="Arial"/>
                <w:szCs w:val="20"/>
              </w:rPr>
              <w:t xml:space="preserve">applies where the course or program of study will directly contribute to the </w:t>
            </w:r>
            <w:r>
              <w:rPr>
                <w:rFonts w:cs="Arial"/>
                <w:szCs w:val="20"/>
              </w:rPr>
              <w:t>employee</w:t>
            </w:r>
            <w:r w:rsidRPr="00B92897">
              <w:rPr>
                <w:rFonts w:cs="Arial"/>
                <w:szCs w:val="20"/>
              </w:rPr>
              <w:t>’s p</w:t>
            </w:r>
            <w:r>
              <w:rPr>
                <w:rFonts w:cs="Arial"/>
                <w:szCs w:val="20"/>
              </w:rPr>
              <w:t xml:space="preserve">osition, support career development and the employee is consistently performing above expectations. </w:t>
            </w:r>
            <w:r w:rsidRPr="00B92897">
              <w:rPr>
                <w:rFonts w:cs="Arial"/>
                <w:szCs w:val="20"/>
              </w:rPr>
              <w:t xml:space="preserve">  </w:t>
            </w:r>
          </w:p>
          <w:p w14:paraId="6A0FAD2F" w14:textId="77777777" w:rsidR="00DA4608" w:rsidRPr="00B92897" w:rsidRDefault="00DA4608" w:rsidP="00FD589C">
            <w:pPr>
              <w:jc w:val="both"/>
              <w:rPr>
                <w:rFonts w:cs="Arial"/>
                <w:szCs w:val="20"/>
              </w:rPr>
            </w:pPr>
            <w:r w:rsidRPr="00B92897">
              <w:rPr>
                <w:rFonts w:cs="Arial"/>
                <w:szCs w:val="20"/>
              </w:rPr>
              <w:t>Category B status is awarded where:</w:t>
            </w:r>
          </w:p>
          <w:p w14:paraId="7673C507" w14:textId="77777777" w:rsidR="00DA4608" w:rsidRPr="006B10C9" w:rsidRDefault="00DA4608" w:rsidP="00DA4608">
            <w:pPr>
              <w:pStyle w:val="NormalWhite"/>
              <w:numPr>
                <w:ilvl w:val="0"/>
                <w:numId w:val="38"/>
              </w:numPr>
              <w:spacing w:before="80" w:after="80" w:line="276" w:lineRule="auto"/>
              <w:ind w:left="740" w:hanging="357"/>
              <w:rPr>
                <w:rFonts w:cs="Arial"/>
                <w:color w:val="000000" w:themeColor="text1"/>
              </w:rPr>
            </w:pPr>
            <w:r w:rsidRPr="006B10C9">
              <w:rPr>
                <w:rFonts w:cs="Arial"/>
                <w:color w:val="000000" w:themeColor="text1"/>
              </w:rPr>
              <w:t xml:space="preserve">courses or programs of study with undergraduate status or lower, 50% of course content directly relates to the </w:t>
            </w:r>
            <w:r>
              <w:rPr>
                <w:rFonts w:cs="Arial"/>
                <w:color w:val="000000" w:themeColor="text1"/>
              </w:rPr>
              <w:t>employee</w:t>
            </w:r>
            <w:r w:rsidRPr="006B10C9">
              <w:rPr>
                <w:rFonts w:cs="Arial"/>
                <w:color w:val="000000" w:themeColor="text1"/>
              </w:rPr>
              <w:t>’s current or anticipated duties;</w:t>
            </w:r>
          </w:p>
          <w:p w14:paraId="525A9F65" w14:textId="77777777" w:rsidR="00DA4608" w:rsidRPr="00EC30E2" w:rsidRDefault="00DA4608" w:rsidP="00DA4608">
            <w:pPr>
              <w:pStyle w:val="NormalWhite"/>
              <w:numPr>
                <w:ilvl w:val="0"/>
                <w:numId w:val="38"/>
              </w:numPr>
              <w:spacing w:before="80" w:after="80" w:line="276" w:lineRule="auto"/>
              <w:ind w:left="740" w:hanging="357"/>
              <w:rPr>
                <w:rFonts w:cs="Arial"/>
                <w:szCs w:val="20"/>
              </w:rPr>
            </w:pPr>
            <w:r w:rsidRPr="006B10C9">
              <w:rPr>
                <w:rFonts w:cs="Arial"/>
                <w:color w:val="000000" w:themeColor="text1"/>
              </w:rPr>
              <w:t xml:space="preserve">postgraduate and second degree courses or programs of study, 75% of course content directly relates to the </w:t>
            </w:r>
            <w:r>
              <w:rPr>
                <w:rFonts w:cs="Arial"/>
                <w:color w:val="000000" w:themeColor="text1"/>
              </w:rPr>
              <w:t>employee</w:t>
            </w:r>
            <w:r w:rsidRPr="006B10C9">
              <w:rPr>
                <w:rFonts w:cs="Arial"/>
                <w:color w:val="000000" w:themeColor="text1"/>
              </w:rPr>
              <w:t>’s current or anticipated duties.</w:t>
            </w:r>
          </w:p>
        </w:tc>
      </w:tr>
      <w:tr w:rsidR="00DA4608" w:rsidRPr="00102B8A" w14:paraId="6645C2F3" w14:textId="77777777" w:rsidTr="00FD589C">
        <w:tc>
          <w:tcPr>
            <w:tcW w:w="795" w:type="pct"/>
            <w:shd w:val="clear" w:color="auto" w:fill="595959" w:themeFill="text1" w:themeFillTint="A6"/>
            <w:vAlign w:val="center"/>
          </w:tcPr>
          <w:p w14:paraId="4C01644E" w14:textId="77777777" w:rsidR="00DA4608" w:rsidRPr="00102B8A" w:rsidRDefault="00DA4608" w:rsidP="00FD589C">
            <w:pPr>
              <w:jc w:val="center"/>
              <w:rPr>
                <w:rFonts w:cs="Arial"/>
                <w:b/>
                <w:bCs/>
                <w:color w:val="FFFFFF" w:themeColor="background1"/>
                <w:sz w:val="24"/>
                <w:szCs w:val="24"/>
              </w:rPr>
            </w:pPr>
            <w:r>
              <w:rPr>
                <w:rFonts w:cs="Arial"/>
                <w:b/>
                <w:bCs/>
                <w:color w:val="FFFFFF" w:themeColor="background1"/>
                <w:sz w:val="24"/>
                <w:szCs w:val="24"/>
              </w:rPr>
              <w:t>C</w:t>
            </w:r>
          </w:p>
        </w:tc>
        <w:tc>
          <w:tcPr>
            <w:tcW w:w="4205" w:type="pct"/>
            <w:shd w:val="clear" w:color="auto" w:fill="auto"/>
          </w:tcPr>
          <w:p w14:paraId="6C71D6AE" w14:textId="77777777" w:rsidR="00DA4608" w:rsidRPr="00102B8A" w:rsidRDefault="00DA4608" w:rsidP="00FD589C">
            <w:pPr>
              <w:jc w:val="both"/>
              <w:rPr>
                <w:rFonts w:cs="Arial"/>
                <w:szCs w:val="20"/>
              </w:rPr>
            </w:pPr>
            <w:r w:rsidRPr="00EC30E2">
              <w:rPr>
                <w:rFonts w:cs="Arial"/>
                <w:szCs w:val="20"/>
              </w:rPr>
              <w:t xml:space="preserve">Applies where the course or program of study is of a general nature, not directly related to the specific </w:t>
            </w:r>
            <w:r>
              <w:rPr>
                <w:rFonts w:cs="Arial"/>
                <w:szCs w:val="20"/>
              </w:rPr>
              <w:t>position currently held by the employee</w:t>
            </w:r>
            <w:r w:rsidRPr="00EC30E2">
              <w:rPr>
                <w:rFonts w:cs="Arial"/>
                <w:szCs w:val="20"/>
              </w:rPr>
              <w:t xml:space="preserve">, but is relevant to other positions at the University and contributes to the continuing </w:t>
            </w:r>
            <w:r>
              <w:rPr>
                <w:rFonts w:cs="Arial"/>
                <w:szCs w:val="20"/>
              </w:rPr>
              <w:t xml:space="preserve">professional </w:t>
            </w:r>
            <w:r w:rsidRPr="00EC30E2">
              <w:rPr>
                <w:rFonts w:cs="Arial"/>
                <w:szCs w:val="20"/>
              </w:rPr>
              <w:t xml:space="preserve">development of the </w:t>
            </w:r>
            <w:r>
              <w:rPr>
                <w:rFonts w:cs="Arial"/>
                <w:szCs w:val="20"/>
              </w:rPr>
              <w:t>employee</w:t>
            </w:r>
            <w:r w:rsidRPr="00EC30E2">
              <w:rPr>
                <w:rFonts w:cs="Arial"/>
                <w:szCs w:val="20"/>
              </w:rPr>
              <w:t>.</w:t>
            </w:r>
          </w:p>
        </w:tc>
      </w:tr>
    </w:tbl>
    <w:p w14:paraId="7853B552" w14:textId="57530E15" w:rsidR="00BB5064" w:rsidRPr="001520D3" w:rsidRDefault="00BB5064" w:rsidP="00BB5064">
      <w:pPr>
        <w:pStyle w:val="Heading3"/>
        <w:ind w:left="567"/>
        <w:rPr>
          <w:rFonts w:ascii="Griffith Sans Text" w:hAnsi="Griffith Sans Text"/>
        </w:rPr>
      </w:pPr>
      <w:bookmarkStart w:id="8" w:name="_3.3_Types_of"/>
      <w:bookmarkEnd w:id="8"/>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sidR="00DA4608" w:rsidRPr="00DA4608">
        <w:rPr>
          <w:rFonts w:ascii="Griffith Sans Text" w:hAnsi="Griffith Sans Text"/>
        </w:rPr>
        <w:t>Types of Educational Assistance</w:t>
      </w:r>
    </w:p>
    <w:p w14:paraId="153B364C" w14:textId="77777777" w:rsidR="00DA4608" w:rsidRDefault="00DA4608" w:rsidP="00A01FEC">
      <w:pPr>
        <w:pStyle w:val="NormalSubheading"/>
      </w:pPr>
      <w:r>
        <w:t xml:space="preserve">The professional employee educational assistance scheme provides a broad range of support that may be available to approved employees and may include financial and non-financial assistance. </w:t>
      </w:r>
    </w:p>
    <w:p w14:paraId="34E04448" w14:textId="77777777" w:rsidR="00DA4608" w:rsidRDefault="00DA4608" w:rsidP="00DA4608">
      <w:pPr>
        <w:pStyle w:val="NormalSubheading"/>
      </w:pPr>
      <w:r>
        <w:t>Non-financial assistance may include, but not be limited to: paid work time to attend lectures/tutorials/workshops, exams, compulsory residential schools or mandatory inductions; and reasonable access to resources such as photocopying, printing and computing facilities.</w:t>
      </w:r>
    </w:p>
    <w:p w14:paraId="47B1DE65" w14:textId="77777777" w:rsidR="00DA4608" w:rsidRDefault="00DA4608" w:rsidP="00DA4608">
      <w:pPr>
        <w:pStyle w:val="NormalSubheading"/>
      </w:pPr>
      <w:r>
        <w:t>The Educational Assistance allowance covers in part, ongoing education expenses for formal education programs (</w:t>
      </w:r>
      <w:proofErr w:type="spellStart"/>
      <w:r>
        <w:t>e.g</w:t>
      </w:r>
      <w:proofErr w:type="spellEnd"/>
      <w:r>
        <w:t xml:space="preserve"> undergraduate degrees), contributions towards course or program fees, student services and amenities charges, text books and other miscellaneous costs.</w:t>
      </w:r>
    </w:p>
    <w:p w14:paraId="3E601003" w14:textId="58B71349" w:rsidR="00BB5064" w:rsidRDefault="00DA4608" w:rsidP="00DA4608">
      <w:pPr>
        <w:pStyle w:val="NormalSubheading"/>
      </w:pPr>
      <w:r>
        <w:t>The types of assistance available is based on the approved category of educational assistance and is normally provided as a package.  There may be a variance in the maximum level of all types of assistance available in all categories as determined by the relevant Head of Element.</w:t>
      </w:r>
    </w:p>
    <w:p w14:paraId="79549E85" w14:textId="0BCA9E2C" w:rsidR="0099291B" w:rsidRDefault="0099291B">
      <w:pPr>
        <w:spacing w:before="0" w:after="200" w:line="276" w:lineRule="auto"/>
        <w:rPr>
          <w:rFonts w:cs="Arial"/>
        </w:rPr>
      </w:pPr>
      <w:r>
        <w:br w:type="page"/>
      </w:r>
    </w:p>
    <w:tbl>
      <w:tblPr>
        <w:tblStyle w:val="TableGrid"/>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9129"/>
      </w:tblGrid>
      <w:tr w:rsidR="00E26561" w:rsidRPr="00102B8A" w14:paraId="4BE73285" w14:textId="77777777" w:rsidTr="00A01FEC">
        <w:trPr>
          <w:trHeight w:val="454"/>
        </w:trPr>
        <w:tc>
          <w:tcPr>
            <w:tcW w:w="672" w:type="pct"/>
            <w:shd w:val="clear" w:color="auto" w:fill="595959" w:themeFill="text1" w:themeFillTint="A6"/>
          </w:tcPr>
          <w:p w14:paraId="6CB763D7" w14:textId="77777777" w:rsidR="00E26561" w:rsidRPr="00102B8A" w:rsidRDefault="00E26561" w:rsidP="00A01FEC">
            <w:pPr>
              <w:ind w:left="-108" w:firstLine="108"/>
              <w:jc w:val="both"/>
              <w:rPr>
                <w:rFonts w:cs="Arial"/>
                <w:b/>
                <w:bCs/>
                <w:color w:val="FFFFFF" w:themeColor="background1"/>
                <w:sz w:val="24"/>
                <w:szCs w:val="24"/>
              </w:rPr>
            </w:pPr>
            <w:r>
              <w:rPr>
                <w:rFonts w:cs="Arial"/>
                <w:b/>
                <w:bCs/>
                <w:color w:val="FFFFFF" w:themeColor="background1"/>
                <w:sz w:val="24"/>
                <w:szCs w:val="24"/>
              </w:rPr>
              <w:lastRenderedPageBreak/>
              <w:t>Category</w:t>
            </w:r>
          </w:p>
        </w:tc>
        <w:tc>
          <w:tcPr>
            <w:tcW w:w="4328" w:type="pct"/>
            <w:shd w:val="clear" w:color="auto" w:fill="595959" w:themeFill="text1" w:themeFillTint="A6"/>
          </w:tcPr>
          <w:p w14:paraId="527E21E5" w14:textId="77777777" w:rsidR="00E26561" w:rsidRPr="00102B8A" w:rsidRDefault="00E26561" w:rsidP="00FD589C">
            <w:pPr>
              <w:jc w:val="both"/>
              <w:rPr>
                <w:rFonts w:asciiTheme="minorHAnsi" w:hAnsiTheme="minorHAnsi" w:cstheme="minorHAnsi"/>
                <w:b/>
                <w:bCs/>
                <w:color w:val="FFFFFF" w:themeColor="background1"/>
                <w:sz w:val="24"/>
                <w:szCs w:val="24"/>
              </w:rPr>
            </w:pPr>
            <w:r>
              <w:rPr>
                <w:rFonts w:cs="Arial"/>
                <w:b/>
                <w:bCs/>
                <w:color w:val="FFFFFF" w:themeColor="background1"/>
                <w:sz w:val="24"/>
                <w:szCs w:val="24"/>
              </w:rPr>
              <w:t>Description</w:t>
            </w:r>
          </w:p>
        </w:tc>
      </w:tr>
      <w:tr w:rsidR="00E26561" w:rsidRPr="00102B8A" w14:paraId="506A5911" w14:textId="77777777" w:rsidTr="00A01FEC">
        <w:tc>
          <w:tcPr>
            <w:tcW w:w="672" w:type="pct"/>
            <w:shd w:val="clear" w:color="auto" w:fill="595959" w:themeFill="text1" w:themeFillTint="A6"/>
            <w:vAlign w:val="center"/>
          </w:tcPr>
          <w:p w14:paraId="7F89FA78" w14:textId="77777777" w:rsidR="00E26561" w:rsidRPr="00102B8A" w:rsidRDefault="00E26561" w:rsidP="00FD589C">
            <w:pPr>
              <w:jc w:val="center"/>
              <w:rPr>
                <w:rFonts w:cs="Arial"/>
                <w:b/>
                <w:bCs/>
                <w:color w:val="FFFFFF" w:themeColor="background1"/>
                <w:sz w:val="24"/>
                <w:szCs w:val="24"/>
              </w:rPr>
            </w:pPr>
            <w:r>
              <w:rPr>
                <w:rFonts w:cs="Arial"/>
                <w:b/>
                <w:bCs/>
                <w:color w:val="FFFFFF" w:themeColor="background1"/>
                <w:sz w:val="24"/>
                <w:szCs w:val="24"/>
              </w:rPr>
              <w:t>A</w:t>
            </w:r>
          </w:p>
        </w:tc>
        <w:tc>
          <w:tcPr>
            <w:tcW w:w="4328" w:type="pct"/>
            <w:shd w:val="clear" w:color="auto" w:fill="auto"/>
          </w:tcPr>
          <w:p w14:paraId="6B5ACBD8" w14:textId="77777777" w:rsidR="00E26561" w:rsidRPr="006B10C9" w:rsidRDefault="00E26561" w:rsidP="00FD589C">
            <w:pPr>
              <w:pStyle w:val="NormalWhite"/>
              <w:spacing w:before="80" w:after="80"/>
              <w:rPr>
                <w:rFonts w:cs="Arial"/>
                <w:color w:val="000000" w:themeColor="text1"/>
              </w:rPr>
            </w:pPr>
            <w:r w:rsidRPr="006B10C9">
              <w:rPr>
                <w:rFonts w:cs="Arial"/>
                <w:color w:val="000000" w:themeColor="text1"/>
              </w:rPr>
              <w:t>Financial Assistance:</w:t>
            </w:r>
          </w:p>
          <w:p w14:paraId="154B2039" w14:textId="3AD7B1E9" w:rsidR="00E26561" w:rsidRPr="006B10C9" w:rsidRDefault="00E26561" w:rsidP="00E26561">
            <w:pPr>
              <w:pStyle w:val="NormalWhite"/>
              <w:numPr>
                <w:ilvl w:val="0"/>
                <w:numId w:val="38"/>
              </w:numPr>
              <w:spacing w:before="80" w:after="80" w:line="276" w:lineRule="auto"/>
              <w:ind w:left="740" w:hanging="357"/>
              <w:rPr>
                <w:rFonts w:cs="Arial"/>
                <w:color w:val="000000" w:themeColor="text1"/>
              </w:rPr>
            </w:pPr>
            <w:r w:rsidRPr="006B10C9">
              <w:rPr>
                <w:rFonts w:cs="Arial"/>
                <w:color w:val="000000" w:themeColor="text1"/>
              </w:rPr>
              <w:t xml:space="preserve">up to 100% of up-front course or program fees will only be considered if study is undertaken at the University, except where the course or program of study is not offered by the University.  In cases where part or full course or program fees for University courses is approved, the Element will be required to arrange payment under an </w:t>
            </w:r>
            <w:r w:rsidRPr="00DD5EDE">
              <w:rPr>
                <w:rFonts w:cs="Arial"/>
                <w:color w:val="auto"/>
              </w:rPr>
              <w:t xml:space="preserve">Internal Scholarship/Sponsorship </w:t>
            </w:r>
            <w:r w:rsidRPr="006B10C9">
              <w:rPr>
                <w:rFonts w:cs="Arial"/>
                <w:color w:val="000000" w:themeColor="text1"/>
              </w:rPr>
              <w:t>via Finance;</w:t>
            </w:r>
          </w:p>
          <w:p w14:paraId="7E1FDCD5" w14:textId="77777777" w:rsidR="00E26561" w:rsidRPr="006B10C9" w:rsidRDefault="00E26561" w:rsidP="00E26561">
            <w:pPr>
              <w:pStyle w:val="NormalWhite"/>
              <w:numPr>
                <w:ilvl w:val="0"/>
                <w:numId w:val="38"/>
              </w:numPr>
              <w:spacing w:before="80" w:after="80" w:line="276" w:lineRule="auto"/>
              <w:ind w:left="740" w:hanging="357"/>
              <w:rPr>
                <w:rFonts w:cs="Arial"/>
                <w:color w:val="000000" w:themeColor="text1"/>
              </w:rPr>
            </w:pPr>
            <w:r w:rsidRPr="006B10C9">
              <w:rPr>
                <w:rFonts w:cs="Arial"/>
                <w:color w:val="000000" w:themeColor="text1"/>
              </w:rPr>
              <w:t>in all other cases, maximum expenditure of up to $2,500</w:t>
            </w:r>
            <w:r>
              <w:rPr>
                <w:rFonts w:cs="Arial"/>
                <w:color w:val="000000" w:themeColor="text1"/>
              </w:rPr>
              <w:t xml:space="preserve"> per annum</w:t>
            </w:r>
            <w:r w:rsidRPr="006B10C9">
              <w:rPr>
                <w:rFonts w:cs="Arial"/>
                <w:color w:val="000000" w:themeColor="text1"/>
              </w:rPr>
              <w:t xml:space="preserve"> as an education allowance payment.</w:t>
            </w:r>
          </w:p>
          <w:p w14:paraId="2767C513" w14:textId="77777777" w:rsidR="00E26561" w:rsidRPr="006B10C9" w:rsidRDefault="00E26561" w:rsidP="00FD589C">
            <w:pPr>
              <w:pStyle w:val="NormalWhite"/>
              <w:spacing w:before="80" w:after="80"/>
              <w:rPr>
                <w:rFonts w:cs="Arial"/>
                <w:color w:val="000000" w:themeColor="text1"/>
              </w:rPr>
            </w:pPr>
            <w:r w:rsidRPr="006B10C9">
              <w:rPr>
                <w:rFonts w:cs="Arial"/>
                <w:color w:val="000000" w:themeColor="text1"/>
              </w:rPr>
              <w:t>Non-Financial Assistance:</w:t>
            </w:r>
          </w:p>
          <w:p w14:paraId="530040BE" w14:textId="77777777" w:rsidR="00E26561" w:rsidRPr="006B10C9" w:rsidRDefault="00E26561" w:rsidP="00E26561">
            <w:pPr>
              <w:pStyle w:val="NormalWhite"/>
              <w:numPr>
                <w:ilvl w:val="0"/>
                <w:numId w:val="38"/>
              </w:numPr>
              <w:spacing w:before="80" w:after="80" w:line="276" w:lineRule="auto"/>
              <w:ind w:left="740" w:hanging="357"/>
              <w:jc w:val="left"/>
              <w:rPr>
                <w:rFonts w:cs="Arial"/>
                <w:color w:val="000000" w:themeColor="text1"/>
              </w:rPr>
            </w:pPr>
            <w:r w:rsidRPr="006B10C9">
              <w:rPr>
                <w:rFonts w:cs="Arial"/>
                <w:color w:val="000000" w:themeColor="text1"/>
              </w:rPr>
              <w:t>subject to approval, assistance may be granted to attend required lectures/tutorials/workshops, residential school or other mandatory attendance components or other class</w:t>
            </w:r>
            <w:r>
              <w:rPr>
                <w:rFonts w:cs="Arial"/>
                <w:color w:val="000000" w:themeColor="text1"/>
              </w:rPr>
              <w:t xml:space="preserve"> </w:t>
            </w:r>
            <w:r w:rsidRPr="006B10C9">
              <w:rPr>
                <w:rFonts w:cs="Arial"/>
                <w:color w:val="000000" w:themeColor="text1"/>
              </w:rPr>
              <w:t xml:space="preserve">based teaching activities that are only available in standard work hours for up to 50% of the required time.  The remainder of time is to be made up from the </w:t>
            </w:r>
            <w:r>
              <w:rPr>
                <w:rFonts w:cs="Arial"/>
                <w:color w:val="000000" w:themeColor="text1"/>
              </w:rPr>
              <w:t>employee</w:t>
            </w:r>
            <w:r w:rsidRPr="006B10C9">
              <w:rPr>
                <w:rFonts w:cs="Arial"/>
                <w:color w:val="000000" w:themeColor="text1"/>
              </w:rPr>
              <w:t>’s existing leave entitlements, flexi-time, unpaid leave or other acceptable arrangements.</w:t>
            </w:r>
          </w:p>
          <w:p w14:paraId="4BC0A6DE" w14:textId="77777777" w:rsidR="00E26561" w:rsidRPr="006B10C9" w:rsidRDefault="00E26561" w:rsidP="00E26561">
            <w:pPr>
              <w:pStyle w:val="NormalWhite"/>
              <w:numPr>
                <w:ilvl w:val="0"/>
                <w:numId w:val="38"/>
              </w:numPr>
              <w:spacing w:before="80" w:after="80" w:line="276" w:lineRule="auto"/>
              <w:ind w:left="740" w:hanging="357"/>
              <w:jc w:val="left"/>
              <w:rPr>
                <w:rFonts w:cs="Arial"/>
                <w:color w:val="000000" w:themeColor="text1"/>
              </w:rPr>
            </w:pPr>
            <w:r w:rsidRPr="006B10C9">
              <w:rPr>
                <w:rFonts w:cs="Arial"/>
                <w:color w:val="000000" w:themeColor="text1"/>
              </w:rPr>
              <w:t>In exceptional circumstances, the Head of Element may approve time off with pay for more than the maximum 50% standard.  Leave without pay may be available for full</w:t>
            </w:r>
            <w:r>
              <w:rPr>
                <w:rFonts w:cs="Arial"/>
                <w:color w:val="000000" w:themeColor="text1"/>
              </w:rPr>
              <w:t xml:space="preserve"> </w:t>
            </w:r>
            <w:r w:rsidRPr="006B10C9">
              <w:rPr>
                <w:rFonts w:cs="Arial"/>
                <w:color w:val="000000" w:themeColor="text1"/>
              </w:rPr>
              <w:t>time study or to complete a research based project and is to be negotiated within the Element.</w:t>
            </w:r>
          </w:p>
          <w:p w14:paraId="38CE776E" w14:textId="77777777" w:rsidR="00E26561" w:rsidRPr="006B10C9" w:rsidRDefault="00E26561" w:rsidP="00E26561">
            <w:pPr>
              <w:pStyle w:val="NormalWhite"/>
              <w:numPr>
                <w:ilvl w:val="0"/>
                <w:numId w:val="38"/>
              </w:numPr>
              <w:spacing w:before="80" w:after="80" w:line="276" w:lineRule="auto"/>
              <w:ind w:left="740" w:hanging="357"/>
              <w:jc w:val="left"/>
              <w:rPr>
                <w:rFonts w:cs="Arial"/>
                <w:color w:val="000000" w:themeColor="text1"/>
              </w:rPr>
            </w:pPr>
            <w:r>
              <w:rPr>
                <w:rFonts w:cs="Arial"/>
                <w:color w:val="000000" w:themeColor="text1"/>
              </w:rPr>
              <w:t>F</w:t>
            </w:r>
            <w:r w:rsidRPr="006B10C9">
              <w:rPr>
                <w:rFonts w:cs="Arial"/>
                <w:color w:val="000000" w:themeColor="text1"/>
              </w:rPr>
              <w:t>lexibility in working hours to accommodate attendance at lectures/tutorials/workshops, where those activities conflict with normal working hours and can be reasonably accommodated by the work unit;</w:t>
            </w:r>
          </w:p>
          <w:p w14:paraId="63C87633" w14:textId="77777777" w:rsidR="00E26561" w:rsidRPr="006B10C9" w:rsidRDefault="00E26561" w:rsidP="00E26561">
            <w:pPr>
              <w:pStyle w:val="NormalWhite"/>
              <w:numPr>
                <w:ilvl w:val="0"/>
                <w:numId w:val="38"/>
              </w:numPr>
              <w:spacing w:before="80" w:after="80" w:line="276" w:lineRule="auto"/>
              <w:ind w:left="740" w:hanging="357"/>
              <w:rPr>
                <w:rFonts w:cs="Arial"/>
                <w:color w:val="000000" w:themeColor="text1"/>
              </w:rPr>
            </w:pPr>
            <w:r>
              <w:rPr>
                <w:rFonts w:cs="Arial"/>
                <w:color w:val="000000" w:themeColor="text1"/>
              </w:rPr>
              <w:t xml:space="preserve">Utilise flexible working policy </w:t>
            </w:r>
            <w:r w:rsidRPr="006B10C9">
              <w:rPr>
                <w:rFonts w:cs="Arial"/>
                <w:color w:val="000000" w:themeColor="text1"/>
              </w:rPr>
              <w:t>for study prior to an exam or other form of compulsory assessment activity;</w:t>
            </w:r>
          </w:p>
          <w:p w14:paraId="1C6B680F" w14:textId="77777777" w:rsidR="00E26561" w:rsidRPr="006B10C9" w:rsidRDefault="00E26561" w:rsidP="00E26561">
            <w:pPr>
              <w:pStyle w:val="NormalWhite"/>
              <w:numPr>
                <w:ilvl w:val="0"/>
                <w:numId w:val="38"/>
              </w:numPr>
              <w:spacing w:before="80" w:after="80" w:line="276" w:lineRule="auto"/>
              <w:ind w:left="740" w:hanging="357"/>
              <w:rPr>
                <w:rFonts w:cs="Arial"/>
                <w:color w:val="000000" w:themeColor="text1"/>
              </w:rPr>
            </w:pPr>
            <w:r w:rsidRPr="006B10C9">
              <w:rPr>
                <w:rFonts w:cs="Arial"/>
                <w:color w:val="000000" w:themeColor="text1"/>
              </w:rPr>
              <w:t>paid work time and reasonable travel time to attend exams and/or other forms of mandatory assessment requiring attendance; and</w:t>
            </w:r>
          </w:p>
          <w:p w14:paraId="5F83BFA5" w14:textId="77777777" w:rsidR="00E26561" w:rsidRPr="006B10C9" w:rsidRDefault="00E26561" w:rsidP="00E26561">
            <w:pPr>
              <w:pStyle w:val="NormalWhite"/>
              <w:numPr>
                <w:ilvl w:val="0"/>
                <w:numId w:val="38"/>
              </w:numPr>
              <w:spacing w:before="80" w:after="80" w:line="276" w:lineRule="auto"/>
              <w:ind w:left="740" w:hanging="357"/>
              <w:rPr>
                <w:rFonts w:cs="Arial"/>
                <w:color w:val="000000" w:themeColor="text1"/>
              </w:rPr>
            </w:pPr>
            <w:r w:rsidRPr="006B10C9">
              <w:rPr>
                <w:rFonts w:cs="Arial"/>
                <w:color w:val="000000" w:themeColor="text1"/>
              </w:rPr>
              <w:t>access to reasonable computing, printing and photocopying facilities.</w:t>
            </w:r>
          </w:p>
          <w:p w14:paraId="5C5BFF9F" w14:textId="77777777" w:rsidR="00E26561" w:rsidRPr="006B10C9" w:rsidRDefault="00E26561" w:rsidP="00FD589C">
            <w:pPr>
              <w:pStyle w:val="NormalWhite"/>
              <w:spacing w:before="80" w:after="80"/>
              <w:rPr>
                <w:rFonts w:cs="Arial"/>
                <w:color w:val="000000" w:themeColor="text1"/>
              </w:rPr>
            </w:pPr>
            <w:r w:rsidRPr="006B10C9">
              <w:rPr>
                <w:rFonts w:cs="Arial"/>
                <w:color w:val="000000" w:themeColor="text1"/>
              </w:rPr>
              <w:t xml:space="preserve">In exceptional circumstances, and where the University deems a course or program of study essential to the requirements of the </w:t>
            </w:r>
            <w:r>
              <w:rPr>
                <w:rFonts w:cs="Arial"/>
                <w:color w:val="000000" w:themeColor="text1"/>
              </w:rPr>
              <w:t>employee</w:t>
            </w:r>
            <w:r w:rsidRPr="006B10C9">
              <w:rPr>
                <w:rFonts w:cs="Arial"/>
                <w:color w:val="000000" w:themeColor="text1"/>
              </w:rPr>
              <w:t xml:space="preserve">’s role, the Head of Element may forward a submission (on behalf of the </w:t>
            </w:r>
            <w:r>
              <w:rPr>
                <w:rFonts w:cs="Arial"/>
                <w:color w:val="000000" w:themeColor="text1"/>
              </w:rPr>
              <w:t>employee</w:t>
            </w:r>
            <w:r w:rsidRPr="006B10C9">
              <w:rPr>
                <w:rFonts w:cs="Arial"/>
                <w:color w:val="000000" w:themeColor="text1"/>
              </w:rPr>
              <w:t>) recommending full</w:t>
            </w:r>
            <w:r>
              <w:rPr>
                <w:rFonts w:cs="Arial"/>
                <w:color w:val="000000" w:themeColor="text1"/>
              </w:rPr>
              <w:t xml:space="preserve"> </w:t>
            </w:r>
            <w:r w:rsidRPr="006B10C9">
              <w:rPr>
                <w:rFonts w:cs="Arial"/>
                <w:color w:val="000000" w:themeColor="text1"/>
              </w:rPr>
              <w:t>time study release on full or part</w:t>
            </w:r>
            <w:r>
              <w:rPr>
                <w:rFonts w:cs="Arial"/>
                <w:color w:val="000000" w:themeColor="text1"/>
              </w:rPr>
              <w:t xml:space="preserve"> </w:t>
            </w:r>
            <w:r w:rsidRPr="006B10C9">
              <w:rPr>
                <w:rFonts w:cs="Arial"/>
                <w:color w:val="000000" w:themeColor="text1"/>
              </w:rPr>
              <w:t>pay to the re</w:t>
            </w:r>
            <w:r>
              <w:rPr>
                <w:rFonts w:cs="Arial"/>
                <w:color w:val="000000" w:themeColor="text1"/>
              </w:rPr>
              <w:t>levant Executive Group member</w:t>
            </w:r>
            <w:r w:rsidRPr="006B10C9">
              <w:rPr>
                <w:rFonts w:cs="Arial"/>
                <w:color w:val="000000" w:themeColor="text1"/>
              </w:rPr>
              <w:t xml:space="preserve"> for approval.</w:t>
            </w:r>
          </w:p>
        </w:tc>
      </w:tr>
      <w:tr w:rsidR="00E26561" w:rsidRPr="00102B8A" w14:paraId="42AB6C76" w14:textId="77777777" w:rsidTr="00A01FEC">
        <w:tc>
          <w:tcPr>
            <w:tcW w:w="672" w:type="pct"/>
            <w:shd w:val="clear" w:color="auto" w:fill="595959" w:themeFill="text1" w:themeFillTint="A6"/>
            <w:vAlign w:val="center"/>
          </w:tcPr>
          <w:p w14:paraId="1AE7C702" w14:textId="77777777" w:rsidR="00E26561" w:rsidRPr="00102B8A" w:rsidRDefault="00E26561" w:rsidP="00FD589C">
            <w:pPr>
              <w:jc w:val="center"/>
              <w:rPr>
                <w:rFonts w:cs="Arial"/>
                <w:b/>
                <w:bCs/>
                <w:color w:val="FFFFFF" w:themeColor="background1"/>
                <w:sz w:val="24"/>
                <w:szCs w:val="24"/>
              </w:rPr>
            </w:pPr>
            <w:r>
              <w:rPr>
                <w:rFonts w:cs="Arial"/>
                <w:b/>
                <w:bCs/>
                <w:color w:val="FFFFFF" w:themeColor="background1"/>
                <w:sz w:val="24"/>
                <w:szCs w:val="24"/>
              </w:rPr>
              <w:t>B</w:t>
            </w:r>
          </w:p>
        </w:tc>
        <w:tc>
          <w:tcPr>
            <w:tcW w:w="4328" w:type="pct"/>
            <w:shd w:val="clear" w:color="auto" w:fill="E6E7E8"/>
          </w:tcPr>
          <w:p w14:paraId="48CA456F" w14:textId="77777777" w:rsidR="00E26561" w:rsidRPr="001035D8" w:rsidRDefault="00E26561" w:rsidP="00FD589C">
            <w:pPr>
              <w:rPr>
                <w:rFonts w:cs="Arial"/>
              </w:rPr>
            </w:pPr>
            <w:r w:rsidRPr="001035D8">
              <w:rPr>
                <w:rFonts w:cs="Arial"/>
              </w:rPr>
              <w:t>Financial Assistance:</w:t>
            </w:r>
          </w:p>
          <w:p w14:paraId="12D68586" w14:textId="77777777" w:rsidR="00E26561" w:rsidRPr="00A80D80" w:rsidRDefault="00E26561" w:rsidP="00E26561">
            <w:pPr>
              <w:pStyle w:val="NormalWhite"/>
              <w:numPr>
                <w:ilvl w:val="0"/>
                <w:numId w:val="38"/>
              </w:numPr>
              <w:spacing w:before="80" w:after="80" w:line="276" w:lineRule="auto"/>
              <w:ind w:left="740" w:hanging="357"/>
              <w:rPr>
                <w:rFonts w:cs="Arial"/>
                <w:color w:val="000000" w:themeColor="text1"/>
              </w:rPr>
            </w:pPr>
            <w:r w:rsidRPr="00A80D80">
              <w:rPr>
                <w:rFonts w:cs="Arial"/>
                <w:color w:val="000000" w:themeColor="text1"/>
              </w:rPr>
              <w:t>maximum expenditure of $2,000 as an education allowance payment in any one year.  Preference is given to study undertaken at the University, except where the course or program of study is not offered by the University.</w:t>
            </w:r>
          </w:p>
          <w:p w14:paraId="4ACD231F" w14:textId="77777777" w:rsidR="00E26561" w:rsidRPr="001035D8" w:rsidRDefault="00E26561" w:rsidP="00FD589C">
            <w:pPr>
              <w:rPr>
                <w:rFonts w:cs="Arial"/>
              </w:rPr>
            </w:pPr>
            <w:r w:rsidRPr="001035D8">
              <w:rPr>
                <w:rFonts w:cs="Arial"/>
              </w:rPr>
              <w:t>Non-Financial Assistance:</w:t>
            </w:r>
          </w:p>
          <w:p w14:paraId="3AC93401" w14:textId="77777777" w:rsidR="00E26561" w:rsidRPr="001035D8" w:rsidRDefault="00E26561" w:rsidP="00E26561">
            <w:pPr>
              <w:pStyle w:val="NormalWhite"/>
              <w:numPr>
                <w:ilvl w:val="0"/>
                <w:numId w:val="38"/>
              </w:numPr>
              <w:spacing w:before="80" w:after="80" w:line="276" w:lineRule="auto"/>
              <w:ind w:left="740" w:hanging="357"/>
              <w:rPr>
                <w:rFonts w:cs="Arial"/>
              </w:rPr>
            </w:pPr>
            <w:r w:rsidRPr="00A80D80">
              <w:rPr>
                <w:rFonts w:cs="Arial"/>
                <w:color w:val="000000" w:themeColor="text1"/>
              </w:rPr>
              <w:t xml:space="preserve">subject to approval, assistance may be granted to attend required lectures/tutorials/workshops, residential school or other mandatory attendance components or other class-based teaching activities that are only available in standard work hours for up to 33% of the required time.  The remainder of time is to be made up from the </w:t>
            </w:r>
            <w:r>
              <w:rPr>
                <w:rFonts w:cs="Arial"/>
                <w:color w:val="000000" w:themeColor="text1"/>
              </w:rPr>
              <w:t>employee</w:t>
            </w:r>
            <w:r w:rsidRPr="00A80D80">
              <w:rPr>
                <w:rFonts w:cs="Arial"/>
                <w:color w:val="000000" w:themeColor="text1"/>
              </w:rPr>
              <w:t>’s existing leave entitlements, flexi-time, unpaid leave or other acceptable arrangements</w:t>
            </w:r>
            <w:r w:rsidRPr="001035D8">
              <w:rPr>
                <w:rFonts w:cs="Arial"/>
              </w:rPr>
              <w:t>.</w:t>
            </w:r>
          </w:p>
          <w:p w14:paraId="53DCD8BD" w14:textId="77777777" w:rsidR="00E26561" w:rsidRPr="00A80D80" w:rsidRDefault="00E26561" w:rsidP="00FD589C">
            <w:pPr>
              <w:rPr>
                <w:rFonts w:cs="Arial"/>
              </w:rPr>
            </w:pPr>
            <w:r w:rsidRPr="00A80D80">
              <w:rPr>
                <w:rFonts w:cs="Arial"/>
              </w:rPr>
              <w:lastRenderedPageBreak/>
              <w:t>Leave without pay may be available for full-time study or to complete a research-based project and is to be negotiated within the Element.</w:t>
            </w:r>
          </w:p>
          <w:p w14:paraId="5A73A459" w14:textId="77777777" w:rsidR="00E26561" w:rsidRPr="00A80D80" w:rsidRDefault="00E26561" w:rsidP="00E26561">
            <w:pPr>
              <w:pStyle w:val="NormalWhite"/>
              <w:numPr>
                <w:ilvl w:val="0"/>
                <w:numId w:val="38"/>
              </w:numPr>
              <w:spacing w:before="80" w:after="80" w:line="276" w:lineRule="auto"/>
              <w:ind w:left="740" w:hanging="357"/>
              <w:rPr>
                <w:rFonts w:cs="Arial"/>
                <w:color w:val="000000" w:themeColor="text1"/>
              </w:rPr>
            </w:pPr>
            <w:r w:rsidRPr="00A80D80">
              <w:rPr>
                <w:rFonts w:cs="Arial"/>
                <w:color w:val="000000" w:themeColor="text1"/>
              </w:rPr>
              <w:t>flexibility in working hours to accommodate attendance at lectures/tutorials/workshops, where those activities conflict with normal working hours and can be reasonably accommodated by the work unit;</w:t>
            </w:r>
          </w:p>
          <w:p w14:paraId="2174D46F" w14:textId="77777777" w:rsidR="00E26561" w:rsidRPr="00A80D80" w:rsidRDefault="00E26561" w:rsidP="00E26561">
            <w:pPr>
              <w:pStyle w:val="NormalWhite"/>
              <w:numPr>
                <w:ilvl w:val="0"/>
                <w:numId w:val="38"/>
              </w:numPr>
              <w:spacing w:before="80" w:after="80" w:line="276" w:lineRule="auto"/>
              <w:ind w:left="740" w:hanging="357"/>
              <w:rPr>
                <w:rFonts w:cs="Arial"/>
                <w:color w:val="000000" w:themeColor="text1"/>
              </w:rPr>
            </w:pPr>
            <w:r w:rsidRPr="00A80D80">
              <w:rPr>
                <w:rFonts w:cs="Arial"/>
                <w:color w:val="000000" w:themeColor="text1"/>
              </w:rPr>
              <w:t>flexi-time leave for study prior to an exam or other form of compulsory assessment activity;</w:t>
            </w:r>
          </w:p>
          <w:p w14:paraId="1A066198" w14:textId="77777777" w:rsidR="00E26561" w:rsidRPr="00A80D80" w:rsidRDefault="00E26561" w:rsidP="00E26561">
            <w:pPr>
              <w:pStyle w:val="NormalWhite"/>
              <w:numPr>
                <w:ilvl w:val="0"/>
                <w:numId w:val="38"/>
              </w:numPr>
              <w:spacing w:before="80" w:after="80" w:line="276" w:lineRule="auto"/>
              <w:ind w:left="740" w:hanging="357"/>
              <w:rPr>
                <w:rFonts w:cs="Arial"/>
                <w:color w:val="000000" w:themeColor="text1"/>
              </w:rPr>
            </w:pPr>
            <w:r w:rsidRPr="00A80D80">
              <w:rPr>
                <w:rFonts w:cs="Arial"/>
                <w:color w:val="000000" w:themeColor="text1"/>
              </w:rPr>
              <w:t>paid work time and reasonable travel time to attend exams and/or other forms of mandatory assessment requiring attendance; and</w:t>
            </w:r>
          </w:p>
          <w:p w14:paraId="01DAD1B3" w14:textId="77777777" w:rsidR="00E26561" w:rsidRPr="001035D8" w:rsidRDefault="00E26561" w:rsidP="00E26561">
            <w:pPr>
              <w:pStyle w:val="NormalWhite"/>
              <w:numPr>
                <w:ilvl w:val="0"/>
                <w:numId w:val="38"/>
              </w:numPr>
              <w:spacing w:before="80" w:after="80" w:line="276" w:lineRule="auto"/>
              <w:ind w:left="740" w:hanging="357"/>
              <w:rPr>
                <w:rFonts w:cs="Arial"/>
              </w:rPr>
            </w:pPr>
            <w:r w:rsidRPr="00A80D80">
              <w:rPr>
                <w:rFonts w:cs="Arial"/>
                <w:color w:val="000000" w:themeColor="text1"/>
              </w:rPr>
              <w:t>access to reasonable computing, printing and photocopying facilities.</w:t>
            </w:r>
          </w:p>
        </w:tc>
      </w:tr>
      <w:tr w:rsidR="00E26561" w:rsidRPr="00102B8A" w14:paraId="695F9730" w14:textId="77777777" w:rsidTr="00A01FEC">
        <w:tc>
          <w:tcPr>
            <w:tcW w:w="672" w:type="pct"/>
            <w:shd w:val="clear" w:color="auto" w:fill="595959" w:themeFill="text1" w:themeFillTint="A6"/>
            <w:vAlign w:val="center"/>
          </w:tcPr>
          <w:p w14:paraId="456CB9B2" w14:textId="77777777" w:rsidR="00E26561" w:rsidRPr="00102B8A" w:rsidRDefault="00E26561" w:rsidP="00FD589C">
            <w:pPr>
              <w:jc w:val="center"/>
              <w:rPr>
                <w:rFonts w:cs="Arial"/>
                <w:b/>
                <w:bCs/>
                <w:color w:val="FFFFFF" w:themeColor="background1"/>
                <w:sz w:val="24"/>
                <w:szCs w:val="24"/>
              </w:rPr>
            </w:pPr>
            <w:r>
              <w:rPr>
                <w:rFonts w:cs="Arial"/>
                <w:b/>
                <w:bCs/>
                <w:color w:val="FFFFFF" w:themeColor="background1"/>
                <w:sz w:val="24"/>
                <w:szCs w:val="24"/>
              </w:rPr>
              <w:lastRenderedPageBreak/>
              <w:t>C</w:t>
            </w:r>
          </w:p>
        </w:tc>
        <w:tc>
          <w:tcPr>
            <w:tcW w:w="4328" w:type="pct"/>
            <w:shd w:val="clear" w:color="auto" w:fill="auto"/>
          </w:tcPr>
          <w:p w14:paraId="771CAF70" w14:textId="77777777" w:rsidR="00E26561" w:rsidRPr="001035D8" w:rsidRDefault="00E26561" w:rsidP="00FD589C">
            <w:pPr>
              <w:rPr>
                <w:rFonts w:cs="Arial"/>
              </w:rPr>
            </w:pPr>
            <w:r w:rsidRPr="001035D8">
              <w:rPr>
                <w:rFonts w:cs="Arial"/>
              </w:rPr>
              <w:t>Financial Assistance:</w:t>
            </w:r>
          </w:p>
          <w:p w14:paraId="22834A5C" w14:textId="77777777" w:rsidR="00E26561" w:rsidRPr="008F6ABD" w:rsidRDefault="00E26561" w:rsidP="00E26561">
            <w:pPr>
              <w:pStyle w:val="NormalWhite"/>
              <w:numPr>
                <w:ilvl w:val="0"/>
                <w:numId w:val="38"/>
              </w:numPr>
              <w:spacing w:before="80" w:after="80" w:line="276" w:lineRule="auto"/>
              <w:ind w:left="740" w:hanging="357"/>
              <w:rPr>
                <w:rFonts w:cs="Arial"/>
                <w:color w:val="000000" w:themeColor="text1"/>
              </w:rPr>
            </w:pPr>
            <w:r w:rsidRPr="008F6ABD">
              <w:rPr>
                <w:rFonts w:cs="Arial"/>
                <w:color w:val="000000" w:themeColor="text1"/>
              </w:rPr>
              <w:t>maximum expenditure of $1,500 as an education allowance payment in any one year.  Preference is given to study undertaken at the University, except where the course or program of study is not offered by the University.</w:t>
            </w:r>
          </w:p>
          <w:p w14:paraId="21C869D7" w14:textId="77777777" w:rsidR="00E26561" w:rsidRPr="001035D8" w:rsidRDefault="00E26561" w:rsidP="00FD589C">
            <w:pPr>
              <w:rPr>
                <w:rFonts w:cs="Arial"/>
              </w:rPr>
            </w:pPr>
            <w:r w:rsidRPr="001035D8">
              <w:rPr>
                <w:rFonts w:cs="Arial"/>
              </w:rPr>
              <w:t>Non-Financial Assistance:</w:t>
            </w:r>
          </w:p>
          <w:p w14:paraId="20911C59" w14:textId="77777777" w:rsidR="00E26561" w:rsidRPr="008F6ABD" w:rsidRDefault="00E26561" w:rsidP="00E26561">
            <w:pPr>
              <w:pStyle w:val="NormalWhite"/>
              <w:numPr>
                <w:ilvl w:val="0"/>
                <w:numId w:val="38"/>
              </w:numPr>
              <w:spacing w:before="80" w:after="80" w:line="276" w:lineRule="auto"/>
              <w:ind w:left="740" w:hanging="357"/>
              <w:rPr>
                <w:rFonts w:cs="Arial"/>
                <w:color w:val="000000" w:themeColor="text1"/>
              </w:rPr>
            </w:pPr>
            <w:r w:rsidRPr="008F6ABD">
              <w:rPr>
                <w:rFonts w:cs="Arial"/>
                <w:color w:val="000000" w:themeColor="text1"/>
              </w:rPr>
              <w:t>approved leave (either with or without pay) to attend lectures/workshops/tutorials, residential school or other mandatory attendance components for up to three hours per week or by negotiation for longer periods;</w:t>
            </w:r>
          </w:p>
          <w:p w14:paraId="79F9417E" w14:textId="77777777" w:rsidR="00E26561" w:rsidRPr="008F6ABD" w:rsidRDefault="00E26561" w:rsidP="00E26561">
            <w:pPr>
              <w:pStyle w:val="NormalWhite"/>
              <w:numPr>
                <w:ilvl w:val="0"/>
                <w:numId w:val="38"/>
              </w:numPr>
              <w:spacing w:before="80" w:after="80" w:line="276" w:lineRule="auto"/>
              <w:ind w:left="740" w:hanging="357"/>
              <w:rPr>
                <w:rFonts w:cs="Arial"/>
                <w:color w:val="000000" w:themeColor="text1"/>
              </w:rPr>
            </w:pPr>
            <w:r w:rsidRPr="008F6ABD">
              <w:rPr>
                <w:rFonts w:cs="Arial"/>
                <w:color w:val="000000" w:themeColor="text1"/>
              </w:rPr>
              <w:t>flexibility in working hours to accommodate attendance at teaching and assessment activities that require attendance;</w:t>
            </w:r>
          </w:p>
          <w:p w14:paraId="6A5283B2" w14:textId="77777777" w:rsidR="00E26561" w:rsidRPr="008F6ABD" w:rsidRDefault="00E26561" w:rsidP="00E26561">
            <w:pPr>
              <w:pStyle w:val="NormalWhite"/>
              <w:numPr>
                <w:ilvl w:val="0"/>
                <w:numId w:val="38"/>
              </w:numPr>
              <w:spacing w:before="80" w:after="80" w:line="276" w:lineRule="auto"/>
              <w:ind w:left="740" w:hanging="357"/>
              <w:rPr>
                <w:rFonts w:cs="Arial"/>
                <w:color w:val="000000" w:themeColor="text1"/>
              </w:rPr>
            </w:pPr>
            <w:r w:rsidRPr="008F6ABD">
              <w:rPr>
                <w:rFonts w:cs="Arial"/>
                <w:color w:val="000000" w:themeColor="text1"/>
              </w:rPr>
              <w:t>flexi-time leave for study prior to an exam or other form of compulsory assessment activity;</w:t>
            </w:r>
          </w:p>
          <w:p w14:paraId="7A93267E" w14:textId="77777777" w:rsidR="00E26561" w:rsidRPr="008F6ABD" w:rsidRDefault="00E26561" w:rsidP="00E26561">
            <w:pPr>
              <w:pStyle w:val="NormalWhite"/>
              <w:numPr>
                <w:ilvl w:val="0"/>
                <w:numId w:val="38"/>
              </w:numPr>
              <w:spacing w:before="80" w:after="80" w:line="276" w:lineRule="auto"/>
              <w:ind w:left="740" w:hanging="357"/>
              <w:rPr>
                <w:rFonts w:cs="Arial"/>
                <w:color w:val="000000" w:themeColor="text1"/>
              </w:rPr>
            </w:pPr>
            <w:r w:rsidRPr="008F6ABD">
              <w:rPr>
                <w:rFonts w:cs="Arial"/>
                <w:color w:val="000000" w:themeColor="text1"/>
              </w:rPr>
              <w:t>paid work time and reasonable travel time to attend exams and/or other forms of mandatory assessment requiring attendance; and</w:t>
            </w:r>
          </w:p>
          <w:p w14:paraId="7A38A003" w14:textId="77777777" w:rsidR="00E26561" w:rsidRPr="001035D8" w:rsidRDefault="00E26561" w:rsidP="00E26561">
            <w:pPr>
              <w:pStyle w:val="NormalWhite"/>
              <w:numPr>
                <w:ilvl w:val="0"/>
                <w:numId w:val="38"/>
              </w:numPr>
              <w:spacing w:before="80" w:after="80" w:line="276" w:lineRule="auto"/>
              <w:ind w:left="740" w:hanging="357"/>
              <w:rPr>
                <w:rFonts w:cs="Arial"/>
              </w:rPr>
            </w:pPr>
            <w:r w:rsidRPr="008F6ABD">
              <w:rPr>
                <w:rFonts w:cs="Arial"/>
                <w:color w:val="000000" w:themeColor="text1"/>
              </w:rPr>
              <w:t>limited access to reasonable computing, printing and photocopying facilities.</w:t>
            </w:r>
          </w:p>
        </w:tc>
      </w:tr>
    </w:tbl>
    <w:p w14:paraId="06531B6F" w14:textId="012A136A" w:rsidR="00BB5064" w:rsidRPr="001520D3" w:rsidRDefault="00BB5064" w:rsidP="00BB5064">
      <w:pPr>
        <w:pStyle w:val="Heading3"/>
        <w:ind w:left="567"/>
        <w:rPr>
          <w:rFonts w:ascii="Griffith Sans Text" w:hAnsi="Griffith Sans Text"/>
        </w:rPr>
      </w:pPr>
      <w:bookmarkStart w:id="9" w:name="_3.4_Educational_Assistance"/>
      <w:bookmarkEnd w:id="9"/>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sidR="00E26561" w:rsidRPr="00AC3763">
        <w:t>E</w:t>
      </w:r>
      <w:r w:rsidR="00E26561">
        <w:t>ducational Assistance Allowance Payments</w:t>
      </w:r>
    </w:p>
    <w:p w14:paraId="2146994A" w14:textId="77777777" w:rsidR="00E26561" w:rsidRDefault="00E26561" w:rsidP="00E26561">
      <w:pPr>
        <w:pStyle w:val="NormalSubheading"/>
      </w:pPr>
      <w:r>
        <w:t>An approved educational assistance allowance is paid to an employee as a one-off payment after the census date (each semester or trimester) of an approved course or program of study.  Human Resources (payroll@griffith.edu.au) is responsible for processing approved educational assistance allowance payments (except for course or program fees which are managed under an Internal Scholarship/Sponsorship via Finance.</w:t>
      </w:r>
    </w:p>
    <w:p w14:paraId="2C735F36" w14:textId="77777777" w:rsidR="00E26561" w:rsidRDefault="00E26561" w:rsidP="00E26561">
      <w:pPr>
        <w:pStyle w:val="NormalSubheading"/>
      </w:pPr>
      <w:r>
        <w:t>The University does not require the production of invoices or receipts associated with a course or program of study in order to pay the approved education allowance, except in the case of Category A approvals where the University may be paying part or full fees for a course or program of study offered at the University or elsewhere.</w:t>
      </w:r>
    </w:p>
    <w:p w14:paraId="229A7832" w14:textId="61185E5A" w:rsidR="00BB5064" w:rsidRPr="004922AF" w:rsidRDefault="00E26561" w:rsidP="00E26561">
      <w:pPr>
        <w:pStyle w:val="NormalSubheading"/>
      </w:pPr>
      <w:r>
        <w:t>In the event that an employee is transferred to another budget element during the course of their approved educational assistance allowance, they will continue to have the financial component of their approval met by the approving budget element until the expiry of approval.  The employee will be required to negotiate the non-financial assistance requirements with the new budget area prior to, or at the time of, transfer.</w:t>
      </w:r>
    </w:p>
    <w:p w14:paraId="5EB8F927" w14:textId="418EF0AB" w:rsidR="00A144B2" w:rsidRPr="00237AB3" w:rsidRDefault="007418A5" w:rsidP="00CA6AC5">
      <w:pPr>
        <w:pStyle w:val="Heading2"/>
        <w:rPr>
          <w:rFonts w:ascii="Griffith Sans Text" w:hAnsi="Griffith Sans Text"/>
        </w:rPr>
      </w:pPr>
      <w:bookmarkStart w:id="10" w:name="_4.0_Roles,_responsibilities"/>
      <w:bookmarkStart w:id="11" w:name="_5.0_Definitions"/>
      <w:bookmarkStart w:id="12" w:name="_4.0_Definitions"/>
      <w:bookmarkEnd w:id="10"/>
      <w:bookmarkEnd w:id="11"/>
      <w:bookmarkEnd w:id="12"/>
      <w:r w:rsidRPr="00237AB3">
        <w:rPr>
          <w:rFonts w:ascii="Griffith Sans Text" w:hAnsi="Griffith Sans Text"/>
        </w:rPr>
        <w:lastRenderedPageBreak/>
        <w:t>4</w:t>
      </w:r>
      <w:r w:rsidR="00A144B2" w:rsidRPr="00237AB3">
        <w:rPr>
          <w:rFonts w:ascii="Griffith Sans Text" w:hAnsi="Griffith Sans Text"/>
        </w:rPr>
        <w:t>.0 Definitions</w:t>
      </w:r>
    </w:p>
    <w:p w14:paraId="73AD60C8" w14:textId="77777777" w:rsidR="0004048C" w:rsidRPr="0016099E" w:rsidRDefault="0004048C" w:rsidP="0004048C">
      <w:pPr>
        <w:pStyle w:val="paragraph"/>
        <w:spacing w:before="0" w:beforeAutospacing="0" w:after="120" w:afterAutospacing="0"/>
        <w:jc w:val="both"/>
        <w:textAlignment w:val="baseline"/>
        <w:rPr>
          <w:rFonts w:ascii="Segoe UI" w:hAnsi="Segoe UI" w:cs="Segoe UI"/>
          <w:sz w:val="20"/>
          <w:szCs w:val="20"/>
        </w:rPr>
      </w:pPr>
      <w:r w:rsidRPr="0016099E">
        <w:rPr>
          <w:rStyle w:val="normaltextrun"/>
          <w:rFonts w:ascii="Arial" w:hAnsi="Arial" w:cs="Arial"/>
          <w:b/>
          <w:bCs/>
          <w:sz w:val="20"/>
          <w:szCs w:val="20"/>
        </w:rPr>
        <w:t xml:space="preserve">Continuing Appointment </w:t>
      </w:r>
      <w:r w:rsidRPr="0016099E">
        <w:rPr>
          <w:rStyle w:val="normaltextrun"/>
          <w:rFonts w:ascii="Arial" w:hAnsi="Arial" w:cs="Arial"/>
          <w:sz w:val="20"/>
          <w:szCs w:val="20"/>
        </w:rPr>
        <w:t>is employment with the University that is not continuing (contingent funded), fixed term or casual and may be subject to the successful completion of a probationary period.</w:t>
      </w:r>
      <w:r w:rsidRPr="0016099E">
        <w:rPr>
          <w:rStyle w:val="eop"/>
          <w:rFonts w:ascii="Arial" w:hAnsi="Arial" w:cs="Arial"/>
          <w:sz w:val="20"/>
          <w:szCs w:val="20"/>
        </w:rPr>
        <w:t> </w:t>
      </w:r>
    </w:p>
    <w:p w14:paraId="5D66CD05" w14:textId="77777777" w:rsidR="0004048C" w:rsidRPr="0016099E" w:rsidRDefault="0004048C" w:rsidP="0004048C">
      <w:pPr>
        <w:pStyle w:val="paragraph"/>
        <w:spacing w:before="0" w:beforeAutospacing="0" w:after="120" w:afterAutospacing="0"/>
        <w:jc w:val="both"/>
        <w:textAlignment w:val="baseline"/>
        <w:rPr>
          <w:rFonts w:ascii="Segoe UI" w:hAnsi="Segoe UI" w:cs="Segoe UI"/>
          <w:sz w:val="20"/>
          <w:szCs w:val="20"/>
        </w:rPr>
      </w:pPr>
      <w:r w:rsidRPr="0016099E">
        <w:rPr>
          <w:rStyle w:val="normaltextrun"/>
          <w:rFonts w:ascii="Arial" w:hAnsi="Arial" w:cs="Arial"/>
          <w:b/>
          <w:bCs/>
          <w:sz w:val="20"/>
          <w:szCs w:val="20"/>
        </w:rPr>
        <w:t xml:space="preserve">Fixed Term Appointment </w:t>
      </w:r>
      <w:r w:rsidRPr="0016099E">
        <w:rPr>
          <w:rStyle w:val="normaltextrun"/>
          <w:rFonts w:ascii="Arial" w:hAnsi="Arial" w:cs="Arial"/>
          <w:sz w:val="20"/>
          <w:szCs w:val="20"/>
        </w:rPr>
        <w:t>is an appointment made for a specified term or ascertainable period for which the employment contract will specify the starting and finishing dates of that employment. </w:t>
      </w:r>
      <w:r w:rsidRPr="0016099E">
        <w:rPr>
          <w:rStyle w:val="eop"/>
          <w:rFonts w:ascii="Arial" w:hAnsi="Arial" w:cs="Arial"/>
          <w:sz w:val="20"/>
          <w:szCs w:val="20"/>
        </w:rPr>
        <w:t> </w:t>
      </w:r>
    </w:p>
    <w:p w14:paraId="4BD4161A" w14:textId="77777777" w:rsidR="0004048C" w:rsidRPr="0016099E" w:rsidRDefault="0004048C" w:rsidP="0004048C">
      <w:pPr>
        <w:pStyle w:val="paragraph"/>
        <w:spacing w:before="0" w:beforeAutospacing="0" w:after="120" w:afterAutospacing="0"/>
        <w:ind w:right="75"/>
        <w:jc w:val="both"/>
        <w:textAlignment w:val="baseline"/>
        <w:rPr>
          <w:rFonts w:ascii="Segoe UI" w:hAnsi="Segoe UI" w:cs="Segoe UI"/>
          <w:sz w:val="20"/>
          <w:szCs w:val="20"/>
        </w:rPr>
      </w:pPr>
      <w:r w:rsidRPr="0016099E">
        <w:rPr>
          <w:rStyle w:val="normaltextrun"/>
          <w:rFonts w:ascii="Arial" w:hAnsi="Arial" w:cs="Arial"/>
          <w:b/>
          <w:bCs/>
          <w:sz w:val="20"/>
          <w:szCs w:val="20"/>
        </w:rPr>
        <w:t>Head of Element</w:t>
      </w:r>
      <w:r w:rsidRPr="0016099E">
        <w:rPr>
          <w:rStyle w:val="normaltextrun"/>
          <w:rFonts w:ascii="Arial" w:hAnsi="Arial" w:cs="Arial"/>
          <w:sz w:val="20"/>
          <w:szCs w:val="20"/>
        </w:rPr>
        <w:t xml:space="preserve"> means a position that is the designated head of an organisational unit in the University, for example, Head of School or Director of an administrative division. </w:t>
      </w:r>
      <w:r w:rsidRPr="0016099E">
        <w:rPr>
          <w:rStyle w:val="eop"/>
          <w:rFonts w:ascii="Arial" w:hAnsi="Arial" w:cs="Arial"/>
          <w:sz w:val="20"/>
          <w:szCs w:val="20"/>
        </w:rPr>
        <w:t> </w:t>
      </w:r>
    </w:p>
    <w:p w14:paraId="76E3540E" w14:textId="2260C2C2" w:rsidR="00B42BD2" w:rsidRPr="004922AF" w:rsidRDefault="0004048C" w:rsidP="0004048C">
      <w:pPr>
        <w:rPr>
          <w:rFonts w:cs="Arial"/>
        </w:rPr>
      </w:pPr>
      <w:r w:rsidRPr="0016099E">
        <w:rPr>
          <w:rStyle w:val="normaltextrun"/>
          <w:rFonts w:cs="Arial"/>
          <w:b/>
          <w:bCs/>
          <w:sz w:val="20"/>
          <w:szCs w:val="20"/>
        </w:rPr>
        <w:t>Relevant Senior Officer</w:t>
      </w:r>
      <w:r w:rsidRPr="0016099E">
        <w:rPr>
          <w:rStyle w:val="normaltextrun"/>
          <w:rFonts w:cs="Arial"/>
          <w:sz w:val="20"/>
          <w:szCs w:val="20"/>
        </w:rPr>
        <w:t xml:space="preserve"> means an officer of the University that has an authority to exercise a delegation or act on behalf of the University.</w:t>
      </w:r>
    </w:p>
    <w:p w14:paraId="688A41E7" w14:textId="77777777" w:rsidR="00EA6334" w:rsidRDefault="00EA6334" w:rsidP="004922AF">
      <w:pPr>
        <w:rPr>
          <w:rFonts w:cs="Arial"/>
          <w:b/>
          <w:bCs/>
          <w:highlight w:val="yellow"/>
        </w:rPr>
      </w:pPr>
    </w:p>
    <w:p w14:paraId="2005D636" w14:textId="537D34D2" w:rsidR="00B42BD2" w:rsidRPr="004922AF" w:rsidRDefault="002F3C8B" w:rsidP="004922AF">
      <w:pPr>
        <w:rPr>
          <w:rFonts w:cs="Arial"/>
          <w:b/>
          <w:bCs/>
        </w:rPr>
      </w:pPr>
      <w:r w:rsidRPr="00EA6334">
        <w:rPr>
          <w:rFonts w:cs="Arial"/>
          <w:b/>
          <w:bCs/>
        </w:rPr>
        <w:t xml:space="preserve">For advice and support contact </w:t>
      </w:r>
      <w:hyperlink r:id="rId10" w:history="1">
        <w:r w:rsidR="00343D34" w:rsidRPr="00EA6334">
          <w:rPr>
            <w:rStyle w:val="Hyperlink"/>
            <w:rFonts w:cs="Arial"/>
            <w:b/>
            <w:bCs/>
          </w:rPr>
          <w:t>policy@griffith.edu.au</w:t>
        </w:r>
      </w:hyperlink>
      <w:r w:rsidR="00343D34" w:rsidRPr="00EA6334">
        <w:rPr>
          <w:rFonts w:cs="Arial"/>
          <w:b/>
          <w:bCs/>
        </w:rPr>
        <w:t xml:space="preserve"> f</w:t>
      </w:r>
      <w:r w:rsidRPr="00EA6334">
        <w:rPr>
          <w:rFonts w:cs="Arial"/>
          <w:b/>
          <w:bCs/>
        </w:rPr>
        <w:t>or Governance and Operational policy documents</w:t>
      </w:r>
      <w:r w:rsidR="00EA6334" w:rsidRPr="00EA6334">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13" w:name="_6.0_Information"/>
      <w:bookmarkStart w:id="14" w:name="_5.0_Information"/>
      <w:bookmarkEnd w:id="13"/>
      <w:bookmarkEnd w:id="14"/>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rFonts w:cs="Arial"/>
                <w:szCs w:val="28"/>
              </w:rPr>
            </w:pPr>
            <w:bookmarkStart w:id="15" w:name="_Hlk158185492"/>
            <w:r w:rsidRPr="004922AF">
              <w:rPr>
                <w:rFonts w:cs="Arial"/>
                <w:szCs w:val="28"/>
              </w:rPr>
              <w:t>Title</w:t>
            </w:r>
          </w:p>
        </w:tc>
        <w:tc>
          <w:tcPr>
            <w:tcW w:w="7147" w:type="dxa"/>
          </w:tcPr>
          <w:p w14:paraId="19EA923A" w14:textId="70DC7057" w:rsidR="00786706" w:rsidRPr="004922AF" w:rsidRDefault="0004048C" w:rsidP="004922AF">
            <w:pPr>
              <w:rPr>
                <w:rFonts w:cs="Arial"/>
                <w:szCs w:val="28"/>
                <w:lang w:val="en-GB"/>
              </w:rPr>
            </w:pPr>
            <w:r w:rsidRPr="0004048C">
              <w:rPr>
                <w:rFonts w:cs="Arial"/>
                <w:szCs w:val="28"/>
              </w:rPr>
              <w:t>Professional Employee Educational Assistance Scheme</w:t>
            </w:r>
            <w:r w:rsidR="0099291B">
              <w:rPr>
                <w:rFonts w:cs="Arial"/>
                <w:szCs w:val="28"/>
              </w:rPr>
              <w:t xml:space="preserve"> Procedure</w:t>
            </w:r>
          </w:p>
        </w:tc>
      </w:tr>
      <w:tr w:rsidR="00786706" w14:paraId="66D4D4A1" w14:textId="77777777" w:rsidTr="006721EA">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614E1055" w:rsidR="00786706" w:rsidRPr="004922AF" w:rsidRDefault="0004048C" w:rsidP="004922AF">
            <w:pPr>
              <w:rPr>
                <w:rFonts w:cs="Arial"/>
                <w:szCs w:val="28"/>
                <w:lang w:val="en-GB"/>
              </w:rPr>
            </w:pPr>
            <w:r w:rsidRPr="0004048C">
              <w:rPr>
                <w:rFonts w:cs="Arial"/>
                <w:szCs w:val="28"/>
              </w:rPr>
              <w:t>2023/0001224</w:t>
            </w:r>
          </w:p>
        </w:tc>
      </w:tr>
      <w:tr w:rsidR="00786706" w14:paraId="66BCD115" w14:textId="77777777" w:rsidTr="006721EA">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44CFDF90" w:rsidR="00786706" w:rsidRPr="004922AF" w:rsidRDefault="0004048C" w:rsidP="004922AF">
            <w:pPr>
              <w:rPr>
                <w:rFonts w:cs="Arial"/>
                <w:szCs w:val="28"/>
                <w:lang w:val="en-GB"/>
              </w:rPr>
            </w:pPr>
            <w:r w:rsidRPr="0004048C">
              <w:rPr>
                <w:rFonts w:cs="Arial"/>
                <w:szCs w:val="28"/>
              </w:rPr>
              <w:t>This procedure outlines information for employee, managers and Heads of Element in relation to the educational assistance program including the categories of educational assistance and the types of assistance (financial and non-financial) that may be available.</w:t>
            </w:r>
          </w:p>
        </w:tc>
      </w:tr>
      <w:tr w:rsidR="00786706" w14:paraId="625A2530" w14:textId="77777777" w:rsidTr="006721EA">
        <w:tc>
          <w:tcPr>
            <w:tcW w:w="2943" w:type="dxa"/>
          </w:tcPr>
          <w:p w14:paraId="74ADF083" w14:textId="20B8679F" w:rsidR="00786706" w:rsidRPr="004922AF" w:rsidRDefault="00786706" w:rsidP="004922AF">
            <w:pPr>
              <w:rPr>
                <w:rFonts w:cs="Arial"/>
                <w:szCs w:val="28"/>
              </w:rPr>
            </w:pPr>
            <w:r w:rsidRPr="004922A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74D57EE9" w:rsidR="00786706" w:rsidRPr="004922AF" w:rsidRDefault="0004048C" w:rsidP="004922AF">
                <w:pPr>
                  <w:rPr>
                    <w:rFonts w:cs="Arial"/>
                    <w:szCs w:val="28"/>
                  </w:rPr>
                </w:pPr>
                <w:r>
                  <w:rPr>
                    <w:rFonts w:cs="Arial"/>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C3C5474" w:rsidR="00786706" w:rsidRPr="004922AF" w:rsidRDefault="00EA6334" w:rsidP="004922A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rPr>
                <w:rFonts w:cs="Arial"/>
                <w:szCs w:val="28"/>
              </w:rPr>
            </w:pPr>
            <w:r w:rsidRPr="004922A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74A3BED1" w:rsidR="007512F5" w:rsidRPr="004922AF" w:rsidRDefault="0004048C" w:rsidP="00EA6334">
                <w:pPr>
                  <w:rPr>
                    <w:rFonts w:cs="Arial"/>
                    <w:szCs w:val="28"/>
                    <w:lang w:val="en-GB"/>
                  </w:rPr>
                </w:pPr>
                <w:r>
                  <w:rPr>
                    <w:rFonts w:cs="Arial"/>
                    <w:szCs w:val="28"/>
                    <w:lang w:val="en-GB"/>
                  </w:rPr>
                  <w:t>Staff</w:t>
                </w:r>
              </w:p>
            </w:sdtContent>
          </w:sdt>
        </w:tc>
      </w:tr>
      <w:tr w:rsidR="00A57044" w14:paraId="1DD394A7" w14:textId="77777777" w:rsidTr="006721EA">
        <w:tc>
          <w:tcPr>
            <w:tcW w:w="2943" w:type="dxa"/>
          </w:tcPr>
          <w:p w14:paraId="4CDE964B" w14:textId="68F552EF" w:rsidR="00A57044" w:rsidRPr="004922AF" w:rsidRDefault="0046665F" w:rsidP="004922AF">
            <w:pPr>
              <w:rPr>
                <w:rFonts w:cs="Arial"/>
                <w:szCs w:val="28"/>
              </w:rPr>
            </w:pPr>
            <w:r w:rsidRPr="004922AF">
              <w:rPr>
                <w:rFonts w:cs="Arial"/>
                <w:szCs w:val="28"/>
              </w:rPr>
              <w:t>UN Sustainable Development Goals (SDGs)</w:t>
            </w:r>
          </w:p>
        </w:tc>
        <w:tc>
          <w:tcPr>
            <w:tcW w:w="7147" w:type="dxa"/>
          </w:tcPr>
          <w:p w14:paraId="68B0A012" w14:textId="77777777" w:rsidR="00A57044" w:rsidRPr="004922AF" w:rsidRDefault="008239FE" w:rsidP="004922AF">
            <w:pPr>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2775960" w:rsidR="00067836" w:rsidRPr="004922AF" w:rsidRDefault="00EA6334" w:rsidP="004922AF">
                <w:pPr>
                  <w:rPr>
                    <w:rFonts w:cs="Arial"/>
                    <w:szCs w:val="28"/>
                  </w:rPr>
                </w:pPr>
                <w:r>
                  <w:rPr>
                    <w:rFonts w:cs="Arial"/>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rPr>
                <w:rFonts w:cs="Arial"/>
                <w:szCs w:val="28"/>
              </w:rPr>
            </w:pPr>
            <w:r w:rsidRPr="004922AF">
              <w:rPr>
                <w:rFonts w:cs="Arial"/>
                <w:szCs w:val="28"/>
              </w:rPr>
              <w:t>Approval date</w:t>
            </w:r>
          </w:p>
        </w:tc>
        <w:tc>
          <w:tcPr>
            <w:tcW w:w="7147" w:type="dxa"/>
          </w:tcPr>
          <w:p w14:paraId="194B217B" w14:textId="0DBBD413" w:rsidR="00786706" w:rsidRPr="004922AF" w:rsidRDefault="0004048C" w:rsidP="004922AF">
            <w:pPr>
              <w:rPr>
                <w:rFonts w:cs="Arial"/>
                <w:szCs w:val="28"/>
              </w:rPr>
            </w:pPr>
            <w:r>
              <w:rPr>
                <w:rFonts w:cs="Arial"/>
                <w:szCs w:val="28"/>
              </w:rPr>
              <w:t xml:space="preserve">7 December </w:t>
            </w:r>
            <w:r w:rsidR="00EA6334">
              <w:rPr>
                <w:rFonts w:cs="Arial"/>
                <w:szCs w:val="28"/>
              </w:rPr>
              <w:t>2023</w:t>
            </w:r>
          </w:p>
        </w:tc>
      </w:tr>
      <w:tr w:rsidR="00786706" w14:paraId="2AB5E63B" w14:textId="77777777" w:rsidTr="006721EA">
        <w:tc>
          <w:tcPr>
            <w:tcW w:w="2943" w:type="dxa"/>
          </w:tcPr>
          <w:p w14:paraId="64F617D1" w14:textId="7CF14029" w:rsidR="00786706" w:rsidRPr="004922AF" w:rsidRDefault="00786706" w:rsidP="004922AF">
            <w:pPr>
              <w:rPr>
                <w:rFonts w:cs="Arial"/>
                <w:szCs w:val="28"/>
              </w:rPr>
            </w:pPr>
            <w:r w:rsidRPr="004922AF">
              <w:rPr>
                <w:rFonts w:cs="Arial"/>
                <w:szCs w:val="28"/>
              </w:rPr>
              <w:t>Effective date</w:t>
            </w:r>
          </w:p>
        </w:tc>
        <w:tc>
          <w:tcPr>
            <w:tcW w:w="7147" w:type="dxa"/>
          </w:tcPr>
          <w:p w14:paraId="4FFCA795" w14:textId="03C1FC84" w:rsidR="00786706" w:rsidRPr="004922AF" w:rsidRDefault="0004048C" w:rsidP="004922AF">
            <w:pPr>
              <w:rPr>
                <w:rFonts w:cs="Arial"/>
                <w:szCs w:val="28"/>
              </w:rPr>
            </w:pPr>
            <w:r>
              <w:rPr>
                <w:rFonts w:cs="Arial"/>
                <w:szCs w:val="28"/>
              </w:rPr>
              <w:t xml:space="preserve">7 December </w:t>
            </w:r>
            <w:r w:rsidR="00EA6334">
              <w:rPr>
                <w:rFonts w:cs="Arial"/>
                <w:szCs w:val="28"/>
              </w:rPr>
              <w:t>2023</w:t>
            </w:r>
          </w:p>
        </w:tc>
      </w:tr>
      <w:tr w:rsidR="00786706" w14:paraId="6F3FFE23" w14:textId="77777777" w:rsidTr="006721EA">
        <w:tc>
          <w:tcPr>
            <w:tcW w:w="2943" w:type="dxa"/>
          </w:tcPr>
          <w:p w14:paraId="6FF0BF57" w14:textId="3ECF3A96" w:rsidR="00786706" w:rsidRPr="004922AF" w:rsidRDefault="00786706" w:rsidP="004922AF">
            <w:pPr>
              <w:rPr>
                <w:rFonts w:cs="Arial"/>
                <w:szCs w:val="28"/>
              </w:rPr>
            </w:pPr>
            <w:r w:rsidRPr="004922AF">
              <w:rPr>
                <w:rFonts w:cs="Arial"/>
                <w:szCs w:val="28"/>
              </w:rPr>
              <w:t>Review date</w:t>
            </w:r>
          </w:p>
        </w:tc>
        <w:tc>
          <w:tcPr>
            <w:tcW w:w="7147" w:type="dxa"/>
          </w:tcPr>
          <w:p w14:paraId="01E953C9" w14:textId="36659820" w:rsidR="00786706" w:rsidRPr="004922AF" w:rsidRDefault="00EA6334" w:rsidP="004922AF">
            <w:pPr>
              <w:rPr>
                <w:rFonts w:cs="Arial"/>
                <w:szCs w:val="28"/>
              </w:rPr>
            </w:pPr>
            <w:r>
              <w:rPr>
                <w:rFonts w:cs="Arial"/>
                <w:szCs w:val="28"/>
              </w:rPr>
              <w:t>20</w:t>
            </w:r>
            <w:r w:rsidR="0004048C">
              <w:rPr>
                <w:rFonts w:cs="Arial"/>
                <w:szCs w:val="28"/>
              </w:rPr>
              <w:t>26</w:t>
            </w:r>
          </w:p>
        </w:tc>
      </w:tr>
      <w:tr w:rsidR="00786706" w14:paraId="3BDD3607" w14:textId="77777777" w:rsidTr="006721EA">
        <w:tc>
          <w:tcPr>
            <w:tcW w:w="2943" w:type="dxa"/>
          </w:tcPr>
          <w:p w14:paraId="12FCF114" w14:textId="4AD0B255" w:rsidR="00786706" w:rsidRPr="004922AF" w:rsidRDefault="00786706" w:rsidP="004922AF">
            <w:pPr>
              <w:rPr>
                <w:rFonts w:cs="Arial"/>
                <w:szCs w:val="28"/>
              </w:rPr>
            </w:pPr>
            <w:r w:rsidRPr="004922AF">
              <w:rPr>
                <w:rFonts w:cs="Arial"/>
                <w:szCs w:val="28"/>
              </w:rPr>
              <w:t>Policy advisor</w:t>
            </w:r>
          </w:p>
        </w:tc>
        <w:tc>
          <w:tcPr>
            <w:tcW w:w="7147" w:type="dxa"/>
          </w:tcPr>
          <w:p w14:paraId="0CB94D75" w14:textId="46A5D730" w:rsidR="00786706" w:rsidRPr="004922AF" w:rsidRDefault="0004048C" w:rsidP="004922AF">
            <w:pPr>
              <w:rPr>
                <w:rFonts w:cs="Arial"/>
                <w:szCs w:val="28"/>
              </w:rPr>
            </w:pPr>
            <w:r w:rsidRPr="0004048C">
              <w:rPr>
                <w:rFonts w:cs="Arial"/>
                <w:szCs w:val="28"/>
              </w:rPr>
              <w:t>Head of Capability and Development</w:t>
            </w:r>
          </w:p>
        </w:tc>
      </w:tr>
      <w:tr w:rsidR="00786706" w14:paraId="49179DFF" w14:textId="77777777" w:rsidTr="006721EA">
        <w:tc>
          <w:tcPr>
            <w:tcW w:w="2943" w:type="dxa"/>
          </w:tcPr>
          <w:p w14:paraId="1B0442C2" w14:textId="61E06347" w:rsidR="00786706" w:rsidRPr="004922AF" w:rsidRDefault="00786706" w:rsidP="004922AF">
            <w:pPr>
              <w:rPr>
                <w:rFonts w:cs="Arial"/>
                <w:szCs w:val="28"/>
              </w:rPr>
            </w:pPr>
            <w:r w:rsidRPr="004922AF">
              <w:rPr>
                <w:rFonts w:cs="Arial"/>
                <w:szCs w:val="28"/>
              </w:rPr>
              <w:t>Approving authority</w:t>
            </w:r>
          </w:p>
        </w:tc>
        <w:tc>
          <w:tcPr>
            <w:tcW w:w="7147" w:type="dxa"/>
          </w:tcPr>
          <w:p w14:paraId="0D81D6BC" w14:textId="5BA635B6" w:rsidR="00786706" w:rsidRPr="004922AF" w:rsidRDefault="00EA6334" w:rsidP="004922AF">
            <w:pPr>
              <w:rPr>
                <w:rFonts w:cs="Arial"/>
                <w:szCs w:val="28"/>
              </w:rPr>
            </w:pPr>
            <w:r>
              <w:rPr>
                <w:rFonts w:cs="Arial"/>
                <w:szCs w:val="28"/>
              </w:rPr>
              <w:t xml:space="preserve">Director, Human Resources </w:t>
            </w:r>
          </w:p>
        </w:tc>
      </w:tr>
      <w:bookmarkEnd w:id="15"/>
    </w:tbl>
    <w:p w14:paraId="07DD10BA" w14:textId="0FA127FA" w:rsidR="00811F90" w:rsidRDefault="00811F90">
      <w:pPr>
        <w:rPr>
          <w:rFonts w:cs="Arial"/>
          <w:sz w:val="20"/>
          <w:szCs w:val="20"/>
        </w:rPr>
      </w:pPr>
    </w:p>
    <w:p w14:paraId="605F990D" w14:textId="015915AF" w:rsidR="00C22059" w:rsidRPr="00237AB3" w:rsidRDefault="007418A5" w:rsidP="00CA6AC5">
      <w:pPr>
        <w:pStyle w:val="Heading2"/>
        <w:rPr>
          <w:rFonts w:ascii="Griffith Sans Text" w:hAnsi="Griffith Sans Text"/>
        </w:rPr>
      </w:pPr>
      <w:bookmarkStart w:id="16" w:name="_7.0_Related_Policy"/>
      <w:bookmarkStart w:id="17" w:name="_6.0_Related_Policy"/>
      <w:bookmarkEnd w:id="16"/>
      <w:bookmarkEnd w:id="17"/>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1D95EE8D" w14:textId="3559AC3F" w:rsidR="00746A0E" w:rsidRPr="004922AF" w:rsidRDefault="00746A0E" w:rsidP="004922AF">
            <w:pPr>
              <w:rPr>
                <w:rFonts w:cs="Arial"/>
                <w:lang w:val="en-GB"/>
              </w:rPr>
            </w:pPr>
            <w:r w:rsidRPr="004922AF">
              <w:rPr>
                <w:rFonts w:cs="Arial"/>
              </w:rPr>
              <w:t>N/A</w:t>
            </w:r>
          </w:p>
        </w:tc>
      </w:tr>
      <w:tr w:rsidR="00746A0E" w:rsidRPr="004922AF" w14:paraId="13D635BA" w14:textId="77777777" w:rsidTr="006721EA">
        <w:tc>
          <w:tcPr>
            <w:tcW w:w="2943" w:type="dxa"/>
          </w:tcPr>
          <w:p w14:paraId="7CB30007" w14:textId="274434BC" w:rsidR="00746A0E" w:rsidRPr="004922AF" w:rsidRDefault="00746A0E" w:rsidP="004922AF">
            <w:pPr>
              <w:rPr>
                <w:rFonts w:cs="Arial"/>
              </w:rPr>
            </w:pPr>
            <w:r w:rsidRPr="004922AF">
              <w:rPr>
                <w:rFonts w:cs="Arial"/>
              </w:rPr>
              <w:lastRenderedPageBreak/>
              <w:t>Policy</w:t>
            </w:r>
          </w:p>
        </w:tc>
        <w:tc>
          <w:tcPr>
            <w:tcW w:w="7147" w:type="dxa"/>
          </w:tcPr>
          <w:p w14:paraId="2E05410F" w14:textId="77777777" w:rsidR="0004048C" w:rsidRPr="00A24266" w:rsidRDefault="00DD5EDE" w:rsidP="0004048C">
            <w:pPr>
              <w:rPr>
                <w:rStyle w:val="Hyperlink"/>
                <w:rFonts w:cs="Arial"/>
              </w:rPr>
            </w:pPr>
            <w:hyperlink r:id="rId11" w:history="1">
              <w:r w:rsidR="0004048C" w:rsidRPr="00A24266">
                <w:rPr>
                  <w:rStyle w:val="Hyperlink"/>
                  <w:rFonts w:cs="Arial"/>
                </w:rPr>
                <w:t>Code of Conduct</w:t>
              </w:r>
            </w:hyperlink>
          </w:p>
          <w:p w14:paraId="7A1507B9" w14:textId="1A9D9998" w:rsidR="00746A0E" w:rsidRPr="004922AF" w:rsidRDefault="00DD5EDE" w:rsidP="0004048C">
            <w:pPr>
              <w:rPr>
                <w:rFonts w:cs="Arial"/>
                <w:lang w:val="en-GB"/>
              </w:rPr>
            </w:pPr>
            <w:hyperlink r:id="rId12" w:history="1">
              <w:r w:rsidR="0004048C" w:rsidRPr="00A24266">
                <w:rPr>
                  <w:rStyle w:val="Hyperlink"/>
                  <w:rFonts w:cs="Arial"/>
                </w:rPr>
                <w:t>Delegations Policy</w:t>
              </w:r>
            </w:hyperlink>
          </w:p>
        </w:tc>
      </w:tr>
      <w:tr w:rsidR="00746A0E" w:rsidRPr="004922AF" w14:paraId="55329BCC" w14:textId="77777777" w:rsidTr="006721EA">
        <w:tc>
          <w:tcPr>
            <w:tcW w:w="2943" w:type="dxa"/>
          </w:tcPr>
          <w:p w14:paraId="1BD7DB3E" w14:textId="54AA41D2" w:rsidR="00746A0E" w:rsidRPr="004922AF" w:rsidRDefault="00746A0E" w:rsidP="004922AF">
            <w:pPr>
              <w:rPr>
                <w:rFonts w:cs="Arial"/>
              </w:rPr>
            </w:pPr>
            <w:r w:rsidRPr="004922AF">
              <w:rPr>
                <w:rFonts w:cs="Arial"/>
              </w:rPr>
              <w:t>Procedures</w:t>
            </w:r>
          </w:p>
        </w:tc>
        <w:tc>
          <w:tcPr>
            <w:tcW w:w="7147" w:type="dxa"/>
          </w:tcPr>
          <w:p w14:paraId="4302959E" w14:textId="60B2EAAF" w:rsidR="00746A0E" w:rsidRPr="004922AF" w:rsidRDefault="00DD5EDE" w:rsidP="00DD5EDE">
            <w:pPr>
              <w:rPr>
                <w:rFonts w:cs="Arial"/>
                <w:lang w:val="en-GB"/>
              </w:rPr>
            </w:pPr>
            <w:hyperlink r:id="rId13" w:history="1">
              <w:r w:rsidR="00B35D5E" w:rsidRPr="00A24266">
                <w:rPr>
                  <w:rStyle w:val="Hyperlink"/>
                  <w:rFonts w:cs="Arial"/>
                </w:rPr>
                <w:t>Delegations Procedure</w:t>
              </w:r>
            </w:hyperlink>
          </w:p>
        </w:tc>
      </w:tr>
      <w:tr w:rsidR="00746A0E" w:rsidRPr="004922AF" w14:paraId="76652B21" w14:textId="77777777" w:rsidTr="006721EA">
        <w:tc>
          <w:tcPr>
            <w:tcW w:w="2943" w:type="dxa"/>
          </w:tcPr>
          <w:p w14:paraId="118FD34E" w14:textId="481E52F8" w:rsidR="00746A0E" w:rsidRPr="004922AF" w:rsidRDefault="00746A0E" w:rsidP="004922AF">
            <w:pPr>
              <w:rPr>
                <w:rFonts w:cs="Arial"/>
              </w:rPr>
            </w:pPr>
            <w:r w:rsidRPr="004922AF">
              <w:rPr>
                <w:rFonts w:cs="Arial"/>
              </w:rPr>
              <w:t>Local Protocol</w:t>
            </w:r>
          </w:p>
        </w:tc>
        <w:tc>
          <w:tcPr>
            <w:tcW w:w="7147" w:type="dxa"/>
          </w:tcPr>
          <w:p w14:paraId="55AA03EB" w14:textId="13C0B2C2" w:rsidR="00746A0E" w:rsidRPr="004922AF" w:rsidRDefault="00746A0E" w:rsidP="004922AF">
            <w:pPr>
              <w:rPr>
                <w:rFonts w:cs="Arial"/>
              </w:rPr>
            </w:pPr>
            <w:r w:rsidRPr="004922AF">
              <w:rPr>
                <w:rFonts w:cs="Arial"/>
              </w:rPr>
              <w:t>N/A</w:t>
            </w:r>
          </w:p>
        </w:tc>
      </w:tr>
      <w:tr w:rsidR="00746A0E" w:rsidRPr="004922AF" w14:paraId="5AB64C6F" w14:textId="77777777" w:rsidTr="006721EA">
        <w:tc>
          <w:tcPr>
            <w:tcW w:w="2943" w:type="dxa"/>
          </w:tcPr>
          <w:p w14:paraId="22348C3F" w14:textId="0F6236D7" w:rsidR="00746A0E" w:rsidRPr="004922AF" w:rsidRDefault="00746A0E" w:rsidP="004922AF">
            <w:pPr>
              <w:rPr>
                <w:rFonts w:cs="Arial"/>
              </w:rPr>
            </w:pPr>
            <w:r w:rsidRPr="004922AF">
              <w:rPr>
                <w:rFonts w:cs="Arial"/>
              </w:rPr>
              <w:t>Forms</w:t>
            </w:r>
          </w:p>
        </w:tc>
        <w:tc>
          <w:tcPr>
            <w:tcW w:w="7147" w:type="dxa"/>
          </w:tcPr>
          <w:p w14:paraId="54F51F15" w14:textId="2E03555D" w:rsidR="00746A0E" w:rsidRPr="004922AF" w:rsidRDefault="00DD5EDE" w:rsidP="004922AF">
            <w:pPr>
              <w:rPr>
                <w:rFonts w:cs="Arial"/>
              </w:rPr>
            </w:pPr>
            <w:hyperlink r:id="rId14" w:history="1">
              <w:r w:rsidR="00B35D5E">
                <w:rPr>
                  <w:rStyle w:val="Hyperlink"/>
                  <w:rFonts w:cs="Arial"/>
                </w:rPr>
                <w:t xml:space="preserve">Professional </w:t>
              </w:r>
              <w:r w:rsidR="0099291B">
                <w:rPr>
                  <w:rStyle w:val="Hyperlink"/>
                  <w:rFonts w:cs="Arial"/>
                </w:rPr>
                <w:t>E</w:t>
              </w:r>
              <w:r w:rsidR="00B35D5E">
                <w:rPr>
                  <w:rStyle w:val="Hyperlink"/>
                  <w:rFonts w:cs="Arial"/>
                </w:rPr>
                <w:t>mployee</w:t>
              </w:r>
              <w:r w:rsidR="00B35D5E" w:rsidRPr="00A24266">
                <w:rPr>
                  <w:rStyle w:val="Hyperlink"/>
                  <w:rFonts w:cs="Arial"/>
                </w:rPr>
                <w:t xml:space="preserve"> Educational Assistance Scheme Application Form</w:t>
              </w:r>
            </w:hyperlink>
          </w:p>
        </w:tc>
      </w:tr>
    </w:tbl>
    <w:p w14:paraId="6BA7652E" w14:textId="26761596" w:rsidR="00A15D12" w:rsidRDefault="00A15D12" w:rsidP="004922AF">
      <w:pPr>
        <w:rPr>
          <w:rFonts w:cs="Arial"/>
        </w:rPr>
      </w:pPr>
    </w:p>
    <w:sectPr w:rsidR="00A15D12" w:rsidSect="00E77B43">
      <w:headerReference w:type="default" r:id="rId15"/>
      <w:footerReference w:type="even" r:id="rId16"/>
      <w:footerReference w:type="default" r:id="rId17"/>
      <w:headerReference w:type="first" r:id="rId18"/>
      <w:footerReference w:type="first" r:id="rId19"/>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pPr>
      <w:r>
        <w:separator/>
      </w:r>
    </w:p>
    <w:p w14:paraId="7100BF3B" w14:textId="77777777" w:rsidR="00CC760B" w:rsidRDefault="00CC760B"/>
  </w:endnote>
  <w:endnote w:type="continuationSeparator" w:id="0">
    <w:p w14:paraId="6A1DDC77" w14:textId="77777777" w:rsidR="0061147C" w:rsidRDefault="0061147C" w:rsidP="00575CC3">
      <w:pPr>
        <w:spacing w:after="0"/>
      </w:pPr>
      <w:r>
        <w:continuationSeparator/>
      </w:r>
    </w:p>
    <w:p w14:paraId="2BD40580" w14:textId="77777777" w:rsidR="00CC760B" w:rsidRDefault="00CC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28C7FA75" w14:textId="5AF0BD3E" w:rsidR="00736973" w:rsidRDefault="00DA4608" w:rsidP="00736973">
    <w:pPr>
      <w:pStyle w:val="FooterTemplate"/>
    </w:pPr>
    <w:r>
      <w:br/>
    </w:r>
    <w:r w:rsidR="00736973">
      <w:t xml:space="preserve">Professional </w:t>
    </w:r>
    <w:r w:rsidR="001000FD">
      <w:t>E</w:t>
    </w:r>
    <w:r w:rsidR="00736973">
      <w:t>mployee Educational Assistance Scheme</w:t>
    </w:r>
    <w:r w:rsidR="001000FD">
      <w:t xml:space="preserve"> Procedure</w:t>
    </w:r>
    <w:r w:rsidR="00736973">
      <w:t xml:space="preserve"> | December 2023 </w:t>
    </w:r>
  </w:p>
  <w:p w14:paraId="1AE017B9" w14:textId="77777777" w:rsidR="00736973" w:rsidRDefault="00736973" w:rsidP="00736973">
    <w:pPr>
      <w:pStyle w:val="FooterTemplate"/>
    </w:pPr>
    <w:r>
      <w:t>Document number: 2023/0001224</w:t>
    </w:r>
  </w:p>
  <w:p w14:paraId="2E3A5653" w14:textId="21FAD70C" w:rsidR="00830B58" w:rsidRDefault="00736973" w:rsidP="00736973">
    <w:pPr>
      <w:pStyle w:val="FooterTemplate"/>
    </w:pPr>
    <w:r>
      <w:t>Griffith University - CRICOS Provider Number 00233E</w:t>
    </w:r>
  </w:p>
  <w:p w14:paraId="008E73BC" w14:textId="1A61372A" w:rsidR="00575CC3" w:rsidRPr="00575CC3" w:rsidRDefault="00575CC3" w:rsidP="00830B58">
    <w:pPr>
      <w:ind w:left="6480"/>
      <w:jc w:val="center"/>
      <w:rPr>
        <w:szCs w:val="18"/>
      </w:rPr>
    </w:pPr>
  </w:p>
  <w:p w14:paraId="4FE08F67" w14:textId="77777777" w:rsidR="00CC760B" w:rsidRDefault="00CC76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21907585" w14:textId="018302F3" w:rsidR="00DA4608" w:rsidRPr="00DA4608" w:rsidRDefault="00DA4608" w:rsidP="00DA4608">
    <w:pPr>
      <w:spacing w:after="0"/>
      <w:jc w:val="right"/>
      <w:rPr>
        <w:rFonts w:asciiTheme="minorHAnsi" w:hAnsiTheme="minorHAnsi" w:cstheme="minorHAnsi"/>
        <w:color w:val="70787B"/>
        <w:sz w:val="15"/>
        <w:szCs w:val="15"/>
      </w:rPr>
    </w:pPr>
    <w:r w:rsidRPr="00DA4608">
      <w:rPr>
        <w:rFonts w:asciiTheme="minorHAnsi" w:hAnsiTheme="minorHAnsi" w:cstheme="minorHAnsi"/>
        <w:color w:val="70787B"/>
        <w:sz w:val="15"/>
        <w:szCs w:val="15"/>
      </w:rPr>
      <w:t xml:space="preserve">Professional </w:t>
    </w:r>
    <w:r w:rsidR="001000FD">
      <w:rPr>
        <w:rFonts w:asciiTheme="minorHAnsi" w:hAnsiTheme="minorHAnsi" w:cstheme="minorHAnsi"/>
        <w:color w:val="70787B"/>
        <w:sz w:val="15"/>
        <w:szCs w:val="15"/>
      </w:rPr>
      <w:t>E</w:t>
    </w:r>
    <w:r w:rsidRPr="00DA4608">
      <w:rPr>
        <w:rFonts w:asciiTheme="minorHAnsi" w:hAnsiTheme="minorHAnsi" w:cstheme="minorHAnsi"/>
        <w:color w:val="70787B"/>
        <w:sz w:val="15"/>
        <w:szCs w:val="15"/>
      </w:rPr>
      <w:t>mployee Educational Assistance Scheme</w:t>
    </w:r>
    <w:r w:rsidR="001000FD">
      <w:rPr>
        <w:rFonts w:asciiTheme="minorHAnsi" w:hAnsiTheme="minorHAnsi" w:cstheme="minorHAnsi"/>
        <w:color w:val="70787B"/>
        <w:sz w:val="15"/>
        <w:szCs w:val="15"/>
      </w:rPr>
      <w:t xml:space="preserve"> Procedure </w:t>
    </w:r>
    <w:r w:rsidRPr="00DA4608">
      <w:rPr>
        <w:rFonts w:asciiTheme="minorHAnsi" w:hAnsiTheme="minorHAnsi" w:cstheme="minorHAnsi"/>
        <w:color w:val="70787B"/>
        <w:sz w:val="15"/>
        <w:szCs w:val="15"/>
      </w:rPr>
      <w:t xml:space="preserve">| December 2023 </w:t>
    </w:r>
    <w:r>
      <w:rPr>
        <w:rFonts w:asciiTheme="minorHAnsi" w:hAnsiTheme="minorHAnsi" w:cstheme="minorHAnsi"/>
        <w:color w:val="70787B"/>
        <w:sz w:val="15"/>
        <w:szCs w:val="15"/>
      </w:rPr>
      <w:br/>
    </w:r>
    <w:r w:rsidRPr="00DA4608">
      <w:rPr>
        <w:rFonts w:asciiTheme="minorHAnsi" w:hAnsiTheme="minorHAnsi" w:cstheme="minorHAnsi"/>
        <w:color w:val="70787B"/>
        <w:sz w:val="15"/>
        <w:szCs w:val="15"/>
      </w:rPr>
      <w:t>Document number: 2023/0001224</w:t>
    </w:r>
  </w:p>
  <w:p w14:paraId="3471DC75" w14:textId="1CDEE325" w:rsidR="00E77B43" w:rsidRDefault="00DA4608" w:rsidP="00DA4608">
    <w:pPr>
      <w:pStyle w:val="FooterTemplate"/>
    </w:pPr>
    <w:r w:rsidRPr="00DA4608">
      <w:t>Griffith University - CRICOS Provider Number 00233E</w:t>
    </w:r>
    <w:r w:rsidRPr="00DA4608">
      <w:rPr>
        <w:noProof/>
      </w:rPr>
      <w:t xml:space="preserve"> </w:t>
    </w:r>
    <w:r w:rsidR="00E77B43"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pPr>
      <w:r>
        <w:separator/>
      </w:r>
    </w:p>
    <w:p w14:paraId="318BF58B" w14:textId="77777777" w:rsidR="00CC760B" w:rsidRDefault="00CC760B"/>
  </w:footnote>
  <w:footnote w:type="continuationSeparator" w:id="0">
    <w:p w14:paraId="25885BE6" w14:textId="77777777" w:rsidR="0061147C" w:rsidRDefault="0061147C" w:rsidP="00575CC3">
      <w:pPr>
        <w:spacing w:after="0"/>
      </w:pPr>
      <w:r>
        <w:continuationSeparator/>
      </w:r>
    </w:p>
    <w:p w14:paraId="04269FD5" w14:textId="77777777" w:rsidR="00CC760B" w:rsidRDefault="00CC7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79F1696"/>
    <w:multiLevelType w:val="hybridMultilevel"/>
    <w:tmpl w:val="3DE28946"/>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3FF521E"/>
    <w:multiLevelType w:val="hybridMultilevel"/>
    <w:tmpl w:val="315049D2"/>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131CED"/>
    <w:multiLevelType w:val="hybridMultilevel"/>
    <w:tmpl w:val="B560B85E"/>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216F5C"/>
    <w:multiLevelType w:val="hybridMultilevel"/>
    <w:tmpl w:val="B5A4C9CC"/>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4F000639"/>
    <w:multiLevelType w:val="hybridMultilevel"/>
    <w:tmpl w:val="AD2E5B86"/>
    <w:lvl w:ilvl="0" w:tplc="BEA4178E">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9ED2A32"/>
    <w:multiLevelType w:val="hybridMultilevel"/>
    <w:tmpl w:val="144857DA"/>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A532D0"/>
    <w:multiLevelType w:val="hybridMultilevel"/>
    <w:tmpl w:val="46A0CC56"/>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1"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7"/>
  </w:num>
  <w:num w:numId="2" w16cid:durableId="396825147">
    <w:abstractNumId w:val="43"/>
  </w:num>
  <w:num w:numId="3" w16cid:durableId="1304701530">
    <w:abstractNumId w:val="36"/>
  </w:num>
  <w:num w:numId="4" w16cid:durableId="352269857">
    <w:abstractNumId w:val="28"/>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7"/>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31"/>
  </w:num>
  <w:num w:numId="25" w16cid:durableId="1126041565">
    <w:abstractNumId w:val="35"/>
  </w:num>
  <w:num w:numId="26" w16cid:durableId="1098252483">
    <w:abstractNumId w:val="18"/>
  </w:num>
  <w:num w:numId="27" w16cid:durableId="1930380739">
    <w:abstractNumId w:val="13"/>
  </w:num>
  <w:num w:numId="28" w16cid:durableId="871302621">
    <w:abstractNumId w:val="14"/>
  </w:num>
  <w:num w:numId="29" w16cid:durableId="991954021">
    <w:abstractNumId w:val="42"/>
  </w:num>
  <w:num w:numId="30" w16cid:durableId="218833091">
    <w:abstractNumId w:val="15"/>
  </w:num>
  <w:num w:numId="31" w16cid:durableId="66726597">
    <w:abstractNumId w:val="34"/>
  </w:num>
  <w:num w:numId="32" w16cid:durableId="1786579993">
    <w:abstractNumId w:val="40"/>
  </w:num>
  <w:num w:numId="33" w16cid:durableId="1071662295">
    <w:abstractNumId w:val="20"/>
  </w:num>
  <w:num w:numId="34" w16cid:durableId="944117931">
    <w:abstractNumId w:val="19"/>
  </w:num>
  <w:num w:numId="35" w16cid:durableId="754860717">
    <w:abstractNumId w:val="17"/>
  </w:num>
  <w:num w:numId="36" w16cid:durableId="177352507">
    <w:abstractNumId w:val="21"/>
  </w:num>
  <w:num w:numId="37" w16cid:durableId="1160851737">
    <w:abstractNumId w:val="26"/>
  </w:num>
  <w:num w:numId="38" w16cid:durableId="87779333">
    <w:abstractNumId w:val="41"/>
  </w:num>
  <w:num w:numId="39" w16cid:durableId="3092681">
    <w:abstractNumId w:val="29"/>
  </w:num>
  <w:num w:numId="40" w16cid:durableId="434401119">
    <w:abstractNumId w:val="39"/>
  </w:num>
  <w:num w:numId="41" w16cid:durableId="1973635285">
    <w:abstractNumId w:val="38"/>
  </w:num>
  <w:num w:numId="42" w16cid:durableId="175073191">
    <w:abstractNumId w:val="32"/>
  </w:num>
  <w:num w:numId="43" w16cid:durableId="162014712">
    <w:abstractNumId w:val="30"/>
  </w:num>
  <w:num w:numId="44" w16cid:durableId="183795712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048C"/>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00FD"/>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8660D"/>
    <w:rsid w:val="002879F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F7778"/>
    <w:rsid w:val="0040296F"/>
    <w:rsid w:val="004063AB"/>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4F2CE1"/>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2682D"/>
    <w:rsid w:val="00732202"/>
    <w:rsid w:val="00734916"/>
    <w:rsid w:val="00736216"/>
    <w:rsid w:val="00736973"/>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291B"/>
    <w:rsid w:val="009933D9"/>
    <w:rsid w:val="00993A5D"/>
    <w:rsid w:val="009A2E17"/>
    <w:rsid w:val="009A4600"/>
    <w:rsid w:val="009B37D4"/>
    <w:rsid w:val="009C10A2"/>
    <w:rsid w:val="009C1E14"/>
    <w:rsid w:val="009C2FEF"/>
    <w:rsid w:val="009C7B84"/>
    <w:rsid w:val="009D2761"/>
    <w:rsid w:val="009E11AD"/>
    <w:rsid w:val="009E2594"/>
    <w:rsid w:val="009F074C"/>
    <w:rsid w:val="009F693D"/>
    <w:rsid w:val="009F6D27"/>
    <w:rsid w:val="00A01FEC"/>
    <w:rsid w:val="00A03B53"/>
    <w:rsid w:val="00A10384"/>
    <w:rsid w:val="00A144B2"/>
    <w:rsid w:val="00A15D12"/>
    <w:rsid w:val="00A3242E"/>
    <w:rsid w:val="00A45BDF"/>
    <w:rsid w:val="00A50780"/>
    <w:rsid w:val="00A55F73"/>
    <w:rsid w:val="00A56091"/>
    <w:rsid w:val="00A5683C"/>
    <w:rsid w:val="00A57044"/>
    <w:rsid w:val="00AA12A3"/>
    <w:rsid w:val="00AA188E"/>
    <w:rsid w:val="00AA391D"/>
    <w:rsid w:val="00AB00BF"/>
    <w:rsid w:val="00AC1EA9"/>
    <w:rsid w:val="00AE36C9"/>
    <w:rsid w:val="00AE4387"/>
    <w:rsid w:val="00AF5791"/>
    <w:rsid w:val="00AF719E"/>
    <w:rsid w:val="00B11F04"/>
    <w:rsid w:val="00B24AD5"/>
    <w:rsid w:val="00B25332"/>
    <w:rsid w:val="00B26F8D"/>
    <w:rsid w:val="00B31058"/>
    <w:rsid w:val="00B35D5E"/>
    <w:rsid w:val="00B42BD2"/>
    <w:rsid w:val="00B508D5"/>
    <w:rsid w:val="00B52233"/>
    <w:rsid w:val="00B82F08"/>
    <w:rsid w:val="00B9062A"/>
    <w:rsid w:val="00BB5064"/>
    <w:rsid w:val="00BB58D7"/>
    <w:rsid w:val="00BD26DB"/>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C2B2D"/>
    <w:rsid w:val="00CC760B"/>
    <w:rsid w:val="00CD119B"/>
    <w:rsid w:val="00CF611B"/>
    <w:rsid w:val="00CF6FF3"/>
    <w:rsid w:val="00D042D8"/>
    <w:rsid w:val="00D25E65"/>
    <w:rsid w:val="00D434E9"/>
    <w:rsid w:val="00D532D6"/>
    <w:rsid w:val="00DA2384"/>
    <w:rsid w:val="00DA4608"/>
    <w:rsid w:val="00DB0FC8"/>
    <w:rsid w:val="00DB76F9"/>
    <w:rsid w:val="00DB7E17"/>
    <w:rsid w:val="00DD5EDE"/>
    <w:rsid w:val="00DD6067"/>
    <w:rsid w:val="00DE45C5"/>
    <w:rsid w:val="00DF3DF3"/>
    <w:rsid w:val="00E14D21"/>
    <w:rsid w:val="00E166E0"/>
    <w:rsid w:val="00E20D0C"/>
    <w:rsid w:val="00E21C52"/>
    <w:rsid w:val="00E26561"/>
    <w:rsid w:val="00E34E2C"/>
    <w:rsid w:val="00E633D7"/>
    <w:rsid w:val="00E67BB3"/>
    <w:rsid w:val="00E702F7"/>
    <w:rsid w:val="00E7138A"/>
    <w:rsid w:val="00E77B43"/>
    <w:rsid w:val="00E826C9"/>
    <w:rsid w:val="00E924DB"/>
    <w:rsid w:val="00E9677E"/>
    <w:rsid w:val="00EA50A4"/>
    <w:rsid w:val="00EA633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2879F0"/>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2879F0"/>
    <w:rPr>
      <w:rFonts w:cstheme="minorHAnsi"/>
      <w:color w:val="70787B"/>
      <w:kern w:val="2"/>
      <w:sz w:val="15"/>
      <w:szCs w:val="15"/>
    </w:rPr>
  </w:style>
  <w:style w:type="paragraph" w:styleId="TOC5">
    <w:name w:val="toc 5"/>
    <w:basedOn w:val="Normal"/>
    <w:next w:val="Normal"/>
    <w:autoRedefine/>
    <w:uiPriority w:val="39"/>
    <w:semiHidden/>
    <w:unhideWhenUsed/>
    <w:rsid w:val="00736973"/>
    <w:pPr>
      <w:spacing w:after="100"/>
      <w:ind w:left="880"/>
    </w:pPr>
  </w:style>
  <w:style w:type="paragraph" w:customStyle="1" w:styleId="paragraph">
    <w:name w:val="paragraph"/>
    <w:basedOn w:val="Normal"/>
    <w:rsid w:val="0004048C"/>
    <w:pPr>
      <w:spacing w:before="100" w:beforeAutospacing="1" w:after="100" w:afterAutospacing="1"/>
    </w:pPr>
    <w:rPr>
      <w:rFonts w:ascii="Times New Roman" w:eastAsia="Times New Roman" w:hAnsi="Times New Roman" w:cs="Times New Roman"/>
      <w:kern w:val="0"/>
      <w:sz w:val="24"/>
      <w:szCs w:val="24"/>
    </w:rPr>
  </w:style>
  <w:style w:type="character" w:customStyle="1" w:styleId="eop">
    <w:name w:val="eop"/>
    <w:basedOn w:val="DefaultParagraphFont"/>
    <w:rsid w:val="0004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Delegations%20%20Procedur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sharepointpubstor.blob.core.windows.net/policylibrary-prod/Delegations%20Policy.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ies.griffith.edu.au/pdf/Code%20of%20Conduct.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olicy@griffith.edu.a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griffith.edu.au/__data/assets/pdf_file/0027/273816/General-Staff-Educational-Assistance-Scheme-Applicatio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522</Value>
      <Value>550</Value>
      <Value>563</Value>
      <Value>77</Value>
    </TaxCatchAll>
    <SharedWithUsers xmlns="b40c662e-0380-4817-843d-2c7e10d40c39">
      <UserInfo>
        <DisplayName/>
        <AccountId xsi:nil="true"/>
        <AccountType/>
      </UserInfo>
    </SharedWithUsers>
    <PublishOn xmlns="2f261a70-825f-4a37-b7b5-f6ecc2f4c5fa">2024-02-06T22:21:58+00:00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This procedure outlines information for employee, managers and Heads of Element in relation to the educational assistance program including the categories of educational assistance and the types of assistance (financial and non-financial) that may be available.</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2023-12-06T14:00:00+00:00</datedeclared>
    <PrivatePolicy xmlns="2f261a70-825f-4a37-b7b5-f6ecc2f4c5fa">false</PrivatePolicy>
    <policyadvisor xmlns="2f261a70-825f-4a37-b7b5-f6ecc2f4c5fa">
      <UserInfo>
        <DisplayName>Phoebe Gervaise</DisplayName>
        <AccountId>883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6601E057-6B15-4853-B8C3-1649F412EDCA}">
  <ds:schemaRefs>
    <ds:schemaRef ds:uri="2f261a70-825f-4a37-b7b5-f6ecc2f4c5fa"/>
    <ds:schemaRef ds:uri="b40c662e-0380-4817-843d-2c7e10d40c39"/>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2EC8151-9B82-4D6E-8DE2-F5159F61F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52</TotalTime>
  <Pages>8</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Employee Educational Assistance Procedure</dc:title>
  <dc:creator>Jen Lofgren</dc:creator>
  <cp:lastModifiedBy>John Montgomery</cp:lastModifiedBy>
  <cp:revision>19</cp:revision>
  <dcterms:created xsi:type="dcterms:W3CDTF">2023-11-21T05:55:00Z</dcterms:created>
  <dcterms:modified xsi:type="dcterms:W3CDTF">2024-04-03T22:13:00Z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563;#Director, Human Resources|cc1b10db-d828-4854-ba13-d593a417bd3e</vt:lpwstr>
  </property>
  <property fmtid="{D5CDD505-2E9C-101B-9397-08002B2CF9AE}" pid="17" name="policycategory">
    <vt:lpwstr/>
  </property>
  <property fmtid="{D5CDD505-2E9C-101B-9397-08002B2CF9AE}" pid="18" name="officearea">
    <vt:lpwstr>550;#Human Resources|540241ce-6608-4852-8778-9c8a8484699c</vt:lpwstr>
  </property>
  <property fmtid="{D5CDD505-2E9C-101B-9397-08002B2CF9AE}" pid="19" name="policy-category">
    <vt:lpwstr>522;#Staff|3e9f4474-6295-47f7-a166-0065c4fb1613</vt:lpwstr>
  </property>
  <property fmtid="{D5CDD505-2E9C-101B-9397-08002B2CF9AE}" pid="20" name="glossaryterms">
    <vt:lpwstr/>
  </property>
  <property fmtid="{D5CDD505-2E9C-101B-9397-08002B2CF9AE}" pid="21" name="policyaudience">
    <vt:lpwstr>77;#Staff|45ee306d-49ae-43fa-a3ef-02f70754fd2d</vt:lpwstr>
  </property>
  <property fmtid="{D5CDD505-2E9C-101B-9397-08002B2CF9AE}" pid="22" name="policyreview">
    <vt:lpwstr/>
  </property>
  <property fmtid="{D5CDD505-2E9C-101B-9397-08002B2CF9AE}" pid="23" name="Managed_Testing_Field">
    <vt:lpwstr/>
  </property>
</Properties>
</file>