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0CAB4A7F" w:rsidR="00ED6047" w:rsidRPr="000C7000" w:rsidRDefault="009830C0" w:rsidP="00A144B2">
      <w:pPr>
        <w:pStyle w:val="Heading1"/>
        <w:spacing w:before="0" w:after="240"/>
        <w:rPr>
          <w:rFonts w:ascii="Griffith Sans Text" w:hAnsi="Griffith Sans Text"/>
          <w:sz w:val="52"/>
          <w:szCs w:val="32"/>
        </w:rPr>
      </w:pPr>
      <w:r w:rsidRPr="009830C0">
        <w:rPr>
          <w:rFonts w:ascii="Griffith Sans Text" w:hAnsi="Griffith Sans Text"/>
          <w:sz w:val="52"/>
          <w:szCs w:val="32"/>
        </w:rPr>
        <w:t>Pre-Employment Screening</w:t>
      </w:r>
    </w:p>
    <w:p w14:paraId="4B56D564" w14:textId="33010313" w:rsidR="00A144B2" w:rsidRPr="000C7000" w:rsidRDefault="009A2F7D"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9A2F7D"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040CCB8A" w:rsidR="0073220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p>
    <w:p w14:paraId="574A747E" w14:textId="566E80F7" w:rsidR="00A144B2" w:rsidRPr="000C7000" w:rsidRDefault="00FF586B" w:rsidP="00EA6334">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5841146F" w14:textId="6D6095C8" w:rsidR="00820F73" w:rsidRPr="004922AF" w:rsidRDefault="009830C0" w:rsidP="004922AF">
      <w:pPr>
        <w:spacing w:before="120" w:after="120" w:line="240" w:lineRule="auto"/>
        <w:rPr>
          <w:rFonts w:ascii="Arial" w:hAnsi="Arial" w:cs="Arial"/>
          <w:sz w:val="22"/>
        </w:rPr>
      </w:pPr>
      <w:r w:rsidRPr="009830C0">
        <w:rPr>
          <w:rFonts w:ascii="Arial" w:hAnsi="Arial" w:cs="Arial"/>
          <w:sz w:val="22"/>
        </w:rPr>
        <w:t xml:space="preserve">The purpose of this </w:t>
      </w:r>
      <w:r w:rsidR="00A608B0">
        <w:rPr>
          <w:rFonts w:ascii="Arial" w:hAnsi="Arial" w:cs="Arial"/>
          <w:sz w:val="22"/>
        </w:rPr>
        <w:t>p</w:t>
      </w:r>
      <w:r w:rsidRPr="009830C0">
        <w:rPr>
          <w:rFonts w:ascii="Arial" w:hAnsi="Arial" w:cs="Arial"/>
          <w:sz w:val="22"/>
        </w:rPr>
        <w:t xml:space="preserve">rocedure is to ensure new and existing employees meet the required standards to effectively perform their position at Griffith University. This </w:t>
      </w:r>
      <w:r w:rsidR="00A608B0">
        <w:rPr>
          <w:rFonts w:ascii="Arial" w:hAnsi="Arial" w:cs="Arial"/>
          <w:sz w:val="22"/>
        </w:rPr>
        <w:t>p</w:t>
      </w:r>
      <w:r w:rsidRPr="009830C0">
        <w:rPr>
          <w:rFonts w:ascii="Arial" w:hAnsi="Arial" w:cs="Arial"/>
          <w:sz w:val="22"/>
        </w:rPr>
        <w:t>rocedure outlines the range of pre-employment screening required by candidates in order to be employed by the organisation.</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2381DE0" w14:textId="43921385" w:rsidR="00A144B2" w:rsidRPr="004922AF" w:rsidRDefault="009830C0" w:rsidP="004922AF">
      <w:pPr>
        <w:spacing w:before="120" w:after="120" w:line="240" w:lineRule="auto"/>
        <w:rPr>
          <w:rFonts w:ascii="Arial" w:eastAsia="Calibri" w:hAnsi="Arial" w:cs="Arial"/>
          <w:sz w:val="22"/>
        </w:rPr>
      </w:pPr>
      <w:r w:rsidRPr="009830C0">
        <w:rPr>
          <w:rFonts w:ascii="Arial" w:eastAsia="Calibri" w:hAnsi="Arial" w:cs="Arial"/>
          <w:sz w:val="22"/>
        </w:rPr>
        <w:t xml:space="preserve">This </w:t>
      </w:r>
      <w:r w:rsidR="00A608B0">
        <w:rPr>
          <w:rFonts w:ascii="Arial" w:eastAsia="Calibri" w:hAnsi="Arial" w:cs="Arial"/>
          <w:sz w:val="22"/>
        </w:rPr>
        <w:t>p</w:t>
      </w:r>
      <w:r w:rsidRPr="009830C0">
        <w:rPr>
          <w:rFonts w:ascii="Arial" w:eastAsia="Calibri" w:hAnsi="Arial" w:cs="Arial"/>
          <w:sz w:val="22"/>
        </w:rPr>
        <w:t xml:space="preserve">rocedure applies to all </w:t>
      </w:r>
      <w:r w:rsidR="00A608B0">
        <w:rPr>
          <w:rFonts w:ascii="Arial" w:eastAsia="Calibri" w:hAnsi="Arial" w:cs="Arial"/>
          <w:sz w:val="22"/>
        </w:rPr>
        <w:t>c</w:t>
      </w:r>
      <w:r w:rsidRPr="009830C0">
        <w:rPr>
          <w:rFonts w:ascii="Arial" w:eastAsia="Calibri" w:hAnsi="Arial" w:cs="Arial"/>
          <w:sz w:val="22"/>
        </w:rPr>
        <w:t xml:space="preserve">ontinuing, </w:t>
      </w:r>
      <w:r w:rsidR="00A608B0">
        <w:rPr>
          <w:rFonts w:ascii="Arial" w:eastAsia="Calibri" w:hAnsi="Arial" w:cs="Arial"/>
          <w:sz w:val="22"/>
        </w:rPr>
        <w:t>f</w:t>
      </w:r>
      <w:r w:rsidRPr="009830C0">
        <w:rPr>
          <w:rFonts w:ascii="Arial" w:eastAsia="Calibri" w:hAnsi="Arial" w:cs="Arial"/>
          <w:sz w:val="22"/>
        </w:rPr>
        <w:t xml:space="preserve">ixed </w:t>
      </w:r>
      <w:r w:rsidR="00A608B0">
        <w:rPr>
          <w:rFonts w:ascii="Arial" w:eastAsia="Calibri" w:hAnsi="Arial" w:cs="Arial"/>
          <w:sz w:val="22"/>
        </w:rPr>
        <w:t>t</w:t>
      </w:r>
      <w:r w:rsidRPr="009830C0">
        <w:rPr>
          <w:rFonts w:ascii="Arial" w:eastAsia="Calibri" w:hAnsi="Arial" w:cs="Arial"/>
          <w:sz w:val="22"/>
        </w:rPr>
        <w:t xml:space="preserve">erm, </w:t>
      </w:r>
      <w:r w:rsidR="00A608B0">
        <w:rPr>
          <w:rFonts w:ascii="Arial" w:eastAsia="Calibri" w:hAnsi="Arial" w:cs="Arial"/>
          <w:sz w:val="22"/>
        </w:rPr>
        <w:t>c</w:t>
      </w:r>
      <w:r w:rsidRPr="009830C0">
        <w:rPr>
          <w:rFonts w:ascii="Arial" w:eastAsia="Calibri" w:hAnsi="Arial" w:cs="Arial"/>
          <w:sz w:val="22"/>
        </w:rPr>
        <w:t xml:space="preserve">asual </w:t>
      </w:r>
      <w:proofErr w:type="gramStart"/>
      <w:r w:rsidRPr="009830C0">
        <w:rPr>
          <w:rFonts w:ascii="Arial" w:eastAsia="Calibri" w:hAnsi="Arial" w:cs="Arial"/>
          <w:sz w:val="22"/>
        </w:rPr>
        <w:t>employees</w:t>
      </w:r>
      <w:proofErr w:type="gramEnd"/>
      <w:r w:rsidRPr="009830C0">
        <w:rPr>
          <w:rFonts w:ascii="Arial" w:eastAsia="Calibri" w:hAnsi="Arial" w:cs="Arial"/>
          <w:sz w:val="22"/>
        </w:rPr>
        <w:t xml:space="preserve"> and </w:t>
      </w:r>
      <w:r w:rsidR="00A608B0">
        <w:rPr>
          <w:rFonts w:ascii="Arial" w:eastAsia="Calibri" w:hAnsi="Arial" w:cs="Arial"/>
          <w:sz w:val="22"/>
        </w:rPr>
        <w:t>u</w:t>
      </w:r>
      <w:r w:rsidRPr="009830C0">
        <w:rPr>
          <w:rFonts w:ascii="Arial" w:eastAsia="Calibri" w:hAnsi="Arial" w:cs="Arial"/>
          <w:sz w:val="22"/>
        </w:rPr>
        <w:t xml:space="preserve">npaid </w:t>
      </w:r>
      <w:r w:rsidR="00A608B0">
        <w:rPr>
          <w:rFonts w:ascii="Arial" w:eastAsia="Calibri" w:hAnsi="Arial" w:cs="Arial"/>
          <w:sz w:val="22"/>
        </w:rPr>
        <w:t>a</w:t>
      </w:r>
      <w:r w:rsidRPr="009830C0">
        <w:rPr>
          <w:rFonts w:ascii="Arial" w:eastAsia="Calibri" w:hAnsi="Arial" w:cs="Arial"/>
          <w:sz w:val="22"/>
        </w:rPr>
        <w:t xml:space="preserve">ppointments. In addition, </w:t>
      </w:r>
      <w:r w:rsidR="009A2F7D">
        <w:rPr>
          <w:rFonts w:ascii="Arial" w:eastAsia="Calibri" w:hAnsi="Arial" w:cs="Arial"/>
          <w:sz w:val="22"/>
        </w:rPr>
        <w:t xml:space="preserve">certain </w:t>
      </w:r>
      <w:proofErr w:type="gramStart"/>
      <w:r w:rsidRPr="009830C0">
        <w:rPr>
          <w:rFonts w:ascii="Arial" w:eastAsia="Calibri" w:hAnsi="Arial" w:cs="Arial"/>
          <w:sz w:val="22"/>
        </w:rPr>
        <w:t>legislation</w:t>
      </w:r>
      <w:proofErr w:type="gramEnd"/>
      <w:r w:rsidRPr="009830C0">
        <w:rPr>
          <w:rFonts w:ascii="Arial" w:eastAsia="Calibri" w:hAnsi="Arial" w:cs="Arial"/>
          <w:sz w:val="22"/>
        </w:rPr>
        <w:t xml:space="preserve"> and regulations </w:t>
      </w:r>
      <w:r w:rsidR="009A2F7D">
        <w:rPr>
          <w:rFonts w:ascii="Arial" w:eastAsia="Calibri" w:hAnsi="Arial" w:cs="Arial"/>
          <w:sz w:val="22"/>
        </w:rPr>
        <w:t>reference</w:t>
      </w:r>
      <w:r w:rsidRPr="009830C0">
        <w:rPr>
          <w:rFonts w:ascii="Arial" w:eastAsia="Calibri" w:hAnsi="Arial" w:cs="Arial"/>
          <w:sz w:val="22"/>
        </w:rPr>
        <w:t xml:space="preserve"> ‘designated positions’ that require specific pre-employment checks to be completed for the preferred candidate.</w:t>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15FDC8B4" w14:textId="77777777" w:rsidR="009830C0" w:rsidRPr="009830C0" w:rsidRDefault="009830C0" w:rsidP="00A608B0">
      <w:pPr>
        <w:pStyle w:val="NormalWhite"/>
        <w:spacing w:before="120" w:after="120" w:line="240" w:lineRule="auto"/>
        <w:jc w:val="left"/>
        <w:rPr>
          <w:rFonts w:cs="Arial"/>
          <w:color w:val="auto"/>
          <w:sz w:val="22"/>
        </w:rPr>
      </w:pPr>
      <w:r w:rsidRPr="009830C0">
        <w:rPr>
          <w:rFonts w:cs="Arial"/>
          <w:color w:val="auto"/>
          <w:sz w:val="22"/>
        </w:rPr>
        <w:t>Offers of employment are subject to the satisfactory completion of all required pre-employment screening checks. Prospective employees must not commence work in the proposed role prior to satisfying these requirements.</w:t>
      </w:r>
    </w:p>
    <w:p w14:paraId="44096DAB" w14:textId="5B2F9414" w:rsidR="009830C0" w:rsidRPr="009830C0" w:rsidRDefault="009830C0" w:rsidP="00A608B0">
      <w:pPr>
        <w:pStyle w:val="NormalWhite"/>
        <w:spacing w:before="120" w:after="120" w:line="240" w:lineRule="auto"/>
        <w:jc w:val="left"/>
        <w:rPr>
          <w:rFonts w:cs="Arial"/>
          <w:color w:val="auto"/>
          <w:sz w:val="22"/>
        </w:rPr>
      </w:pPr>
      <w:r w:rsidRPr="009830C0">
        <w:rPr>
          <w:rFonts w:cs="Arial"/>
          <w:color w:val="auto"/>
          <w:sz w:val="22"/>
        </w:rPr>
        <w:t xml:space="preserve">The University’s requirement for the completion of relevant pre-employment screening will be made clear to applicants at </w:t>
      </w:r>
      <w:r w:rsidR="00A608B0">
        <w:rPr>
          <w:rFonts w:cs="Arial"/>
          <w:color w:val="auto"/>
          <w:sz w:val="22"/>
        </w:rPr>
        <w:t xml:space="preserve">the </w:t>
      </w:r>
      <w:r w:rsidRPr="009830C0">
        <w:rPr>
          <w:rFonts w:cs="Arial"/>
          <w:color w:val="auto"/>
          <w:sz w:val="22"/>
        </w:rPr>
        <w:t>advertisement, interview and offer stages of the recruitment process, particularly where specific licensing or registration requirements exist for the position. The specific employment screening checks to be performed by Griffith University in respect of the position, will be identified in the Letter of Offer.</w:t>
      </w:r>
    </w:p>
    <w:p w14:paraId="7446A2FE" w14:textId="38C10F84" w:rsidR="000B71D9" w:rsidRPr="004922AF" w:rsidRDefault="009830C0" w:rsidP="00A608B0">
      <w:pPr>
        <w:pStyle w:val="NormalWhite"/>
        <w:spacing w:before="120" w:after="120" w:line="240" w:lineRule="auto"/>
        <w:jc w:val="left"/>
        <w:rPr>
          <w:rFonts w:cs="Arial"/>
          <w:color w:val="auto"/>
          <w:sz w:val="22"/>
        </w:rPr>
      </w:pPr>
      <w:r w:rsidRPr="009830C0">
        <w:rPr>
          <w:rFonts w:cs="Arial"/>
          <w:color w:val="auto"/>
          <w:sz w:val="22"/>
        </w:rPr>
        <w:t xml:space="preserve">Current employees may also be required to undertake employment screening (e.g. a criminal history check, probity check) when transferring into a different role (e.g. secondment, higher duties, </w:t>
      </w:r>
      <w:proofErr w:type="gramStart"/>
      <w:r w:rsidRPr="009830C0">
        <w:rPr>
          <w:rFonts w:cs="Arial"/>
          <w:color w:val="auto"/>
          <w:sz w:val="22"/>
        </w:rPr>
        <w:t>promotion</w:t>
      </w:r>
      <w:proofErr w:type="gramEnd"/>
      <w:r w:rsidRPr="009830C0">
        <w:rPr>
          <w:rFonts w:cs="Arial"/>
          <w:color w:val="auto"/>
          <w:sz w:val="22"/>
        </w:rPr>
        <w:t xml:space="preserve"> or transfer) that has additional legislative, financial or security related requirements.</w:t>
      </w:r>
    </w:p>
    <w:p w14:paraId="301FA844" w14:textId="530480F8" w:rsidR="00A144B2" w:rsidRPr="001520D3" w:rsidRDefault="00A144B2" w:rsidP="001520D3">
      <w:pPr>
        <w:pStyle w:val="Heading3"/>
        <w:ind w:left="567"/>
        <w:rPr>
          <w:rFonts w:ascii="Griffith Sans Text" w:hAnsi="Griffith Sans Text"/>
        </w:rPr>
      </w:pPr>
      <w:bookmarkStart w:id="4" w:name="_3.1_[Insert_sub-heading]"/>
      <w:bookmarkEnd w:id="4"/>
      <w:r w:rsidRPr="001520D3">
        <w:rPr>
          <w:rFonts w:ascii="Griffith Sans Text" w:hAnsi="Griffith Sans Text"/>
        </w:rPr>
        <w:t xml:space="preserve">3.1 </w:t>
      </w:r>
      <w:r w:rsidR="009830C0" w:rsidRPr="009830C0">
        <w:rPr>
          <w:rFonts w:ascii="Griffith Sans Text" w:hAnsi="Griffith Sans Text"/>
        </w:rPr>
        <w:t>Criminal History Checks</w:t>
      </w:r>
    </w:p>
    <w:p w14:paraId="19008C4D" w14:textId="77777777" w:rsidR="00041952" w:rsidRPr="00041952" w:rsidRDefault="00041952" w:rsidP="00041952">
      <w:pPr>
        <w:spacing w:before="120" w:after="120" w:line="240" w:lineRule="auto"/>
        <w:ind w:left="567"/>
        <w:rPr>
          <w:rFonts w:ascii="Arial" w:hAnsi="Arial" w:cs="Arial"/>
          <w:sz w:val="22"/>
        </w:rPr>
      </w:pPr>
      <w:r w:rsidRPr="00041952">
        <w:rPr>
          <w:rFonts w:ascii="Arial" w:hAnsi="Arial" w:cs="Arial"/>
          <w:sz w:val="22"/>
        </w:rPr>
        <w:t xml:space="preserve">In determining the suitability of an applicant to perform the relevant duties of a position, the preferred candidate for ‘designated’ positions must undertake a criminal history check. </w:t>
      </w:r>
    </w:p>
    <w:p w14:paraId="451319AC" w14:textId="77777777" w:rsidR="00041952" w:rsidRPr="00041952" w:rsidRDefault="00041952" w:rsidP="00041952">
      <w:pPr>
        <w:spacing w:before="120" w:after="120" w:line="240" w:lineRule="auto"/>
        <w:ind w:left="567"/>
        <w:rPr>
          <w:rFonts w:ascii="Arial" w:hAnsi="Arial" w:cs="Arial"/>
          <w:sz w:val="22"/>
        </w:rPr>
      </w:pPr>
      <w:r w:rsidRPr="00041952">
        <w:rPr>
          <w:rFonts w:ascii="Arial" w:hAnsi="Arial" w:cs="Arial"/>
          <w:sz w:val="22"/>
        </w:rPr>
        <w:t>A request to conduct these checks will be initiated with the preferred candidate as part of the standard suite of pre-employment screening requirements.</w:t>
      </w:r>
    </w:p>
    <w:p w14:paraId="08CCC211" w14:textId="77777777" w:rsidR="00041952" w:rsidRPr="00041952" w:rsidRDefault="00041952" w:rsidP="00041952">
      <w:pPr>
        <w:spacing w:before="120" w:after="120" w:line="240" w:lineRule="auto"/>
        <w:ind w:left="567"/>
        <w:rPr>
          <w:rFonts w:ascii="Arial" w:hAnsi="Arial" w:cs="Arial"/>
          <w:sz w:val="22"/>
        </w:rPr>
      </w:pPr>
      <w:r w:rsidRPr="00041952">
        <w:rPr>
          <w:rFonts w:ascii="Arial" w:hAnsi="Arial" w:cs="Arial"/>
          <w:sz w:val="22"/>
        </w:rPr>
        <w:t>An offer of employment, whether verbal or written, may be made to the preferred candidate prior to the outcome of the criminal history check, provided they are informed that the offer, and subsequent ongoing employment, is subject to a successful criminal history check.</w:t>
      </w:r>
    </w:p>
    <w:p w14:paraId="323DACD7" w14:textId="77777777" w:rsidR="00041952" w:rsidRPr="00041952" w:rsidRDefault="00041952" w:rsidP="00041952">
      <w:pPr>
        <w:spacing w:before="120" w:after="120" w:line="240" w:lineRule="auto"/>
        <w:ind w:left="567"/>
        <w:rPr>
          <w:rFonts w:ascii="Arial" w:hAnsi="Arial" w:cs="Arial"/>
          <w:sz w:val="22"/>
        </w:rPr>
      </w:pPr>
      <w:r w:rsidRPr="00041952">
        <w:rPr>
          <w:rFonts w:ascii="Arial" w:hAnsi="Arial" w:cs="Arial"/>
          <w:sz w:val="22"/>
        </w:rPr>
        <w:t>It is a requirement that the preferred candidate has initiated the criminal history check, including the submissions of relevant documentation and approval requirements, prior to commencing in the new position.</w:t>
      </w:r>
    </w:p>
    <w:p w14:paraId="23A942CA" w14:textId="031C8375" w:rsidR="0059325A" w:rsidRPr="004922AF" w:rsidRDefault="00041952" w:rsidP="00041952">
      <w:pPr>
        <w:spacing w:before="120" w:after="120" w:line="240" w:lineRule="auto"/>
        <w:ind w:left="567"/>
        <w:rPr>
          <w:rFonts w:ascii="Arial" w:hAnsi="Arial" w:cs="Arial"/>
          <w:sz w:val="22"/>
        </w:rPr>
      </w:pPr>
      <w:r w:rsidRPr="00041952">
        <w:rPr>
          <w:rFonts w:ascii="Arial" w:hAnsi="Arial" w:cs="Arial"/>
          <w:sz w:val="22"/>
        </w:rPr>
        <w:t xml:space="preserve">If a candidate’s criminal history check outcome contains an adverse record, the result and recommendation will be referred to the Director, Human Resources. The Director, Human Resources </w:t>
      </w:r>
      <w:r w:rsidRPr="00041952">
        <w:rPr>
          <w:rFonts w:ascii="Arial" w:hAnsi="Arial" w:cs="Arial"/>
          <w:sz w:val="22"/>
        </w:rPr>
        <w:lastRenderedPageBreak/>
        <w:t>will consider the relevance of the offence to the duties of the position, and provide a determination as to whether the appointment, or continued employment, of the person is likely to significantly conflict with Griffith University’s Values and the Code of Conduct.</w:t>
      </w:r>
    </w:p>
    <w:p w14:paraId="124F75BE" w14:textId="55B112B5" w:rsidR="00E77B43" w:rsidRPr="001520D3" w:rsidRDefault="00A144B2" w:rsidP="001520D3">
      <w:pPr>
        <w:pStyle w:val="Heading3"/>
        <w:ind w:left="567"/>
        <w:rPr>
          <w:rFonts w:ascii="Griffith Sans Text" w:hAnsi="Griffith Sans Text"/>
        </w:rPr>
      </w:pPr>
      <w:bookmarkStart w:id="5" w:name="_3.2_[Insert_sub-heading]"/>
      <w:bookmarkEnd w:id="5"/>
      <w:r w:rsidRPr="001520D3">
        <w:rPr>
          <w:rFonts w:ascii="Griffith Sans Text" w:hAnsi="Griffith Sans Text"/>
        </w:rPr>
        <w:t xml:space="preserve">3.2 </w:t>
      </w:r>
      <w:r w:rsidR="009830C0" w:rsidRPr="009830C0">
        <w:rPr>
          <w:rFonts w:ascii="Griffith Sans Text" w:hAnsi="Griffith Sans Text"/>
        </w:rPr>
        <w:t>Professional Equivalence and/or Registration checking</w:t>
      </w:r>
    </w:p>
    <w:p w14:paraId="50F3D544" w14:textId="48F7B38D" w:rsidR="00B508D5" w:rsidRDefault="00B766B8" w:rsidP="004922AF">
      <w:pPr>
        <w:spacing w:before="120" w:after="120" w:line="240" w:lineRule="auto"/>
        <w:ind w:left="567"/>
        <w:rPr>
          <w:rFonts w:ascii="Arial" w:hAnsi="Arial" w:cs="Arial"/>
          <w:sz w:val="22"/>
        </w:rPr>
      </w:pPr>
      <w:r w:rsidRPr="00B766B8">
        <w:rPr>
          <w:rFonts w:ascii="Arial" w:hAnsi="Arial" w:cs="Arial"/>
          <w:sz w:val="22"/>
        </w:rPr>
        <w:t>Where it has been determined that a position has mandatory qualifications, professional equivalence or registration required to practice in the role, evidence of this information must be provided and verified by the panel chair/supervisor.</w:t>
      </w:r>
    </w:p>
    <w:p w14:paraId="586356A4" w14:textId="75A770D2" w:rsidR="009830C0" w:rsidRPr="001520D3" w:rsidRDefault="009830C0" w:rsidP="009830C0">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sidRPr="009830C0">
        <w:rPr>
          <w:rFonts w:ascii="Griffith Sans Text" w:hAnsi="Griffith Sans Text"/>
        </w:rPr>
        <w:t>Academic Qualifications</w:t>
      </w:r>
    </w:p>
    <w:p w14:paraId="0334FDB5" w14:textId="77777777" w:rsidR="00B766B8" w:rsidRPr="00B766B8" w:rsidRDefault="00B766B8" w:rsidP="00B766B8">
      <w:pPr>
        <w:spacing w:before="120" w:after="120" w:line="240" w:lineRule="auto"/>
        <w:ind w:left="567"/>
        <w:rPr>
          <w:rFonts w:ascii="Arial" w:hAnsi="Arial" w:cs="Arial"/>
          <w:sz w:val="22"/>
        </w:rPr>
      </w:pPr>
      <w:r w:rsidRPr="00B766B8">
        <w:rPr>
          <w:rFonts w:ascii="Arial" w:hAnsi="Arial" w:cs="Arial"/>
          <w:sz w:val="22"/>
        </w:rPr>
        <w:t>In accordance with the Higher Education Standards Framework (Threshold Standards) 2021 (‘</w:t>
      </w:r>
      <w:r w:rsidRPr="00B766B8">
        <w:rPr>
          <w:rFonts w:ascii="Arial" w:hAnsi="Arial" w:cs="Arial"/>
          <w:b/>
          <w:bCs/>
          <w:sz w:val="22"/>
        </w:rPr>
        <w:t>HE Standards</w:t>
      </w:r>
      <w:r w:rsidRPr="00B766B8">
        <w:rPr>
          <w:rFonts w:ascii="Arial" w:hAnsi="Arial" w:cs="Arial"/>
          <w:sz w:val="22"/>
        </w:rPr>
        <w:t>’), Griffith University staff with responsibilities for academic oversight and those with teaching and supervisory roles must have a qualification in the relevant discipline of at least one Australian Qualifications Framework (AQF) level higher than the program being taught; or equivalent relevant academic or professional or practice-based experience and expertise (‘</w:t>
      </w:r>
      <w:r w:rsidRPr="00B766B8">
        <w:rPr>
          <w:rFonts w:ascii="Arial" w:hAnsi="Arial" w:cs="Arial"/>
          <w:b/>
          <w:bCs/>
          <w:sz w:val="22"/>
        </w:rPr>
        <w:t>equivalent professional experience</w:t>
      </w:r>
      <w:r w:rsidRPr="00B766B8">
        <w:rPr>
          <w:rFonts w:ascii="Arial" w:hAnsi="Arial" w:cs="Arial"/>
          <w:sz w:val="22"/>
        </w:rPr>
        <w:t>’).</w:t>
      </w:r>
    </w:p>
    <w:p w14:paraId="75FFC3EA" w14:textId="46B08737" w:rsidR="009830C0" w:rsidRPr="004922AF" w:rsidRDefault="00B766B8" w:rsidP="00B766B8">
      <w:pPr>
        <w:spacing w:before="120" w:after="120" w:line="240" w:lineRule="auto"/>
        <w:ind w:left="567"/>
        <w:rPr>
          <w:rFonts w:ascii="Arial" w:hAnsi="Arial" w:cs="Arial"/>
          <w:sz w:val="22"/>
        </w:rPr>
      </w:pPr>
      <w:r w:rsidRPr="00B766B8">
        <w:rPr>
          <w:rFonts w:ascii="Arial" w:hAnsi="Arial" w:cs="Arial"/>
          <w:sz w:val="22"/>
        </w:rPr>
        <w:t>The Head of Element is responsible for ensuring that staff employed are appropriately qualified and meet the requirements of the HE Standards. If a staff member does not possess formal qualifications that satisfy the requirements outlined in Section 3.8, then the Head of Element delegate must undertake and record an assessment of their equivalent professional experience using the Equivalency Criteria Checklist</w:t>
      </w:r>
      <w:r>
        <w:rPr>
          <w:rFonts w:ascii="Arial" w:hAnsi="Arial" w:cs="Arial"/>
          <w:sz w:val="22"/>
        </w:rPr>
        <w:t>.</w:t>
      </w:r>
    </w:p>
    <w:p w14:paraId="700BEF40" w14:textId="190EEEA3" w:rsidR="009830C0" w:rsidRPr="001520D3" w:rsidRDefault="009830C0" w:rsidP="009830C0">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4</w:t>
      </w:r>
      <w:r w:rsidRPr="001520D3">
        <w:rPr>
          <w:rFonts w:ascii="Griffith Sans Text" w:hAnsi="Griffith Sans Text"/>
        </w:rPr>
        <w:t xml:space="preserve"> </w:t>
      </w:r>
      <w:r w:rsidRPr="009830C0">
        <w:rPr>
          <w:rFonts w:ascii="Griffith Sans Text" w:hAnsi="Griffith Sans Text"/>
        </w:rPr>
        <w:t>Professional Registrations</w:t>
      </w:r>
    </w:p>
    <w:p w14:paraId="14E66536" w14:textId="5AE07174" w:rsidR="009830C0" w:rsidRPr="004922AF" w:rsidRDefault="00A32BEC" w:rsidP="009830C0">
      <w:pPr>
        <w:spacing w:before="120" w:after="120" w:line="240" w:lineRule="auto"/>
        <w:ind w:left="567"/>
        <w:rPr>
          <w:rFonts w:ascii="Arial" w:hAnsi="Arial" w:cs="Arial"/>
          <w:sz w:val="22"/>
        </w:rPr>
      </w:pPr>
      <w:r w:rsidRPr="00A32BEC">
        <w:rPr>
          <w:rFonts w:ascii="Arial" w:hAnsi="Arial" w:cs="Arial"/>
          <w:sz w:val="22"/>
        </w:rPr>
        <w:t>Where positions require current professional registrations, it is the responsibility of the Head of Element to verify that a candidate has obtained the relevant registrations prior to commencing employment. Registration evidence may be in the form of an original or certified copy of the registration documentation, or via an available online registration verification portal, for example, the Australian Health Practitioner Regulation Agency (AHPRA).</w:t>
      </w:r>
    </w:p>
    <w:p w14:paraId="65C57EF0" w14:textId="64F6B3E3" w:rsidR="009830C0" w:rsidRPr="001520D3" w:rsidRDefault="009830C0" w:rsidP="009830C0">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5</w:t>
      </w:r>
      <w:r w:rsidRPr="001520D3">
        <w:rPr>
          <w:rFonts w:ascii="Griffith Sans Text" w:hAnsi="Griffith Sans Text"/>
        </w:rPr>
        <w:t xml:space="preserve"> </w:t>
      </w:r>
      <w:r w:rsidRPr="009830C0">
        <w:rPr>
          <w:rFonts w:ascii="Griffith Sans Text" w:hAnsi="Griffith Sans Text"/>
        </w:rPr>
        <w:t>Eligibility to Work in Australia</w:t>
      </w:r>
    </w:p>
    <w:p w14:paraId="1AA77943" w14:textId="77777777" w:rsidR="00A32BEC" w:rsidRPr="00A32BEC" w:rsidRDefault="00A32BEC" w:rsidP="00A32BEC">
      <w:pPr>
        <w:spacing w:before="120" w:after="120" w:line="240" w:lineRule="auto"/>
        <w:ind w:left="567"/>
        <w:rPr>
          <w:rFonts w:ascii="Arial" w:hAnsi="Arial" w:cs="Arial"/>
          <w:sz w:val="22"/>
        </w:rPr>
      </w:pPr>
      <w:r w:rsidRPr="00A32BEC">
        <w:rPr>
          <w:rFonts w:ascii="Arial" w:hAnsi="Arial" w:cs="Arial"/>
          <w:sz w:val="22"/>
        </w:rPr>
        <w:t>Prior to an offer of employment, the Talent Acquisition team will verify that the applicant has the appropriate working rights. A candidate must provide evidence of Australian Citizenship or relevant visa requirements to be eligible for the appointment and to work in Australia.</w:t>
      </w:r>
    </w:p>
    <w:p w14:paraId="64A3B179" w14:textId="25E3C5A0" w:rsidR="009830C0" w:rsidRPr="004922AF" w:rsidRDefault="00A32BEC" w:rsidP="00A32BEC">
      <w:pPr>
        <w:spacing w:before="120" w:after="120" w:line="240" w:lineRule="auto"/>
        <w:ind w:left="567"/>
        <w:rPr>
          <w:rFonts w:ascii="Arial" w:hAnsi="Arial" w:cs="Arial"/>
          <w:sz w:val="22"/>
        </w:rPr>
      </w:pPr>
      <w:r w:rsidRPr="00A32BEC">
        <w:rPr>
          <w:rFonts w:ascii="Arial" w:hAnsi="Arial" w:cs="Arial"/>
          <w:sz w:val="22"/>
        </w:rPr>
        <w:t>For casual appointments, it is the responsibility of the Hiring manager to ensure the individual’s right to work in Australia, prior to the offer of employment or commencement of work. The Talent Acquisition team can support with verification process.</w:t>
      </w:r>
    </w:p>
    <w:p w14:paraId="76DC6B8F" w14:textId="26034575" w:rsidR="009830C0" w:rsidRPr="001520D3" w:rsidRDefault="009830C0" w:rsidP="009830C0">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6</w:t>
      </w:r>
      <w:r w:rsidRPr="001520D3">
        <w:rPr>
          <w:rFonts w:ascii="Griffith Sans Text" w:hAnsi="Griffith Sans Text"/>
        </w:rPr>
        <w:t xml:space="preserve"> </w:t>
      </w:r>
      <w:r w:rsidRPr="009830C0">
        <w:rPr>
          <w:rFonts w:ascii="Griffith Sans Text" w:hAnsi="Griffith Sans Text"/>
        </w:rPr>
        <w:t>Working with Children</w:t>
      </w:r>
    </w:p>
    <w:p w14:paraId="6F4B5AA4" w14:textId="44EF1F82" w:rsidR="00A32BEC" w:rsidRPr="00A32BEC" w:rsidRDefault="00A32BEC" w:rsidP="00A32BEC">
      <w:pPr>
        <w:spacing w:before="120" w:after="120" w:line="240" w:lineRule="auto"/>
        <w:ind w:left="567"/>
        <w:rPr>
          <w:rFonts w:ascii="Arial" w:hAnsi="Arial" w:cs="Arial"/>
          <w:sz w:val="22"/>
        </w:rPr>
      </w:pPr>
      <w:r w:rsidRPr="00A32BEC">
        <w:rPr>
          <w:rFonts w:ascii="Arial" w:hAnsi="Arial" w:cs="Arial"/>
          <w:sz w:val="22"/>
        </w:rPr>
        <w:t xml:space="preserve">Under the Working with Children (Risk Management and Screening) Act 2000 (Qld) and in accordance with the University’s </w:t>
      </w:r>
      <w:r w:rsidRPr="00A608B0">
        <w:rPr>
          <w:rFonts w:ascii="Arial" w:hAnsi="Arial" w:cs="Arial"/>
          <w:sz w:val="22"/>
        </w:rPr>
        <w:t>Child Safety and Wellbeing Policy</w:t>
      </w:r>
      <w:r w:rsidRPr="00A32BEC">
        <w:rPr>
          <w:rFonts w:ascii="Arial" w:hAnsi="Arial" w:cs="Arial"/>
          <w:sz w:val="22"/>
        </w:rPr>
        <w:t xml:space="preserve">, prospective employees in designated roles must have valid Working with Children Checks completed prior to the commencement of employment. </w:t>
      </w:r>
    </w:p>
    <w:p w14:paraId="01174FC7" w14:textId="38E13C1E" w:rsidR="009830C0" w:rsidRPr="004922AF" w:rsidRDefault="00A32BEC" w:rsidP="00A32BEC">
      <w:pPr>
        <w:spacing w:before="120" w:after="120" w:line="240" w:lineRule="auto"/>
        <w:ind w:left="567"/>
        <w:rPr>
          <w:rFonts w:ascii="Arial" w:hAnsi="Arial" w:cs="Arial"/>
          <w:sz w:val="22"/>
        </w:rPr>
      </w:pPr>
      <w:r w:rsidRPr="00A32BEC">
        <w:rPr>
          <w:rFonts w:ascii="Arial" w:hAnsi="Arial" w:cs="Arial"/>
          <w:sz w:val="22"/>
        </w:rPr>
        <w:t>It is the responsibility of the Hiring Manager to verify or request these checks prior to employment.</w:t>
      </w:r>
    </w:p>
    <w:p w14:paraId="765C3E76" w14:textId="65223F7D" w:rsidR="009830C0" w:rsidRPr="001520D3" w:rsidRDefault="009830C0" w:rsidP="009830C0">
      <w:pPr>
        <w:pStyle w:val="Heading3"/>
        <w:ind w:left="567"/>
        <w:rPr>
          <w:rFonts w:ascii="Griffith Sans Text" w:hAnsi="Griffith Sans Text"/>
        </w:rPr>
      </w:pPr>
      <w:r w:rsidRPr="001520D3">
        <w:rPr>
          <w:rFonts w:ascii="Griffith Sans Text" w:hAnsi="Griffith Sans Text"/>
        </w:rPr>
        <w:lastRenderedPageBreak/>
        <w:t>3.</w:t>
      </w:r>
      <w:r>
        <w:rPr>
          <w:rFonts w:ascii="Griffith Sans Text" w:hAnsi="Griffith Sans Text"/>
        </w:rPr>
        <w:t>7</w:t>
      </w:r>
      <w:r w:rsidRPr="001520D3">
        <w:rPr>
          <w:rFonts w:ascii="Griffith Sans Text" w:hAnsi="Griffith Sans Text"/>
        </w:rPr>
        <w:t xml:space="preserve"> </w:t>
      </w:r>
      <w:r w:rsidRPr="002D02A8">
        <w:t>Foreign Interference Disclosure</w:t>
      </w:r>
    </w:p>
    <w:p w14:paraId="4BD52569" w14:textId="32B1D597" w:rsidR="009830C0" w:rsidRPr="004922AF" w:rsidRDefault="00A32BEC" w:rsidP="009830C0">
      <w:pPr>
        <w:spacing w:before="120" w:after="120" w:line="240" w:lineRule="auto"/>
        <w:ind w:left="567"/>
        <w:rPr>
          <w:rFonts w:ascii="Arial" w:hAnsi="Arial" w:cs="Arial"/>
          <w:sz w:val="22"/>
        </w:rPr>
      </w:pPr>
      <w:r w:rsidRPr="00A32BEC">
        <w:rPr>
          <w:rFonts w:ascii="Arial" w:hAnsi="Arial" w:cs="Arial"/>
          <w:sz w:val="22"/>
        </w:rPr>
        <w:t xml:space="preserve">Paid and unpaid academic staff, which include Adjunct, Honorary and Visiting Appointees, are required to disclose to the University any activities which may lead to a requirement to register with the </w:t>
      </w:r>
      <w:r w:rsidRPr="009A2F7D">
        <w:rPr>
          <w:rFonts w:ascii="Arial" w:hAnsi="Arial" w:cs="Arial"/>
          <w:sz w:val="22"/>
        </w:rPr>
        <w:t>Foreign Interference Transparency Scheme (FITS)</w:t>
      </w:r>
      <w:r w:rsidRPr="00A32BEC">
        <w:rPr>
          <w:rFonts w:ascii="Arial" w:hAnsi="Arial" w:cs="Arial"/>
          <w:sz w:val="22"/>
        </w:rPr>
        <w:t>. Individuals or entities are required to register certain activities under the scheme if they are undertaken on behalf of a foreign principal.</w:t>
      </w:r>
    </w:p>
    <w:p w14:paraId="4B090BC7" w14:textId="6F9BE42F" w:rsidR="009830C0" w:rsidRPr="001520D3" w:rsidRDefault="009830C0" w:rsidP="009830C0">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8</w:t>
      </w:r>
      <w:r w:rsidRPr="001520D3">
        <w:rPr>
          <w:rFonts w:ascii="Griffith Sans Text" w:hAnsi="Griffith Sans Text"/>
        </w:rPr>
        <w:t xml:space="preserve"> </w:t>
      </w:r>
      <w:r w:rsidRPr="009830C0">
        <w:rPr>
          <w:rFonts w:ascii="Griffith Sans Text" w:hAnsi="Griffith Sans Text"/>
        </w:rPr>
        <w:t>Pre-employment Screening</w:t>
      </w:r>
    </w:p>
    <w:tbl>
      <w:tblPr>
        <w:tblStyle w:val="TableGrid"/>
        <w:tblW w:w="50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5"/>
        <w:gridCol w:w="1823"/>
        <w:gridCol w:w="2727"/>
        <w:gridCol w:w="3062"/>
        <w:gridCol w:w="1505"/>
      </w:tblGrid>
      <w:tr w:rsidR="006E7F56" w:rsidRPr="00102B8A" w14:paraId="6D9403C3" w14:textId="77777777" w:rsidTr="00A608B0">
        <w:tc>
          <w:tcPr>
            <w:tcW w:w="712" w:type="pct"/>
            <w:tcBorders>
              <w:top w:val="single" w:sz="8" w:space="0" w:color="E30918"/>
              <w:right w:val="single" w:sz="8" w:space="0" w:color="E30918"/>
            </w:tcBorders>
            <w:shd w:val="clear" w:color="auto" w:fill="E6E7E8"/>
          </w:tcPr>
          <w:p w14:paraId="37333C66" w14:textId="77777777" w:rsidR="006E7F56" w:rsidRPr="00720BA2" w:rsidRDefault="006E7F56" w:rsidP="00C13DA1">
            <w:pPr>
              <w:spacing w:before="120" w:after="120"/>
              <w:rPr>
                <w:rFonts w:ascii="Arial" w:hAnsi="Arial" w:cs="Arial"/>
                <w:b/>
                <w:bCs/>
              </w:rPr>
            </w:pPr>
            <w:r w:rsidRPr="4F154D03">
              <w:rPr>
                <w:rFonts w:ascii="Arial" w:hAnsi="Arial" w:cs="Arial"/>
                <w:b/>
                <w:bCs/>
              </w:rPr>
              <w:t>Type of Check</w:t>
            </w:r>
          </w:p>
        </w:tc>
        <w:tc>
          <w:tcPr>
            <w:tcW w:w="857" w:type="pct"/>
            <w:tcBorders>
              <w:top w:val="single" w:sz="8" w:space="0" w:color="E30918"/>
              <w:left w:val="single" w:sz="8" w:space="0" w:color="E30918"/>
              <w:right w:val="single" w:sz="8" w:space="0" w:color="E30918"/>
            </w:tcBorders>
            <w:shd w:val="clear" w:color="auto" w:fill="E6E7E8"/>
          </w:tcPr>
          <w:p w14:paraId="43A0DAD0" w14:textId="77777777" w:rsidR="006E7F56" w:rsidRDefault="006E7F56" w:rsidP="00C13DA1">
            <w:pPr>
              <w:spacing w:before="120" w:after="120"/>
              <w:rPr>
                <w:rFonts w:ascii="Arial" w:hAnsi="Arial" w:cs="Arial"/>
                <w:b/>
                <w:bCs/>
              </w:rPr>
            </w:pPr>
            <w:r w:rsidRPr="4F154D03">
              <w:rPr>
                <w:rFonts w:ascii="Arial" w:hAnsi="Arial" w:cs="Arial"/>
                <w:b/>
                <w:bCs/>
              </w:rPr>
              <w:t>Required when</w:t>
            </w:r>
          </w:p>
        </w:tc>
        <w:tc>
          <w:tcPr>
            <w:tcW w:w="1282" w:type="pct"/>
            <w:tcBorders>
              <w:top w:val="single" w:sz="8" w:space="0" w:color="E30918"/>
              <w:left w:val="single" w:sz="8" w:space="0" w:color="E30918"/>
              <w:right w:val="single" w:sz="8" w:space="0" w:color="E30918"/>
            </w:tcBorders>
            <w:shd w:val="clear" w:color="auto" w:fill="E6E7E8"/>
          </w:tcPr>
          <w:p w14:paraId="0CF73B87" w14:textId="77777777" w:rsidR="006E7F56" w:rsidRPr="00102B8A" w:rsidRDefault="006E7F56" w:rsidP="00C13DA1">
            <w:pPr>
              <w:spacing w:before="120" w:after="120"/>
              <w:rPr>
                <w:rFonts w:ascii="Arial" w:hAnsi="Arial" w:cs="Arial"/>
                <w:b/>
                <w:bCs/>
              </w:rPr>
            </w:pPr>
            <w:r w:rsidRPr="4F154D03">
              <w:rPr>
                <w:rFonts w:ascii="Arial" w:hAnsi="Arial" w:cs="Arial"/>
                <w:b/>
                <w:bCs/>
              </w:rPr>
              <w:t>Requirement</w:t>
            </w:r>
          </w:p>
        </w:tc>
        <w:tc>
          <w:tcPr>
            <w:tcW w:w="1440" w:type="pct"/>
            <w:tcBorders>
              <w:top w:val="single" w:sz="8" w:space="0" w:color="E30918"/>
              <w:left w:val="single" w:sz="8" w:space="0" w:color="E30918"/>
            </w:tcBorders>
            <w:shd w:val="clear" w:color="auto" w:fill="E6E7E8"/>
          </w:tcPr>
          <w:p w14:paraId="03B354FB" w14:textId="77777777" w:rsidR="006E7F56" w:rsidRPr="00720BA2" w:rsidRDefault="006E7F56" w:rsidP="00C13DA1">
            <w:pPr>
              <w:spacing w:before="120" w:after="120"/>
              <w:rPr>
                <w:rFonts w:ascii="Arial" w:hAnsi="Arial" w:cs="Arial"/>
                <w:b/>
                <w:bCs/>
              </w:rPr>
            </w:pPr>
            <w:r w:rsidRPr="4F154D03">
              <w:rPr>
                <w:rFonts w:ascii="Arial" w:hAnsi="Arial" w:cs="Arial"/>
                <w:b/>
                <w:bCs/>
              </w:rPr>
              <w:t>Evidence</w:t>
            </w:r>
          </w:p>
        </w:tc>
        <w:tc>
          <w:tcPr>
            <w:tcW w:w="708" w:type="pct"/>
            <w:tcBorders>
              <w:top w:val="single" w:sz="8" w:space="0" w:color="E30918"/>
              <w:left w:val="single" w:sz="8" w:space="0" w:color="E30918"/>
            </w:tcBorders>
            <w:shd w:val="clear" w:color="auto" w:fill="E6E7E8"/>
          </w:tcPr>
          <w:p w14:paraId="11CFD7BC" w14:textId="77777777" w:rsidR="006E7F56" w:rsidRPr="00720BA2" w:rsidRDefault="006E7F56" w:rsidP="00C13DA1">
            <w:pPr>
              <w:spacing w:before="120" w:after="120"/>
              <w:rPr>
                <w:rFonts w:ascii="Arial" w:hAnsi="Arial" w:cs="Arial"/>
                <w:b/>
                <w:bCs/>
              </w:rPr>
            </w:pPr>
            <w:r w:rsidRPr="4F154D03">
              <w:rPr>
                <w:rFonts w:ascii="Arial" w:hAnsi="Arial" w:cs="Arial"/>
                <w:b/>
                <w:bCs/>
              </w:rPr>
              <w:t>When done</w:t>
            </w:r>
          </w:p>
        </w:tc>
      </w:tr>
      <w:tr w:rsidR="006E7F56" w:rsidRPr="00102B8A" w14:paraId="3E3DC325" w14:textId="77777777" w:rsidTr="00A608B0">
        <w:tc>
          <w:tcPr>
            <w:tcW w:w="712" w:type="pct"/>
            <w:tcBorders>
              <w:top w:val="single" w:sz="8" w:space="0" w:color="E30918"/>
              <w:right w:val="single" w:sz="8" w:space="0" w:color="E30918"/>
            </w:tcBorders>
            <w:shd w:val="clear" w:color="auto" w:fill="E6E7E8"/>
          </w:tcPr>
          <w:p w14:paraId="62614015" w14:textId="77777777" w:rsidR="006E7F56" w:rsidRPr="00720BA2" w:rsidRDefault="006E7F56" w:rsidP="00C13DA1">
            <w:pPr>
              <w:spacing w:before="120" w:after="120"/>
              <w:rPr>
                <w:rFonts w:ascii="Arial" w:hAnsi="Arial" w:cs="Arial"/>
                <w:szCs w:val="20"/>
              </w:rPr>
            </w:pPr>
            <w:r w:rsidRPr="00720BA2">
              <w:rPr>
                <w:rFonts w:ascii="Arial" w:hAnsi="Arial" w:cs="Arial"/>
                <w:szCs w:val="20"/>
              </w:rPr>
              <w:t>Fit and Proper Person</w:t>
            </w:r>
            <w:r w:rsidRPr="00720BA2">
              <w:rPr>
                <w:rFonts w:ascii="Arial" w:hAnsi="Arial" w:cs="Arial"/>
                <w:szCs w:val="20"/>
              </w:rPr>
              <w:tab/>
            </w:r>
            <w:r w:rsidRPr="00720BA2">
              <w:rPr>
                <w:rFonts w:ascii="Arial" w:hAnsi="Arial" w:cs="Arial"/>
                <w:szCs w:val="20"/>
              </w:rPr>
              <w:tab/>
            </w:r>
          </w:p>
        </w:tc>
        <w:tc>
          <w:tcPr>
            <w:tcW w:w="857" w:type="pct"/>
            <w:tcBorders>
              <w:top w:val="single" w:sz="8" w:space="0" w:color="E30918"/>
              <w:left w:val="single" w:sz="8" w:space="0" w:color="E30918"/>
              <w:right w:val="single" w:sz="8" w:space="0" w:color="E30918"/>
            </w:tcBorders>
            <w:shd w:val="clear" w:color="auto" w:fill="E6E7E8"/>
          </w:tcPr>
          <w:p w14:paraId="47E4435D" w14:textId="77777777" w:rsidR="006E7F56" w:rsidRPr="00720BA2" w:rsidRDefault="006E7F56" w:rsidP="00C13DA1">
            <w:pPr>
              <w:spacing w:before="120" w:after="120"/>
              <w:rPr>
                <w:rFonts w:ascii="Arial" w:hAnsi="Arial" w:cs="Arial"/>
                <w:szCs w:val="20"/>
              </w:rPr>
            </w:pPr>
            <w:r w:rsidRPr="00720BA2">
              <w:rPr>
                <w:rFonts w:ascii="Arial" w:hAnsi="Arial" w:cs="Arial"/>
                <w:szCs w:val="20"/>
              </w:rPr>
              <w:t>To meet TEQSA registration requirements</w:t>
            </w:r>
          </w:p>
          <w:p w14:paraId="1AF9298B" w14:textId="77777777" w:rsidR="006E7F56" w:rsidRPr="00720BA2" w:rsidRDefault="006E7F56" w:rsidP="00C13DA1">
            <w:pPr>
              <w:spacing w:before="120" w:after="120"/>
              <w:rPr>
                <w:rFonts w:ascii="Arial" w:hAnsi="Arial" w:cs="Arial"/>
                <w:szCs w:val="20"/>
              </w:rPr>
            </w:pPr>
            <w:r w:rsidRPr="00720BA2">
              <w:rPr>
                <w:rFonts w:ascii="Arial" w:hAnsi="Arial" w:cs="Arial"/>
                <w:szCs w:val="20"/>
              </w:rPr>
              <w:t>Vice Chancellor and direct reports.</w:t>
            </w:r>
          </w:p>
        </w:tc>
        <w:tc>
          <w:tcPr>
            <w:tcW w:w="1282" w:type="pct"/>
            <w:tcBorders>
              <w:top w:val="single" w:sz="8" w:space="0" w:color="E30918"/>
              <w:left w:val="single" w:sz="8" w:space="0" w:color="E30918"/>
              <w:right w:val="single" w:sz="8" w:space="0" w:color="E30918"/>
            </w:tcBorders>
            <w:shd w:val="clear" w:color="auto" w:fill="E6E7E8"/>
          </w:tcPr>
          <w:p w14:paraId="63BB7C68" w14:textId="77777777" w:rsidR="006E7F56" w:rsidRPr="00720BA2" w:rsidRDefault="006E7F56" w:rsidP="00C13DA1">
            <w:pPr>
              <w:spacing w:before="120" w:after="120"/>
              <w:rPr>
                <w:rFonts w:ascii="Arial" w:hAnsi="Arial" w:cs="Arial"/>
                <w:szCs w:val="20"/>
              </w:rPr>
            </w:pPr>
            <w:r w:rsidRPr="00720BA2">
              <w:rPr>
                <w:rFonts w:ascii="Arial" w:hAnsi="Arial" w:cs="Arial"/>
                <w:szCs w:val="20"/>
              </w:rPr>
              <w:t>Annual declaration</w:t>
            </w:r>
          </w:p>
        </w:tc>
        <w:tc>
          <w:tcPr>
            <w:tcW w:w="1440" w:type="pct"/>
            <w:tcBorders>
              <w:top w:val="single" w:sz="8" w:space="0" w:color="E30918"/>
              <w:left w:val="single" w:sz="8" w:space="0" w:color="E30918"/>
            </w:tcBorders>
            <w:shd w:val="clear" w:color="auto" w:fill="E6E7E8"/>
          </w:tcPr>
          <w:p w14:paraId="2AA0837D" w14:textId="77777777" w:rsidR="006E7F56" w:rsidRPr="00720BA2" w:rsidRDefault="006E7F56" w:rsidP="00C13DA1">
            <w:pPr>
              <w:spacing w:before="120" w:after="120"/>
              <w:rPr>
                <w:rFonts w:ascii="Arial" w:hAnsi="Arial" w:cs="Arial"/>
              </w:rPr>
            </w:pPr>
            <w:r w:rsidRPr="0B03146E">
              <w:rPr>
                <w:rFonts w:ascii="Arial" w:hAnsi="Arial" w:cs="Arial"/>
              </w:rPr>
              <w:t>Fit and Proper Person Check via First Advantage</w:t>
            </w:r>
          </w:p>
          <w:p w14:paraId="6AE126DA" w14:textId="77777777" w:rsidR="006E7F56" w:rsidRPr="00720BA2" w:rsidRDefault="006E7F56" w:rsidP="00C13DA1">
            <w:pPr>
              <w:spacing w:before="120" w:after="120"/>
              <w:rPr>
                <w:rFonts w:ascii="Arial" w:hAnsi="Arial" w:cs="Arial"/>
                <w:szCs w:val="20"/>
              </w:rPr>
            </w:pPr>
            <w:r w:rsidRPr="00720BA2">
              <w:rPr>
                <w:rFonts w:ascii="Arial" w:hAnsi="Arial" w:cs="Arial"/>
                <w:szCs w:val="20"/>
              </w:rPr>
              <w:t>TEQSA to be notified of any changes.</w:t>
            </w:r>
          </w:p>
        </w:tc>
        <w:tc>
          <w:tcPr>
            <w:tcW w:w="708" w:type="pct"/>
            <w:tcBorders>
              <w:top w:val="single" w:sz="8" w:space="0" w:color="E30918"/>
              <w:left w:val="single" w:sz="8" w:space="0" w:color="E30918"/>
            </w:tcBorders>
            <w:shd w:val="clear" w:color="auto" w:fill="E6E7E8"/>
          </w:tcPr>
          <w:p w14:paraId="5A9C6E3B" w14:textId="77777777" w:rsidR="006E7F56" w:rsidRPr="00720BA2" w:rsidRDefault="006E7F56" w:rsidP="00C13DA1">
            <w:pPr>
              <w:spacing w:before="120" w:after="120"/>
              <w:rPr>
                <w:rFonts w:ascii="Arial" w:hAnsi="Arial" w:cs="Arial"/>
                <w:szCs w:val="20"/>
              </w:rPr>
            </w:pPr>
            <w:r w:rsidRPr="00720BA2">
              <w:rPr>
                <w:rFonts w:ascii="Arial" w:hAnsi="Arial" w:cs="Arial"/>
                <w:szCs w:val="20"/>
              </w:rPr>
              <w:t>Annually</w:t>
            </w:r>
          </w:p>
        </w:tc>
      </w:tr>
      <w:tr w:rsidR="006E7F56" w:rsidRPr="00102B8A" w14:paraId="676A875B" w14:textId="77777777" w:rsidTr="00A608B0">
        <w:tc>
          <w:tcPr>
            <w:tcW w:w="712" w:type="pct"/>
            <w:tcBorders>
              <w:top w:val="single" w:sz="8" w:space="0" w:color="E30918"/>
              <w:bottom w:val="single" w:sz="8" w:space="0" w:color="E30918"/>
              <w:right w:val="single" w:sz="8" w:space="0" w:color="E30918"/>
            </w:tcBorders>
            <w:shd w:val="clear" w:color="auto" w:fill="E6E7E8"/>
          </w:tcPr>
          <w:p w14:paraId="627449FE" w14:textId="77777777" w:rsidR="006E7F56" w:rsidRPr="00720BA2" w:rsidRDefault="006E7F56" w:rsidP="00C13DA1">
            <w:pPr>
              <w:spacing w:before="120" w:after="120"/>
              <w:rPr>
                <w:rFonts w:ascii="Arial" w:hAnsi="Arial" w:cs="Arial"/>
                <w:szCs w:val="20"/>
              </w:rPr>
            </w:pPr>
            <w:r w:rsidRPr="00720BA2">
              <w:rPr>
                <w:rFonts w:ascii="Arial" w:hAnsi="Arial" w:cs="Arial"/>
                <w:szCs w:val="20"/>
              </w:rPr>
              <w:t xml:space="preserve">Licenses, </w:t>
            </w:r>
            <w:proofErr w:type="gramStart"/>
            <w:r>
              <w:rPr>
                <w:rFonts w:ascii="Arial" w:hAnsi="Arial" w:cs="Arial"/>
                <w:szCs w:val="20"/>
              </w:rPr>
              <w:t>T</w:t>
            </w:r>
            <w:r w:rsidRPr="00720BA2">
              <w:rPr>
                <w:rFonts w:ascii="Arial" w:hAnsi="Arial" w:cs="Arial"/>
                <w:szCs w:val="20"/>
              </w:rPr>
              <w:t>rades</w:t>
            </w:r>
            <w:proofErr w:type="gramEnd"/>
            <w:r w:rsidRPr="00720BA2">
              <w:rPr>
                <w:rFonts w:ascii="Arial" w:hAnsi="Arial" w:cs="Arial"/>
                <w:szCs w:val="20"/>
              </w:rPr>
              <w:t xml:space="preserve"> and other </w:t>
            </w:r>
            <w:r>
              <w:rPr>
                <w:rFonts w:ascii="Arial" w:hAnsi="Arial" w:cs="Arial"/>
                <w:szCs w:val="20"/>
              </w:rPr>
              <w:t>C</w:t>
            </w:r>
            <w:r w:rsidRPr="00720BA2">
              <w:rPr>
                <w:rFonts w:ascii="Arial" w:hAnsi="Arial" w:cs="Arial"/>
                <w:szCs w:val="20"/>
              </w:rPr>
              <w:t>ertificates</w:t>
            </w:r>
          </w:p>
        </w:tc>
        <w:tc>
          <w:tcPr>
            <w:tcW w:w="857" w:type="pct"/>
            <w:tcBorders>
              <w:top w:val="single" w:sz="8" w:space="0" w:color="E30918"/>
              <w:left w:val="single" w:sz="8" w:space="0" w:color="E30918"/>
              <w:bottom w:val="single" w:sz="8" w:space="0" w:color="E30918"/>
              <w:right w:val="single" w:sz="8" w:space="0" w:color="E30918"/>
            </w:tcBorders>
            <w:shd w:val="clear" w:color="auto" w:fill="E6E7E8"/>
          </w:tcPr>
          <w:p w14:paraId="2247702A" w14:textId="77777777" w:rsidR="006E7F56" w:rsidRPr="00720BA2" w:rsidRDefault="006E7F56" w:rsidP="00C13DA1">
            <w:pPr>
              <w:spacing w:before="120" w:after="120"/>
              <w:rPr>
                <w:rFonts w:ascii="Arial" w:hAnsi="Arial" w:cs="Arial"/>
                <w:szCs w:val="20"/>
              </w:rPr>
            </w:pPr>
            <w:r w:rsidRPr="00720BA2">
              <w:rPr>
                <w:rFonts w:ascii="Arial" w:hAnsi="Arial" w:cs="Arial"/>
                <w:szCs w:val="20"/>
              </w:rPr>
              <w:t>Designated roles</w:t>
            </w:r>
          </w:p>
        </w:tc>
        <w:tc>
          <w:tcPr>
            <w:tcW w:w="1282" w:type="pct"/>
            <w:tcBorders>
              <w:top w:val="single" w:sz="8" w:space="0" w:color="E30918"/>
              <w:left w:val="single" w:sz="8" w:space="0" w:color="E30918"/>
              <w:bottom w:val="single" w:sz="8" w:space="0" w:color="E30918"/>
              <w:right w:val="single" w:sz="8" w:space="0" w:color="E30918"/>
            </w:tcBorders>
            <w:shd w:val="clear" w:color="auto" w:fill="E6E7E8"/>
          </w:tcPr>
          <w:p w14:paraId="29A6BB66" w14:textId="77777777" w:rsidR="006E7F56" w:rsidRPr="00720BA2" w:rsidRDefault="006E7F56" w:rsidP="00C13DA1">
            <w:pPr>
              <w:spacing w:before="120" w:after="120"/>
              <w:rPr>
                <w:rFonts w:ascii="Arial" w:hAnsi="Arial" w:cs="Arial"/>
                <w:szCs w:val="20"/>
              </w:rPr>
            </w:pPr>
            <w:r w:rsidRPr="00720BA2">
              <w:rPr>
                <w:rFonts w:ascii="Arial" w:hAnsi="Arial" w:cs="Arial"/>
                <w:szCs w:val="20"/>
              </w:rPr>
              <w:t>Specific roles may require licenses or other certificates to meet selection criteria of a role and/or legislative requirements.</w:t>
            </w:r>
          </w:p>
        </w:tc>
        <w:tc>
          <w:tcPr>
            <w:tcW w:w="1440" w:type="pct"/>
            <w:tcBorders>
              <w:top w:val="single" w:sz="8" w:space="0" w:color="E30918"/>
              <w:left w:val="single" w:sz="8" w:space="0" w:color="E30918"/>
              <w:bottom w:val="single" w:sz="8" w:space="0" w:color="E30918"/>
            </w:tcBorders>
            <w:shd w:val="clear" w:color="auto" w:fill="E6E7E8"/>
          </w:tcPr>
          <w:p w14:paraId="7C6FFE1C" w14:textId="77777777" w:rsidR="006E7F56" w:rsidRPr="00720BA2" w:rsidRDefault="006E7F56" w:rsidP="00C13DA1">
            <w:pPr>
              <w:spacing w:before="120" w:after="120"/>
              <w:rPr>
                <w:rFonts w:ascii="Arial" w:hAnsi="Arial" w:cs="Arial"/>
                <w:szCs w:val="20"/>
              </w:rPr>
            </w:pPr>
            <w:r w:rsidRPr="00720BA2">
              <w:rPr>
                <w:rFonts w:ascii="Arial" w:hAnsi="Arial" w:cs="Arial"/>
                <w:szCs w:val="20"/>
              </w:rPr>
              <w:t>Originals or certified copies of licenses or certificates.</w:t>
            </w:r>
          </w:p>
          <w:p w14:paraId="6F747201" w14:textId="77777777" w:rsidR="006E7F56" w:rsidRPr="00720BA2" w:rsidRDefault="006E7F56" w:rsidP="00C13DA1">
            <w:pPr>
              <w:spacing w:before="120" w:after="120"/>
              <w:rPr>
                <w:rFonts w:ascii="Arial" w:hAnsi="Arial" w:cs="Arial"/>
                <w:szCs w:val="20"/>
              </w:rPr>
            </w:pPr>
          </w:p>
        </w:tc>
        <w:tc>
          <w:tcPr>
            <w:tcW w:w="708" w:type="pct"/>
            <w:tcBorders>
              <w:top w:val="single" w:sz="8" w:space="0" w:color="E30918"/>
              <w:left w:val="single" w:sz="8" w:space="0" w:color="E30918"/>
              <w:bottom w:val="single" w:sz="8" w:space="0" w:color="E30918"/>
            </w:tcBorders>
            <w:shd w:val="clear" w:color="auto" w:fill="E6E7E8"/>
          </w:tcPr>
          <w:p w14:paraId="614677B0" w14:textId="77777777" w:rsidR="006E7F56" w:rsidRPr="00720BA2" w:rsidRDefault="006E7F56" w:rsidP="00C13DA1">
            <w:pPr>
              <w:spacing w:before="120" w:after="120"/>
              <w:rPr>
                <w:rFonts w:ascii="Arial" w:hAnsi="Arial" w:cs="Arial"/>
                <w:szCs w:val="20"/>
              </w:rPr>
            </w:pPr>
            <w:r w:rsidRPr="00720BA2">
              <w:rPr>
                <w:rFonts w:ascii="Arial" w:hAnsi="Arial" w:cs="Arial"/>
                <w:szCs w:val="20"/>
              </w:rPr>
              <w:t>Prior to booking interviews</w:t>
            </w:r>
          </w:p>
        </w:tc>
      </w:tr>
      <w:tr w:rsidR="006E7F56" w14:paraId="312A0014" w14:textId="77777777" w:rsidTr="00A608B0">
        <w:trPr>
          <w:trHeight w:val="1122"/>
        </w:trPr>
        <w:tc>
          <w:tcPr>
            <w:tcW w:w="712" w:type="pct"/>
            <w:tcBorders>
              <w:top w:val="single" w:sz="8" w:space="0" w:color="E30918"/>
              <w:bottom w:val="single" w:sz="8" w:space="0" w:color="E30918"/>
              <w:right w:val="single" w:sz="8" w:space="0" w:color="E30918"/>
            </w:tcBorders>
            <w:shd w:val="clear" w:color="auto" w:fill="E6E7E8"/>
          </w:tcPr>
          <w:p w14:paraId="7CD7A7E3" w14:textId="77777777" w:rsidR="006E7F56" w:rsidRDefault="006E7F56" w:rsidP="00C13DA1">
            <w:pPr>
              <w:rPr>
                <w:rFonts w:ascii="Arial" w:hAnsi="Arial" w:cs="Arial"/>
              </w:rPr>
            </w:pPr>
            <w:r w:rsidRPr="0B03146E">
              <w:rPr>
                <w:rFonts w:ascii="Arial" w:hAnsi="Arial" w:cs="Arial"/>
              </w:rPr>
              <w:t>Qualification or Equivalent</w:t>
            </w:r>
          </w:p>
        </w:tc>
        <w:tc>
          <w:tcPr>
            <w:tcW w:w="857" w:type="pct"/>
            <w:tcBorders>
              <w:top w:val="single" w:sz="8" w:space="0" w:color="E30918"/>
              <w:left w:val="single" w:sz="8" w:space="0" w:color="E30918"/>
              <w:bottom w:val="single" w:sz="8" w:space="0" w:color="E30918"/>
              <w:right w:val="single" w:sz="8" w:space="0" w:color="E30918"/>
            </w:tcBorders>
            <w:shd w:val="clear" w:color="auto" w:fill="E6E7E8"/>
          </w:tcPr>
          <w:p w14:paraId="7850BD00" w14:textId="77777777" w:rsidR="006E7F56" w:rsidRDefault="006E7F56" w:rsidP="00C13DA1">
            <w:pPr>
              <w:rPr>
                <w:rStyle w:val="normaltextrun"/>
                <w:rFonts w:ascii="Arial" w:hAnsi="Arial" w:cs="Arial"/>
                <w:color w:val="000000" w:themeColor="text1"/>
                <w:sz w:val="19"/>
                <w:szCs w:val="19"/>
              </w:rPr>
            </w:pPr>
            <w:r w:rsidRPr="0B03146E">
              <w:rPr>
                <w:rStyle w:val="normaltextrun"/>
                <w:rFonts w:ascii="Arial" w:hAnsi="Arial" w:cs="Arial"/>
                <w:color w:val="000000" w:themeColor="text1"/>
                <w:sz w:val="19"/>
                <w:szCs w:val="19"/>
              </w:rPr>
              <w:t>To meet the Higher Education Standards Framework</w:t>
            </w:r>
            <w:r w:rsidRPr="0B03146E">
              <w:rPr>
                <w:rStyle w:val="normaltextrun"/>
                <w:rFonts w:ascii="Arial" w:hAnsi="Arial" w:cs="Arial"/>
                <w:i/>
                <w:iCs/>
                <w:color w:val="000000" w:themeColor="text1"/>
                <w:sz w:val="19"/>
                <w:szCs w:val="19"/>
              </w:rPr>
              <w:t xml:space="preserve"> </w:t>
            </w:r>
          </w:p>
        </w:tc>
        <w:tc>
          <w:tcPr>
            <w:tcW w:w="1282" w:type="pct"/>
            <w:tcBorders>
              <w:top w:val="single" w:sz="8" w:space="0" w:color="E30918"/>
              <w:left w:val="single" w:sz="8" w:space="0" w:color="E30918"/>
              <w:bottom w:val="single" w:sz="8" w:space="0" w:color="E30918"/>
              <w:right w:val="single" w:sz="8" w:space="0" w:color="E30918"/>
            </w:tcBorders>
            <w:shd w:val="clear" w:color="auto" w:fill="E6E7E8"/>
          </w:tcPr>
          <w:p w14:paraId="4C6FADD9" w14:textId="77777777" w:rsidR="006E7F56" w:rsidRDefault="006E7F56" w:rsidP="00C13DA1">
            <w:pPr>
              <w:rPr>
                <w:rStyle w:val="normaltextrun"/>
                <w:rFonts w:ascii="Arial" w:hAnsi="Arial" w:cs="Arial"/>
                <w:color w:val="000000" w:themeColor="text1"/>
                <w:sz w:val="19"/>
                <w:szCs w:val="19"/>
              </w:rPr>
            </w:pPr>
            <w:r w:rsidRPr="0B03146E">
              <w:rPr>
                <w:rStyle w:val="normaltextrun"/>
                <w:rFonts w:ascii="Arial" w:hAnsi="Arial" w:cs="Arial"/>
                <w:color w:val="000000" w:themeColor="text1"/>
                <w:sz w:val="19"/>
                <w:szCs w:val="19"/>
              </w:rPr>
              <w:t>Staff with responsibilities for academic oversight and those with teaching and supervisory roles</w:t>
            </w:r>
            <w:r>
              <w:rPr>
                <w:rStyle w:val="normaltextrun"/>
                <w:rFonts w:ascii="Arial" w:hAnsi="Arial" w:cs="Arial"/>
                <w:color w:val="000000" w:themeColor="text1"/>
                <w:sz w:val="19"/>
                <w:szCs w:val="19"/>
              </w:rPr>
              <w:t>.</w:t>
            </w:r>
          </w:p>
        </w:tc>
        <w:tc>
          <w:tcPr>
            <w:tcW w:w="1440" w:type="pct"/>
            <w:tcBorders>
              <w:top w:val="single" w:sz="8" w:space="0" w:color="E30918"/>
              <w:left w:val="single" w:sz="8" w:space="0" w:color="E30918"/>
              <w:bottom w:val="single" w:sz="8" w:space="0" w:color="E30918"/>
            </w:tcBorders>
            <w:shd w:val="clear" w:color="auto" w:fill="E6E7E8"/>
          </w:tcPr>
          <w:p w14:paraId="736D399E" w14:textId="77777777" w:rsidR="006E7F56" w:rsidRDefault="006E7F56" w:rsidP="00C13DA1">
            <w:pPr>
              <w:rPr>
                <w:rFonts w:ascii="Arial" w:hAnsi="Arial" w:cs="Arial"/>
              </w:rPr>
            </w:pPr>
            <w:r w:rsidRPr="0B03146E">
              <w:rPr>
                <w:rFonts w:ascii="Arial" w:hAnsi="Arial" w:cs="Arial"/>
              </w:rPr>
              <w:t xml:space="preserve">Original qualifications or completed assessment </w:t>
            </w:r>
            <w:r w:rsidRPr="0B03146E">
              <w:rPr>
                <w:rStyle w:val="normaltextrun"/>
                <w:rFonts w:ascii="Arial" w:hAnsi="Arial" w:cs="Arial"/>
                <w:color w:val="1B1B1B"/>
                <w:sz w:val="19"/>
                <w:szCs w:val="19"/>
              </w:rPr>
              <w:t>of equivalent professional experience</w:t>
            </w:r>
            <w:r>
              <w:rPr>
                <w:rStyle w:val="normaltextrun"/>
                <w:rFonts w:ascii="Arial" w:hAnsi="Arial" w:cs="Arial"/>
                <w:color w:val="1B1B1B"/>
                <w:sz w:val="19"/>
                <w:szCs w:val="19"/>
              </w:rPr>
              <w:t>.</w:t>
            </w:r>
          </w:p>
        </w:tc>
        <w:tc>
          <w:tcPr>
            <w:tcW w:w="708" w:type="pct"/>
            <w:tcBorders>
              <w:top w:val="single" w:sz="8" w:space="0" w:color="E30918"/>
              <w:left w:val="single" w:sz="8" w:space="0" w:color="E30918"/>
              <w:bottom w:val="single" w:sz="8" w:space="0" w:color="E30918"/>
            </w:tcBorders>
            <w:shd w:val="clear" w:color="auto" w:fill="E6E7E8"/>
          </w:tcPr>
          <w:p w14:paraId="40484FCB" w14:textId="77777777" w:rsidR="006E7F56" w:rsidRDefault="006E7F56" w:rsidP="00C13DA1">
            <w:pPr>
              <w:spacing w:before="120" w:after="120"/>
              <w:rPr>
                <w:rFonts w:ascii="Arial" w:hAnsi="Arial" w:cs="Arial"/>
              </w:rPr>
            </w:pPr>
            <w:r w:rsidRPr="0B03146E">
              <w:rPr>
                <w:rFonts w:ascii="Arial" w:hAnsi="Arial" w:cs="Arial"/>
              </w:rPr>
              <w:t>Prior to position commencement</w:t>
            </w:r>
          </w:p>
        </w:tc>
      </w:tr>
      <w:tr w:rsidR="006E7F56" w:rsidRPr="00102B8A" w14:paraId="5D9E6E8B" w14:textId="77777777" w:rsidTr="00A608B0">
        <w:tc>
          <w:tcPr>
            <w:tcW w:w="712" w:type="pct"/>
            <w:tcBorders>
              <w:top w:val="single" w:sz="8" w:space="0" w:color="E30918"/>
              <w:bottom w:val="single" w:sz="8" w:space="0" w:color="E30918"/>
              <w:right w:val="single" w:sz="8" w:space="0" w:color="E30918"/>
            </w:tcBorders>
            <w:shd w:val="clear" w:color="auto" w:fill="E6E7E8"/>
          </w:tcPr>
          <w:p w14:paraId="3351D73C" w14:textId="77777777" w:rsidR="006E7F56" w:rsidRDefault="006E7F56" w:rsidP="00C13DA1">
            <w:pPr>
              <w:spacing w:before="120" w:after="120"/>
              <w:rPr>
                <w:rFonts w:ascii="Arial" w:hAnsi="Arial" w:cs="Arial"/>
              </w:rPr>
            </w:pPr>
            <w:r w:rsidRPr="4ADB85BE">
              <w:rPr>
                <w:rFonts w:ascii="Arial" w:hAnsi="Arial" w:cs="Arial"/>
              </w:rPr>
              <w:t>Working with Children Checks</w:t>
            </w:r>
          </w:p>
          <w:p w14:paraId="65BAD5B6" w14:textId="77777777" w:rsidR="006E7F56" w:rsidRPr="00720BA2" w:rsidRDefault="006E7F56" w:rsidP="00C13DA1">
            <w:pPr>
              <w:spacing w:before="120" w:after="120"/>
              <w:rPr>
                <w:rFonts w:ascii="Arial" w:hAnsi="Arial" w:cs="Arial"/>
              </w:rPr>
            </w:pPr>
            <w:r>
              <w:rPr>
                <w:rFonts w:ascii="Arial" w:hAnsi="Arial" w:cs="Arial"/>
              </w:rPr>
              <w:t>(WWCC)</w:t>
            </w:r>
          </w:p>
        </w:tc>
        <w:tc>
          <w:tcPr>
            <w:tcW w:w="857" w:type="pct"/>
            <w:tcBorders>
              <w:top w:val="single" w:sz="8" w:space="0" w:color="E30918"/>
              <w:left w:val="single" w:sz="8" w:space="0" w:color="E30918"/>
              <w:bottom w:val="single" w:sz="8" w:space="0" w:color="E30918"/>
              <w:right w:val="single" w:sz="8" w:space="0" w:color="E30918"/>
            </w:tcBorders>
            <w:shd w:val="clear" w:color="auto" w:fill="E6E7E8"/>
          </w:tcPr>
          <w:p w14:paraId="4BA59ACE" w14:textId="77777777" w:rsidR="006E7F56" w:rsidRPr="00720BA2" w:rsidRDefault="006E7F56" w:rsidP="00C13DA1">
            <w:pPr>
              <w:spacing w:before="120" w:after="120"/>
              <w:rPr>
                <w:rFonts w:ascii="Arial" w:hAnsi="Arial" w:cs="Arial"/>
              </w:rPr>
            </w:pPr>
            <w:r w:rsidRPr="0B03146E">
              <w:rPr>
                <w:rFonts w:ascii="Arial" w:hAnsi="Arial" w:cs="Arial"/>
              </w:rPr>
              <w:t>Designated roles</w:t>
            </w:r>
          </w:p>
        </w:tc>
        <w:tc>
          <w:tcPr>
            <w:tcW w:w="1282" w:type="pct"/>
            <w:tcBorders>
              <w:top w:val="single" w:sz="8" w:space="0" w:color="E30918"/>
              <w:left w:val="single" w:sz="8" w:space="0" w:color="E30918"/>
              <w:bottom w:val="single" w:sz="8" w:space="0" w:color="E30918"/>
              <w:right w:val="single" w:sz="8" w:space="0" w:color="E30918"/>
            </w:tcBorders>
            <w:shd w:val="clear" w:color="auto" w:fill="E6E7E8"/>
          </w:tcPr>
          <w:p w14:paraId="2B30BC0F" w14:textId="77777777" w:rsidR="006E7F56" w:rsidRPr="00720BA2" w:rsidRDefault="006E7F56" w:rsidP="00C13DA1">
            <w:pPr>
              <w:spacing w:before="120" w:after="120"/>
              <w:rPr>
                <w:rFonts w:ascii="Arial" w:eastAsia="Arial" w:hAnsi="Arial" w:cs="Arial"/>
                <w:color w:val="000000" w:themeColor="text1"/>
                <w:szCs w:val="20"/>
              </w:rPr>
            </w:pPr>
            <w:r w:rsidRPr="0B03146E">
              <w:rPr>
                <w:rFonts w:ascii="Arial" w:eastAsia="Arial" w:hAnsi="Arial" w:cs="Arial"/>
                <w:color w:val="000000" w:themeColor="text1"/>
                <w:szCs w:val="20"/>
              </w:rPr>
              <w:t xml:space="preserve">WWCCs indicating suitability to work with children and young people. </w:t>
            </w:r>
          </w:p>
          <w:p w14:paraId="07AB6285" w14:textId="77777777" w:rsidR="006E7F56" w:rsidRPr="00720BA2" w:rsidRDefault="006E7F56" w:rsidP="00C13DA1">
            <w:pPr>
              <w:spacing w:before="120" w:after="120"/>
              <w:rPr>
                <w:rFonts w:ascii="Arial" w:hAnsi="Arial" w:cs="Arial"/>
              </w:rPr>
            </w:pPr>
            <w:r w:rsidRPr="0B03146E">
              <w:rPr>
                <w:rFonts w:ascii="Arial" w:eastAsia="Arial" w:hAnsi="Arial" w:cs="Arial"/>
                <w:i/>
                <w:iCs/>
                <w:color w:val="000000" w:themeColor="text1"/>
                <w:szCs w:val="20"/>
              </w:rPr>
              <w:t>Working with Children (Risk Management and Screening) Act 2000 (Qld)</w:t>
            </w:r>
          </w:p>
        </w:tc>
        <w:tc>
          <w:tcPr>
            <w:tcW w:w="1440" w:type="pct"/>
            <w:tcBorders>
              <w:top w:val="single" w:sz="8" w:space="0" w:color="E30918"/>
              <w:left w:val="single" w:sz="8" w:space="0" w:color="E30918"/>
              <w:bottom w:val="single" w:sz="8" w:space="0" w:color="E30918"/>
            </w:tcBorders>
            <w:shd w:val="clear" w:color="auto" w:fill="E6E7E8"/>
          </w:tcPr>
          <w:p w14:paraId="54EF3E57" w14:textId="77777777" w:rsidR="006E7F56" w:rsidRPr="00720BA2" w:rsidRDefault="006E7F56" w:rsidP="00C13DA1">
            <w:pPr>
              <w:spacing w:before="120" w:after="120"/>
              <w:rPr>
                <w:rFonts w:ascii="Arial" w:hAnsi="Arial" w:cs="Arial"/>
              </w:rPr>
            </w:pPr>
            <w:r w:rsidRPr="0B03146E">
              <w:rPr>
                <w:rFonts w:ascii="Arial" w:hAnsi="Arial" w:cs="Arial"/>
              </w:rPr>
              <w:t xml:space="preserve">WWCC outcome notification from third party </w:t>
            </w:r>
            <w:r>
              <w:rPr>
                <w:rFonts w:ascii="Arial" w:hAnsi="Arial" w:cs="Arial"/>
              </w:rPr>
              <w:t xml:space="preserve">and evidence provided in accordance with the </w:t>
            </w:r>
            <w:r w:rsidRPr="0B03146E">
              <w:rPr>
                <w:rFonts w:ascii="Arial" w:eastAsia="Arial" w:hAnsi="Arial" w:cs="Arial"/>
                <w:i/>
                <w:iCs/>
                <w:color w:val="000000" w:themeColor="text1"/>
                <w:szCs w:val="20"/>
              </w:rPr>
              <w:t>Working with Children (Risk Management and Screening) Act 2000 (Qld)</w:t>
            </w:r>
          </w:p>
        </w:tc>
        <w:tc>
          <w:tcPr>
            <w:tcW w:w="708" w:type="pct"/>
            <w:tcBorders>
              <w:top w:val="single" w:sz="8" w:space="0" w:color="E30918"/>
              <w:left w:val="single" w:sz="8" w:space="0" w:color="E30918"/>
              <w:bottom w:val="single" w:sz="8" w:space="0" w:color="E30918"/>
            </w:tcBorders>
            <w:shd w:val="clear" w:color="auto" w:fill="E6E7E8"/>
          </w:tcPr>
          <w:p w14:paraId="79376805" w14:textId="77777777" w:rsidR="006E7F56" w:rsidRPr="00720BA2" w:rsidRDefault="006E7F56" w:rsidP="00C13DA1">
            <w:pPr>
              <w:spacing w:before="120" w:after="120"/>
              <w:rPr>
                <w:rFonts w:ascii="Arial" w:hAnsi="Arial" w:cs="Arial"/>
              </w:rPr>
            </w:pPr>
            <w:r w:rsidRPr="0B03146E">
              <w:rPr>
                <w:rFonts w:ascii="Arial" w:hAnsi="Arial" w:cs="Arial"/>
              </w:rPr>
              <w:t>Prior to position commencement</w:t>
            </w:r>
          </w:p>
        </w:tc>
      </w:tr>
      <w:tr w:rsidR="006E7F56" w:rsidRPr="00102B8A" w14:paraId="17FA3B57" w14:textId="77777777" w:rsidTr="00A608B0">
        <w:tc>
          <w:tcPr>
            <w:tcW w:w="712" w:type="pct"/>
            <w:tcBorders>
              <w:top w:val="single" w:sz="8" w:space="0" w:color="E30918"/>
              <w:right w:val="single" w:sz="8" w:space="0" w:color="E30918"/>
            </w:tcBorders>
            <w:shd w:val="clear" w:color="auto" w:fill="E6E7E8"/>
          </w:tcPr>
          <w:p w14:paraId="2203A589" w14:textId="77777777" w:rsidR="006E7F56" w:rsidRDefault="006E7F56" w:rsidP="00C13DA1">
            <w:pPr>
              <w:spacing w:before="120" w:after="120"/>
              <w:rPr>
                <w:rFonts w:ascii="Arial" w:hAnsi="Arial" w:cs="Arial"/>
                <w:szCs w:val="20"/>
              </w:rPr>
            </w:pPr>
            <w:r>
              <w:rPr>
                <w:rFonts w:ascii="Arial" w:hAnsi="Arial" w:cs="Arial"/>
                <w:szCs w:val="20"/>
              </w:rPr>
              <w:t>Criminal History Checks</w:t>
            </w:r>
          </w:p>
        </w:tc>
        <w:tc>
          <w:tcPr>
            <w:tcW w:w="857" w:type="pct"/>
            <w:tcBorders>
              <w:top w:val="single" w:sz="8" w:space="0" w:color="E30918"/>
              <w:left w:val="single" w:sz="8" w:space="0" w:color="E30918"/>
              <w:right w:val="single" w:sz="8" w:space="0" w:color="E30918"/>
            </w:tcBorders>
            <w:shd w:val="clear" w:color="auto" w:fill="E6E7E8"/>
          </w:tcPr>
          <w:p w14:paraId="00F246D9" w14:textId="77777777" w:rsidR="006E7F56" w:rsidRPr="00720BA2" w:rsidRDefault="006E7F56" w:rsidP="00C13DA1">
            <w:pPr>
              <w:spacing w:before="120" w:after="120"/>
              <w:rPr>
                <w:rFonts w:ascii="Arial" w:hAnsi="Arial" w:cs="Arial"/>
              </w:rPr>
            </w:pPr>
            <w:r w:rsidRPr="0B03146E">
              <w:rPr>
                <w:rFonts w:ascii="Arial" w:hAnsi="Arial" w:cs="Arial"/>
              </w:rPr>
              <w:t>Designated roles</w:t>
            </w:r>
          </w:p>
        </w:tc>
        <w:tc>
          <w:tcPr>
            <w:tcW w:w="1282" w:type="pct"/>
            <w:tcBorders>
              <w:top w:val="single" w:sz="8" w:space="0" w:color="E30918"/>
              <w:left w:val="single" w:sz="8" w:space="0" w:color="E30918"/>
              <w:right w:val="single" w:sz="8" w:space="0" w:color="E30918"/>
            </w:tcBorders>
            <w:shd w:val="clear" w:color="auto" w:fill="E6E7E8"/>
          </w:tcPr>
          <w:p w14:paraId="6994B0A5" w14:textId="77777777" w:rsidR="006E7F56" w:rsidRPr="00720BA2" w:rsidRDefault="006E7F56" w:rsidP="00C13DA1">
            <w:pPr>
              <w:spacing w:before="120" w:after="120"/>
              <w:rPr>
                <w:rFonts w:ascii="Arial" w:hAnsi="Arial" w:cs="Arial"/>
              </w:rPr>
            </w:pPr>
            <w:r w:rsidRPr="0B03146E">
              <w:rPr>
                <w:rFonts w:ascii="Arial" w:eastAsia="Arial" w:hAnsi="Arial" w:cs="Arial"/>
                <w:color w:val="000000" w:themeColor="text1"/>
                <w:szCs w:val="20"/>
              </w:rPr>
              <w:t>Criminal history check outcome with no precluding relevant criminal history.</w:t>
            </w:r>
          </w:p>
        </w:tc>
        <w:tc>
          <w:tcPr>
            <w:tcW w:w="1440" w:type="pct"/>
            <w:tcBorders>
              <w:top w:val="single" w:sz="8" w:space="0" w:color="E30918"/>
              <w:left w:val="single" w:sz="8" w:space="0" w:color="E30918"/>
            </w:tcBorders>
            <w:shd w:val="clear" w:color="auto" w:fill="E6E7E8"/>
          </w:tcPr>
          <w:p w14:paraId="0849A487" w14:textId="77777777" w:rsidR="006E7F56" w:rsidRPr="00720BA2" w:rsidRDefault="006E7F56" w:rsidP="00C13DA1">
            <w:pPr>
              <w:spacing w:before="120" w:after="120"/>
              <w:rPr>
                <w:rFonts w:ascii="Arial" w:hAnsi="Arial" w:cs="Arial"/>
              </w:rPr>
            </w:pPr>
            <w:r w:rsidRPr="0B03146E">
              <w:rPr>
                <w:rFonts w:ascii="Arial" w:hAnsi="Arial" w:cs="Arial"/>
              </w:rPr>
              <w:t>Criminal history check outcome notification from third party provider</w:t>
            </w:r>
            <w:r>
              <w:rPr>
                <w:rFonts w:ascii="Arial" w:hAnsi="Arial" w:cs="Arial"/>
              </w:rPr>
              <w:t>.</w:t>
            </w:r>
          </w:p>
        </w:tc>
        <w:tc>
          <w:tcPr>
            <w:tcW w:w="708" w:type="pct"/>
            <w:tcBorders>
              <w:top w:val="single" w:sz="8" w:space="0" w:color="E30918"/>
              <w:left w:val="single" w:sz="8" w:space="0" w:color="E30918"/>
            </w:tcBorders>
            <w:shd w:val="clear" w:color="auto" w:fill="E6E7E8"/>
          </w:tcPr>
          <w:p w14:paraId="0C399448" w14:textId="77777777" w:rsidR="006E7F56" w:rsidRPr="00720BA2" w:rsidRDefault="006E7F56" w:rsidP="00C13DA1">
            <w:pPr>
              <w:spacing w:before="120" w:after="120"/>
              <w:rPr>
                <w:rFonts w:ascii="Arial" w:hAnsi="Arial" w:cs="Arial"/>
              </w:rPr>
            </w:pPr>
            <w:r w:rsidRPr="0B03146E">
              <w:rPr>
                <w:rFonts w:ascii="Arial" w:hAnsi="Arial" w:cs="Arial"/>
              </w:rPr>
              <w:t>Prior to position commencement</w:t>
            </w:r>
          </w:p>
        </w:tc>
      </w:tr>
      <w:tr w:rsidR="006E7F56" w14:paraId="2A3E545F" w14:textId="77777777" w:rsidTr="00A608B0">
        <w:trPr>
          <w:trHeight w:val="300"/>
        </w:trPr>
        <w:tc>
          <w:tcPr>
            <w:tcW w:w="712" w:type="pct"/>
            <w:tcBorders>
              <w:top w:val="single" w:sz="8" w:space="0" w:color="E30918"/>
              <w:right w:val="single" w:sz="8" w:space="0" w:color="E30918"/>
            </w:tcBorders>
            <w:shd w:val="clear" w:color="auto" w:fill="E6E7E8"/>
          </w:tcPr>
          <w:p w14:paraId="75C34062" w14:textId="77777777" w:rsidR="006E7F56" w:rsidRDefault="006E7F56" w:rsidP="00C13DA1">
            <w:pPr>
              <w:rPr>
                <w:rFonts w:ascii="Arial" w:hAnsi="Arial" w:cs="Arial"/>
              </w:rPr>
            </w:pPr>
            <w:r w:rsidRPr="0B03146E">
              <w:rPr>
                <w:rFonts w:ascii="Arial" w:hAnsi="Arial" w:cs="Arial"/>
              </w:rPr>
              <w:t xml:space="preserve">Australian Working </w:t>
            </w:r>
            <w:r>
              <w:rPr>
                <w:rFonts w:ascii="Arial" w:hAnsi="Arial" w:cs="Arial"/>
              </w:rPr>
              <w:t>R</w:t>
            </w:r>
            <w:r w:rsidRPr="0B03146E">
              <w:rPr>
                <w:rFonts w:ascii="Arial" w:hAnsi="Arial" w:cs="Arial"/>
              </w:rPr>
              <w:t xml:space="preserve">ights </w:t>
            </w:r>
          </w:p>
        </w:tc>
        <w:tc>
          <w:tcPr>
            <w:tcW w:w="857" w:type="pct"/>
            <w:tcBorders>
              <w:top w:val="single" w:sz="8" w:space="0" w:color="E30918"/>
              <w:left w:val="single" w:sz="8" w:space="0" w:color="E30918"/>
              <w:right w:val="single" w:sz="8" w:space="0" w:color="E30918"/>
            </w:tcBorders>
            <w:shd w:val="clear" w:color="auto" w:fill="E6E7E8"/>
          </w:tcPr>
          <w:p w14:paraId="5E89F040" w14:textId="77777777" w:rsidR="006E7F56" w:rsidRDefault="006E7F56" w:rsidP="00C13DA1">
            <w:r w:rsidRPr="0B03146E">
              <w:rPr>
                <w:rFonts w:ascii="Arial" w:hAnsi="Arial" w:cs="Arial"/>
              </w:rPr>
              <w:t>Employment for individuals without Australian Citizenship</w:t>
            </w:r>
          </w:p>
        </w:tc>
        <w:tc>
          <w:tcPr>
            <w:tcW w:w="1282" w:type="pct"/>
            <w:tcBorders>
              <w:top w:val="single" w:sz="8" w:space="0" w:color="E30918"/>
              <w:left w:val="single" w:sz="8" w:space="0" w:color="E30918"/>
              <w:right w:val="single" w:sz="8" w:space="0" w:color="E30918"/>
            </w:tcBorders>
            <w:shd w:val="clear" w:color="auto" w:fill="E6E7E8"/>
          </w:tcPr>
          <w:p w14:paraId="6CD2C2CE" w14:textId="77777777" w:rsidR="006E7F56" w:rsidRPr="003A78C2" w:rsidRDefault="006E7F56" w:rsidP="00C13DA1">
            <w:pPr>
              <w:rPr>
                <w:rFonts w:ascii="Arial" w:eastAsia="Arial" w:hAnsi="Arial" w:cs="Arial"/>
                <w:color w:val="000000" w:themeColor="text1"/>
                <w:szCs w:val="20"/>
              </w:rPr>
            </w:pPr>
            <w:r w:rsidRPr="003A78C2">
              <w:rPr>
                <w:rFonts w:ascii="Arial" w:eastAsia="Arial" w:hAnsi="Arial" w:cs="Arial"/>
                <w:color w:val="000000" w:themeColor="text1"/>
                <w:szCs w:val="20"/>
              </w:rPr>
              <w:t>Employees must be eligible to work in Australia to ensure full compliance with relevant immigration legislation</w:t>
            </w:r>
            <w:r>
              <w:rPr>
                <w:rFonts w:ascii="Arial" w:eastAsia="Arial" w:hAnsi="Arial" w:cs="Arial"/>
                <w:color w:val="000000" w:themeColor="text1"/>
                <w:szCs w:val="20"/>
              </w:rPr>
              <w:t>.</w:t>
            </w:r>
            <w:r w:rsidRPr="003A78C2">
              <w:rPr>
                <w:rFonts w:ascii="Arial" w:eastAsia="Arial" w:hAnsi="Arial" w:cs="Arial"/>
                <w:color w:val="000000" w:themeColor="text1"/>
                <w:szCs w:val="20"/>
              </w:rPr>
              <w:t xml:space="preserve"> </w:t>
            </w:r>
          </w:p>
        </w:tc>
        <w:tc>
          <w:tcPr>
            <w:tcW w:w="1440" w:type="pct"/>
            <w:tcBorders>
              <w:top w:val="single" w:sz="8" w:space="0" w:color="E30918"/>
              <w:left w:val="single" w:sz="8" w:space="0" w:color="E30918"/>
            </w:tcBorders>
            <w:shd w:val="clear" w:color="auto" w:fill="E6E7E8"/>
          </w:tcPr>
          <w:p w14:paraId="6C8846D4" w14:textId="77777777" w:rsidR="006E7F56" w:rsidRDefault="006E7F56" w:rsidP="00C13DA1">
            <w:pPr>
              <w:rPr>
                <w:rFonts w:ascii="Arial" w:hAnsi="Arial" w:cs="Arial"/>
              </w:rPr>
            </w:pPr>
            <w:r w:rsidRPr="0B03146E">
              <w:rPr>
                <w:rFonts w:ascii="Arial" w:hAnsi="Arial" w:cs="Arial"/>
              </w:rPr>
              <w:t>Original/certified copy of Australian passport, citizenship, VEVO notification or visa with work rights</w:t>
            </w:r>
            <w:r>
              <w:rPr>
                <w:rFonts w:ascii="Arial" w:hAnsi="Arial" w:cs="Arial"/>
              </w:rPr>
              <w:t>.</w:t>
            </w:r>
            <w:r w:rsidRPr="0B03146E">
              <w:rPr>
                <w:rFonts w:ascii="Arial" w:hAnsi="Arial" w:cs="Arial"/>
              </w:rPr>
              <w:t xml:space="preserve">  </w:t>
            </w:r>
          </w:p>
        </w:tc>
        <w:tc>
          <w:tcPr>
            <w:tcW w:w="708" w:type="pct"/>
            <w:tcBorders>
              <w:top w:val="single" w:sz="8" w:space="0" w:color="E30918"/>
              <w:left w:val="single" w:sz="8" w:space="0" w:color="E30918"/>
            </w:tcBorders>
            <w:shd w:val="clear" w:color="auto" w:fill="E6E7E8"/>
          </w:tcPr>
          <w:p w14:paraId="431225BB" w14:textId="77777777" w:rsidR="006E7F56" w:rsidRDefault="006E7F56" w:rsidP="00C13DA1">
            <w:pPr>
              <w:rPr>
                <w:rFonts w:ascii="Arial" w:hAnsi="Arial" w:cs="Arial"/>
              </w:rPr>
            </w:pPr>
            <w:r w:rsidRPr="0B03146E">
              <w:rPr>
                <w:rFonts w:ascii="Arial" w:hAnsi="Arial" w:cs="Arial"/>
              </w:rPr>
              <w:t>Prior to position commencement</w:t>
            </w:r>
          </w:p>
        </w:tc>
      </w:tr>
    </w:tbl>
    <w:p w14:paraId="5EB8F927" w14:textId="5FB5A5B1" w:rsidR="00A144B2" w:rsidRPr="00237AB3" w:rsidRDefault="007418A5" w:rsidP="00CA6AC5">
      <w:pPr>
        <w:pStyle w:val="Heading2"/>
        <w:rPr>
          <w:rFonts w:ascii="Griffith Sans Text" w:hAnsi="Griffith Sans Text"/>
        </w:rPr>
      </w:pPr>
      <w:bookmarkStart w:id="6" w:name="_4.0_Roles,_responsibilities"/>
      <w:bookmarkStart w:id="7" w:name="_5.0_Definitions"/>
      <w:bookmarkStart w:id="8" w:name="_4.0_Definitions"/>
      <w:bookmarkEnd w:id="6"/>
      <w:bookmarkEnd w:id="7"/>
      <w:bookmarkEnd w:id="8"/>
      <w:r w:rsidRPr="00237AB3">
        <w:rPr>
          <w:rFonts w:ascii="Griffith Sans Text" w:hAnsi="Griffith Sans Text"/>
        </w:rPr>
        <w:t>4</w:t>
      </w:r>
      <w:r w:rsidR="00A144B2" w:rsidRPr="00237AB3">
        <w:rPr>
          <w:rFonts w:ascii="Griffith Sans Text" w:hAnsi="Griffith Sans Text"/>
        </w:rPr>
        <w:t>.0 Definitions</w:t>
      </w:r>
    </w:p>
    <w:p w14:paraId="38BEE0F9" w14:textId="00C628C0" w:rsidR="00A608B0" w:rsidRPr="00A608B0" w:rsidRDefault="00A608B0" w:rsidP="00E71C83">
      <w:pPr>
        <w:spacing w:before="120" w:after="120" w:line="240" w:lineRule="auto"/>
        <w:rPr>
          <w:rFonts w:ascii="Arial" w:hAnsi="Arial" w:cs="Arial"/>
          <w:sz w:val="22"/>
        </w:rPr>
      </w:pPr>
      <w:r w:rsidRPr="00A608B0">
        <w:rPr>
          <w:rFonts w:ascii="Arial" w:hAnsi="Arial" w:cs="Arial"/>
          <w:sz w:val="22"/>
        </w:rPr>
        <w:t>For the purposes of this policy and related policy documents, the following definitions apply:</w:t>
      </w:r>
    </w:p>
    <w:p w14:paraId="71ED8067" w14:textId="26F5A4C5" w:rsidR="00E71C83" w:rsidRPr="00E71C83" w:rsidRDefault="00E71C83" w:rsidP="00E71C83">
      <w:pPr>
        <w:spacing w:before="120" w:after="120" w:line="240" w:lineRule="auto"/>
        <w:rPr>
          <w:rFonts w:ascii="Arial" w:hAnsi="Arial" w:cs="Arial"/>
          <w:sz w:val="22"/>
        </w:rPr>
      </w:pPr>
      <w:r w:rsidRPr="00E71C83">
        <w:rPr>
          <w:rFonts w:ascii="Arial" w:hAnsi="Arial" w:cs="Arial"/>
          <w:b/>
          <w:bCs/>
          <w:sz w:val="22"/>
        </w:rPr>
        <w:t>Candidate</w:t>
      </w:r>
      <w:r w:rsidRPr="00E71C83">
        <w:rPr>
          <w:rFonts w:ascii="Arial" w:hAnsi="Arial" w:cs="Arial"/>
          <w:sz w:val="22"/>
        </w:rPr>
        <w:t xml:space="preserve"> - A person who has applied for a position and may be subject to an offer of employment.</w:t>
      </w:r>
    </w:p>
    <w:p w14:paraId="3F63DDF0" w14:textId="4FEE1EBC" w:rsidR="00E71C83" w:rsidRPr="00E71C83" w:rsidRDefault="00E71C83" w:rsidP="00E71C83">
      <w:pPr>
        <w:spacing w:before="120" w:after="120" w:line="240" w:lineRule="auto"/>
        <w:rPr>
          <w:rFonts w:ascii="Arial" w:hAnsi="Arial" w:cs="Arial"/>
          <w:sz w:val="22"/>
        </w:rPr>
      </w:pPr>
      <w:r w:rsidRPr="00E71C83">
        <w:rPr>
          <w:rFonts w:ascii="Arial" w:hAnsi="Arial" w:cs="Arial"/>
          <w:b/>
          <w:bCs/>
          <w:sz w:val="22"/>
        </w:rPr>
        <w:t>Designated Positions</w:t>
      </w:r>
      <w:r w:rsidRPr="00E71C83">
        <w:rPr>
          <w:rFonts w:ascii="Arial" w:hAnsi="Arial" w:cs="Arial"/>
          <w:sz w:val="22"/>
        </w:rPr>
        <w:t xml:space="preserve"> - are defined by, but not limited to, the following characteristics</w:t>
      </w:r>
      <w:r>
        <w:rPr>
          <w:rFonts w:ascii="Arial" w:hAnsi="Arial" w:cs="Arial"/>
          <w:sz w:val="22"/>
        </w:rPr>
        <w:t>:</w:t>
      </w:r>
    </w:p>
    <w:p w14:paraId="75461707" w14:textId="0306A937" w:rsidR="00E71C83" w:rsidRPr="00E71C83" w:rsidRDefault="00E71C83" w:rsidP="00E71C83">
      <w:pPr>
        <w:pStyle w:val="ListParagraph"/>
        <w:numPr>
          <w:ilvl w:val="0"/>
          <w:numId w:val="37"/>
        </w:numPr>
        <w:spacing w:before="120" w:after="120" w:line="240" w:lineRule="auto"/>
        <w:rPr>
          <w:rFonts w:ascii="Arial" w:hAnsi="Arial" w:cs="Arial"/>
          <w:sz w:val="22"/>
        </w:rPr>
      </w:pPr>
      <w:r w:rsidRPr="00E71C83">
        <w:rPr>
          <w:rFonts w:ascii="Arial" w:hAnsi="Arial" w:cs="Arial"/>
          <w:sz w:val="22"/>
        </w:rPr>
        <w:t>The position role that has responsibility for key fraud and corruption controls (e.g. finance, procurement, payroll).</w:t>
      </w:r>
    </w:p>
    <w:p w14:paraId="1CEE5564" w14:textId="6E32272D" w:rsidR="00E71C83" w:rsidRPr="00E71C83" w:rsidRDefault="00E71C83" w:rsidP="00E71C83">
      <w:pPr>
        <w:pStyle w:val="ListParagraph"/>
        <w:numPr>
          <w:ilvl w:val="0"/>
          <w:numId w:val="37"/>
        </w:numPr>
        <w:spacing w:before="120" w:after="120" w:line="240" w:lineRule="auto"/>
        <w:rPr>
          <w:rFonts w:ascii="Arial" w:hAnsi="Arial" w:cs="Arial"/>
          <w:sz w:val="22"/>
        </w:rPr>
      </w:pPr>
      <w:r w:rsidRPr="00E71C83">
        <w:rPr>
          <w:rFonts w:ascii="Arial" w:hAnsi="Arial" w:cs="Arial"/>
          <w:sz w:val="22"/>
        </w:rPr>
        <w:t>The position has access to sensitive corporate data for review purposes, and as a secondary control for providing advice to managers and supervisors.</w:t>
      </w:r>
    </w:p>
    <w:p w14:paraId="7E4E9BE4" w14:textId="04F574AA" w:rsidR="00E71C83" w:rsidRPr="00E71C83" w:rsidRDefault="00E71C83" w:rsidP="00E71C83">
      <w:pPr>
        <w:pStyle w:val="ListParagraph"/>
        <w:numPr>
          <w:ilvl w:val="0"/>
          <w:numId w:val="37"/>
        </w:numPr>
        <w:spacing w:before="120" w:after="120" w:line="240" w:lineRule="auto"/>
        <w:rPr>
          <w:rFonts w:ascii="Arial" w:hAnsi="Arial" w:cs="Arial"/>
          <w:sz w:val="22"/>
        </w:rPr>
      </w:pPr>
      <w:r w:rsidRPr="00E71C83">
        <w:rPr>
          <w:rFonts w:ascii="Arial" w:hAnsi="Arial" w:cs="Arial"/>
          <w:sz w:val="22"/>
        </w:rPr>
        <w:lastRenderedPageBreak/>
        <w:t>The position manages a team/s that has high exposure to cash handling, system administration and high value procurement, as they would have ownership of controls over these roles.</w:t>
      </w:r>
    </w:p>
    <w:p w14:paraId="28BF6D5F" w14:textId="4BBBC86C" w:rsidR="00E71C83" w:rsidRPr="00E71C83" w:rsidRDefault="00E71C83" w:rsidP="00E71C83">
      <w:pPr>
        <w:pStyle w:val="ListParagraph"/>
        <w:numPr>
          <w:ilvl w:val="0"/>
          <w:numId w:val="37"/>
        </w:numPr>
        <w:spacing w:before="120" w:after="120" w:line="240" w:lineRule="auto"/>
        <w:rPr>
          <w:rFonts w:ascii="Arial" w:hAnsi="Arial" w:cs="Arial"/>
          <w:sz w:val="22"/>
        </w:rPr>
      </w:pPr>
      <w:r w:rsidRPr="00E71C83">
        <w:rPr>
          <w:rFonts w:ascii="Arial" w:hAnsi="Arial" w:cs="Arial"/>
          <w:sz w:val="22"/>
        </w:rPr>
        <w:t>The position is a Portfolio Manager who supervises project managers with large procurement activities.</w:t>
      </w:r>
    </w:p>
    <w:p w14:paraId="52D38C95" w14:textId="5603BC31" w:rsidR="00E71C83" w:rsidRPr="00E71C83" w:rsidRDefault="00E71C83" w:rsidP="00E71C83">
      <w:pPr>
        <w:pStyle w:val="ListParagraph"/>
        <w:numPr>
          <w:ilvl w:val="0"/>
          <w:numId w:val="37"/>
        </w:numPr>
        <w:spacing w:before="120" w:after="120" w:line="240" w:lineRule="auto"/>
        <w:rPr>
          <w:rFonts w:ascii="Arial" w:hAnsi="Arial" w:cs="Arial"/>
          <w:sz w:val="22"/>
        </w:rPr>
      </w:pPr>
      <w:r w:rsidRPr="00E71C83">
        <w:rPr>
          <w:rFonts w:ascii="Arial" w:hAnsi="Arial" w:cs="Arial"/>
          <w:sz w:val="22"/>
        </w:rPr>
        <w:t>The position has been identified as part of the University’s Enterprise Risk Management Framework as having a potential operational risk in one of the key functions of your position (e.g.</w:t>
      </w:r>
      <w:r w:rsidR="009A2F7D">
        <w:rPr>
          <w:rFonts w:ascii="Arial" w:hAnsi="Arial" w:cs="Arial"/>
          <w:sz w:val="22"/>
        </w:rPr>
        <w:t xml:space="preserve"> </w:t>
      </w:r>
      <w:r w:rsidRPr="00E71C83">
        <w:rPr>
          <w:rFonts w:ascii="Arial" w:hAnsi="Arial" w:cs="Arial"/>
          <w:sz w:val="22"/>
        </w:rPr>
        <w:t>access to sensitive corporate data).</w:t>
      </w:r>
    </w:p>
    <w:p w14:paraId="5D04BF45" w14:textId="77777777" w:rsidR="00E71C83" w:rsidRPr="00E71C83" w:rsidRDefault="00E71C83" w:rsidP="00E71C83">
      <w:pPr>
        <w:spacing w:before="120" w:after="120" w:line="240" w:lineRule="auto"/>
        <w:rPr>
          <w:rFonts w:ascii="Arial" w:hAnsi="Arial" w:cs="Arial"/>
          <w:sz w:val="22"/>
        </w:rPr>
      </w:pPr>
      <w:r w:rsidRPr="00E71C83">
        <w:rPr>
          <w:rFonts w:ascii="Arial" w:hAnsi="Arial" w:cs="Arial"/>
          <w:b/>
          <w:bCs/>
          <w:sz w:val="22"/>
        </w:rPr>
        <w:t>Element</w:t>
      </w:r>
      <w:r w:rsidRPr="00E71C83">
        <w:rPr>
          <w:rFonts w:ascii="Arial" w:hAnsi="Arial" w:cs="Arial"/>
          <w:sz w:val="22"/>
        </w:rPr>
        <w:t xml:space="preserve"> – The organisational unit in which an individual will be employed under. Elements include Schools, Departments, Research Centres, Colleges, Institutes, other budget elements in which students are enrolled, as well as central administration and support units.</w:t>
      </w:r>
    </w:p>
    <w:p w14:paraId="1A2A9A47" w14:textId="62B60BA6" w:rsidR="00E71C83" w:rsidRPr="00E71C83" w:rsidRDefault="009A2F7D" w:rsidP="00E71C83">
      <w:pPr>
        <w:spacing w:before="120" w:after="120" w:line="240" w:lineRule="auto"/>
        <w:rPr>
          <w:rFonts w:ascii="Arial" w:hAnsi="Arial" w:cs="Arial"/>
          <w:sz w:val="22"/>
        </w:rPr>
      </w:pPr>
      <w:hyperlink r:id="rId10" w:history="1">
        <w:r w:rsidR="00E71C83" w:rsidRPr="009A2F7D">
          <w:rPr>
            <w:rStyle w:val="Hyperlink"/>
            <w:rFonts w:ascii="Arial" w:hAnsi="Arial" w:cs="Arial"/>
            <w:b/>
            <w:bCs/>
            <w:sz w:val="22"/>
          </w:rPr>
          <w:t>Foreign Influence Transparency Scheme (FITS)</w:t>
        </w:r>
        <w:r w:rsidR="00E71C83" w:rsidRPr="009A2F7D">
          <w:rPr>
            <w:rStyle w:val="Hyperlink"/>
            <w:rFonts w:ascii="Arial" w:hAnsi="Arial" w:cs="Arial"/>
            <w:sz w:val="22"/>
          </w:rPr>
          <w:t xml:space="preserve"> </w:t>
        </w:r>
      </w:hyperlink>
      <w:r w:rsidR="00E71C83" w:rsidRPr="00E71C83">
        <w:rPr>
          <w:rFonts w:ascii="Arial" w:hAnsi="Arial" w:cs="Arial"/>
          <w:sz w:val="22"/>
        </w:rPr>
        <w:t xml:space="preserve">refers to an Australian Government scheme established to ‘provide the public and government decision-makers with visibility of the nature, </w:t>
      </w:r>
      <w:proofErr w:type="gramStart"/>
      <w:r w:rsidR="00E71C83" w:rsidRPr="00E71C83">
        <w:rPr>
          <w:rFonts w:ascii="Arial" w:hAnsi="Arial" w:cs="Arial"/>
          <w:sz w:val="22"/>
        </w:rPr>
        <w:t>level</w:t>
      </w:r>
      <w:proofErr w:type="gramEnd"/>
      <w:r w:rsidR="00E71C83" w:rsidRPr="00E71C83">
        <w:rPr>
          <w:rFonts w:ascii="Arial" w:hAnsi="Arial" w:cs="Arial"/>
          <w:sz w:val="22"/>
        </w:rPr>
        <w:t xml:space="preserve"> and extent of foreign influence on Australia's government and political processes. The scheme establishes registration obligations for individuals and entities that undertake certain activities on behalf of foreign principals. Whether or not a person is required to register under the scheme depends on who the foreign principal is, the nature of the activities undertaken, the purpose for which the activities are undertaken and, in some cases, whether the person has held a senior public position in Australia.’ (</w:t>
      </w:r>
      <w:hyperlink r:id="rId11" w:history="1">
        <w:r w:rsidR="00E71C83" w:rsidRPr="007353A5">
          <w:rPr>
            <w:rStyle w:val="Hyperlink"/>
            <w:rFonts w:ascii="Arial" w:hAnsi="Arial" w:cs="Arial"/>
            <w:sz w:val="22"/>
          </w:rPr>
          <w:t>https://www.ag.gov.au/integrity/publications/factsheet-1-fast-facts</w:t>
        </w:r>
      </w:hyperlink>
      <w:r w:rsidR="00E71C83" w:rsidRPr="00E71C83">
        <w:rPr>
          <w:rFonts w:ascii="Arial" w:hAnsi="Arial" w:cs="Arial"/>
          <w:sz w:val="22"/>
        </w:rPr>
        <w:t xml:space="preserve">)  </w:t>
      </w:r>
    </w:p>
    <w:p w14:paraId="76E3540E" w14:textId="6F6D51F5" w:rsidR="00B42BD2" w:rsidRPr="004922AF" w:rsidRDefault="00E71C83" w:rsidP="00E71C83">
      <w:pPr>
        <w:spacing w:before="120" w:after="120" w:line="240" w:lineRule="auto"/>
        <w:rPr>
          <w:rFonts w:ascii="Arial" w:hAnsi="Arial" w:cs="Arial"/>
          <w:sz w:val="22"/>
        </w:rPr>
      </w:pPr>
      <w:r w:rsidRPr="00E71C83">
        <w:rPr>
          <w:rFonts w:ascii="Arial" w:hAnsi="Arial" w:cs="Arial"/>
          <w:b/>
          <w:bCs/>
          <w:sz w:val="22"/>
        </w:rPr>
        <w:t>Hiring Manager</w:t>
      </w:r>
      <w:r w:rsidRPr="00E71C83">
        <w:rPr>
          <w:rFonts w:ascii="Arial" w:hAnsi="Arial" w:cs="Arial"/>
          <w:sz w:val="22"/>
        </w:rPr>
        <w:t xml:space="preserve"> - The manager/supervisor leading the recruitment and selection process.</w:t>
      </w:r>
    </w:p>
    <w:p w14:paraId="688A41E7" w14:textId="77777777" w:rsidR="00EA6334" w:rsidRDefault="00EA6334" w:rsidP="004922AF">
      <w:pPr>
        <w:spacing w:before="120" w:after="120" w:line="240" w:lineRule="auto"/>
        <w:rPr>
          <w:rFonts w:ascii="Arial" w:hAnsi="Arial" w:cs="Arial"/>
          <w:b/>
          <w:bCs/>
          <w:sz w:val="22"/>
          <w:highlight w:val="yellow"/>
        </w:rPr>
      </w:pPr>
    </w:p>
    <w:p w14:paraId="2005D636" w14:textId="537D34D2" w:rsidR="00B42BD2" w:rsidRPr="004922AF" w:rsidRDefault="002F3C8B" w:rsidP="004922AF">
      <w:pPr>
        <w:spacing w:before="120" w:after="120" w:line="240" w:lineRule="auto"/>
        <w:rPr>
          <w:rFonts w:ascii="Arial" w:hAnsi="Arial" w:cs="Arial"/>
          <w:b/>
          <w:bCs/>
          <w:sz w:val="22"/>
        </w:rPr>
      </w:pPr>
      <w:r w:rsidRPr="00EA6334">
        <w:rPr>
          <w:rFonts w:ascii="Arial" w:hAnsi="Arial" w:cs="Arial"/>
          <w:b/>
          <w:bCs/>
          <w:sz w:val="22"/>
        </w:rPr>
        <w:t xml:space="preserve">For advice and support contact </w:t>
      </w:r>
      <w:hyperlink r:id="rId12" w:history="1">
        <w:r w:rsidR="00343D34" w:rsidRPr="00EA6334">
          <w:rPr>
            <w:rStyle w:val="Hyperlink"/>
            <w:rFonts w:ascii="Arial" w:hAnsi="Arial" w:cs="Arial"/>
            <w:b/>
            <w:bCs/>
            <w:sz w:val="22"/>
          </w:rPr>
          <w:t>policy@griffith.edu.au</w:t>
        </w:r>
      </w:hyperlink>
      <w:r w:rsidR="00343D34" w:rsidRPr="00EA6334">
        <w:rPr>
          <w:rFonts w:ascii="Arial" w:hAnsi="Arial" w:cs="Arial"/>
          <w:b/>
          <w:bCs/>
          <w:sz w:val="22"/>
        </w:rPr>
        <w:t xml:space="preserve"> f</w:t>
      </w:r>
      <w:r w:rsidRPr="00EA6334">
        <w:rPr>
          <w:rFonts w:ascii="Arial" w:hAnsi="Arial" w:cs="Arial"/>
          <w:b/>
          <w:bCs/>
          <w:sz w:val="22"/>
        </w:rPr>
        <w:t>or Governance and Operational policy documents</w:t>
      </w:r>
      <w:r w:rsidR="00EA6334" w:rsidRPr="00EA6334">
        <w:rPr>
          <w:rFonts w:ascii="Arial" w:hAnsi="Arial" w:cs="Arial"/>
          <w:b/>
          <w:bCs/>
          <w:sz w:val="22"/>
        </w:rPr>
        <w:t>.</w:t>
      </w:r>
    </w:p>
    <w:p w14:paraId="6B8985C1" w14:textId="27CC9FA9" w:rsidR="00091E5E" w:rsidRDefault="00091E5E">
      <w:pPr>
        <w:rPr>
          <w:rFonts w:ascii="Arial" w:hAnsi="Arial" w:cs="Arial"/>
          <w:b/>
          <w:bCs/>
          <w:sz w:val="20"/>
          <w:szCs w:val="20"/>
        </w:rPr>
      </w:pPr>
      <w:r>
        <w:rPr>
          <w:rFonts w:ascii="Arial" w:hAnsi="Arial"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9" w:name="_6.0_Information"/>
      <w:bookmarkStart w:id="10" w:name="_5.0_Information"/>
      <w:bookmarkEnd w:id="9"/>
      <w:bookmarkEnd w:id="10"/>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7F13CE84" w:rsidR="00786706" w:rsidRPr="004922AF" w:rsidRDefault="00E71C83" w:rsidP="004922AF">
            <w:pPr>
              <w:spacing w:before="120" w:after="120"/>
              <w:rPr>
                <w:rFonts w:ascii="Arial" w:hAnsi="Arial" w:cs="Arial"/>
                <w:sz w:val="22"/>
                <w:szCs w:val="28"/>
                <w:lang w:val="en-GB"/>
              </w:rPr>
            </w:pPr>
            <w:r w:rsidRPr="00E71C83">
              <w:rPr>
                <w:rFonts w:ascii="Arial" w:hAnsi="Arial" w:cs="Arial"/>
                <w:sz w:val="22"/>
                <w:szCs w:val="28"/>
              </w:rPr>
              <w:t>Pre-Employment Screening Procedure</w:t>
            </w:r>
          </w:p>
        </w:tc>
      </w:tr>
      <w:tr w:rsidR="00786706" w14:paraId="66D4D4A1" w14:textId="77777777" w:rsidTr="006721EA">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5F060F2D" w:rsidR="00786706" w:rsidRPr="004922AF" w:rsidRDefault="00E71C83" w:rsidP="004922AF">
            <w:pPr>
              <w:spacing w:before="120" w:after="120"/>
              <w:rPr>
                <w:rFonts w:ascii="Arial" w:hAnsi="Arial" w:cs="Arial"/>
                <w:sz w:val="22"/>
                <w:szCs w:val="28"/>
                <w:lang w:val="en-GB"/>
              </w:rPr>
            </w:pPr>
            <w:r w:rsidRPr="00E71C83">
              <w:rPr>
                <w:rFonts w:ascii="Arial" w:hAnsi="Arial" w:cs="Arial"/>
                <w:sz w:val="22"/>
                <w:szCs w:val="28"/>
              </w:rPr>
              <w:t>2023/0001116</w:t>
            </w:r>
          </w:p>
        </w:tc>
      </w:tr>
      <w:tr w:rsidR="00786706" w14:paraId="66BCD115" w14:textId="77777777" w:rsidTr="006721EA">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3DFAAA3C" w:rsidR="00786706" w:rsidRPr="004922AF" w:rsidRDefault="00E71C83" w:rsidP="004922AF">
            <w:pPr>
              <w:spacing w:before="120" w:after="120"/>
              <w:rPr>
                <w:rFonts w:ascii="Arial" w:hAnsi="Arial" w:cs="Arial"/>
                <w:sz w:val="22"/>
                <w:szCs w:val="28"/>
                <w:lang w:val="en-GB"/>
              </w:rPr>
            </w:pPr>
            <w:r w:rsidRPr="00E71C83">
              <w:rPr>
                <w:rFonts w:ascii="Arial" w:hAnsi="Arial" w:cs="Arial"/>
                <w:sz w:val="22"/>
                <w:szCs w:val="28"/>
              </w:rPr>
              <w:t>This procedure outlines Griffith University’s processes for pre-employment screening of candidates proposed to be employed by the organisation.</w:t>
            </w:r>
          </w:p>
        </w:tc>
      </w:tr>
      <w:tr w:rsidR="00786706" w14:paraId="625A2530" w14:textId="77777777" w:rsidTr="006721EA">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3EC01A5A" w:rsidR="00786706" w:rsidRPr="004922AF" w:rsidRDefault="00E71C83"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4C3C5474" w:rsidR="00786706" w:rsidRPr="004922AF" w:rsidRDefault="00EA6334" w:rsidP="004922A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5C8DE9A5" w:rsidR="007512F5" w:rsidRPr="004922AF" w:rsidRDefault="00E71C83" w:rsidP="00EA6334">
                <w:pPr>
                  <w:spacing w:before="120" w:after="120"/>
                  <w:rPr>
                    <w:rFonts w:ascii="Arial" w:hAnsi="Arial" w:cs="Arial"/>
                    <w:sz w:val="22"/>
                    <w:szCs w:val="28"/>
                    <w:lang w:val="en-GB"/>
                  </w:rPr>
                </w:pPr>
                <w:r>
                  <w:rPr>
                    <w:rFonts w:ascii="Arial" w:hAnsi="Arial" w:cs="Arial"/>
                    <w:sz w:val="22"/>
                    <w:szCs w:val="28"/>
                    <w:lang w:val="en-GB"/>
                  </w:rPr>
                  <w:t>Staff</w:t>
                </w:r>
              </w:p>
            </w:sdtContent>
          </w:sdt>
        </w:tc>
      </w:tr>
      <w:tr w:rsidR="00A57044" w14:paraId="1DD394A7" w14:textId="77777777" w:rsidTr="006721EA">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77777777"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Goal/s:</w:t>
            </w:r>
          </w:p>
          <w:sdt>
            <w:sdtPr>
              <w:rPr>
                <w:rFonts w:ascii="Arial" w:hAnsi="Arial" w:cs="Arial"/>
                <w:sz w:val="22"/>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2775960" w:rsidR="00067836" w:rsidRPr="004922AF" w:rsidRDefault="00EA6334" w:rsidP="004922AF">
                <w:pPr>
                  <w:spacing w:before="120" w:after="120"/>
                  <w:rPr>
                    <w:rFonts w:ascii="Arial" w:hAnsi="Arial" w:cs="Arial"/>
                    <w:sz w:val="22"/>
                    <w:szCs w:val="28"/>
                  </w:rPr>
                </w:pPr>
                <w:r>
                  <w:rPr>
                    <w:rFonts w:ascii="Arial" w:hAnsi="Arial" w:cs="Arial"/>
                    <w:sz w:val="22"/>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5F554691" w:rsidR="00786706" w:rsidRPr="004922AF" w:rsidRDefault="00E71C83" w:rsidP="004922AF">
            <w:pPr>
              <w:spacing w:before="120" w:after="120"/>
              <w:rPr>
                <w:rFonts w:ascii="Arial" w:hAnsi="Arial" w:cs="Arial"/>
                <w:sz w:val="22"/>
                <w:szCs w:val="28"/>
              </w:rPr>
            </w:pPr>
            <w:r>
              <w:rPr>
                <w:rFonts w:ascii="Arial" w:hAnsi="Arial" w:cs="Arial"/>
                <w:sz w:val="22"/>
                <w:szCs w:val="28"/>
              </w:rPr>
              <w:t xml:space="preserve">October </w:t>
            </w:r>
            <w:r w:rsidR="00EA6334">
              <w:rPr>
                <w:rFonts w:ascii="Arial" w:hAnsi="Arial" w:cs="Arial"/>
                <w:sz w:val="22"/>
                <w:szCs w:val="28"/>
              </w:rPr>
              <w:t>2023</w:t>
            </w:r>
          </w:p>
        </w:tc>
      </w:tr>
      <w:tr w:rsidR="00786706" w14:paraId="2AB5E63B" w14:textId="77777777" w:rsidTr="006721EA">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5F4AD7AD" w:rsidR="00786706" w:rsidRPr="004922AF" w:rsidRDefault="00E71C83" w:rsidP="004922AF">
            <w:pPr>
              <w:spacing w:before="120" w:after="120"/>
              <w:rPr>
                <w:rFonts w:ascii="Arial" w:hAnsi="Arial" w:cs="Arial"/>
                <w:sz w:val="22"/>
                <w:szCs w:val="28"/>
              </w:rPr>
            </w:pPr>
            <w:r>
              <w:rPr>
                <w:rFonts w:ascii="Arial" w:hAnsi="Arial" w:cs="Arial"/>
                <w:sz w:val="22"/>
                <w:szCs w:val="28"/>
              </w:rPr>
              <w:t xml:space="preserve">October </w:t>
            </w:r>
            <w:r w:rsidR="00EA6334">
              <w:rPr>
                <w:rFonts w:ascii="Arial" w:hAnsi="Arial" w:cs="Arial"/>
                <w:sz w:val="22"/>
                <w:szCs w:val="28"/>
              </w:rPr>
              <w:t>2023</w:t>
            </w:r>
          </w:p>
        </w:tc>
      </w:tr>
      <w:tr w:rsidR="00786706" w14:paraId="6F3FFE23" w14:textId="77777777" w:rsidTr="006721EA">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4A74015D" w:rsidR="00786706" w:rsidRPr="004922AF" w:rsidRDefault="00EA6334" w:rsidP="004922AF">
            <w:pPr>
              <w:spacing w:before="120" w:after="120"/>
              <w:rPr>
                <w:rFonts w:ascii="Arial" w:hAnsi="Arial" w:cs="Arial"/>
                <w:sz w:val="22"/>
                <w:szCs w:val="28"/>
              </w:rPr>
            </w:pPr>
            <w:r>
              <w:rPr>
                <w:rFonts w:ascii="Arial" w:hAnsi="Arial" w:cs="Arial"/>
                <w:sz w:val="22"/>
                <w:szCs w:val="28"/>
              </w:rPr>
              <w:t>20</w:t>
            </w:r>
            <w:r w:rsidR="00E71C83">
              <w:rPr>
                <w:rFonts w:ascii="Arial" w:hAnsi="Arial" w:cs="Arial"/>
                <w:sz w:val="22"/>
                <w:szCs w:val="28"/>
              </w:rPr>
              <w:t>26</w:t>
            </w:r>
          </w:p>
        </w:tc>
      </w:tr>
      <w:tr w:rsidR="00786706" w14:paraId="3BDD3607" w14:textId="77777777" w:rsidTr="006721EA">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4AAF8760" w:rsidR="00786706" w:rsidRPr="004922AF" w:rsidRDefault="00E71C83" w:rsidP="004922AF">
            <w:pPr>
              <w:spacing w:before="120" w:after="120"/>
              <w:rPr>
                <w:rFonts w:ascii="Arial" w:hAnsi="Arial" w:cs="Arial"/>
                <w:sz w:val="22"/>
                <w:szCs w:val="28"/>
              </w:rPr>
            </w:pPr>
            <w:r w:rsidRPr="00E71C83">
              <w:rPr>
                <w:rFonts w:ascii="Arial" w:hAnsi="Arial" w:cs="Arial"/>
                <w:sz w:val="22"/>
                <w:szCs w:val="28"/>
              </w:rPr>
              <w:t>Head, Talent Acquisition</w:t>
            </w:r>
          </w:p>
        </w:tc>
      </w:tr>
      <w:tr w:rsidR="00786706" w14:paraId="49179DFF" w14:textId="77777777" w:rsidTr="006721EA">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5BA635B6" w:rsidR="00786706" w:rsidRPr="004922AF" w:rsidRDefault="00EA6334" w:rsidP="004922AF">
            <w:pPr>
              <w:spacing w:before="120" w:after="120"/>
              <w:rPr>
                <w:rFonts w:ascii="Arial" w:hAnsi="Arial" w:cs="Arial"/>
                <w:sz w:val="22"/>
                <w:szCs w:val="28"/>
              </w:rPr>
            </w:pPr>
            <w:r>
              <w:rPr>
                <w:rFonts w:ascii="Arial" w:hAnsi="Arial" w:cs="Arial"/>
                <w:sz w:val="22"/>
                <w:szCs w:val="28"/>
              </w:rPr>
              <w:t xml:space="preserve">Director, Human Resources </w:t>
            </w:r>
          </w:p>
        </w:tc>
      </w:tr>
    </w:tbl>
    <w:p w14:paraId="07DD10BA" w14:textId="0FA127FA" w:rsidR="00811F90" w:rsidRDefault="00811F90">
      <w:pPr>
        <w:rPr>
          <w:rFonts w:ascii="Arial" w:hAnsi="Arial" w:cs="Arial"/>
          <w:sz w:val="20"/>
          <w:szCs w:val="20"/>
        </w:rPr>
      </w:pPr>
    </w:p>
    <w:p w14:paraId="605F990D" w14:textId="015915AF" w:rsidR="00C22059" w:rsidRPr="00237AB3" w:rsidRDefault="007418A5" w:rsidP="00CA6AC5">
      <w:pPr>
        <w:pStyle w:val="Heading2"/>
        <w:rPr>
          <w:rFonts w:ascii="Griffith Sans Text" w:hAnsi="Griffith Sans Text"/>
        </w:rPr>
      </w:pPr>
      <w:bookmarkStart w:id="11" w:name="_7.0_Related_Policy"/>
      <w:bookmarkStart w:id="12" w:name="_6.0_Related_Policy"/>
      <w:bookmarkEnd w:id="11"/>
      <w:bookmarkEnd w:id="12"/>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068172BD" w14:textId="77777777" w:rsidR="00E71C83" w:rsidRPr="00E71C83" w:rsidRDefault="009A2F7D" w:rsidP="00E71C83">
            <w:pPr>
              <w:pBdr>
                <w:left w:val="none" w:sz="0" w:space="31" w:color="auto"/>
              </w:pBdr>
              <w:spacing w:before="120"/>
              <w:rPr>
                <w:rFonts w:ascii="Arial" w:eastAsia="Helvetica" w:hAnsi="Arial" w:cs="Arial"/>
                <w:color w:val="000000"/>
                <w:sz w:val="22"/>
              </w:rPr>
            </w:pPr>
            <w:hyperlink r:id="rId13" w:history="1">
              <w:r w:rsidR="00E71C83" w:rsidRPr="00E71C83">
                <w:rPr>
                  <w:rFonts w:ascii="Arial" w:eastAsia="Helvetica" w:hAnsi="Arial" w:cs="Arial"/>
                  <w:color w:val="E30918"/>
                  <w:sz w:val="22"/>
                </w:rPr>
                <w:t>Anti-Discrimination Act 1991 (Qld)</w:t>
              </w:r>
            </w:hyperlink>
          </w:p>
          <w:p w14:paraId="2F1B77A1" w14:textId="77777777" w:rsidR="00E71C83" w:rsidRPr="00E71C83" w:rsidRDefault="009A2F7D" w:rsidP="00E71C83">
            <w:pPr>
              <w:pBdr>
                <w:left w:val="none" w:sz="0" w:space="31" w:color="auto"/>
              </w:pBdr>
              <w:spacing w:before="120"/>
              <w:rPr>
                <w:rFonts w:ascii="Arial" w:eastAsia="Helvetica" w:hAnsi="Arial" w:cs="Arial"/>
                <w:color w:val="E30918"/>
                <w:sz w:val="22"/>
              </w:rPr>
            </w:pPr>
            <w:hyperlink r:id="rId14" w:history="1">
              <w:r w:rsidR="00E71C83" w:rsidRPr="00E71C83">
                <w:rPr>
                  <w:rFonts w:ascii="Arial" w:eastAsia="Helvetica" w:hAnsi="Arial" w:cs="Arial"/>
                  <w:color w:val="E30918"/>
                  <w:sz w:val="22"/>
                </w:rPr>
                <w:t>Fair Work Act 2009 (</w:t>
              </w:r>
              <w:proofErr w:type="spellStart"/>
              <w:r w:rsidR="00E71C83" w:rsidRPr="00E71C83">
                <w:rPr>
                  <w:rFonts w:ascii="Arial" w:eastAsia="Helvetica" w:hAnsi="Arial" w:cs="Arial"/>
                  <w:color w:val="E30918"/>
                  <w:sz w:val="22"/>
                </w:rPr>
                <w:t>Cth</w:t>
              </w:r>
              <w:proofErr w:type="spellEnd"/>
              <w:r w:rsidR="00E71C83" w:rsidRPr="00E71C83">
                <w:rPr>
                  <w:rFonts w:ascii="Arial" w:eastAsia="Helvetica" w:hAnsi="Arial" w:cs="Arial"/>
                  <w:color w:val="E30918"/>
                  <w:sz w:val="22"/>
                </w:rPr>
                <w:t>)</w:t>
              </w:r>
            </w:hyperlink>
          </w:p>
          <w:p w14:paraId="4BC93374" w14:textId="77777777" w:rsidR="00E71C83" w:rsidRPr="00E71C83" w:rsidRDefault="009A2F7D" w:rsidP="00E71C83">
            <w:pPr>
              <w:pBdr>
                <w:left w:val="none" w:sz="0" w:space="31" w:color="auto"/>
              </w:pBdr>
              <w:spacing w:before="120"/>
              <w:rPr>
                <w:rFonts w:ascii="Arial" w:eastAsia="Helvetica" w:hAnsi="Arial" w:cs="Arial"/>
                <w:color w:val="000000"/>
                <w:sz w:val="22"/>
              </w:rPr>
            </w:pPr>
            <w:hyperlink r:id="rId15" w:history="1">
              <w:r w:rsidR="00E71C83" w:rsidRPr="00E71C83">
                <w:rPr>
                  <w:rStyle w:val="Hyperlink"/>
                  <w:rFonts w:ascii="Arial" w:hAnsi="Arial" w:cs="Arial"/>
                  <w:sz w:val="22"/>
                </w:rPr>
                <w:t>Higher Education Standards Framework (Threshold Standards) 2021</w:t>
              </w:r>
            </w:hyperlink>
          </w:p>
          <w:p w14:paraId="1D95EE8D" w14:textId="00C7CC6D" w:rsidR="00746A0E" w:rsidRPr="004922AF" w:rsidRDefault="009A2F7D" w:rsidP="00E71C83">
            <w:pPr>
              <w:spacing w:before="120" w:after="120"/>
              <w:rPr>
                <w:rFonts w:ascii="Arial" w:hAnsi="Arial" w:cs="Arial"/>
                <w:sz w:val="22"/>
                <w:lang w:val="en-GB"/>
              </w:rPr>
            </w:pPr>
            <w:hyperlink r:id="rId16" w:history="1">
              <w:r w:rsidR="00E71C83" w:rsidRPr="00E71C83">
                <w:rPr>
                  <w:rStyle w:val="Hyperlink"/>
                  <w:rFonts w:ascii="Arial" w:hAnsi="Arial" w:cs="Arial"/>
                  <w:sz w:val="22"/>
                </w:rPr>
                <w:t>Working with Children (Risk Management and Screening) Act 2000 (Qld)</w:t>
              </w:r>
            </w:hyperlink>
          </w:p>
        </w:tc>
      </w:tr>
      <w:tr w:rsidR="00746A0E" w:rsidRPr="004922AF" w14:paraId="13D635BA" w14:textId="77777777" w:rsidTr="006721EA">
        <w:tc>
          <w:tcPr>
            <w:tcW w:w="2943" w:type="dxa"/>
          </w:tcPr>
          <w:p w14:paraId="7CB30007" w14:textId="274434BC" w:rsidR="00746A0E" w:rsidRPr="004922AF" w:rsidRDefault="00746A0E" w:rsidP="004922AF">
            <w:pPr>
              <w:spacing w:before="120" w:after="120"/>
              <w:rPr>
                <w:rFonts w:ascii="Arial" w:hAnsi="Arial" w:cs="Arial"/>
                <w:sz w:val="22"/>
              </w:rPr>
            </w:pPr>
            <w:r w:rsidRPr="004922AF">
              <w:rPr>
                <w:rFonts w:ascii="Arial" w:hAnsi="Arial" w:cs="Arial"/>
                <w:sz w:val="22"/>
              </w:rPr>
              <w:lastRenderedPageBreak/>
              <w:t>Policy</w:t>
            </w:r>
          </w:p>
        </w:tc>
        <w:tc>
          <w:tcPr>
            <w:tcW w:w="7147" w:type="dxa"/>
          </w:tcPr>
          <w:p w14:paraId="52D7FDCD" w14:textId="43308B32" w:rsidR="00A608B0" w:rsidRDefault="00A608B0" w:rsidP="00E71C83">
            <w:pPr>
              <w:spacing w:before="120" w:after="120"/>
            </w:pPr>
            <w:hyperlink r:id="rId17" w:history="1">
              <w:r w:rsidRPr="00A32BEC">
                <w:rPr>
                  <w:rStyle w:val="Hyperlink"/>
                  <w:rFonts w:ascii="Arial" w:hAnsi="Arial" w:cs="Arial"/>
                  <w:sz w:val="22"/>
                </w:rPr>
                <w:t>Child Safety and Wellbeing Policy</w:t>
              </w:r>
            </w:hyperlink>
          </w:p>
          <w:p w14:paraId="2CDF6E2D" w14:textId="71EE0237" w:rsidR="00E71C83" w:rsidRPr="00E71C83" w:rsidRDefault="009A2F7D" w:rsidP="00E71C83">
            <w:pPr>
              <w:spacing w:before="120" w:after="120"/>
              <w:rPr>
                <w:rFonts w:ascii="Arial" w:hAnsi="Arial" w:cs="Arial"/>
                <w:color w:val="E30918"/>
                <w:sz w:val="22"/>
                <w:u w:val="single"/>
              </w:rPr>
            </w:pPr>
            <w:hyperlink r:id="rId18" w:history="1">
              <w:r w:rsidR="00E71C83" w:rsidRPr="00E71C83">
                <w:rPr>
                  <w:rStyle w:val="Hyperlink"/>
                  <w:rFonts w:ascii="Arial" w:hAnsi="Arial" w:cs="Arial"/>
                  <w:sz w:val="22"/>
                </w:rPr>
                <w:t>Code of Conduct</w:t>
              </w:r>
            </w:hyperlink>
          </w:p>
          <w:p w14:paraId="7A1507B9" w14:textId="26DCAE6A" w:rsidR="00746A0E" w:rsidRPr="00E71C83" w:rsidRDefault="009A2F7D" w:rsidP="00E71C83">
            <w:pPr>
              <w:spacing w:before="120" w:after="120"/>
              <w:rPr>
                <w:rFonts w:ascii="Arial" w:hAnsi="Arial" w:cs="Arial"/>
                <w:sz w:val="22"/>
                <w:lang w:val="en-GB"/>
              </w:rPr>
            </w:pPr>
            <w:hyperlink r:id="rId19" w:history="1">
              <w:r w:rsidR="00E71C83" w:rsidRPr="00E71C83">
                <w:rPr>
                  <w:rStyle w:val="Hyperlink"/>
                  <w:rFonts w:ascii="Arial" w:hAnsi="Arial" w:cs="Arial"/>
                  <w:sz w:val="22"/>
                </w:rPr>
                <w:t>Talent Acquisition Policy</w:t>
              </w:r>
            </w:hyperlink>
          </w:p>
        </w:tc>
      </w:tr>
      <w:tr w:rsidR="00746A0E" w:rsidRPr="004922AF" w14:paraId="55329BCC" w14:textId="77777777" w:rsidTr="006721EA">
        <w:tc>
          <w:tcPr>
            <w:tcW w:w="2943" w:type="dxa"/>
          </w:tcPr>
          <w:p w14:paraId="1BD7DB3E" w14:textId="54AA41D2" w:rsidR="00746A0E" w:rsidRPr="004922AF" w:rsidRDefault="00746A0E" w:rsidP="004922AF">
            <w:pPr>
              <w:spacing w:before="120" w:after="120"/>
              <w:rPr>
                <w:rFonts w:ascii="Arial" w:hAnsi="Arial" w:cs="Arial"/>
                <w:sz w:val="22"/>
              </w:rPr>
            </w:pPr>
            <w:r w:rsidRPr="004922AF">
              <w:rPr>
                <w:rFonts w:ascii="Arial" w:hAnsi="Arial" w:cs="Arial"/>
                <w:sz w:val="22"/>
              </w:rPr>
              <w:t>Procedures</w:t>
            </w:r>
          </w:p>
        </w:tc>
        <w:tc>
          <w:tcPr>
            <w:tcW w:w="7147" w:type="dxa"/>
          </w:tcPr>
          <w:p w14:paraId="4302959E" w14:textId="59B54921" w:rsidR="00746A0E" w:rsidRPr="004922AF" w:rsidRDefault="009A2F7D" w:rsidP="004922AF">
            <w:pPr>
              <w:spacing w:before="120" w:after="120"/>
              <w:rPr>
                <w:rFonts w:ascii="Arial" w:hAnsi="Arial" w:cs="Arial"/>
                <w:sz w:val="22"/>
                <w:lang w:val="en-GB"/>
              </w:rPr>
            </w:pPr>
            <w:hyperlink r:id="rId20" w:history="1">
              <w:r w:rsidR="00E0101B" w:rsidRPr="00E0101B">
                <w:rPr>
                  <w:rStyle w:val="Hyperlink"/>
                  <w:rFonts w:ascii="Arial" w:hAnsi="Arial" w:cs="Arial"/>
                  <w:sz w:val="22"/>
                </w:rPr>
                <w:t>Talent Acquisition Procedure</w:t>
              </w:r>
            </w:hyperlink>
          </w:p>
        </w:tc>
      </w:tr>
      <w:tr w:rsidR="00746A0E" w:rsidRPr="004922AF" w14:paraId="76652B21" w14:textId="77777777" w:rsidTr="006721EA">
        <w:tc>
          <w:tcPr>
            <w:tcW w:w="2943" w:type="dxa"/>
          </w:tcPr>
          <w:p w14:paraId="118FD34E" w14:textId="481E52F8" w:rsidR="00746A0E" w:rsidRPr="004922AF" w:rsidRDefault="00746A0E" w:rsidP="004922AF">
            <w:pPr>
              <w:spacing w:before="120" w:after="120"/>
              <w:rPr>
                <w:rFonts w:ascii="Arial" w:hAnsi="Arial" w:cs="Arial"/>
                <w:sz w:val="22"/>
              </w:rPr>
            </w:pPr>
            <w:r w:rsidRPr="004922AF">
              <w:rPr>
                <w:rFonts w:ascii="Arial" w:hAnsi="Arial" w:cs="Arial"/>
                <w:sz w:val="22"/>
              </w:rPr>
              <w:t>Local Protocol</w:t>
            </w:r>
          </w:p>
        </w:tc>
        <w:tc>
          <w:tcPr>
            <w:tcW w:w="7147" w:type="dxa"/>
          </w:tcPr>
          <w:p w14:paraId="55AA03EB" w14:textId="13C0B2C2" w:rsidR="00746A0E" w:rsidRPr="004922AF" w:rsidRDefault="00746A0E" w:rsidP="004922AF">
            <w:pPr>
              <w:spacing w:before="120" w:after="120"/>
              <w:rPr>
                <w:rFonts w:ascii="Arial" w:hAnsi="Arial" w:cs="Arial"/>
                <w:sz w:val="22"/>
              </w:rPr>
            </w:pPr>
            <w:r w:rsidRPr="004922AF">
              <w:rPr>
                <w:rFonts w:ascii="Arial" w:hAnsi="Arial" w:cs="Arial"/>
                <w:sz w:val="22"/>
              </w:rPr>
              <w:t>N/A</w:t>
            </w:r>
          </w:p>
        </w:tc>
      </w:tr>
      <w:tr w:rsidR="00746A0E" w:rsidRPr="004922AF" w14:paraId="5AB64C6F" w14:textId="77777777" w:rsidTr="006721EA">
        <w:tc>
          <w:tcPr>
            <w:tcW w:w="2943" w:type="dxa"/>
          </w:tcPr>
          <w:p w14:paraId="22348C3F" w14:textId="0F6236D7" w:rsidR="00746A0E" w:rsidRPr="004922AF" w:rsidRDefault="00746A0E" w:rsidP="004922AF">
            <w:pPr>
              <w:spacing w:before="120" w:after="120"/>
              <w:rPr>
                <w:rFonts w:ascii="Arial" w:hAnsi="Arial" w:cs="Arial"/>
                <w:sz w:val="22"/>
              </w:rPr>
            </w:pPr>
            <w:r w:rsidRPr="004922AF">
              <w:rPr>
                <w:rFonts w:ascii="Arial" w:hAnsi="Arial" w:cs="Arial"/>
                <w:sz w:val="22"/>
              </w:rPr>
              <w:t>Forms</w:t>
            </w:r>
          </w:p>
        </w:tc>
        <w:tc>
          <w:tcPr>
            <w:tcW w:w="7147" w:type="dxa"/>
          </w:tcPr>
          <w:p w14:paraId="54F51F15" w14:textId="3F717F66" w:rsidR="00746A0E" w:rsidRPr="004922AF" w:rsidRDefault="00EA6334" w:rsidP="004922AF">
            <w:pPr>
              <w:spacing w:before="120" w:after="120"/>
              <w:rPr>
                <w:rFonts w:ascii="Arial" w:hAnsi="Arial" w:cs="Arial"/>
                <w:sz w:val="22"/>
              </w:rPr>
            </w:pPr>
            <w:r w:rsidRPr="004922AF">
              <w:rPr>
                <w:rFonts w:ascii="Arial" w:hAnsi="Arial" w:cs="Arial"/>
                <w:sz w:val="22"/>
              </w:rPr>
              <w:t>N/A</w:t>
            </w:r>
          </w:p>
        </w:tc>
      </w:tr>
    </w:tbl>
    <w:p w14:paraId="6BA7652E" w14:textId="26761596" w:rsidR="00A15D12" w:rsidRDefault="00A15D12" w:rsidP="004922AF">
      <w:pPr>
        <w:rPr>
          <w:rFonts w:ascii="Arial" w:hAnsi="Arial" w:cs="Arial"/>
          <w:sz w:val="22"/>
        </w:rPr>
      </w:pPr>
    </w:p>
    <w:sectPr w:rsidR="00A15D12" w:rsidSect="00E77B43">
      <w:headerReference w:type="default" r:id="rId21"/>
      <w:footerReference w:type="even" r:id="rId22"/>
      <w:footerReference w:type="default" r:id="rId23"/>
      <w:headerReference w:type="first" r:id="rId24"/>
      <w:footerReference w:type="first" r:id="rId25"/>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line="240" w:lineRule="auto"/>
      </w:pPr>
      <w:r>
        <w:separator/>
      </w:r>
    </w:p>
  </w:endnote>
  <w:endnote w:type="continuationSeparator" w:id="0">
    <w:p w14:paraId="6A1DDC77" w14:textId="77777777" w:rsidR="0061147C" w:rsidRDefault="0061147C"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7D06BCEC" w14:textId="77777777" w:rsidR="00671001" w:rsidRPr="00671001" w:rsidRDefault="00671001" w:rsidP="00671001">
    <w:pPr>
      <w:spacing w:after="0" w:line="240" w:lineRule="auto"/>
      <w:jc w:val="right"/>
      <w:rPr>
        <w:rFonts w:asciiTheme="minorHAnsi" w:hAnsiTheme="minorHAnsi" w:cstheme="minorHAnsi"/>
        <w:color w:val="70787B"/>
        <w:sz w:val="15"/>
        <w:szCs w:val="15"/>
      </w:rPr>
    </w:pPr>
    <w:r w:rsidRPr="00671001">
      <w:rPr>
        <w:rFonts w:asciiTheme="minorHAnsi" w:hAnsiTheme="minorHAnsi" w:cstheme="minorHAnsi"/>
        <w:color w:val="70787B"/>
        <w:sz w:val="15"/>
        <w:szCs w:val="15"/>
      </w:rPr>
      <w:t xml:space="preserve">Pre-Employment Screening Procedure |October 2023 </w:t>
    </w:r>
  </w:p>
  <w:p w14:paraId="068A9D0E" w14:textId="77777777" w:rsidR="00671001" w:rsidRPr="00671001" w:rsidRDefault="00671001" w:rsidP="00671001">
    <w:pPr>
      <w:spacing w:after="0" w:line="240" w:lineRule="auto"/>
      <w:jc w:val="right"/>
      <w:rPr>
        <w:rFonts w:asciiTheme="minorHAnsi" w:hAnsiTheme="minorHAnsi" w:cstheme="minorHAnsi"/>
        <w:color w:val="70787B"/>
        <w:sz w:val="15"/>
        <w:szCs w:val="15"/>
      </w:rPr>
    </w:pPr>
    <w:r w:rsidRPr="00671001">
      <w:rPr>
        <w:rFonts w:asciiTheme="minorHAnsi" w:hAnsiTheme="minorHAnsi" w:cstheme="minorHAnsi"/>
        <w:color w:val="70787B"/>
        <w:sz w:val="15"/>
        <w:szCs w:val="15"/>
      </w:rPr>
      <w:t>Document number: 2023/0001116</w:t>
    </w:r>
  </w:p>
  <w:p w14:paraId="2E3A5653" w14:textId="0EB7C42F" w:rsidR="00830B58" w:rsidRDefault="00671001" w:rsidP="00671001">
    <w:pPr>
      <w:spacing w:after="0" w:line="240" w:lineRule="auto"/>
      <w:jc w:val="right"/>
      <w:rPr>
        <w:rFonts w:asciiTheme="minorHAnsi" w:hAnsiTheme="minorHAnsi" w:cstheme="minorHAnsi"/>
        <w:color w:val="70787B"/>
        <w:sz w:val="15"/>
        <w:szCs w:val="15"/>
      </w:rPr>
    </w:pPr>
    <w:r w:rsidRPr="00671001">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0EFF655" w14:textId="77777777" w:rsidR="00671001" w:rsidRDefault="00671001" w:rsidP="00671001">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P</w:t>
    </w:r>
    <w:r w:rsidRPr="0022172F">
      <w:rPr>
        <w:rFonts w:asciiTheme="minorHAnsi" w:hAnsiTheme="minorHAnsi" w:cstheme="minorHAnsi"/>
        <w:color w:val="70787B"/>
        <w:sz w:val="15"/>
        <w:szCs w:val="15"/>
      </w:rPr>
      <w:t>re-Employment Screening Procedure</w:t>
    </w:r>
    <w:r w:rsidRPr="00102B8A">
      <w:rPr>
        <w:rFonts w:asciiTheme="minorHAnsi" w:hAnsiTheme="minorHAnsi" w:cstheme="minorHAnsi"/>
        <w:color w:val="70787B"/>
        <w:sz w:val="15"/>
        <w:szCs w:val="15"/>
      </w:rPr>
      <w:t xml:space="preserve"> |</w:t>
    </w:r>
    <w:r>
      <w:rPr>
        <w:rFonts w:asciiTheme="minorHAnsi" w:hAnsiTheme="minorHAnsi" w:cstheme="minorHAnsi"/>
        <w:color w:val="70787B"/>
        <w:sz w:val="15"/>
        <w:szCs w:val="15"/>
      </w:rPr>
      <w:t>October 2023</w:t>
    </w:r>
    <w:r w:rsidRPr="00102B8A">
      <w:rPr>
        <w:rFonts w:asciiTheme="minorHAnsi" w:hAnsiTheme="minorHAnsi" w:cstheme="minorHAnsi"/>
        <w:color w:val="70787B"/>
        <w:sz w:val="15"/>
        <w:szCs w:val="15"/>
      </w:rPr>
      <w:t xml:space="preserve"> </w:t>
    </w:r>
  </w:p>
  <w:p w14:paraId="30C9CDFB" w14:textId="77777777" w:rsidR="00671001" w:rsidRPr="00102B8A" w:rsidRDefault="00671001" w:rsidP="00671001">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22172F">
      <w:rPr>
        <w:rFonts w:asciiTheme="minorHAnsi" w:hAnsiTheme="minorHAnsi" w:cstheme="minorHAnsi"/>
        <w:color w:val="70787B"/>
        <w:sz w:val="15"/>
        <w:szCs w:val="15"/>
      </w:rPr>
      <w:t>2023/0001116</w:t>
    </w:r>
  </w:p>
  <w:p w14:paraId="3471DC75" w14:textId="459CDC15" w:rsidR="00E77B43" w:rsidRDefault="00671001" w:rsidP="00671001">
    <w:pPr>
      <w:pStyle w:val="Footer"/>
      <w:jc w:val="right"/>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w:t xml:space="preserve"> </w:t>
    </w:r>
    <w:r w:rsidR="00E77B43"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line="240" w:lineRule="auto"/>
      </w:pPr>
      <w:r>
        <w:separator/>
      </w:r>
    </w:p>
  </w:footnote>
  <w:footnote w:type="continuationSeparator" w:id="0">
    <w:p w14:paraId="25885BE6" w14:textId="77777777" w:rsidR="0061147C" w:rsidRDefault="0061147C"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537603"/>
    <w:multiLevelType w:val="hybridMultilevel"/>
    <w:tmpl w:val="461E5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5"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36"/>
  </w:num>
  <w:num w:numId="3" w16cid:durableId="1304701530">
    <w:abstractNumId w:val="31"/>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2"/>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0"/>
  </w:num>
  <w:num w:numId="26" w16cid:durableId="1098252483">
    <w:abstractNumId w:val="18"/>
  </w:num>
  <w:num w:numId="27" w16cid:durableId="1930380739">
    <w:abstractNumId w:val="13"/>
  </w:num>
  <w:num w:numId="28" w16cid:durableId="871302621">
    <w:abstractNumId w:val="14"/>
  </w:num>
  <w:num w:numId="29" w16cid:durableId="991954021">
    <w:abstractNumId w:val="35"/>
  </w:num>
  <w:num w:numId="30" w16cid:durableId="218833091">
    <w:abstractNumId w:val="15"/>
  </w:num>
  <w:num w:numId="31" w16cid:durableId="66726597">
    <w:abstractNumId w:val="29"/>
  </w:num>
  <w:num w:numId="32" w16cid:durableId="1786579993">
    <w:abstractNumId w:val="34"/>
  </w:num>
  <w:num w:numId="33" w16cid:durableId="1071662295">
    <w:abstractNumId w:val="20"/>
  </w:num>
  <w:num w:numId="34" w16cid:durableId="944117931">
    <w:abstractNumId w:val="19"/>
  </w:num>
  <w:num w:numId="35" w16cid:durableId="754860717">
    <w:abstractNumId w:val="17"/>
  </w:num>
  <w:num w:numId="36" w16cid:durableId="177352507">
    <w:abstractNumId w:val="21"/>
  </w:num>
  <w:num w:numId="37" w16cid:durableId="13341861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1952"/>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F7778"/>
    <w:rsid w:val="0040296F"/>
    <w:rsid w:val="004063AB"/>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467E3"/>
    <w:rsid w:val="006519D0"/>
    <w:rsid w:val="00654CFD"/>
    <w:rsid w:val="0065502D"/>
    <w:rsid w:val="00671001"/>
    <w:rsid w:val="006A0D50"/>
    <w:rsid w:val="006A16D3"/>
    <w:rsid w:val="006A5781"/>
    <w:rsid w:val="006B61C2"/>
    <w:rsid w:val="006C42D8"/>
    <w:rsid w:val="006C594F"/>
    <w:rsid w:val="006E18F3"/>
    <w:rsid w:val="006E7342"/>
    <w:rsid w:val="006E7AE3"/>
    <w:rsid w:val="006E7F56"/>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830C0"/>
    <w:rsid w:val="009933D9"/>
    <w:rsid w:val="00993A5D"/>
    <w:rsid w:val="009A2F7D"/>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32BEC"/>
    <w:rsid w:val="00A45BDF"/>
    <w:rsid w:val="00A50780"/>
    <w:rsid w:val="00A55F73"/>
    <w:rsid w:val="00A56091"/>
    <w:rsid w:val="00A5683C"/>
    <w:rsid w:val="00A57044"/>
    <w:rsid w:val="00A608B0"/>
    <w:rsid w:val="00AA12A3"/>
    <w:rsid w:val="00AA188E"/>
    <w:rsid w:val="00AA391D"/>
    <w:rsid w:val="00AB00BF"/>
    <w:rsid w:val="00AC1EA9"/>
    <w:rsid w:val="00AE36C9"/>
    <w:rsid w:val="00AE4387"/>
    <w:rsid w:val="00AF5791"/>
    <w:rsid w:val="00AF719E"/>
    <w:rsid w:val="00B11F04"/>
    <w:rsid w:val="00B24AD5"/>
    <w:rsid w:val="00B25332"/>
    <w:rsid w:val="00B26F8D"/>
    <w:rsid w:val="00B42BD2"/>
    <w:rsid w:val="00B508D5"/>
    <w:rsid w:val="00B52233"/>
    <w:rsid w:val="00B766B8"/>
    <w:rsid w:val="00B82F08"/>
    <w:rsid w:val="00B9062A"/>
    <w:rsid w:val="00BB58D7"/>
    <w:rsid w:val="00BD26DB"/>
    <w:rsid w:val="00BF387D"/>
    <w:rsid w:val="00C00B53"/>
    <w:rsid w:val="00C22059"/>
    <w:rsid w:val="00C2475A"/>
    <w:rsid w:val="00C31251"/>
    <w:rsid w:val="00C32760"/>
    <w:rsid w:val="00C577E2"/>
    <w:rsid w:val="00C62871"/>
    <w:rsid w:val="00C76573"/>
    <w:rsid w:val="00C77710"/>
    <w:rsid w:val="00C80060"/>
    <w:rsid w:val="00CA6305"/>
    <w:rsid w:val="00CA6AC5"/>
    <w:rsid w:val="00CA75B5"/>
    <w:rsid w:val="00CD119B"/>
    <w:rsid w:val="00CF611B"/>
    <w:rsid w:val="00CF6FF3"/>
    <w:rsid w:val="00D042D8"/>
    <w:rsid w:val="00D25E65"/>
    <w:rsid w:val="00D434E9"/>
    <w:rsid w:val="00D532D6"/>
    <w:rsid w:val="00DA2384"/>
    <w:rsid w:val="00DB0FC8"/>
    <w:rsid w:val="00DB76F9"/>
    <w:rsid w:val="00DB7E17"/>
    <w:rsid w:val="00DD6067"/>
    <w:rsid w:val="00DE45C5"/>
    <w:rsid w:val="00DF3DF3"/>
    <w:rsid w:val="00E0101B"/>
    <w:rsid w:val="00E14D21"/>
    <w:rsid w:val="00E166E0"/>
    <w:rsid w:val="00E20D0C"/>
    <w:rsid w:val="00E21C52"/>
    <w:rsid w:val="00E34E2C"/>
    <w:rsid w:val="00E633D7"/>
    <w:rsid w:val="00E67BB3"/>
    <w:rsid w:val="00E702F7"/>
    <w:rsid w:val="00E7138A"/>
    <w:rsid w:val="00E71C83"/>
    <w:rsid w:val="00E77B43"/>
    <w:rsid w:val="00E826C9"/>
    <w:rsid w:val="00E9677E"/>
    <w:rsid w:val="00EA50A4"/>
    <w:rsid w:val="00EA633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qld.gov.au/view/html/inforce/current/act-1991-085" TargetMode="External"/><Relationship Id="rId18" Type="http://schemas.openxmlformats.org/officeDocument/2006/relationships/hyperlink" Target="https://sharepointpubstor.blob.core.windows.net/policylibrary-prod/Code%20of%20Conduc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policy@griffith.edu.au" TargetMode="External"/><Relationship Id="rId17" Type="http://schemas.openxmlformats.org/officeDocument/2006/relationships/hyperlink" Target="https://sharepointpubstor.blob.core.windows.net/policylibrary-prod/Child%20Safety%20and%20Wellbeing%20Policy.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gislation.qld.gov.au/view/pdf/inforce/current/act-2000-060" TargetMode="External"/><Relationship Id="rId20" Type="http://schemas.openxmlformats.org/officeDocument/2006/relationships/hyperlink" Target="https://sharepointpubstor.blob.core.windows.net/policylibrary-prod/Talent%20Acquisition%20Procedur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gov.au/integrity/publications/factsheet-1-fast-fact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legislation.gov.au/Details/F2021L00488"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ag.gov.au/integrity/foreign-influence-transparency-scheme" TargetMode="External"/><Relationship Id="rId19" Type="http://schemas.openxmlformats.org/officeDocument/2006/relationships/hyperlink" Target="https://sharepointpubstor.blob.core.windows.net/policylibrary-prod/Talent%20Acquisition%20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au/Details/C2017C00323"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522</Value>
      <Value>242</Value>
      <Value>563</Value>
      <Value>77</Value>
      <Value>550</Value>
    </TaxCatchAll>
    <SharedWithUsers xmlns="b40c662e-0380-4817-843d-2c7e10d40c39">
      <UserInfo>
        <DisplayName/>
        <AccountId xsi:nil="true"/>
        <AccountType/>
      </UserInfo>
    </SharedWithUsers>
    <PublishOn xmlns="2f261a70-825f-4a37-b7b5-f6ecc2f4c5fa">2023-11-27T02:26:38+00:00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Approval of a new recruitment and selection procedure given the introduction of the Talent Acquisition function and ensuring alignment with obligations with State legislation and Foreign Interference.</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2023-11-26T14:00:00+00:00</datedeclared>
    <PrivatePolicy xmlns="2f261a70-825f-4a37-b7b5-f6ecc2f4c5fa">false</PrivatePolicy>
    <policyadvisor xmlns="2f261a70-825f-4a37-b7b5-f6ecc2f4c5fa">
      <UserInfo>
        <DisplayName>Cem Coban</DisplayName>
        <AccountId>878</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BFD46-2CF8-488A-81C2-822335403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 ds:uri="b40c662e-0380-4817-843d-2c7e10d40c39"/>
    <ds:schemaRef ds:uri="2f261a70-825f-4a37-b7b5-f6ecc2f4c5fa"/>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48</TotalTime>
  <Pages>6</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Pre-Employment Screening Procedure</vt:lpstr>
    </vt:vector>
  </TitlesOfParts>
  <Company>Griffith University</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Pre-Employment Screening Procedure</dc:title>
  <dc:creator>Jen Lofgren</dc:creator>
  <cp:lastModifiedBy>John Montgomery</cp:lastModifiedBy>
  <cp:revision>12</cp:revision>
  <dcterms:created xsi:type="dcterms:W3CDTF">2023-11-21T05:55:00Z</dcterms:created>
  <dcterms:modified xsi:type="dcterms:W3CDTF">2024-04-03T03:40:00Z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563;#Director, Human Resources|cc1b10db-d828-4854-ba13-d593a417bd3e</vt:lpwstr>
  </property>
  <property fmtid="{D5CDD505-2E9C-101B-9397-08002B2CF9AE}" pid="18" name="policycategory">
    <vt:lpwstr/>
  </property>
  <property fmtid="{D5CDD505-2E9C-101B-9397-08002B2CF9AE}" pid="19" name="TemplateUrl">
    <vt:lpwstr/>
  </property>
  <property fmtid="{D5CDD505-2E9C-101B-9397-08002B2CF9AE}" pid="20" name="officearea">
    <vt:lpwstr>550;#Human Resources|540241ce-6608-4852-8778-9c8a8484699c</vt:lpwstr>
  </property>
  <property fmtid="{D5CDD505-2E9C-101B-9397-08002B2CF9AE}" pid="21" name="resourcetype">
    <vt:lpwstr>850</vt:lpwstr>
  </property>
  <property fmtid="{D5CDD505-2E9C-101B-9397-08002B2CF9AE}" pid="22" name="policy-category">
    <vt:lpwstr>522;#Staff|3e9f4474-6295-47f7-a166-0065c4fb1613</vt:lpwstr>
  </property>
  <property fmtid="{D5CDD505-2E9C-101B-9397-08002B2CF9AE}" pid="23" name="glossaryterms">
    <vt:lpwstr/>
  </property>
  <property fmtid="{D5CDD505-2E9C-101B-9397-08002B2CF9AE}" pid="24" name="_dlc_DocIdItemGuid">
    <vt:lpwstr>7f66d1d8-5946-4dbb-b3cf-4f39a6be1913</vt:lpwstr>
  </property>
  <property fmtid="{D5CDD505-2E9C-101B-9397-08002B2CF9AE}" pid="25" name="e509630521274583bbfe889d810a3e9e">
    <vt:lpwstr>Public|40058628-4222-4f37-b062-f3fb9daaccf8</vt:lpwstr>
  </property>
  <property fmtid="{D5CDD505-2E9C-101B-9397-08002B2CF9AE}" pid="26" name="policyreview">
    <vt:lpwstr>242;#2026|0e39d474-4c22-40b4-8b37-f0e7c9e0e124</vt:lpwstr>
  </property>
  <property fmtid="{D5CDD505-2E9C-101B-9397-08002B2CF9AE}" pid="27" name="policyaudience">
    <vt:lpwstr>77;#Staff|45ee306d-49ae-43fa-a3ef-02f70754fd2d</vt:lpwstr>
  </property>
  <property fmtid="{D5CDD505-2E9C-101B-9397-08002B2CF9AE}" pid="28" name="Managed_Testing_Field">
    <vt:lpwstr/>
  </property>
</Properties>
</file>