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6E4F" w14:textId="51651761" w:rsidR="006D6C81" w:rsidRPr="006D6C81" w:rsidRDefault="006D6C81" w:rsidP="006D6C81">
      <w:pPr>
        <w:pStyle w:val="Heading1"/>
        <w:spacing w:before="0" w:after="240"/>
        <w:rPr>
          <w:rFonts w:ascii="Griffith Sans Text" w:hAnsi="Griffith Sans Text"/>
          <w:sz w:val="52"/>
          <w:szCs w:val="32"/>
        </w:rPr>
      </w:pPr>
      <w:r>
        <w:rPr>
          <w:rFonts w:ascii="Griffith Sans Text" w:hAnsi="Griffith Sans Text"/>
          <w:sz w:val="52"/>
          <w:szCs w:val="32"/>
        </w:rPr>
        <w:t>Performance Reviews and Professional Development (Professional and Support       Staff)</w:t>
      </w:r>
    </w:p>
    <w:p w14:paraId="4B56D564" w14:textId="33010313" w:rsidR="00A144B2" w:rsidRPr="00673B09" w:rsidRDefault="00DF3B60"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DF3B60"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D2D6E27"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w:t>
      </w:r>
      <w:r w:rsidR="00DF3B60">
        <w:rPr>
          <w:rFonts w:ascii="Griffith Sans Text" w:hAnsi="Griffith Sans Text"/>
          <w:b w:val="0"/>
          <w:bCs w:val="0"/>
          <w:sz w:val="24"/>
          <w:szCs w:val="18"/>
        </w:rPr>
        <w:t xml:space="preserve"> and</w:t>
      </w:r>
      <w:r w:rsidR="00732202" w:rsidRPr="00673B09">
        <w:rPr>
          <w:rFonts w:ascii="Griffith Sans Text" w:hAnsi="Griffith Sans Text"/>
          <w:b w:val="0"/>
          <w:bCs w:val="0"/>
          <w:sz w:val="24"/>
          <w:szCs w:val="18"/>
        </w:rPr>
        <w:t xml:space="preserve"> responsibilities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DF3B60"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366B339C" w14:textId="5BF92116" w:rsidR="00CC70F7" w:rsidRPr="00AC0FEF" w:rsidRDefault="00CC70F7" w:rsidP="00CC70F7">
      <w:pPr>
        <w:spacing w:before="120" w:after="120" w:line="240" w:lineRule="auto"/>
        <w:rPr>
          <w:rFonts w:ascii="Arial" w:hAnsi="Arial" w:cs="Arial"/>
          <w:sz w:val="22"/>
        </w:rPr>
      </w:pPr>
      <w:r w:rsidRPr="002834D4">
        <w:rPr>
          <w:rFonts w:ascii="Arial" w:hAnsi="Arial" w:cs="Arial"/>
          <w:sz w:val="22"/>
        </w:rPr>
        <w:t xml:space="preserve">This </w:t>
      </w:r>
      <w:r>
        <w:rPr>
          <w:rFonts w:ascii="Arial" w:hAnsi="Arial" w:cs="Arial"/>
          <w:sz w:val="22"/>
        </w:rPr>
        <w:t>p</w:t>
      </w:r>
      <w:r w:rsidRPr="002834D4">
        <w:rPr>
          <w:rFonts w:ascii="Arial" w:hAnsi="Arial" w:cs="Arial"/>
          <w:sz w:val="22"/>
        </w:rPr>
        <w:t xml:space="preserve">olicy outlines Griffith University’s commitment to the ongoing performance review and the professional development of our </w:t>
      </w:r>
      <w:r>
        <w:rPr>
          <w:rFonts w:ascii="Arial" w:hAnsi="Arial" w:cs="Arial"/>
          <w:sz w:val="22"/>
        </w:rPr>
        <w:t>p</w:t>
      </w:r>
      <w:r w:rsidRPr="002834D4">
        <w:rPr>
          <w:rFonts w:ascii="Arial" w:hAnsi="Arial" w:cs="Arial"/>
          <w:sz w:val="22"/>
        </w:rPr>
        <w:t>rofessional</w:t>
      </w:r>
      <w:r>
        <w:rPr>
          <w:rFonts w:ascii="Arial" w:hAnsi="Arial" w:cs="Arial"/>
          <w:sz w:val="22"/>
        </w:rPr>
        <w:t xml:space="preserve"> and support</w:t>
      </w:r>
      <w:r w:rsidRPr="002834D4">
        <w:rPr>
          <w:rFonts w:ascii="Arial" w:hAnsi="Arial" w:cs="Arial"/>
          <w:sz w:val="22"/>
        </w:rPr>
        <w:t xml:space="preserve"> staff.</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4B34C4E6" w14:textId="60C74E43" w:rsidR="00CC70F7" w:rsidRDefault="00EB7614" w:rsidP="00CC70F7">
      <w:pPr>
        <w:spacing w:before="120" w:after="120" w:line="240" w:lineRule="auto"/>
        <w:rPr>
          <w:rFonts w:ascii="Arial" w:hAnsi="Arial" w:cs="Arial"/>
          <w:sz w:val="22"/>
        </w:rPr>
      </w:pPr>
      <w:r w:rsidRPr="00AC0FEF">
        <w:rPr>
          <w:rFonts w:ascii="Arial" w:hAnsi="Arial" w:cs="Arial"/>
          <w:sz w:val="22"/>
        </w:rPr>
        <w:t>Th</w:t>
      </w:r>
      <w:r w:rsidR="00CC70F7">
        <w:rPr>
          <w:rFonts w:ascii="Arial" w:hAnsi="Arial" w:cs="Arial"/>
          <w:sz w:val="22"/>
        </w:rPr>
        <w:t>is</w:t>
      </w:r>
      <w:r w:rsidRPr="00AC0FEF">
        <w:rPr>
          <w:rFonts w:ascii="Arial" w:hAnsi="Arial" w:cs="Arial"/>
          <w:sz w:val="22"/>
        </w:rPr>
        <w:t xml:space="preserve"> </w:t>
      </w:r>
      <w:r w:rsidR="00CC70F7" w:rsidRPr="009158EC">
        <w:rPr>
          <w:rFonts w:ascii="Arial" w:hAnsi="Arial" w:cs="Arial"/>
          <w:sz w:val="22"/>
        </w:rPr>
        <w:t>policy and associated procedures apply to all fixed-term and continuing professional and support staff of the University. This policy does not apply to:</w:t>
      </w:r>
    </w:p>
    <w:p w14:paraId="2C293E8E" w14:textId="5CCA2C6C" w:rsidR="00CC70F7" w:rsidRDefault="00CC70F7" w:rsidP="00CC70F7">
      <w:pPr>
        <w:pStyle w:val="ListParagraph"/>
        <w:numPr>
          <w:ilvl w:val="0"/>
          <w:numId w:val="37"/>
        </w:numPr>
        <w:spacing w:before="120" w:after="120" w:line="240" w:lineRule="auto"/>
        <w:rPr>
          <w:rFonts w:ascii="Arial" w:hAnsi="Arial" w:cs="Arial"/>
          <w:sz w:val="22"/>
        </w:rPr>
      </w:pPr>
      <w:r>
        <w:rPr>
          <w:rFonts w:ascii="Arial" w:hAnsi="Arial" w:cs="Arial"/>
          <w:sz w:val="22"/>
        </w:rPr>
        <w:t>Academic employees</w:t>
      </w:r>
    </w:p>
    <w:p w14:paraId="37E7DC05" w14:textId="0D7E9655" w:rsidR="00CC70F7" w:rsidRDefault="00CC70F7" w:rsidP="00CC70F7">
      <w:pPr>
        <w:pStyle w:val="ListParagraph"/>
        <w:numPr>
          <w:ilvl w:val="0"/>
          <w:numId w:val="37"/>
        </w:numPr>
        <w:spacing w:before="120" w:after="120" w:line="240" w:lineRule="auto"/>
        <w:rPr>
          <w:rFonts w:ascii="Arial" w:hAnsi="Arial" w:cs="Arial"/>
          <w:sz w:val="22"/>
        </w:rPr>
      </w:pPr>
      <w:r>
        <w:rPr>
          <w:rFonts w:ascii="Arial" w:hAnsi="Arial" w:cs="Arial"/>
          <w:sz w:val="22"/>
        </w:rPr>
        <w:t>Casual employees except for as specified in Section 3.6</w:t>
      </w:r>
    </w:p>
    <w:p w14:paraId="31A104A7" w14:textId="0A9FC92F" w:rsidR="00CC70F7" w:rsidRDefault="00CC70F7" w:rsidP="00CC70F7">
      <w:pPr>
        <w:pStyle w:val="ListParagraph"/>
        <w:numPr>
          <w:ilvl w:val="0"/>
          <w:numId w:val="37"/>
        </w:numPr>
        <w:spacing w:before="120" w:after="120" w:line="240" w:lineRule="auto"/>
        <w:rPr>
          <w:rFonts w:ascii="Arial" w:hAnsi="Arial" w:cs="Arial"/>
          <w:sz w:val="22"/>
        </w:rPr>
      </w:pPr>
      <w:r>
        <w:rPr>
          <w:rFonts w:ascii="Arial" w:hAnsi="Arial" w:cs="Arial"/>
          <w:sz w:val="22"/>
        </w:rPr>
        <w:t>Non-employee workers (e.g. contractors, consultants, honorary and visiting academics, volunteers)</w:t>
      </w:r>
    </w:p>
    <w:p w14:paraId="518BB725" w14:textId="7176A6D9" w:rsidR="00CC70F7" w:rsidRPr="00CC70F7" w:rsidRDefault="00CC70F7" w:rsidP="00AC0FEF">
      <w:pPr>
        <w:pStyle w:val="ListParagraph"/>
        <w:numPr>
          <w:ilvl w:val="0"/>
          <w:numId w:val="37"/>
        </w:numPr>
        <w:spacing w:before="120" w:after="120" w:line="240" w:lineRule="auto"/>
        <w:rPr>
          <w:rFonts w:ascii="Arial" w:hAnsi="Arial" w:cs="Arial"/>
          <w:sz w:val="22"/>
        </w:rPr>
      </w:pPr>
      <w:r w:rsidRPr="00CC70F7">
        <w:rPr>
          <w:rFonts w:ascii="Arial" w:hAnsi="Arial" w:cs="Arial"/>
          <w:sz w:val="22"/>
        </w:rPr>
        <w:t xml:space="preserve">Students. </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301FA844" w14:textId="7AC8AC26" w:rsidR="00A144B2" w:rsidRPr="003205F8" w:rsidRDefault="00A144B2" w:rsidP="003205F8">
      <w:pPr>
        <w:pStyle w:val="Heading3"/>
        <w:ind w:left="567"/>
        <w:rPr>
          <w:rFonts w:ascii="Griffith Sans Text" w:hAnsi="Griffith Sans Text"/>
        </w:rPr>
      </w:pPr>
      <w:r w:rsidRPr="003205F8">
        <w:rPr>
          <w:rFonts w:ascii="Griffith Sans Text" w:hAnsi="Griffith Sans Text"/>
        </w:rPr>
        <w:t xml:space="preserve">3.1 </w:t>
      </w:r>
      <w:r w:rsidR="00CC70F7">
        <w:rPr>
          <w:rFonts w:ascii="Griffith Sans Text" w:hAnsi="Griffith Sans Text"/>
        </w:rPr>
        <w:t>Performance Planning and Review</w:t>
      </w:r>
    </w:p>
    <w:p w14:paraId="40577892" w14:textId="18F89530" w:rsidR="00CC70F7" w:rsidRPr="00CC70F7" w:rsidRDefault="00CC70F7" w:rsidP="001215CB">
      <w:pPr>
        <w:pStyle w:val="NormalWhite"/>
        <w:numPr>
          <w:ilvl w:val="0"/>
          <w:numId w:val="30"/>
        </w:numPr>
        <w:spacing w:before="120" w:after="120" w:line="240" w:lineRule="auto"/>
        <w:jc w:val="left"/>
        <w:rPr>
          <w:rFonts w:cs="Arial"/>
          <w:color w:val="auto"/>
          <w:sz w:val="22"/>
        </w:rPr>
      </w:pPr>
      <w:r w:rsidRPr="00CC70F7">
        <w:rPr>
          <w:rFonts w:cs="Arial"/>
          <w:color w:val="auto"/>
          <w:sz w:val="22"/>
        </w:rPr>
        <w:t>The University is committed to a culture of high performance and excellence. Effective performance planning and development within work units is a key accountability for all supervisors and employees.</w:t>
      </w:r>
    </w:p>
    <w:p w14:paraId="76B95A11" w14:textId="77777777" w:rsidR="00CC70F7" w:rsidRPr="00CC70F7" w:rsidRDefault="00CC70F7" w:rsidP="001215CB">
      <w:pPr>
        <w:pStyle w:val="NormalWhite"/>
        <w:numPr>
          <w:ilvl w:val="0"/>
          <w:numId w:val="30"/>
        </w:numPr>
        <w:spacing w:before="120" w:after="120" w:line="240" w:lineRule="auto"/>
        <w:jc w:val="left"/>
        <w:rPr>
          <w:rFonts w:cs="Arial"/>
          <w:color w:val="auto"/>
          <w:sz w:val="22"/>
        </w:rPr>
      </w:pPr>
      <w:r w:rsidRPr="00CC70F7">
        <w:rPr>
          <w:rFonts w:cs="Arial"/>
          <w:color w:val="auto"/>
          <w:sz w:val="22"/>
        </w:rPr>
        <w:t>Effective performance planning and development supports the development of a positive relationship between supervisors and their staff, from which expectations, outcomes and progress are regularly discussed and feedback provided in a timely manner.</w:t>
      </w:r>
    </w:p>
    <w:p w14:paraId="3FC146FF" w14:textId="77777777" w:rsidR="00CC70F7" w:rsidRPr="00CC70F7" w:rsidRDefault="00CC70F7" w:rsidP="001215CB">
      <w:pPr>
        <w:pStyle w:val="NormalWhite"/>
        <w:numPr>
          <w:ilvl w:val="0"/>
          <w:numId w:val="30"/>
        </w:numPr>
        <w:spacing w:before="120" w:after="120" w:line="240" w:lineRule="auto"/>
        <w:jc w:val="left"/>
        <w:rPr>
          <w:rFonts w:cs="Arial"/>
          <w:color w:val="auto"/>
          <w:sz w:val="22"/>
        </w:rPr>
      </w:pPr>
      <w:r w:rsidRPr="00CC70F7">
        <w:rPr>
          <w:rFonts w:cs="Arial"/>
          <w:color w:val="auto"/>
          <w:sz w:val="22"/>
        </w:rPr>
        <w:t xml:space="preserve">Individual performance planning is linked to the University Strategy, Operational </w:t>
      </w:r>
      <w:proofErr w:type="gramStart"/>
      <w:r w:rsidRPr="00CC70F7">
        <w:rPr>
          <w:rFonts w:cs="Arial"/>
          <w:color w:val="auto"/>
          <w:sz w:val="22"/>
        </w:rPr>
        <w:t>Objectives</w:t>
      </w:r>
      <w:proofErr w:type="gramEnd"/>
      <w:r w:rsidRPr="00CC70F7">
        <w:rPr>
          <w:rFonts w:cs="Arial"/>
          <w:color w:val="auto"/>
          <w:sz w:val="22"/>
        </w:rPr>
        <w:t xml:space="preserve"> and plans. </w:t>
      </w:r>
    </w:p>
    <w:p w14:paraId="595DC5AE" w14:textId="0F1F1C9C" w:rsidR="000760A1" w:rsidRDefault="00CC70F7" w:rsidP="001215CB">
      <w:pPr>
        <w:pStyle w:val="NormalWhite"/>
        <w:numPr>
          <w:ilvl w:val="0"/>
          <w:numId w:val="30"/>
        </w:numPr>
        <w:spacing w:before="120" w:after="120" w:line="240" w:lineRule="auto"/>
        <w:jc w:val="left"/>
        <w:rPr>
          <w:rFonts w:cs="Arial"/>
          <w:color w:val="auto"/>
          <w:sz w:val="22"/>
        </w:rPr>
      </w:pPr>
      <w:r w:rsidRPr="00CC70F7">
        <w:rPr>
          <w:rFonts w:cs="Arial"/>
          <w:color w:val="auto"/>
          <w:sz w:val="22"/>
        </w:rPr>
        <w:t>Performance planning supports positive career development and captures the professional development needs an employee needs to perform their current role and facilitates career development.</w:t>
      </w:r>
    </w:p>
    <w:p w14:paraId="1866DAB5" w14:textId="77777777" w:rsidR="00CC70F7" w:rsidRPr="00CC70F7" w:rsidRDefault="00CC70F7" w:rsidP="00CC70F7">
      <w:pPr>
        <w:pStyle w:val="ListParagraph"/>
        <w:numPr>
          <w:ilvl w:val="0"/>
          <w:numId w:val="30"/>
        </w:numPr>
        <w:rPr>
          <w:rFonts w:ascii="Arial" w:hAnsi="Arial" w:cs="Arial"/>
          <w:color w:val="auto"/>
          <w:kern w:val="0"/>
          <w:sz w:val="22"/>
          <w:u w:color="F04E45"/>
        </w:rPr>
      </w:pPr>
      <w:r w:rsidRPr="00CC70F7">
        <w:rPr>
          <w:rFonts w:ascii="Arial" w:hAnsi="Arial" w:cs="Arial"/>
          <w:color w:val="auto"/>
          <w:kern w:val="0"/>
          <w:sz w:val="22"/>
          <w:u w:color="F04E45"/>
        </w:rPr>
        <w:lastRenderedPageBreak/>
        <w:t>Employees who are not performing at the required level will be provided with guidance and support to improve their performance.</w:t>
      </w:r>
    </w:p>
    <w:p w14:paraId="124F75BE" w14:textId="6C801EEB" w:rsidR="00E77B43" w:rsidRPr="003205F8" w:rsidRDefault="00A144B2" w:rsidP="008E2FFB">
      <w:pPr>
        <w:pStyle w:val="Heading3"/>
        <w:ind w:left="567"/>
        <w:rPr>
          <w:rFonts w:ascii="Griffith Sans Text" w:hAnsi="Griffith Sans Text"/>
        </w:rPr>
      </w:pPr>
      <w:r w:rsidRPr="003205F8">
        <w:rPr>
          <w:rFonts w:ascii="Griffith Sans Text" w:hAnsi="Griffith Sans Text"/>
        </w:rPr>
        <w:t xml:space="preserve">3.2 </w:t>
      </w:r>
      <w:r w:rsidR="00CC70F7">
        <w:rPr>
          <w:rFonts w:ascii="Griffith Sans Text" w:hAnsi="Griffith Sans Text"/>
        </w:rPr>
        <w:t>Performance Planning and Review – Probation Period</w:t>
      </w:r>
    </w:p>
    <w:p w14:paraId="50F3D544" w14:textId="3CED7E62" w:rsidR="00B508D5" w:rsidRDefault="0034277E" w:rsidP="00C861E8">
      <w:pPr>
        <w:spacing w:before="120" w:after="120" w:line="240" w:lineRule="auto"/>
        <w:ind w:left="567"/>
        <w:rPr>
          <w:rFonts w:ascii="Arial" w:hAnsi="Arial" w:cs="Arial"/>
          <w:sz w:val="22"/>
        </w:rPr>
      </w:pPr>
      <w:r>
        <w:rPr>
          <w:rFonts w:ascii="Arial" w:hAnsi="Arial" w:cs="Arial"/>
          <w:sz w:val="22"/>
        </w:rPr>
        <w:t xml:space="preserve">Participation in the probationary process </w:t>
      </w:r>
      <w:r w:rsidRPr="0034277E">
        <w:rPr>
          <w:rFonts w:ascii="Arial" w:hAnsi="Arial" w:cs="Arial"/>
          <w:sz w:val="22"/>
        </w:rPr>
        <w:t>is critical to the successful commencement of a career in the University and is the beginning of the performance planning cycle for new employees.</w:t>
      </w:r>
    </w:p>
    <w:p w14:paraId="383D5BDF" w14:textId="78973D28" w:rsidR="0034277E" w:rsidRPr="00AC0FEF" w:rsidRDefault="0034277E" w:rsidP="00AC0FEF">
      <w:pPr>
        <w:spacing w:before="120" w:after="120" w:line="240" w:lineRule="auto"/>
        <w:ind w:left="567"/>
        <w:rPr>
          <w:rFonts w:ascii="Arial" w:hAnsi="Arial" w:cs="Arial"/>
          <w:sz w:val="22"/>
        </w:rPr>
      </w:pPr>
      <w:r>
        <w:rPr>
          <w:rFonts w:ascii="Arial" w:hAnsi="Arial" w:cs="Arial"/>
          <w:sz w:val="22"/>
        </w:rPr>
        <w:t>A probationary period will apply to:</w:t>
      </w:r>
    </w:p>
    <w:p w14:paraId="35497C67" w14:textId="754BCA15" w:rsidR="00B508D5" w:rsidRDefault="0034277E" w:rsidP="004C3E07">
      <w:pPr>
        <w:pStyle w:val="NormalWhite"/>
        <w:numPr>
          <w:ilvl w:val="0"/>
          <w:numId w:val="30"/>
        </w:numPr>
        <w:spacing w:before="120" w:after="120" w:line="240" w:lineRule="auto"/>
        <w:jc w:val="left"/>
        <w:rPr>
          <w:rFonts w:cs="Arial"/>
          <w:color w:val="auto"/>
          <w:sz w:val="22"/>
        </w:rPr>
      </w:pPr>
      <w:r>
        <w:rPr>
          <w:rFonts w:cs="Arial"/>
          <w:color w:val="auto"/>
          <w:sz w:val="22"/>
        </w:rPr>
        <w:t xml:space="preserve">All newly commencing employees with continuing appointments, and </w:t>
      </w:r>
    </w:p>
    <w:p w14:paraId="158116CE" w14:textId="27915219" w:rsidR="0034277E" w:rsidRDefault="0034277E" w:rsidP="004C3E07">
      <w:pPr>
        <w:pStyle w:val="NormalWhite"/>
        <w:numPr>
          <w:ilvl w:val="0"/>
          <w:numId w:val="30"/>
        </w:numPr>
        <w:spacing w:before="120" w:after="120" w:line="240" w:lineRule="auto"/>
        <w:jc w:val="left"/>
        <w:rPr>
          <w:rFonts w:cs="Arial"/>
          <w:color w:val="auto"/>
          <w:sz w:val="22"/>
        </w:rPr>
      </w:pPr>
      <w:r>
        <w:rPr>
          <w:rFonts w:cs="Arial"/>
          <w:color w:val="auto"/>
          <w:sz w:val="22"/>
        </w:rPr>
        <w:t xml:space="preserve">Fixed term appointments of more than six months in length. </w:t>
      </w:r>
    </w:p>
    <w:p w14:paraId="6E90533C" w14:textId="26BF6E56" w:rsidR="0034277E" w:rsidRPr="00AC0FEF" w:rsidRDefault="0034277E" w:rsidP="0034277E">
      <w:pPr>
        <w:pStyle w:val="NormalWhite"/>
        <w:spacing w:before="120" w:after="120" w:line="240" w:lineRule="auto"/>
        <w:ind w:left="567"/>
        <w:jc w:val="left"/>
        <w:rPr>
          <w:rFonts w:cs="Arial"/>
          <w:color w:val="auto"/>
          <w:sz w:val="22"/>
        </w:rPr>
      </w:pPr>
      <w:r>
        <w:rPr>
          <w:rFonts w:cs="Arial"/>
          <w:color w:val="auto"/>
          <w:sz w:val="22"/>
        </w:rPr>
        <w:t>The Probation (Professional and Support Staff)</w:t>
      </w:r>
      <w:r w:rsidR="001215CB">
        <w:rPr>
          <w:rFonts w:cs="Arial"/>
          <w:color w:val="auto"/>
          <w:sz w:val="22"/>
        </w:rPr>
        <w:t xml:space="preserve"> </w:t>
      </w:r>
      <w:r w:rsidR="001215CB">
        <w:rPr>
          <w:rFonts w:cs="Arial"/>
          <w:color w:val="auto"/>
          <w:sz w:val="22"/>
        </w:rPr>
        <w:t>Procedure</w:t>
      </w:r>
      <w:r>
        <w:rPr>
          <w:rFonts w:cs="Arial"/>
          <w:color w:val="auto"/>
          <w:sz w:val="22"/>
        </w:rPr>
        <w:t xml:space="preserve"> provides detailed guidance for </w:t>
      </w:r>
      <w:r w:rsidRPr="0034277E">
        <w:rPr>
          <w:rFonts w:cs="Arial"/>
          <w:color w:val="auto"/>
          <w:sz w:val="22"/>
        </w:rPr>
        <w:t>employees and managers. This procedure does not apply to employees who are engaged on individual employment contracts or casual employment contracts.</w:t>
      </w:r>
    </w:p>
    <w:p w14:paraId="72EFF1DC" w14:textId="79E05307" w:rsidR="0034277E" w:rsidRDefault="0034277E" w:rsidP="0034277E">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3</w:t>
      </w:r>
      <w:r w:rsidRPr="003205F8">
        <w:rPr>
          <w:rFonts w:ascii="Griffith Sans Text" w:hAnsi="Griffith Sans Text"/>
        </w:rPr>
        <w:t xml:space="preserve"> </w:t>
      </w:r>
      <w:r>
        <w:rPr>
          <w:rFonts w:ascii="Griffith Sans Text" w:hAnsi="Griffith Sans Text"/>
        </w:rPr>
        <w:t>Professional Development</w:t>
      </w:r>
    </w:p>
    <w:p w14:paraId="22FB6EAD" w14:textId="77777777" w:rsidR="00706B72" w:rsidRPr="00706B72" w:rsidRDefault="00706B72" w:rsidP="00C861E8">
      <w:pPr>
        <w:pStyle w:val="NormalWhite"/>
        <w:spacing w:before="120" w:after="120" w:line="240" w:lineRule="auto"/>
        <w:ind w:left="567"/>
        <w:jc w:val="left"/>
        <w:rPr>
          <w:rFonts w:cs="Arial"/>
          <w:color w:val="auto"/>
          <w:sz w:val="22"/>
        </w:rPr>
      </w:pPr>
      <w:r w:rsidRPr="00706B72">
        <w:rPr>
          <w:rFonts w:cs="Arial"/>
          <w:color w:val="auto"/>
          <w:sz w:val="22"/>
        </w:rPr>
        <w:t>The University is committed to building the capabilities and effectiveness of its employees through a range of professional development opportunities.</w:t>
      </w:r>
    </w:p>
    <w:p w14:paraId="22D1B8F1" w14:textId="77777777" w:rsidR="00706B72" w:rsidRPr="00706B72" w:rsidRDefault="00706B72" w:rsidP="00C861E8">
      <w:pPr>
        <w:pStyle w:val="NormalWhite"/>
        <w:spacing w:before="120" w:after="120" w:line="240" w:lineRule="auto"/>
        <w:ind w:left="567"/>
        <w:jc w:val="left"/>
        <w:rPr>
          <w:rFonts w:cs="Arial"/>
          <w:color w:val="auto"/>
          <w:sz w:val="22"/>
        </w:rPr>
      </w:pPr>
      <w:r w:rsidRPr="00706B72">
        <w:rPr>
          <w:rFonts w:cs="Arial"/>
          <w:color w:val="auto"/>
          <w:sz w:val="22"/>
        </w:rPr>
        <w:t xml:space="preserve">Employees are expected to take ownership of their professional development, which includes the development and implementation of a professional development plan as part of the Performance Planning and Review practice. </w:t>
      </w:r>
    </w:p>
    <w:p w14:paraId="62B0C413" w14:textId="77777777" w:rsidR="00706B72" w:rsidRDefault="00706B72" w:rsidP="00706B72">
      <w:pPr>
        <w:pStyle w:val="NormalWhite"/>
        <w:spacing w:before="120" w:after="120" w:line="240" w:lineRule="auto"/>
        <w:ind w:left="567"/>
        <w:jc w:val="left"/>
        <w:rPr>
          <w:rFonts w:cs="Arial"/>
          <w:color w:val="auto"/>
          <w:sz w:val="22"/>
        </w:rPr>
      </w:pPr>
      <w:r w:rsidRPr="00706B72">
        <w:rPr>
          <w:rFonts w:cs="Arial"/>
          <w:color w:val="auto"/>
          <w:sz w:val="22"/>
        </w:rPr>
        <w:t>Professional development opportunities will be fit for purpose and may be:</w:t>
      </w:r>
      <w:r w:rsidRPr="00706B72">
        <w:rPr>
          <w:rFonts w:cs="Arial"/>
          <w:color w:val="auto"/>
          <w:sz w:val="22"/>
        </w:rPr>
        <w:tab/>
      </w:r>
    </w:p>
    <w:p w14:paraId="7D82E834" w14:textId="2CECDAB8" w:rsidR="00706B72" w:rsidRPr="00706B72" w:rsidRDefault="004C3E07" w:rsidP="003F5FDD">
      <w:pPr>
        <w:pStyle w:val="NormalWhite"/>
        <w:numPr>
          <w:ilvl w:val="0"/>
          <w:numId w:val="38"/>
        </w:numPr>
        <w:spacing w:before="120" w:after="120" w:line="240" w:lineRule="auto"/>
        <w:ind w:left="1077" w:hanging="357"/>
        <w:rPr>
          <w:rFonts w:cs="Arial"/>
          <w:color w:val="auto"/>
          <w:sz w:val="22"/>
        </w:rPr>
      </w:pPr>
      <w:r>
        <w:rPr>
          <w:rFonts w:cs="Arial"/>
          <w:color w:val="auto"/>
          <w:sz w:val="22"/>
        </w:rPr>
        <w:t>F</w:t>
      </w:r>
      <w:r w:rsidR="00706B72" w:rsidRPr="00706B72">
        <w:rPr>
          <w:rFonts w:cs="Arial"/>
          <w:color w:val="auto"/>
          <w:sz w:val="22"/>
        </w:rPr>
        <w:t xml:space="preserve">ormal, </w:t>
      </w:r>
      <w:proofErr w:type="gramStart"/>
      <w:r w:rsidR="00706B72" w:rsidRPr="00706B72">
        <w:rPr>
          <w:rFonts w:cs="Arial"/>
          <w:color w:val="auto"/>
          <w:sz w:val="22"/>
        </w:rPr>
        <w:t>informal</w:t>
      </w:r>
      <w:proofErr w:type="gramEnd"/>
      <w:r w:rsidR="00706B72" w:rsidRPr="00706B72">
        <w:rPr>
          <w:rFonts w:cs="Arial"/>
          <w:color w:val="auto"/>
          <w:sz w:val="22"/>
        </w:rPr>
        <w:t xml:space="preserve"> or experienced-based training</w:t>
      </w:r>
    </w:p>
    <w:p w14:paraId="22130156" w14:textId="3D49A4FA" w:rsidR="00706B72" w:rsidRPr="00706B72" w:rsidRDefault="004C3E07" w:rsidP="003F5FDD">
      <w:pPr>
        <w:pStyle w:val="NormalWhite"/>
        <w:numPr>
          <w:ilvl w:val="0"/>
          <w:numId w:val="38"/>
        </w:numPr>
        <w:spacing w:before="120" w:after="120" w:line="240" w:lineRule="auto"/>
        <w:ind w:left="1077" w:hanging="357"/>
        <w:rPr>
          <w:rFonts w:cs="Arial"/>
          <w:color w:val="auto"/>
          <w:sz w:val="22"/>
        </w:rPr>
      </w:pPr>
      <w:r>
        <w:rPr>
          <w:rFonts w:cs="Arial"/>
          <w:color w:val="auto"/>
          <w:sz w:val="22"/>
        </w:rPr>
        <w:t>B</w:t>
      </w:r>
      <w:r w:rsidR="00706B72" w:rsidRPr="00706B72">
        <w:rPr>
          <w:rFonts w:cs="Arial"/>
          <w:color w:val="auto"/>
          <w:sz w:val="22"/>
        </w:rPr>
        <w:t>lended or online study</w:t>
      </w:r>
    </w:p>
    <w:p w14:paraId="4E271031" w14:textId="4CF3BBE9" w:rsidR="00706B72" w:rsidRPr="00706B72" w:rsidRDefault="004C3E07" w:rsidP="003F5FDD">
      <w:pPr>
        <w:pStyle w:val="NormalWhite"/>
        <w:numPr>
          <w:ilvl w:val="0"/>
          <w:numId w:val="38"/>
        </w:numPr>
        <w:spacing w:before="120" w:after="120" w:line="240" w:lineRule="auto"/>
        <w:ind w:left="1077" w:hanging="357"/>
        <w:rPr>
          <w:rFonts w:cs="Arial"/>
          <w:color w:val="auto"/>
          <w:sz w:val="22"/>
        </w:rPr>
      </w:pPr>
      <w:r>
        <w:rPr>
          <w:rFonts w:cs="Arial"/>
          <w:color w:val="auto"/>
          <w:sz w:val="22"/>
        </w:rPr>
        <w:t>S</w:t>
      </w:r>
      <w:r w:rsidR="00706B72" w:rsidRPr="00706B72">
        <w:rPr>
          <w:rFonts w:cs="Arial"/>
          <w:color w:val="auto"/>
          <w:sz w:val="22"/>
        </w:rPr>
        <w:t>tudy towards an award or non-award qualification</w:t>
      </w:r>
    </w:p>
    <w:p w14:paraId="4BA4FA5F" w14:textId="7603D670" w:rsidR="00706B72" w:rsidRPr="00706B72" w:rsidRDefault="004C3E07" w:rsidP="00C861E8">
      <w:pPr>
        <w:pStyle w:val="NormalWhite"/>
        <w:numPr>
          <w:ilvl w:val="0"/>
          <w:numId w:val="38"/>
        </w:numPr>
        <w:spacing w:before="120" w:after="120" w:line="240" w:lineRule="auto"/>
        <w:ind w:left="1077" w:hanging="357"/>
        <w:rPr>
          <w:rFonts w:cs="Arial"/>
          <w:color w:val="auto"/>
          <w:sz w:val="22"/>
        </w:rPr>
      </w:pPr>
      <w:r>
        <w:rPr>
          <w:rFonts w:cs="Arial"/>
          <w:color w:val="auto"/>
          <w:sz w:val="22"/>
        </w:rPr>
        <w:t>W</w:t>
      </w:r>
      <w:r w:rsidR="00706B72" w:rsidRPr="00706B72">
        <w:rPr>
          <w:rFonts w:cs="Arial"/>
          <w:color w:val="auto"/>
          <w:sz w:val="22"/>
        </w:rPr>
        <w:t xml:space="preserve">ork-related conferences, conventions, information sessions, </w:t>
      </w:r>
      <w:proofErr w:type="gramStart"/>
      <w:r w:rsidR="00706B72" w:rsidRPr="00706B72">
        <w:rPr>
          <w:rFonts w:cs="Arial"/>
          <w:color w:val="auto"/>
          <w:sz w:val="22"/>
        </w:rPr>
        <w:t>workshops</w:t>
      </w:r>
      <w:proofErr w:type="gramEnd"/>
      <w:r w:rsidR="00706B72" w:rsidRPr="00706B72">
        <w:rPr>
          <w:rFonts w:cs="Arial"/>
          <w:color w:val="auto"/>
          <w:sz w:val="22"/>
        </w:rPr>
        <w:t xml:space="preserve"> and seminars</w:t>
      </w:r>
    </w:p>
    <w:p w14:paraId="1325EECC" w14:textId="06B20199" w:rsidR="00706B72" w:rsidRPr="00706B72" w:rsidRDefault="004C3E07" w:rsidP="003F5FDD">
      <w:pPr>
        <w:pStyle w:val="NormalWhite"/>
        <w:numPr>
          <w:ilvl w:val="0"/>
          <w:numId w:val="38"/>
        </w:numPr>
        <w:spacing w:before="120" w:after="120" w:line="240" w:lineRule="auto"/>
        <w:ind w:left="1077" w:hanging="357"/>
        <w:rPr>
          <w:rFonts w:cs="Arial"/>
          <w:color w:val="auto"/>
          <w:sz w:val="22"/>
        </w:rPr>
      </w:pPr>
      <w:r>
        <w:rPr>
          <w:rFonts w:cs="Arial"/>
          <w:color w:val="auto"/>
          <w:sz w:val="22"/>
        </w:rPr>
        <w:t>S</w:t>
      </w:r>
      <w:r w:rsidR="00706B72" w:rsidRPr="00706B72">
        <w:rPr>
          <w:rFonts w:cs="Arial"/>
          <w:color w:val="auto"/>
          <w:sz w:val="22"/>
        </w:rPr>
        <w:t>econdments</w:t>
      </w:r>
    </w:p>
    <w:p w14:paraId="3146CB3F" w14:textId="2E12A3DA" w:rsidR="00706B72" w:rsidRPr="00706B72" w:rsidRDefault="004C3E07" w:rsidP="003F5FDD">
      <w:pPr>
        <w:pStyle w:val="NormalWhite"/>
        <w:numPr>
          <w:ilvl w:val="0"/>
          <w:numId w:val="38"/>
        </w:numPr>
        <w:spacing w:before="120" w:after="120" w:line="240" w:lineRule="auto"/>
        <w:ind w:left="1077" w:hanging="357"/>
        <w:rPr>
          <w:rFonts w:cs="Arial"/>
          <w:color w:val="auto"/>
          <w:sz w:val="22"/>
        </w:rPr>
      </w:pPr>
      <w:r>
        <w:rPr>
          <w:rFonts w:cs="Arial"/>
          <w:color w:val="auto"/>
          <w:sz w:val="22"/>
        </w:rPr>
        <w:t>S</w:t>
      </w:r>
      <w:r w:rsidR="00706B72" w:rsidRPr="00706B72">
        <w:rPr>
          <w:rFonts w:cs="Arial"/>
          <w:color w:val="auto"/>
          <w:sz w:val="22"/>
        </w:rPr>
        <w:t xml:space="preserve">hadowing, mentoring and </w:t>
      </w:r>
      <w:proofErr w:type="gramStart"/>
      <w:r w:rsidR="00706B72" w:rsidRPr="00706B72">
        <w:rPr>
          <w:rFonts w:cs="Arial"/>
          <w:color w:val="auto"/>
          <w:sz w:val="22"/>
        </w:rPr>
        <w:t>coaching</w:t>
      </w:r>
      <w:proofErr w:type="gramEnd"/>
    </w:p>
    <w:p w14:paraId="03F00024" w14:textId="1BFCF9C3" w:rsidR="00706B72" w:rsidRPr="00706B72" w:rsidRDefault="004C3E07" w:rsidP="003F5FDD">
      <w:pPr>
        <w:pStyle w:val="NormalWhite"/>
        <w:numPr>
          <w:ilvl w:val="0"/>
          <w:numId w:val="38"/>
        </w:numPr>
        <w:spacing w:before="120" w:after="120" w:line="240" w:lineRule="auto"/>
        <w:ind w:left="1077" w:hanging="357"/>
        <w:rPr>
          <w:rFonts w:cs="Arial"/>
          <w:color w:val="auto"/>
          <w:sz w:val="22"/>
        </w:rPr>
      </w:pPr>
      <w:r>
        <w:rPr>
          <w:rFonts w:cs="Arial"/>
          <w:color w:val="auto"/>
          <w:sz w:val="22"/>
        </w:rPr>
        <w:t>P</w:t>
      </w:r>
      <w:r w:rsidR="00706B72" w:rsidRPr="00706B72">
        <w:rPr>
          <w:rFonts w:cs="Arial"/>
          <w:color w:val="auto"/>
          <w:sz w:val="22"/>
        </w:rPr>
        <w:t>roject -specific learning opportunities</w:t>
      </w:r>
    </w:p>
    <w:p w14:paraId="13560E1B" w14:textId="62D46E27" w:rsidR="00706B72" w:rsidRDefault="004C3E07" w:rsidP="003F5FDD">
      <w:pPr>
        <w:pStyle w:val="NormalWhite"/>
        <w:numPr>
          <w:ilvl w:val="0"/>
          <w:numId w:val="38"/>
        </w:numPr>
        <w:spacing w:before="120" w:after="120" w:line="240" w:lineRule="auto"/>
        <w:ind w:left="1077" w:hanging="357"/>
        <w:jc w:val="left"/>
        <w:rPr>
          <w:rFonts w:cs="Arial"/>
          <w:color w:val="auto"/>
          <w:sz w:val="22"/>
        </w:rPr>
      </w:pPr>
      <w:r>
        <w:rPr>
          <w:rFonts w:cs="Arial"/>
          <w:color w:val="auto"/>
          <w:sz w:val="22"/>
        </w:rPr>
        <w:t>A</w:t>
      </w:r>
      <w:r w:rsidR="00706B72" w:rsidRPr="00706B72">
        <w:rPr>
          <w:rFonts w:cs="Arial"/>
          <w:color w:val="auto"/>
          <w:sz w:val="22"/>
        </w:rPr>
        <w:t>ny other suitable activity where a performance development benefit can be identified.</w:t>
      </w:r>
    </w:p>
    <w:p w14:paraId="74787336" w14:textId="2E5B9CD5" w:rsidR="00F30DB2" w:rsidRPr="00F30DB2" w:rsidRDefault="00F30DB2" w:rsidP="00F30DB2">
      <w:pPr>
        <w:pStyle w:val="BulletPoints"/>
        <w:ind w:left="567" w:firstLine="0"/>
        <w:rPr>
          <w:rFonts w:ascii="Arial" w:hAnsi="Arial" w:cs="Arial"/>
          <w:sz w:val="22"/>
          <w:u w:color="F04E45"/>
        </w:rPr>
      </w:pPr>
      <w:r w:rsidRPr="00F30DB2">
        <w:rPr>
          <w:rFonts w:ascii="Arial" w:hAnsi="Arial" w:cs="Arial"/>
          <w:sz w:val="22"/>
          <w:u w:color="F04E45"/>
        </w:rPr>
        <w:t>A supervisor or manager may direct an employee to attend training or relevant development activity where there is an identified skill gap or where particular training/skills are a requirement of the role.</w:t>
      </w:r>
    </w:p>
    <w:p w14:paraId="12AEF37A" w14:textId="43D636ED" w:rsidR="0004049F" w:rsidRDefault="0004049F" w:rsidP="0004049F">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4</w:t>
      </w:r>
      <w:r w:rsidRPr="003205F8">
        <w:rPr>
          <w:rFonts w:ascii="Griffith Sans Text" w:hAnsi="Griffith Sans Text"/>
        </w:rPr>
        <w:t xml:space="preserve"> </w:t>
      </w:r>
      <w:r>
        <w:rPr>
          <w:rFonts w:ascii="Griffith Sans Text" w:hAnsi="Griffith Sans Text"/>
        </w:rPr>
        <w:t>Funding for Professional Development</w:t>
      </w:r>
    </w:p>
    <w:p w14:paraId="3C7C11B7" w14:textId="77777777" w:rsidR="004C3E07" w:rsidRDefault="004C3E07" w:rsidP="00C861E8">
      <w:pPr>
        <w:pStyle w:val="BulletPoints"/>
        <w:spacing w:before="120" w:after="120" w:line="240" w:lineRule="auto"/>
        <w:ind w:left="567" w:firstLine="0"/>
        <w:rPr>
          <w:rFonts w:ascii="Arial" w:hAnsi="Arial" w:cs="Arial"/>
          <w:sz w:val="22"/>
          <w:u w:color="F04E45"/>
        </w:rPr>
      </w:pPr>
      <w:r w:rsidRPr="004C3E07">
        <w:rPr>
          <w:rFonts w:ascii="Arial" w:hAnsi="Arial" w:cs="Arial"/>
          <w:sz w:val="22"/>
          <w:u w:color="F04E45"/>
        </w:rPr>
        <w:t>The University will support professional development opportunities that are within budget limits and that align to:</w:t>
      </w:r>
    </w:p>
    <w:p w14:paraId="5F3E2348" w14:textId="322A5B6E" w:rsidR="004C3E07" w:rsidRPr="004C3E07" w:rsidRDefault="004C3E07" w:rsidP="003F5FDD">
      <w:pPr>
        <w:pStyle w:val="NormalWhite"/>
        <w:numPr>
          <w:ilvl w:val="0"/>
          <w:numId w:val="44"/>
        </w:numPr>
        <w:spacing w:before="120" w:after="120" w:line="240" w:lineRule="auto"/>
        <w:ind w:left="1077" w:hanging="357"/>
        <w:rPr>
          <w:rFonts w:cs="Arial"/>
          <w:color w:val="auto"/>
          <w:sz w:val="22"/>
        </w:rPr>
      </w:pPr>
      <w:r w:rsidRPr="004C3E07">
        <w:rPr>
          <w:rFonts w:cs="Arial"/>
          <w:color w:val="auto"/>
          <w:sz w:val="22"/>
        </w:rPr>
        <w:t>The University's strategic goals</w:t>
      </w:r>
    </w:p>
    <w:p w14:paraId="6DDC6615" w14:textId="1E025345" w:rsidR="004C3E07" w:rsidRPr="004C3E07" w:rsidRDefault="004C3E07" w:rsidP="003F5FDD">
      <w:pPr>
        <w:pStyle w:val="NormalWhite"/>
        <w:numPr>
          <w:ilvl w:val="0"/>
          <w:numId w:val="44"/>
        </w:numPr>
        <w:spacing w:before="120" w:after="120" w:line="240" w:lineRule="auto"/>
        <w:ind w:left="1077" w:hanging="357"/>
        <w:rPr>
          <w:rFonts w:cs="Arial"/>
          <w:color w:val="auto"/>
          <w:sz w:val="22"/>
        </w:rPr>
      </w:pPr>
      <w:r w:rsidRPr="004C3E07">
        <w:rPr>
          <w:rFonts w:cs="Arial"/>
          <w:color w:val="auto"/>
          <w:sz w:val="22"/>
        </w:rPr>
        <w:t>The employee’s current and potential future role with the University</w:t>
      </w:r>
    </w:p>
    <w:p w14:paraId="3B45272B" w14:textId="77777777" w:rsidR="004C3E07" w:rsidRDefault="004C3E07" w:rsidP="003F5FDD">
      <w:pPr>
        <w:pStyle w:val="NormalWhite"/>
        <w:numPr>
          <w:ilvl w:val="0"/>
          <w:numId w:val="44"/>
        </w:numPr>
        <w:spacing w:before="120" w:after="120" w:line="240" w:lineRule="auto"/>
        <w:ind w:left="1077" w:hanging="357"/>
        <w:rPr>
          <w:rFonts w:cs="Arial"/>
          <w:color w:val="auto"/>
          <w:sz w:val="22"/>
        </w:rPr>
      </w:pPr>
      <w:r w:rsidRPr="004C3E07">
        <w:rPr>
          <w:rFonts w:cs="Arial"/>
          <w:color w:val="auto"/>
          <w:sz w:val="22"/>
        </w:rPr>
        <w:t>The employee’s individual career development needs and aspirations.</w:t>
      </w:r>
    </w:p>
    <w:p w14:paraId="49DFB8D3" w14:textId="77777777" w:rsidR="00950AB1" w:rsidRDefault="00950AB1" w:rsidP="00C861E8">
      <w:pPr>
        <w:pStyle w:val="BulletPoints"/>
        <w:spacing w:before="120" w:after="120" w:line="240" w:lineRule="auto"/>
        <w:ind w:left="567" w:firstLine="0"/>
        <w:rPr>
          <w:rFonts w:ascii="Arial" w:eastAsia="Times New Roman" w:hAnsi="Arial" w:cs="Arial"/>
          <w:color w:val="000000"/>
          <w:sz w:val="22"/>
        </w:rPr>
      </w:pPr>
      <w:r w:rsidRPr="00F141AE">
        <w:rPr>
          <w:rFonts w:ascii="Arial" w:eastAsia="Times New Roman" w:hAnsi="Arial" w:cs="Arial"/>
          <w:color w:val="000000"/>
          <w:sz w:val="22"/>
        </w:rPr>
        <w:t>Where specific training or continuing professional education is a requirement for maintaining a professional registration needed for the employee’s role at the University, the University will not unreasonably refuse to provide time release and funding to fulfill this requirement.</w:t>
      </w:r>
    </w:p>
    <w:p w14:paraId="1EFC39BD" w14:textId="20674F3F" w:rsidR="00950AB1" w:rsidRDefault="00950AB1" w:rsidP="00C861E8">
      <w:pPr>
        <w:pStyle w:val="BulletPoints"/>
        <w:spacing w:before="120" w:after="120" w:line="240" w:lineRule="auto"/>
        <w:ind w:left="567" w:firstLine="0"/>
        <w:rPr>
          <w:rFonts w:ascii="Arial" w:eastAsia="Times New Roman" w:hAnsi="Arial" w:cs="Arial"/>
          <w:color w:val="000000"/>
          <w:sz w:val="22"/>
        </w:rPr>
      </w:pPr>
      <w:r w:rsidRPr="00950AB1">
        <w:rPr>
          <w:rFonts w:ascii="Arial" w:eastAsia="Times New Roman" w:hAnsi="Arial" w:cs="Arial"/>
          <w:color w:val="000000"/>
          <w:sz w:val="22"/>
        </w:rPr>
        <w:lastRenderedPageBreak/>
        <w:t>The University may, at its discretion, decline to fund professional development if:</w:t>
      </w:r>
    </w:p>
    <w:p w14:paraId="295E715B" w14:textId="5A413C68" w:rsidR="00950AB1" w:rsidRPr="00950AB1" w:rsidRDefault="0025746B"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Pr>
          <w:rFonts w:ascii="Arial" w:eastAsia="Times New Roman" w:hAnsi="Arial" w:cs="Arial"/>
          <w:color w:val="000000"/>
          <w:sz w:val="22"/>
        </w:rPr>
        <w:t>I</w:t>
      </w:r>
      <w:r w:rsidR="00950AB1" w:rsidRPr="00950AB1">
        <w:rPr>
          <w:rFonts w:ascii="Arial" w:eastAsia="Times New Roman" w:hAnsi="Arial" w:cs="Arial"/>
          <w:color w:val="000000"/>
          <w:sz w:val="22"/>
        </w:rPr>
        <w:t xml:space="preserve">t is not directly related to the employee’s identified development </w:t>
      </w:r>
      <w:proofErr w:type="gramStart"/>
      <w:r w:rsidR="00950AB1" w:rsidRPr="00950AB1">
        <w:rPr>
          <w:rFonts w:ascii="Arial" w:eastAsia="Times New Roman" w:hAnsi="Arial" w:cs="Arial"/>
          <w:color w:val="000000"/>
          <w:sz w:val="22"/>
        </w:rPr>
        <w:t>requirements</w:t>
      </w:r>
      <w:proofErr w:type="gramEnd"/>
    </w:p>
    <w:p w14:paraId="272F7D3D" w14:textId="13B7406B" w:rsidR="00950AB1" w:rsidRPr="00950AB1" w:rsidRDefault="0025746B"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Pr>
          <w:rFonts w:ascii="Arial" w:eastAsia="Times New Roman" w:hAnsi="Arial" w:cs="Arial"/>
          <w:color w:val="000000"/>
          <w:sz w:val="22"/>
        </w:rPr>
        <w:t>I</w:t>
      </w:r>
      <w:r w:rsidR="00950AB1" w:rsidRPr="00950AB1">
        <w:rPr>
          <w:rFonts w:ascii="Arial" w:eastAsia="Times New Roman" w:hAnsi="Arial" w:cs="Arial"/>
          <w:color w:val="000000"/>
          <w:sz w:val="22"/>
        </w:rPr>
        <w:t xml:space="preserve">t is not directly related to the employee's current or potential future </w:t>
      </w:r>
      <w:proofErr w:type="gramStart"/>
      <w:r w:rsidR="00950AB1" w:rsidRPr="00950AB1">
        <w:rPr>
          <w:rFonts w:ascii="Arial" w:eastAsia="Times New Roman" w:hAnsi="Arial" w:cs="Arial"/>
          <w:color w:val="000000"/>
          <w:sz w:val="22"/>
        </w:rPr>
        <w:t>role</w:t>
      </w:r>
      <w:proofErr w:type="gramEnd"/>
    </w:p>
    <w:p w14:paraId="63E44415" w14:textId="031B9DB0" w:rsidR="00950AB1" w:rsidRPr="00950AB1" w:rsidRDefault="0025746B"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Pr>
          <w:rFonts w:ascii="Arial" w:eastAsia="Times New Roman" w:hAnsi="Arial" w:cs="Arial"/>
          <w:color w:val="000000"/>
          <w:sz w:val="22"/>
        </w:rPr>
        <w:t>I</w:t>
      </w:r>
      <w:r w:rsidR="00950AB1" w:rsidRPr="00950AB1">
        <w:rPr>
          <w:rFonts w:ascii="Arial" w:eastAsia="Times New Roman" w:hAnsi="Arial" w:cs="Arial"/>
          <w:color w:val="000000"/>
          <w:sz w:val="22"/>
        </w:rPr>
        <w:t>t does not provide any discernible value or business benefit for the Universit</w:t>
      </w:r>
      <w:r>
        <w:rPr>
          <w:rFonts w:ascii="Arial" w:eastAsia="Times New Roman" w:hAnsi="Arial" w:cs="Arial"/>
          <w:color w:val="000000"/>
          <w:sz w:val="22"/>
        </w:rPr>
        <w:t>y.</w:t>
      </w:r>
    </w:p>
    <w:p w14:paraId="6612B83E" w14:textId="3D52EDB0" w:rsidR="00950AB1" w:rsidRDefault="0025746B"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Pr>
          <w:rFonts w:ascii="Arial" w:eastAsia="Times New Roman" w:hAnsi="Arial" w:cs="Arial"/>
          <w:color w:val="000000"/>
          <w:sz w:val="22"/>
        </w:rPr>
        <w:t>I</w:t>
      </w:r>
      <w:r w:rsidR="00950AB1" w:rsidRPr="00950AB1">
        <w:rPr>
          <w:rFonts w:ascii="Arial" w:eastAsia="Times New Roman" w:hAnsi="Arial" w:cs="Arial"/>
          <w:color w:val="000000"/>
          <w:sz w:val="22"/>
        </w:rPr>
        <w:t>t would involve exceeding the professional development budget of the relevant business unit or area.</w:t>
      </w:r>
    </w:p>
    <w:p w14:paraId="0639776B" w14:textId="39A5D105" w:rsidR="003B0C8A" w:rsidRDefault="003B0C8A" w:rsidP="003B0C8A">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5</w:t>
      </w:r>
      <w:r w:rsidRPr="003205F8">
        <w:rPr>
          <w:rFonts w:ascii="Griffith Sans Text" w:hAnsi="Griffith Sans Text"/>
        </w:rPr>
        <w:t xml:space="preserve"> </w:t>
      </w:r>
      <w:r>
        <w:rPr>
          <w:rFonts w:ascii="Griffith Sans Text" w:hAnsi="Griffith Sans Text"/>
        </w:rPr>
        <w:t>Professional Staff Assistance Scheme</w:t>
      </w:r>
    </w:p>
    <w:p w14:paraId="02448BA6" w14:textId="77777777" w:rsidR="00AB0F2E" w:rsidRPr="00AB0F2E" w:rsidRDefault="00AB0F2E" w:rsidP="00C861E8">
      <w:pPr>
        <w:pStyle w:val="BulletPoints"/>
        <w:spacing w:before="120" w:after="120" w:line="240" w:lineRule="auto"/>
        <w:ind w:left="567" w:firstLine="0"/>
        <w:rPr>
          <w:rFonts w:ascii="Arial" w:eastAsia="Times New Roman" w:hAnsi="Arial" w:cs="Arial"/>
          <w:color w:val="000000"/>
          <w:sz w:val="22"/>
        </w:rPr>
      </w:pPr>
      <w:r w:rsidRPr="00AB0F2E">
        <w:rPr>
          <w:rFonts w:ascii="Arial" w:eastAsia="Times New Roman" w:hAnsi="Arial" w:cs="Arial"/>
          <w:color w:val="000000"/>
          <w:sz w:val="22"/>
        </w:rPr>
        <w:t>In addition to professional development opportunities, the University supports professional support staff who wish to pursue further academic and vocational studies.</w:t>
      </w:r>
    </w:p>
    <w:p w14:paraId="1AAE1A5A" w14:textId="2044D8A4" w:rsidR="00AB0F2E" w:rsidRPr="00AB0F2E" w:rsidRDefault="00AB0F2E" w:rsidP="00C861E8">
      <w:pPr>
        <w:pStyle w:val="BulletPoints"/>
        <w:spacing w:before="120" w:after="120" w:line="240" w:lineRule="auto"/>
        <w:ind w:left="567" w:firstLine="0"/>
        <w:rPr>
          <w:rFonts w:ascii="Arial" w:eastAsia="Times New Roman" w:hAnsi="Arial" w:cs="Arial"/>
          <w:color w:val="000000"/>
          <w:sz w:val="22"/>
        </w:rPr>
      </w:pPr>
      <w:r w:rsidRPr="00AB0F2E">
        <w:rPr>
          <w:rFonts w:ascii="Arial" w:eastAsia="Times New Roman" w:hAnsi="Arial" w:cs="Arial"/>
          <w:color w:val="000000"/>
          <w:sz w:val="22"/>
        </w:rPr>
        <w:t xml:space="preserve">Staff wishing to undertake study and claim educational assistance must apply each year using the </w:t>
      </w:r>
      <w:r w:rsidR="001215CB" w:rsidRPr="001215CB">
        <w:rPr>
          <w:rFonts w:ascii="Arial" w:eastAsia="Times New Roman" w:hAnsi="Arial" w:cs="Arial"/>
          <w:color w:val="000000"/>
          <w:sz w:val="22"/>
        </w:rPr>
        <w:t>Professional Employee Educational Assistance Procedure</w:t>
      </w:r>
      <w:r w:rsidRPr="00AB0F2E">
        <w:rPr>
          <w:rFonts w:ascii="Arial" w:eastAsia="Times New Roman" w:hAnsi="Arial" w:cs="Arial"/>
          <w:color w:val="000000"/>
          <w:sz w:val="22"/>
        </w:rPr>
        <w:t xml:space="preserve"> for approval of a course or program of study prior to enrolment.   </w:t>
      </w:r>
    </w:p>
    <w:p w14:paraId="0D98F741" w14:textId="2435A745" w:rsidR="003B0C8A" w:rsidRDefault="00AB0F2E" w:rsidP="00C861E8">
      <w:pPr>
        <w:pStyle w:val="BulletPoints"/>
        <w:spacing w:before="120" w:after="120" w:line="240" w:lineRule="auto"/>
        <w:ind w:left="567" w:firstLine="0"/>
        <w:rPr>
          <w:rFonts w:ascii="Arial" w:eastAsia="Times New Roman" w:hAnsi="Arial" w:cs="Arial"/>
          <w:color w:val="000000"/>
          <w:sz w:val="22"/>
        </w:rPr>
      </w:pPr>
      <w:r w:rsidRPr="00AB0F2E">
        <w:rPr>
          <w:rFonts w:ascii="Arial" w:eastAsia="Times New Roman" w:hAnsi="Arial" w:cs="Arial"/>
          <w:color w:val="000000"/>
          <w:sz w:val="22"/>
        </w:rPr>
        <w:t>The following types of formal education programs are eligible for assistance under this scheme:</w:t>
      </w:r>
    </w:p>
    <w:p w14:paraId="5A6FB458" w14:textId="1DA38549" w:rsidR="003F5FDD" w:rsidRPr="003F5FDD" w:rsidRDefault="003F5FDD"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sidRPr="003F5FDD">
        <w:rPr>
          <w:rFonts w:ascii="Arial" w:eastAsia="Times New Roman" w:hAnsi="Arial" w:cs="Arial"/>
          <w:color w:val="000000"/>
          <w:sz w:val="22"/>
        </w:rPr>
        <w:t>Undergraduate and postgraduate programs</w:t>
      </w:r>
    </w:p>
    <w:p w14:paraId="0A6688B6" w14:textId="355EFFDF" w:rsidR="003F5FDD" w:rsidRPr="003F5FDD" w:rsidRDefault="003F5FDD"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sidRPr="003F5FDD">
        <w:rPr>
          <w:rFonts w:ascii="Arial" w:eastAsia="Times New Roman" w:hAnsi="Arial" w:cs="Arial"/>
          <w:color w:val="000000"/>
          <w:sz w:val="22"/>
        </w:rPr>
        <w:t>Course or program of study at TAFE/VET institutions</w:t>
      </w:r>
    </w:p>
    <w:p w14:paraId="1A976172" w14:textId="518C6007" w:rsidR="003F5FDD" w:rsidRPr="003F5FDD" w:rsidRDefault="003F5FDD"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sidRPr="003F5FDD">
        <w:rPr>
          <w:rFonts w:ascii="Arial" w:eastAsia="Times New Roman" w:hAnsi="Arial" w:cs="Arial"/>
          <w:color w:val="000000"/>
          <w:sz w:val="22"/>
        </w:rPr>
        <w:t>Commercial and advanced trade courses which are offered by accredited training institutions</w:t>
      </w:r>
    </w:p>
    <w:p w14:paraId="3C821626" w14:textId="0528859E" w:rsidR="003F5FDD" w:rsidRPr="003F5FDD" w:rsidRDefault="003F5FDD"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sidRPr="003F5FDD">
        <w:rPr>
          <w:rFonts w:ascii="Arial" w:eastAsia="Times New Roman" w:hAnsi="Arial" w:cs="Arial"/>
          <w:color w:val="000000"/>
          <w:sz w:val="22"/>
        </w:rPr>
        <w:t>In exceptional cases, staff may be eligible for assistance in undertaking a higher degree research</w:t>
      </w:r>
      <w:r>
        <w:rPr>
          <w:rFonts w:ascii="Arial" w:eastAsia="Times New Roman" w:hAnsi="Arial" w:cs="Arial"/>
          <w:color w:val="000000"/>
          <w:sz w:val="22"/>
        </w:rPr>
        <w:t xml:space="preserve"> </w:t>
      </w:r>
      <w:r w:rsidRPr="003F5FDD">
        <w:rPr>
          <w:rFonts w:ascii="Arial" w:eastAsia="Times New Roman" w:hAnsi="Arial" w:cs="Arial"/>
          <w:color w:val="000000"/>
          <w:sz w:val="22"/>
        </w:rPr>
        <w:t>(HDR) program.</w:t>
      </w:r>
    </w:p>
    <w:p w14:paraId="52257080" w14:textId="1E446C5D" w:rsidR="00B63560" w:rsidRDefault="00B63560" w:rsidP="00B63560">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6</w:t>
      </w:r>
      <w:r w:rsidRPr="003205F8">
        <w:rPr>
          <w:rFonts w:ascii="Griffith Sans Text" w:hAnsi="Griffith Sans Text"/>
        </w:rPr>
        <w:t xml:space="preserve"> </w:t>
      </w:r>
      <w:r>
        <w:rPr>
          <w:rFonts w:ascii="Griffith Sans Text" w:hAnsi="Griffith Sans Text"/>
        </w:rPr>
        <w:t>Induction and Onboarding</w:t>
      </w:r>
    </w:p>
    <w:p w14:paraId="190FA6A0" w14:textId="77777777" w:rsidR="00D31785" w:rsidRPr="00D31785" w:rsidRDefault="00D31785" w:rsidP="00C861E8">
      <w:pPr>
        <w:pStyle w:val="BulletPoints"/>
        <w:spacing w:before="120" w:after="120" w:line="240" w:lineRule="auto"/>
        <w:ind w:left="567" w:firstLine="0"/>
        <w:rPr>
          <w:rFonts w:ascii="Arial" w:eastAsia="Times New Roman" w:hAnsi="Arial" w:cs="Arial"/>
          <w:color w:val="000000"/>
          <w:sz w:val="22"/>
        </w:rPr>
      </w:pPr>
      <w:r w:rsidRPr="00D31785">
        <w:rPr>
          <w:rFonts w:ascii="Arial" w:eastAsia="Times New Roman" w:hAnsi="Arial" w:cs="Arial"/>
          <w:color w:val="000000"/>
          <w:sz w:val="22"/>
        </w:rPr>
        <w:t>Part of establishing the basis for good performance and professional development is a positive introduction to the University and the employee’s work area.</w:t>
      </w:r>
    </w:p>
    <w:p w14:paraId="453C8A10" w14:textId="08780A71" w:rsidR="00B63560" w:rsidRDefault="00D31785" w:rsidP="00C861E8">
      <w:pPr>
        <w:pStyle w:val="BulletPoints"/>
        <w:spacing w:before="120" w:after="120" w:line="240" w:lineRule="auto"/>
        <w:ind w:left="567" w:firstLine="0"/>
        <w:rPr>
          <w:rFonts w:ascii="Arial" w:eastAsia="Times New Roman" w:hAnsi="Arial" w:cs="Arial"/>
          <w:color w:val="000000"/>
          <w:sz w:val="22"/>
        </w:rPr>
      </w:pPr>
      <w:r w:rsidRPr="00D31785">
        <w:rPr>
          <w:rFonts w:ascii="Arial" w:eastAsia="Times New Roman" w:hAnsi="Arial" w:cs="Arial"/>
          <w:color w:val="000000"/>
          <w:sz w:val="22"/>
        </w:rPr>
        <w:t>All fixed-term and continuing staff must undergo an induction process on commencement at the University. This includes, but is not limited to, the following:</w:t>
      </w:r>
    </w:p>
    <w:p w14:paraId="58A1A006" w14:textId="0C37C128" w:rsidR="00DE20FF" w:rsidRPr="00DE20FF" w:rsidRDefault="00DE20FF"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sidRPr="00DE20FF">
        <w:rPr>
          <w:rFonts w:ascii="Arial" w:eastAsia="Times New Roman" w:hAnsi="Arial" w:cs="Arial"/>
          <w:color w:val="000000"/>
          <w:sz w:val="22"/>
        </w:rPr>
        <w:t>Completing all required online onboarding modules</w:t>
      </w:r>
    </w:p>
    <w:p w14:paraId="4B84DB26" w14:textId="51F9CA23" w:rsidR="00DE20FF" w:rsidRPr="00DE20FF" w:rsidRDefault="00DE20FF"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sidRPr="00DE20FF">
        <w:rPr>
          <w:rFonts w:ascii="Arial" w:eastAsia="Times New Roman" w:hAnsi="Arial" w:cs="Arial"/>
          <w:color w:val="000000"/>
          <w:sz w:val="22"/>
        </w:rPr>
        <w:t>Learning about the University’s policies and procedures</w:t>
      </w:r>
    </w:p>
    <w:p w14:paraId="42D819E5" w14:textId="76CC79CD" w:rsidR="00DE20FF" w:rsidRPr="00DE20FF" w:rsidRDefault="00DE20FF"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sidRPr="00DE20FF">
        <w:rPr>
          <w:rFonts w:ascii="Arial" w:eastAsia="Times New Roman" w:hAnsi="Arial" w:cs="Arial"/>
          <w:color w:val="000000"/>
          <w:sz w:val="22"/>
        </w:rPr>
        <w:t>Familiarisation with the University and organisational unit’s specific plan</w:t>
      </w:r>
    </w:p>
    <w:p w14:paraId="77663EE7" w14:textId="1D69AC8E" w:rsidR="00DE20FF" w:rsidRPr="00DE20FF" w:rsidRDefault="00DE20FF"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sidRPr="00DE20FF">
        <w:rPr>
          <w:rFonts w:ascii="Arial" w:eastAsia="Times New Roman" w:hAnsi="Arial" w:cs="Arial"/>
          <w:color w:val="000000"/>
          <w:sz w:val="22"/>
        </w:rPr>
        <w:t>Discussion of the role requirements</w:t>
      </w:r>
    </w:p>
    <w:p w14:paraId="28882685" w14:textId="7A0D7975" w:rsidR="00DE20FF" w:rsidRPr="00DE20FF" w:rsidRDefault="00DE20FF"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sidRPr="00DE20FF">
        <w:rPr>
          <w:rFonts w:ascii="Arial" w:eastAsia="Times New Roman" w:hAnsi="Arial" w:cs="Arial"/>
          <w:color w:val="000000"/>
          <w:sz w:val="22"/>
        </w:rPr>
        <w:t>Completing all role specific mandatory compliance training</w:t>
      </w:r>
    </w:p>
    <w:p w14:paraId="0A3A86E0" w14:textId="00613B4B" w:rsidR="00DE20FF" w:rsidRDefault="00DE20FF" w:rsidP="00C861E8">
      <w:pPr>
        <w:pStyle w:val="BulletPoints"/>
        <w:numPr>
          <w:ilvl w:val="0"/>
          <w:numId w:val="46"/>
        </w:numPr>
        <w:spacing w:before="120" w:after="120" w:line="240" w:lineRule="auto"/>
        <w:ind w:left="1077" w:hanging="357"/>
        <w:rPr>
          <w:rFonts w:ascii="Arial" w:eastAsia="Times New Roman" w:hAnsi="Arial" w:cs="Arial"/>
          <w:color w:val="000000"/>
          <w:sz w:val="22"/>
        </w:rPr>
      </w:pPr>
      <w:r w:rsidRPr="00DE20FF">
        <w:rPr>
          <w:rFonts w:ascii="Arial" w:eastAsia="Times New Roman" w:hAnsi="Arial" w:cs="Arial"/>
          <w:color w:val="000000"/>
          <w:sz w:val="22"/>
        </w:rPr>
        <w:t xml:space="preserve">Successful completion of required onboarding should be recorded. </w:t>
      </w:r>
    </w:p>
    <w:p w14:paraId="7529BDA9" w14:textId="77777777" w:rsidR="004A3DA2" w:rsidRPr="004A3DA2" w:rsidRDefault="004A3DA2" w:rsidP="00C861E8">
      <w:pPr>
        <w:pStyle w:val="BulletPoints"/>
        <w:spacing w:before="120" w:after="120" w:line="240" w:lineRule="auto"/>
        <w:ind w:left="567" w:firstLine="0"/>
        <w:rPr>
          <w:rFonts w:ascii="Arial" w:eastAsia="Times New Roman" w:hAnsi="Arial" w:cs="Arial"/>
          <w:color w:val="000000"/>
          <w:sz w:val="22"/>
        </w:rPr>
      </w:pPr>
      <w:r w:rsidRPr="004A3DA2">
        <w:rPr>
          <w:rFonts w:ascii="Arial" w:eastAsia="Times New Roman" w:hAnsi="Arial" w:cs="Arial"/>
          <w:color w:val="000000"/>
          <w:sz w:val="22"/>
        </w:rPr>
        <w:t xml:space="preserve">The Supervisor of a casual employee will identify what onboarding training is mandatory and ensure that the individual has access to the training system. Casual employee will be paid for their time to complete mandatory training modules.  </w:t>
      </w:r>
    </w:p>
    <w:p w14:paraId="5D5DFDDF" w14:textId="1437AFF0" w:rsidR="004A3DA2" w:rsidRDefault="004A3DA2" w:rsidP="00C861E8">
      <w:pPr>
        <w:pStyle w:val="BulletPoints"/>
        <w:spacing w:before="120" w:after="120" w:line="240" w:lineRule="auto"/>
        <w:ind w:left="567" w:firstLine="0"/>
        <w:rPr>
          <w:rFonts w:ascii="Arial" w:eastAsia="Times New Roman" w:hAnsi="Arial" w:cs="Arial"/>
          <w:color w:val="000000"/>
          <w:sz w:val="22"/>
        </w:rPr>
      </w:pPr>
      <w:r w:rsidRPr="00C861E8">
        <w:rPr>
          <w:rFonts w:ascii="Arial" w:eastAsia="Times New Roman" w:hAnsi="Arial" w:cs="Arial"/>
          <w:color w:val="000000"/>
          <w:sz w:val="22"/>
        </w:rPr>
        <w:t>The University also has area-specific induction</w:t>
      </w:r>
      <w:r w:rsidR="00C861E8">
        <w:rPr>
          <w:rFonts w:ascii="Arial" w:eastAsia="Times New Roman" w:hAnsi="Arial" w:cs="Arial"/>
          <w:color w:val="000000"/>
          <w:sz w:val="22"/>
        </w:rPr>
        <w:t>s</w:t>
      </w:r>
      <w:r w:rsidRPr="00C861E8">
        <w:rPr>
          <w:rFonts w:ascii="Arial" w:eastAsia="Times New Roman" w:hAnsi="Arial" w:cs="Arial"/>
          <w:color w:val="000000"/>
          <w:sz w:val="22"/>
        </w:rPr>
        <w:t xml:space="preserve"> that new, returning or transferring employees must</w:t>
      </w:r>
      <w:r w:rsidR="00C861E8">
        <w:rPr>
          <w:rFonts w:ascii="Arial" w:eastAsia="Times New Roman" w:hAnsi="Arial" w:cs="Arial"/>
          <w:color w:val="000000"/>
          <w:sz w:val="22"/>
        </w:rPr>
        <w:t xml:space="preserve"> </w:t>
      </w:r>
      <w:r w:rsidRPr="00C861E8">
        <w:rPr>
          <w:rFonts w:ascii="Arial" w:eastAsia="Times New Roman" w:hAnsi="Arial" w:cs="Arial"/>
          <w:color w:val="000000"/>
          <w:sz w:val="22"/>
        </w:rPr>
        <w:t>complete within their area.</w:t>
      </w:r>
    </w:p>
    <w:p w14:paraId="6F422948" w14:textId="7174CF94" w:rsidR="00C861E8" w:rsidRDefault="00C861E8" w:rsidP="00C861E8">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7</w:t>
      </w:r>
      <w:r w:rsidRPr="003205F8">
        <w:rPr>
          <w:rFonts w:ascii="Griffith Sans Text" w:hAnsi="Griffith Sans Text"/>
        </w:rPr>
        <w:t xml:space="preserve"> </w:t>
      </w:r>
      <w:r>
        <w:rPr>
          <w:rFonts w:ascii="Griffith Sans Text" w:hAnsi="Griffith Sans Text"/>
        </w:rPr>
        <w:t>Secondments for Professional Development</w:t>
      </w:r>
    </w:p>
    <w:p w14:paraId="20ED9D7B" w14:textId="77777777" w:rsidR="00A82960" w:rsidRPr="00F141AE" w:rsidRDefault="00A82960" w:rsidP="00A82960">
      <w:pPr>
        <w:pStyle w:val="BulletPoints"/>
        <w:spacing w:before="120" w:after="120" w:line="240" w:lineRule="auto"/>
        <w:ind w:left="567" w:firstLine="0"/>
        <w:rPr>
          <w:rFonts w:ascii="Arial" w:hAnsi="Arial" w:cs="Arial"/>
          <w:color w:val="000000"/>
          <w:sz w:val="22"/>
        </w:rPr>
      </w:pPr>
      <w:r w:rsidRPr="00F141AE">
        <w:rPr>
          <w:rFonts w:ascii="Arial" w:hAnsi="Arial" w:cs="Arial"/>
          <w:color w:val="000000"/>
          <w:sz w:val="22"/>
        </w:rPr>
        <w:t>The University recognises the potential for secondments to contribute to the development of our employees, and to benefit the University as a whole.</w:t>
      </w:r>
    </w:p>
    <w:p w14:paraId="56BF454F" w14:textId="77777777" w:rsidR="00A82960" w:rsidRDefault="00A82960" w:rsidP="00A82960">
      <w:pPr>
        <w:pStyle w:val="BulletPoints"/>
        <w:spacing w:before="120" w:after="120" w:line="240" w:lineRule="auto"/>
        <w:ind w:left="567" w:firstLine="0"/>
        <w:rPr>
          <w:rFonts w:ascii="Arial" w:hAnsi="Arial" w:cs="Arial"/>
          <w:color w:val="000000"/>
          <w:sz w:val="22"/>
        </w:rPr>
      </w:pPr>
      <w:r w:rsidRPr="00F141AE">
        <w:rPr>
          <w:rFonts w:ascii="Arial" w:hAnsi="Arial" w:cs="Arial"/>
          <w:color w:val="000000"/>
          <w:sz w:val="22"/>
        </w:rPr>
        <w:t>Four types of secondment are available:</w:t>
      </w:r>
    </w:p>
    <w:p w14:paraId="2E05B595" w14:textId="77777777" w:rsidR="00831973" w:rsidRPr="00831973" w:rsidRDefault="00831973" w:rsidP="00831973">
      <w:pPr>
        <w:pStyle w:val="BulletPoints"/>
        <w:numPr>
          <w:ilvl w:val="0"/>
          <w:numId w:val="46"/>
        </w:numPr>
        <w:spacing w:before="120" w:after="120" w:line="240" w:lineRule="auto"/>
        <w:ind w:left="1077" w:hanging="357"/>
        <w:rPr>
          <w:rFonts w:ascii="Arial" w:eastAsia="Times New Roman" w:hAnsi="Arial" w:cs="Arial"/>
          <w:color w:val="000000"/>
          <w:sz w:val="22"/>
        </w:rPr>
      </w:pPr>
      <w:r w:rsidRPr="00831973">
        <w:rPr>
          <w:rFonts w:ascii="Arial" w:eastAsia="Times New Roman" w:hAnsi="Arial" w:cs="Arial"/>
          <w:color w:val="000000"/>
          <w:sz w:val="22"/>
        </w:rPr>
        <w:lastRenderedPageBreak/>
        <w:t>External Secondment (Outgoing): an employee is the successful applicant for a fixed term position with an external organisation or another organisation requests the University's services, which results in an employee working for the external organisation for a defined period of time.</w:t>
      </w:r>
    </w:p>
    <w:p w14:paraId="2C13F27E" w14:textId="011FF8FE" w:rsidR="00831973" w:rsidRPr="00831973" w:rsidRDefault="00831973" w:rsidP="00831973">
      <w:pPr>
        <w:pStyle w:val="BulletPoints"/>
        <w:numPr>
          <w:ilvl w:val="0"/>
          <w:numId w:val="46"/>
        </w:numPr>
        <w:spacing w:before="120" w:after="120" w:line="240" w:lineRule="auto"/>
        <w:ind w:left="1077" w:hanging="357"/>
        <w:rPr>
          <w:rFonts w:ascii="Arial" w:eastAsia="Times New Roman" w:hAnsi="Arial" w:cs="Arial"/>
          <w:color w:val="000000"/>
          <w:sz w:val="22"/>
        </w:rPr>
      </w:pPr>
      <w:r w:rsidRPr="00831973">
        <w:rPr>
          <w:rFonts w:ascii="Arial" w:eastAsia="Times New Roman" w:hAnsi="Arial" w:cs="Arial"/>
          <w:color w:val="000000"/>
          <w:sz w:val="22"/>
        </w:rPr>
        <w:t>External Secondment (Incoming): an employee from an external organisation is employed to work at the University for a fixed term period</w:t>
      </w:r>
      <w:r>
        <w:rPr>
          <w:rFonts w:ascii="Arial" w:eastAsia="Times New Roman" w:hAnsi="Arial" w:cs="Arial"/>
          <w:color w:val="000000"/>
          <w:sz w:val="22"/>
        </w:rPr>
        <w:t>.</w:t>
      </w:r>
    </w:p>
    <w:p w14:paraId="144A8BB1" w14:textId="4DBA9C6E" w:rsidR="00831973" w:rsidRPr="00831973" w:rsidRDefault="00831973" w:rsidP="00831973">
      <w:pPr>
        <w:pStyle w:val="BulletPoints"/>
        <w:numPr>
          <w:ilvl w:val="0"/>
          <w:numId w:val="46"/>
        </w:numPr>
        <w:spacing w:before="120" w:after="120" w:line="240" w:lineRule="auto"/>
        <w:ind w:left="1077" w:hanging="357"/>
        <w:rPr>
          <w:rFonts w:ascii="Arial" w:eastAsia="Times New Roman" w:hAnsi="Arial" w:cs="Arial"/>
          <w:color w:val="000000"/>
          <w:sz w:val="22"/>
        </w:rPr>
      </w:pPr>
      <w:r w:rsidRPr="00831973">
        <w:rPr>
          <w:rFonts w:ascii="Arial" w:eastAsia="Times New Roman" w:hAnsi="Arial" w:cs="Arial"/>
          <w:color w:val="000000"/>
          <w:sz w:val="22"/>
        </w:rPr>
        <w:t>Internal Secondment: an employee accepts a different position within the University on a temporary basi</w:t>
      </w:r>
      <w:r>
        <w:rPr>
          <w:rFonts w:ascii="Arial" w:eastAsia="Times New Roman" w:hAnsi="Arial" w:cs="Arial"/>
          <w:color w:val="000000"/>
          <w:sz w:val="22"/>
        </w:rPr>
        <w:t>s.</w:t>
      </w:r>
    </w:p>
    <w:p w14:paraId="0ADDB675" w14:textId="77777777" w:rsidR="00831973" w:rsidRPr="00831973" w:rsidRDefault="00831973" w:rsidP="00831973">
      <w:pPr>
        <w:pStyle w:val="BulletPoints"/>
        <w:numPr>
          <w:ilvl w:val="0"/>
          <w:numId w:val="46"/>
        </w:numPr>
        <w:spacing w:before="120" w:after="120" w:line="240" w:lineRule="auto"/>
        <w:ind w:left="1077" w:hanging="357"/>
        <w:rPr>
          <w:rFonts w:ascii="Arial" w:eastAsia="Times New Roman" w:hAnsi="Arial" w:cs="Arial"/>
          <w:color w:val="000000"/>
          <w:sz w:val="22"/>
        </w:rPr>
      </w:pPr>
      <w:r w:rsidRPr="00831973">
        <w:rPr>
          <w:rFonts w:ascii="Arial" w:eastAsia="Times New Roman" w:hAnsi="Arial" w:cs="Arial"/>
          <w:color w:val="000000"/>
          <w:sz w:val="22"/>
        </w:rPr>
        <w:t>Job Exchange - External Secondment (Outgoing and Incoming): a reciprocal arrangement is put in place between two employees (one from the University and one from an external organisation) to exchange jobs for a defined period.</w:t>
      </w:r>
    </w:p>
    <w:p w14:paraId="2507C27B" w14:textId="77777777" w:rsidR="001A6554" w:rsidRPr="00F141AE" w:rsidRDefault="001A6554" w:rsidP="001A6554">
      <w:pPr>
        <w:pStyle w:val="BulletPoints"/>
        <w:spacing w:before="120" w:after="120" w:line="240" w:lineRule="auto"/>
        <w:ind w:left="567" w:firstLine="0"/>
        <w:rPr>
          <w:rFonts w:ascii="Arial" w:hAnsi="Arial" w:cs="Arial"/>
          <w:color w:val="000000"/>
          <w:sz w:val="22"/>
        </w:rPr>
      </w:pPr>
      <w:r w:rsidRPr="00F141AE">
        <w:rPr>
          <w:rFonts w:ascii="Arial" w:hAnsi="Arial" w:cs="Arial"/>
          <w:color w:val="000000"/>
          <w:sz w:val="22"/>
        </w:rPr>
        <w:t>Employees must have satisfactorily completed their probation period prior to being eligible to apply for secondment, or where probation does not apply, have been working in their current position for a minimum period of 12 months, unless otherwise negotiated.</w:t>
      </w:r>
    </w:p>
    <w:p w14:paraId="35BCBF3A" w14:textId="77777777" w:rsidR="001A6554" w:rsidRPr="00F141AE" w:rsidRDefault="001A6554" w:rsidP="001A6554">
      <w:pPr>
        <w:pStyle w:val="BulletPoints"/>
        <w:spacing w:before="120" w:after="120" w:line="240" w:lineRule="auto"/>
        <w:ind w:left="567" w:firstLine="0"/>
        <w:rPr>
          <w:rFonts w:ascii="Arial" w:hAnsi="Arial" w:cs="Arial"/>
          <w:color w:val="000000"/>
          <w:sz w:val="22"/>
        </w:rPr>
      </w:pPr>
      <w:r w:rsidRPr="00F141AE">
        <w:rPr>
          <w:rFonts w:ascii="Arial" w:hAnsi="Arial" w:cs="Arial"/>
          <w:color w:val="000000"/>
          <w:sz w:val="22"/>
        </w:rPr>
        <w:t>The opportunity for a secondment or exchange or other forms of career development should be discussed by the employee with their supervisor for approval.</w:t>
      </w:r>
    </w:p>
    <w:p w14:paraId="4AEC6073" w14:textId="3AC74941" w:rsidR="00A144B2" w:rsidRPr="003205F8" w:rsidRDefault="00A144B2" w:rsidP="00804068">
      <w:pPr>
        <w:pStyle w:val="Heading2"/>
        <w:rPr>
          <w:rFonts w:ascii="Griffith Sans Text" w:hAnsi="Griffith Sans Text"/>
        </w:rPr>
      </w:pPr>
      <w:bookmarkStart w:id="3" w:name="_4.0_Roles,_responsibilities"/>
      <w:bookmarkEnd w:id="3"/>
      <w:r w:rsidRPr="003205F8">
        <w:rPr>
          <w:rFonts w:ascii="Griffith Sans Text" w:hAnsi="Griffith Sans Text"/>
        </w:rPr>
        <w:t>4.0 Roles</w:t>
      </w:r>
      <w:r w:rsidR="00DF3B60">
        <w:rPr>
          <w:rFonts w:ascii="Griffith Sans Text" w:hAnsi="Griffith Sans Text"/>
        </w:rPr>
        <w:t xml:space="preserve"> and</w:t>
      </w:r>
      <w:r w:rsidRPr="003205F8">
        <w:rPr>
          <w:rFonts w:ascii="Griffith Sans Text" w:hAnsi="Griffith Sans Text"/>
        </w:rPr>
        <w:t xml:space="preserve"> responsibilities</w:t>
      </w:r>
      <w:bookmarkStart w:id="4" w:name="_5.0_Definitions"/>
      <w:bookmarkEnd w:id="4"/>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1D6AA80B" w:rsidR="005926AC" w:rsidRPr="00786706" w:rsidRDefault="005926AC" w:rsidP="008E2FFB">
            <w:pPr>
              <w:pStyle w:val="Heading4"/>
            </w:pPr>
            <w:r>
              <w:t>ROLE</w:t>
            </w:r>
          </w:p>
        </w:tc>
        <w:tc>
          <w:tcPr>
            <w:tcW w:w="7147" w:type="dxa"/>
          </w:tcPr>
          <w:p w14:paraId="5AC42DFC" w14:textId="6CB1AFAB" w:rsidR="005926AC" w:rsidRPr="00786706" w:rsidRDefault="005926AC" w:rsidP="008E2FFB">
            <w:pPr>
              <w:pStyle w:val="Heading4"/>
              <w:rPr>
                <w:lang w:val="en-GB"/>
              </w:rPr>
            </w:pPr>
            <w:r>
              <w:t>RESPONSIBILTY</w:t>
            </w:r>
          </w:p>
        </w:tc>
      </w:tr>
      <w:tr w:rsidR="005746E7" w14:paraId="43B5A5B9" w14:textId="77777777" w:rsidTr="006721EA">
        <w:tc>
          <w:tcPr>
            <w:tcW w:w="2943" w:type="dxa"/>
          </w:tcPr>
          <w:p w14:paraId="32F373DA" w14:textId="63E4618B" w:rsidR="005746E7" w:rsidRPr="00AC0FEF" w:rsidRDefault="009A2E79" w:rsidP="00AC0FEF">
            <w:pPr>
              <w:spacing w:before="120" w:after="120"/>
              <w:rPr>
                <w:rFonts w:ascii="Arial" w:hAnsi="Arial" w:cs="Arial"/>
                <w:sz w:val="22"/>
              </w:rPr>
            </w:pPr>
            <w:r>
              <w:rPr>
                <w:rFonts w:ascii="Arial" w:hAnsi="Arial" w:cs="Arial"/>
                <w:sz w:val="22"/>
              </w:rPr>
              <w:t>Supervisors and managers</w:t>
            </w:r>
          </w:p>
        </w:tc>
        <w:tc>
          <w:tcPr>
            <w:tcW w:w="7147" w:type="dxa"/>
          </w:tcPr>
          <w:p w14:paraId="2BF447BA" w14:textId="77777777" w:rsidR="005746E7" w:rsidRDefault="009A2E79" w:rsidP="00AC0FEF">
            <w:pPr>
              <w:spacing w:before="120" w:after="120"/>
              <w:rPr>
                <w:rFonts w:ascii="Arial" w:hAnsi="Arial" w:cs="Arial"/>
                <w:sz w:val="22"/>
              </w:rPr>
            </w:pPr>
            <w:r>
              <w:rPr>
                <w:rFonts w:ascii="Arial" w:hAnsi="Arial" w:cs="Arial"/>
                <w:sz w:val="22"/>
              </w:rPr>
              <w:t>Lead effective performance planning and development.</w:t>
            </w:r>
          </w:p>
          <w:p w14:paraId="601E9C5D" w14:textId="77777777" w:rsidR="009A2E79" w:rsidRDefault="009A2E79" w:rsidP="00AC0FEF">
            <w:pPr>
              <w:spacing w:before="120" w:after="120"/>
              <w:rPr>
                <w:rFonts w:ascii="Arial" w:hAnsi="Arial" w:cs="Arial"/>
                <w:sz w:val="22"/>
              </w:rPr>
            </w:pPr>
            <w:r>
              <w:rPr>
                <w:rFonts w:ascii="Arial" w:hAnsi="Arial" w:cs="Arial"/>
                <w:sz w:val="22"/>
              </w:rPr>
              <w:t>Oversee probationary processes for new employees.</w:t>
            </w:r>
          </w:p>
          <w:p w14:paraId="4EA06423" w14:textId="32FB6F1C" w:rsidR="008758FA" w:rsidRDefault="008758FA" w:rsidP="00AC0FEF">
            <w:pPr>
              <w:spacing w:before="120" w:after="120"/>
              <w:rPr>
                <w:rFonts w:ascii="Arial" w:hAnsi="Arial" w:cs="Arial"/>
                <w:sz w:val="22"/>
              </w:rPr>
            </w:pPr>
            <w:r>
              <w:rPr>
                <w:rFonts w:ascii="Arial" w:hAnsi="Arial" w:cs="Arial"/>
                <w:sz w:val="22"/>
              </w:rPr>
              <w:t>Ensure completion of onboarding activities and mandatory training for new employees.</w:t>
            </w:r>
          </w:p>
          <w:p w14:paraId="40B03A34" w14:textId="72E25544" w:rsidR="009A2E79" w:rsidRPr="00AC0FEF" w:rsidRDefault="009A2E79" w:rsidP="008758FA">
            <w:pPr>
              <w:spacing w:before="120" w:after="120"/>
              <w:rPr>
                <w:rFonts w:ascii="Arial" w:hAnsi="Arial" w:cs="Arial"/>
                <w:sz w:val="22"/>
              </w:rPr>
            </w:pPr>
            <w:r>
              <w:rPr>
                <w:rFonts w:ascii="Arial" w:hAnsi="Arial" w:cs="Arial"/>
                <w:sz w:val="22"/>
              </w:rPr>
              <w:t xml:space="preserve">Evaluate the value and benefit of proposed professional development and ensure funding is within budget limits. </w:t>
            </w:r>
          </w:p>
        </w:tc>
      </w:tr>
      <w:tr w:rsidR="005746E7" w14:paraId="3CCA6D72" w14:textId="77777777" w:rsidTr="006721EA">
        <w:tc>
          <w:tcPr>
            <w:tcW w:w="2943" w:type="dxa"/>
          </w:tcPr>
          <w:p w14:paraId="2AA372F7" w14:textId="412A0B40" w:rsidR="005746E7" w:rsidRPr="00AC0FEF" w:rsidRDefault="009A2E79" w:rsidP="00AC0FEF">
            <w:pPr>
              <w:spacing w:before="120" w:after="120"/>
              <w:rPr>
                <w:rFonts w:ascii="Arial" w:hAnsi="Arial" w:cs="Arial"/>
                <w:sz w:val="22"/>
              </w:rPr>
            </w:pPr>
            <w:r>
              <w:rPr>
                <w:rFonts w:ascii="Arial" w:hAnsi="Arial" w:cs="Arial"/>
                <w:sz w:val="22"/>
              </w:rPr>
              <w:t>All professional and support staff</w:t>
            </w:r>
          </w:p>
        </w:tc>
        <w:tc>
          <w:tcPr>
            <w:tcW w:w="7147" w:type="dxa"/>
          </w:tcPr>
          <w:p w14:paraId="535B9400" w14:textId="77777777" w:rsidR="009A2E79" w:rsidRDefault="009A2E79" w:rsidP="00AC0FEF">
            <w:pPr>
              <w:spacing w:before="120" w:after="120"/>
              <w:rPr>
                <w:rFonts w:ascii="Arial" w:hAnsi="Arial" w:cs="Arial"/>
                <w:sz w:val="22"/>
              </w:rPr>
            </w:pPr>
            <w:r>
              <w:rPr>
                <w:rFonts w:ascii="Arial" w:hAnsi="Arial" w:cs="Arial"/>
                <w:sz w:val="22"/>
              </w:rPr>
              <w:t>Actively engage in the performance planning and review process.</w:t>
            </w:r>
          </w:p>
          <w:p w14:paraId="1731590A" w14:textId="77777777" w:rsidR="009A2E79" w:rsidRDefault="009A2E79" w:rsidP="00AC0FEF">
            <w:pPr>
              <w:spacing w:before="120" w:after="120"/>
              <w:rPr>
                <w:rFonts w:ascii="Arial" w:hAnsi="Arial" w:cs="Arial"/>
                <w:sz w:val="22"/>
              </w:rPr>
            </w:pPr>
            <w:r>
              <w:rPr>
                <w:rFonts w:ascii="Arial" w:hAnsi="Arial" w:cs="Arial"/>
                <w:sz w:val="22"/>
              </w:rPr>
              <w:t xml:space="preserve">Set individual goals aligned to University objectives. </w:t>
            </w:r>
          </w:p>
          <w:p w14:paraId="62C8C95D" w14:textId="77777777" w:rsidR="005746E7" w:rsidRDefault="009A2E79" w:rsidP="00AC0FEF">
            <w:pPr>
              <w:spacing w:before="120" w:after="120"/>
              <w:rPr>
                <w:rFonts w:ascii="Arial" w:hAnsi="Arial" w:cs="Arial"/>
                <w:sz w:val="22"/>
              </w:rPr>
            </w:pPr>
            <w:r>
              <w:rPr>
                <w:rFonts w:ascii="Arial" w:hAnsi="Arial" w:cs="Arial"/>
                <w:sz w:val="22"/>
              </w:rPr>
              <w:t>Participate in feedback sessions and work towards improvements if needed.</w:t>
            </w:r>
            <w:r w:rsidR="005746E7" w:rsidRPr="00AC0FEF">
              <w:rPr>
                <w:rFonts w:ascii="Arial" w:hAnsi="Arial" w:cs="Arial"/>
                <w:sz w:val="22"/>
              </w:rPr>
              <w:t xml:space="preserve"> </w:t>
            </w:r>
          </w:p>
          <w:p w14:paraId="7A34205C" w14:textId="3E3FC81B" w:rsidR="009A2E79" w:rsidRPr="00AC0FEF" w:rsidRDefault="009A2E79" w:rsidP="00AC0FEF">
            <w:pPr>
              <w:spacing w:before="120" w:after="120"/>
              <w:rPr>
                <w:rFonts w:ascii="Arial" w:hAnsi="Arial" w:cs="Arial"/>
                <w:sz w:val="22"/>
                <w:lang w:val="en-GB"/>
              </w:rPr>
            </w:pPr>
            <w:r>
              <w:rPr>
                <w:rFonts w:ascii="Arial" w:hAnsi="Arial" w:cs="Arial"/>
                <w:sz w:val="22"/>
                <w:lang w:val="en-GB"/>
              </w:rPr>
              <w:t>Take ownership of professional development.</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70CCABAF" w14:textId="79CF702F" w:rsidR="00B42BD2" w:rsidRPr="00AC0FEF" w:rsidRDefault="00B42BD2" w:rsidP="00AC0FEF">
      <w:pPr>
        <w:spacing w:before="120" w:after="120" w:line="240" w:lineRule="auto"/>
        <w:rPr>
          <w:rFonts w:ascii="Arial" w:hAnsi="Arial" w:cs="Arial"/>
          <w:sz w:val="22"/>
        </w:rPr>
      </w:pPr>
      <w:r w:rsidRPr="00AC0FEF">
        <w:rPr>
          <w:rFonts w:ascii="Arial" w:hAnsi="Arial" w:cs="Arial"/>
          <w:sz w:val="22"/>
        </w:rPr>
        <w:t xml:space="preserve">For the purposes of this policy and related policy documents, the following definitions apply: </w:t>
      </w:r>
    </w:p>
    <w:p w14:paraId="11AB844E" w14:textId="77777777" w:rsidR="00A235F1" w:rsidRDefault="00A235F1" w:rsidP="00A235F1">
      <w:pPr>
        <w:pStyle w:val="NormalWeb"/>
        <w:shd w:val="clear" w:color="auto" w:fill="FFFFFF" w:themeFill="background1"/>
        <w:spacing w:before="0" w:beforeAutospacing="0" w:after="0" w:afterAutospacing="0"/>
        <w:textAlignment w:val="baseline"/>
        <w:rPr>
          <w:rFonts w:ascii="Arial" w:eastAsiaTheme="minorEastAsia" w:hAnsi="Arial" w:cs="Arial"/>
          <w:sz w:val="22"/>
          <w:szCs w:val="22"/>
        </w:rPr>
      </w:pPr>
      <w:r w:rsidRPr="00223D6A">
        <w:rPr>
          <w:rFonts w:ascii="Arial" w:eastAsiaTheme="minorEastAsia" w:hAnsi="Arial" w:cs="Arial"/>
          <w:b/>
          <w:bCs/>
          <w:sz w:val="22"/>
          <w:szCs w:val="22"/>
        </w:rPr>
        <w:t>Career development</w:t>
      </w:r>
      <w:r w:rsidRPr="00223D6A">
        <w:rPr>
          <w:rFonts w:ascii="Arial" w:eastAsiaTheme="minorEastAsia" w:hAnsi="Arial" w:cs="Arial"/>
          <w:sz w:val="22"/>
          <w:szCs w:val="22"/>
        </w:rPr>
        <w:t xml:space="preserve"> refers to the practice the organisation provides to employee’s professional growth, particularly to a new or temporary position or project within the organisation.</w:t>
      </w:r>
    </w:p>
    <w:p w14:paraId="62B69629" w14:textId="77777777" w:rsidR="00A235F1" w:rsidRDefault="00A235F1" w:rsidP="00A235F1">
      <w:pPr>
        <w:pStyle w:val="NormalWeb"/>
        <w:shd w:val="clear" w:color="auto" w:fill="FFFFFF" w:themeFill="background1"/>
        <w:spacing w:before="0" w:beforeAutospacing="0" w:after="0" w:afterAutospacing="0"/>
        <w:textAlignment w:val="baseline"/>
        <w:rPr>
          <w:rFonts w:ascii="Arial" w:eastAsiaTheme="minorEastAsia" w:hAnsi="Arial" w:cs="Arial"/>
          <w:b/>
          <w:bCs/>
          <w:sz w:val="22"/>
          <w:szCs w:val="22"/>
        </w:rPr>
      </w:pPr>
    </w:p>
    <w:p w14:paraId="10B7D90B" w14:textId="1F69A0EB" w:rsidR="00A235F1" w:rsidRPr="00223D6A" w:rsidRDefault="00A235F1" w:rsidP="00A235F1">
      <w:pPr>
        <w:pStyle w:val="NormalWeb"/>
        <w:shd w:val="clear" w:color="auto" w:fill="FFFFFF" w:themeFill="background1"/>
        <w:spacing w:before="0" w:beforeAutospacing="0" w:after="0" w:afterAutospacing="0"/>
        <w:textAlignment w:val="baseline"/>
        <w:rPr>
          <w:rFonts w:ascii="Arial" w:eastAsiaTheme="minorEastAsia" w:hAnsi="Arial" w:cs="Arial"/>
          <w:sz w:val="22"/>
          <w:szCs w:val="22"/>
        </w:rPr>
      </w:pPr>
      <w:r w:rsidRPr="00223D6A">
        <w:rPr>
          <w:rFonts w:ascii="Arial" w:eastAsiaTheme="minorEastAsia" w:hAnsi="Arial" w:cs="Arial"/>
          <w:b/>
          <w:bCs/>
          <w:sz w:val="22"/>
          <w:szCs w:val="22"/>
        </w:rPr>
        <w:t xml:space="preserve">Professional </w:t>
      </w:r>
      <w:r w:rsidR="00DF3B60">
        <w:rPr>
          <w:rFonts w:ascii="Arial" w:eastAsiaTheme="minorEastAsia" w:hAnsi="Arial" w:cs="Arial"/>
          <w:b/>
          <w:bCs/>
          <w:sz w:val="22"/>
          <w:szCs w:val="22"/>
        </w:rPr>
        <w:t>d</w:t>
      </w:r>
      <w:r w:rsidRPr="00223D6A">
        <w:rPr>
          <w:rFonts w:ascii="Arial" w:eastAsiaTheme="minorEastAsia" w:hAnsi="Arial" w:cs="Arial"/>
          <w:b/>
          <w:bCs/>
          <w:sz w:val="22"/>
          <w:szCs w:val="22"/>
        </w:rPr>
        <w:t xml:space="preserve">evelopment </w:t>
      </w:r>
      <w:r w:rsidRPr="00223D6A">
        <w:rPr>
          <w:rFonts w:ascii="Arial" w:eastAsiaTheme="minorEastAsia" w:hAnsi="Arial" w:cs="Arial"/>
          <w:sz w:val="22"/>
          <w:szCs w:val="22"/>
        </w:rPr>
        <w:t>refers to the provision of a range of learning and development opportunities and activities to develop capabilities of staff in relation to their role and responsibilities.</w:t>
      </w:r>
    </w:p>
    <w:p w14:paraId="12A3BF87" w14:textId="4961A3ED" w:rsidR="00811F90" w:rsidRPr="003205F8" w:rsidRDefault="00FC349F" w:rsidP="00786706">
      <w:pPr>
        <w:pStyle w:val="Heading2"/>
        <w:rPr>
          <w:rFonts w:ascii="Griffith Sans Text" w:hAnsi="Griffith Sans Text"/>
        </w:rPr>
      </w:pPr>
      <w:bookmarkStart w:id="5" w:name="_6.0_Information"/>
      <w:bookmarkEnd w:id="5"/>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38A4ACA3" w:rsidR="00786706" w:rsidRPr="00AC0FEF" w:rsidRDefault="004B5C6C" w:rsidP="00AC0FEF">
            <w:pPr>
              <w:spacing w:before="120" w:after="120"/>
              <w:rPr>
                <w:rFonts w:ascii="Arial" w:hAnsi="Arial" w:cs="Arial"/>
                <w:sz w:val="22"/>
                <w:szCs w:val="28"/>
                <w:lang w:val="en-GB"/>
              </w:rPr>
            </w:pPr>
            <w:r>
              <w:rPr>
                <w:rFonts w:ascii="Arial" w:hAnsi="Arial" w:cs="Arial"/>
                <w:sz w:val="22"/>
                <w:szCs w:val="28"/>
                <w:lang w:val="en-GB"/>
              </w:rPr>
              <w:t>Performance Reviews and Professional Development (Professional and Support Staff) Policy</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1F233431" w:rsidR="00786706" w:rsidRPr="00AC0FEF" w:rsidRDefault="004B5C6C" w:rsidP="00AC0FEF">
            <w:pPr>
              <w:spacing w:before="120" w:after="120"/>
              <w:rPr>
                <w:rFonts w:ascii="Arial" w:hAnsi="Arial" w:cs="Arial"/>
                <w:sz w:val="22"/>
                <w:szCs w:val="28"/>
                <w:lang w:val="en-GB"/>
              </w:rPr>
            </w:pPr>
            <w:r>
              <w:rPr>
                <w:rFonts w:ascii="Arial" w:hAnsi="Arial" w:cs="Arial"/>
                <w:sz w:val="22"/>
                <w:szCs w:val="28"/>
              </w:rPr>
              <w:t>2023/0001115</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7428E178" w:rsidR="00786706" w:rsidRPr="00AC0FEF" w:rsidRDefault="004B5C6C" w:rsidP="00AC0FEF">
            <w:pPr>
              <w:spacing w:before="120" w:after="120"/>
              <w:rPr>
                <w:rFonts w:ascii="Arial" w:hAnsi="Arial" w:cs="Arial"/>
                <w:sz w:val="22"/>
                <w:szCs w:val="28"/>
                <w:lang w:val="en-GB"/>
              </w:rPr>
            </w:pPr>
            <w:r w:rsidRPr="009A5F33">
              <w:rPr>
                <w:rFonts w:ascii="Arial" w:hAnsi="Arial" w:cs="Arial"/>
                <w:sz w:val="22"/>
                <w:szCs w:val="28"/>
              </w:rPr>
              <w:t xml:space="preserve">This </w:t>
            </w:r>
            <w:r w:rsidR="0004319B">
              <w:rPr>
                <w:rFonts w:ascii="Arial" w:hAnsi="Arial" w:cs="Arial"/>
                <w:sz w:val="22"/>
                <w:szCs w:val="28"/>
              </w:rPr>
              <w:t>p</w:t>
            </w:r>
            <w:r w:rsidRPr="009A5F33">
              <w:rPr>
                <w:rFonts w:ascii="Arial" w:hAnsi="Arial" w:cs="Arial"/>
                <w:sz w:val="22"/>
                <w:szCs w:val="28"/>
              </w:rPr>
              <w:t>olicy outlines Griffith University’s commitment to the ongoing performance development of professional and support staff.</w:t>
            </w:r>
          </w:p>
        </w:tc>
      </w:tr>
      <w:tr w:rsidR="00786706" w14:paraId="625A2530" w14:textId="77777777" w:rsidTr="006721EA">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75BFC1B2" w:rsidR="00786706" w:rsidRPr="00AC0FEF" w:rsidRDefault="004B5C6C" w:rsidP="00AC0FE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2D060BE4" w:rsidR="00786706" w:rsidRPr="00AC0FEF" w:rsidRDefault="004B5C6C" w:rsidP="00AC0FE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4FC6A69F" w:rsidR="007512F5" w:rsidRPr="00AC0FEF" w:rsidRDefault="004B5C6C" w:rsidP="00AC0FEF">
                <w:pPr>
                  <w:spacing w:before="120" w:after="120"/>
                  <w:rPr>
                    <w:rFonts w:ascii="Arial" w:hAnsi="Arial" w:cs="Arial"/>
                    <w:sz w:val="22"/>
                    <w:szCs w:val="28"/>
                    <w:lang w:val="en-GB"/>
                  </w:rPr>
                </w:pPr>
                <w:r>
                  <w:rPr>
                    <w:rFonts w:ascii="Arial" w:hAnsi="Arial" w:cs="Arial"/>
                    <w:sz w:val="22"/>
                    <w:szCs w:val="28"/>
                    <w:lang w:val="en-GB"/>
                  </w:rPr>
                  <w:t>Staff</w:t>
                </w:r>
              </w:p>
            </w:sdtContent>
          </w:sdt>
        </w:tc>
      </w:tr>
      <w:tr w:rsidR="00A57044" w14:paraId="1DD394A7" w14:textId="77777777" w:rsidTr="006721EA">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328679F8"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w:t>
            </w:r>
            <w:r w:rsidR="004B5C6C">
              <w:rPr>
                <w:rFonts w:ascii="Arial" w:hAnsi="Arial" w:cs="Arial"/>
                <w:sz w:val="22"/>
                <w:szCs w:val="28"/>
              </w:rPr>
              <w:t>l</w:t>
            </w:r>
            <w:r w:rsidR="00B25332" w:rsidRPr="00AC0FEF">
              <w:rPr>
                <w:rFonts w:ascii="Arial" w:hAnsi="Arial" w:cs="Arial"/>
                <w:sz w:val="22"/>
                <w:szCs w:val="28"/>
              </w:rPr>
              <w:t>:</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1FD7DB9B" w:rsidR="00067836" w:rsidRPr="00AC0FEF" w:rsidRDefault="004B5C6C" w:rsidP="00AC0FEF">
                <w:pPr>
                  <w:spacing w:before="120" w:after="120"/>
                  <w:rPr>
                    <w:rFonts w:ascii="Arial" w:hAnsi="Arial" w:cs="Arial"/>
                    <w:sz w:val="22"/>
                    <w:szCs w:val="28"/>
                  </w:rPr>
                </w:pPr>
                <w:r>
                  <w:rPr>
                    <w:rFonts w:ascii="Arial" w:hAnsi="Arial" w:cs="Arial"/>
                    <w:sz w:val="22"/>
                    <w:szCs w:val="28"/>
                  </w:rPr>
                  <w:t>4: Quality Education</w:t>
                </w:r>
              </w:p>
            </w:sdtContent>
          </w:sdt>
        </w:tc>
      </w:tr>
      <w:tr w:rsidR="00786706" w14:paraId="72503509" w14:textId="77777777" w:rsidTr="006721EA">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2E1B2970" w:rsidR="00786706" w:rsidRPr="00AC0FEF" w:rsidRDefault="004B5C6C" w:rsidP="00AC0FEF">
            <w:pPr>
              <w:spacing w:before="120" w:after="120"/>
              <w:rPr>
                <w:rFonts w:ascii="Arial" w:hAnsi="Arial" w:cs="Arial"/>
                <w:sz w:val="22"/>
                <w:szCs w:val="28"/>
              </w:rPr>
            </w:pPr>
            <w:r>
              <w:rPr>
                <w:rFonts w:ascii="Arial" w:hAnsi="Arial" w:cs="Arial"/>
                <w:sz w:val="22"/>
                <w:szCs w:val="28"/>
              </w:rPr>
              <w:t>October 2023</w:t>
            </w:r>
          </w:p>
        </w:tc>
      </w:tr>
      <w:tr w:rsidR="00786706" w14:paraId="2AB5E63B" w14:textId="77777777" w:rsidTr="006721EA">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09F5B7C7" w:rsidR="00786706" w:rsidRPr="00AC0FEF" w:rsidRDefault="004B5C6C" w:rsidP="00AC0FEF">
            <w:pPr>
              <w:spacing w:before="120" w:after="120"/>
              <w:rPr>
                <w:rFonts w:ascii="Arial" w:hAnsi="Arial" w:cs="Arial"/>
                <w:sz w:val="22"/>
                <w:szCs w:val="28"/>
              </w:rPr>
            </w:pPr>
            <w:r>
              <w:rPr>
                <w:rFonts w:ascii="Arial" w:hAnsi="Arial" w:cs="Arial"/>
                <w:sz w:val="22"/>
                <w:szCs w:val="28"/>
              </w:rPr>
              <w:t>October 2023</w:t>
            </w:r>
          </w:p>
        </w:tc>
      </w:tr>
      <w:tr w:rsidR="00786706" w14:paraId="6F3FFE23" w14:textId="77777777" w:rsidTr="006721EA">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3BD2A22A" w:rsidR="00786706" w:rsidRPr="00AC0FEF" w:rsidRDefault="004B5C6C" w:rsidP="00AC0FEF">
            <w:pPr>
              <w:spacing w:before="120" w:after="120"/>
              <w:rPr>
                <w:rFonts w:ascii="Arial" w:hAnsi="Arial" w:cs="Arial"/>
                <w:sz w:val="22"/>
                <w:szCs w:val="28"/>
              </w:rPr>
            </w:pPr>
            <w:r>
              <w:rPr>
                <w:rFonts w:ascii="Arial" w:hAnsi="Arial" w:cs="Arial"/>
                <w:sz w:val="22"/>
                <w:szCs w:val="28"/>
              </w:rPr>
              <w:t>2026</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61371402" w:rsidR="00786706" w:rsidRPr="00AC0FEF" w:rsidRDefault="004B5C6C" w:rsidP="00AC0FEF">
            <w:pPr>
              <w:spacing w:before="120" w:after="120"/>
              <w:rPr>
                <w:rFonts w:ascii="Arial" w:hAnsi="Arial" w:cs="Arial"/>
                <w:sz w:val="22"/>
                <w:szCs w:val="28"/>
              </w:rPr>
            </w:pPr>
            <w:r>
              <w:rPr>
                <w:rFonts w:ascii="Arial" w:hAnsi="Arial" w:cs="Arial"/>
                <w:sz w:val="22"/>
                <w:szCs w:val="28"/>
              </w:rPr>
              <w:t>Head of Capability and Development</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68D29089" w:rsidR="00786706" w:rsidRPr="00AC0FEF" w:rsidRDefault="004B5C6C" w:rsidP="00AC0FEF">
            <w:pPr>
              <w:spacing w:before="120" w:after="120"/>
              <w:rPr>
                <w:rFonts w:ascii="Arial" w:hAnsi="Arial" w:cs="Arial"/>
                <w:sz w:val="22"/>
                <w:szCs w:val="28"/>
              </w:rPr>
            </w:pPr>
            <w:r>
              <w:rPr>
                <w:rFonts w:ascii="Arial" w:hAnsi="Arial" w:cs="Arial"/>
                <w:sz w:val="22"/>
                <w:szCs w:val="28"/>
              </w:rPr>
              <w:t>Director, Human Resources</w:t>
            </w:r>
          </w:p>
        </w:tc>
      </w:tr>
    </w:tbl>
    <w:p w14:paraId="07DD10BA" w14:textId="0FA127FA" w:rsidR="00811F90" w:rsidRDefault="00811F90" w:rsidP="008E2FFB">
      <w:pPr>
        <w:spacing w:before="120" w:after="120" w:line="240" w:lineRule="auto"/>
        <w:rPr>
          <w:rFonts w:ascii="Arial" w:hAnsi="Arial" w:cs="Arial"/>
          <w:sz w:val="20"/>
          <w:szCs w:val="20"/>
        </w:rPr>
      </w:pPr>
    </w:p>
    <w:p w14:paraId="605F990D" w14:textId="23E5A500" w:rsidR="00C22059" w:rsidRPr="003205F8" w:rsidRDefault="00FC349F" w:rsidP="00746A0E">
      <w:pPr>
        <w:pStyle w:val="Heading2"/>
        <w:rPr>
          <w:rFonts w:ascii="Griffith Sans Text" w:hAnsi="Griffith Sans Text"/>
        </w:rPr>
      </w:pPr>
      <w:bookmarkStart w:id="6" w:name="_7.0_Related_Policy"/>
      <w:bookmarkEnd w:id="6"/>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1D95EE8D" w14:textId="287CD066" w:rsidR="00746A0E" w:rsidRPr="00AC0FEF" w:rsidRDefault="004B5C6C" w:rsidP="00AC0FEF">
            <w:pPr>
              <w:spacing w:before="120" w:after="120"/>
              <w:rPr>
                <w:rFonts w:ascii="Arial" w:hAnsi="Arial" w:cs="Arial"/>
                <w:sz w:val="22"/>
                <w:lang w:val="en-GB"/>
              </w:rPr>
            </w:pPr>
            <w:r>
              <w:rPr>
                <w:rFonts w:ascii="Arial" w:hAnsi="Arial" w:cs="Arial"/>
                <w:sz w:val="22"/>
              </w:rPr>
              <w:t>N/A</w:t>
            </w:r>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t>Policy</w:t>
            </w:r>
          </w:p>
        </w:tc>
        <w:tc>
          <w:tcPr>
            <w:tcW w:w="7147" w:type="dxa"/>
          </w:tcPr>
          <w:p w14:paraId="7A1507B9" w14:textId="67BAB8CF" w:rsidR="00746A0E" w:rsidRPr="00AC0FEF" w:rsidRDefault="004B5C6C" w:rsidP="00AC0FEF">
            <w:pPr>
              <w:spacing w:before="120" w:after="120"/>
              <w:rPr>
                <w:rFonts w:ascii="Arial" w:hAnsi="Arial" w:cs="Arial"/>
                <w:sz w:val="22"/>
                <w:lang w:val="en-GB"/>
              </w:rPr>
            </w:pPr>
            <w:r>
              <w:rPr>
                <w:rFonts w:ascii="Arial" w:hAnsi="Arial" w:cs="Arial"/>
                <w:sz w:val="22"/>
              </w:rPr>
              <w:t>N/A</w:t>
            </w:r>
          </w:p>
        </w:tc>
      </w:tr>
      <w:tr w:rsidR="00746A0E" w14:paraId="55329BCC" w14:textId="77777777" w:rsidTr="006721EA">
        <w:tc>
          <w:tcPr>
            <w:tcW w:w="2943" w:type="dxa"/>
          </w:tcPr>
          <w:p w14:paraId="1BD7DB3E" w14:textId="54AA41D2" w:rsidR="00746A0E" w:rsidRPr="00AC0FEF" w:rsidRDefault="00746A0E" w:rsidP="00AC0FEF">
            <w:pPr>
              <w:spacing w:before="120" w:after="120"/>
              <w:rPr>
                <w:rFonts w:ascii="Arial" w:hAnsi="Arial" w:cs="Arial"/>
                <w:sz w:val="22"/>
              </w:rPr>
            </w:pPr>
            <w:r w:rsidRPr="00AC0FEF">
              <w:rPr>
                <w:rFonts w:ascii="Arial" w:hAnsi="Arial" w:cs="Arial"/>
                <w:sz w:val="22"/>
              </w:rPr>
              <w:t>Procedures</w:t>
            </w:r>
          </w:p>
        </w:tc>
        <w:tc>
          <w:tcPr>
            <w:tcW w:w="7147" w:type="dxa"/>
          </w:tcPr>
          <w:p w14:paraId="0EB56B87" w14:textId="4B2E73E2" w:rsidR="00FE7CD6" w:rsidRDefault="00DF3B60" w:rsidP="004B5C6C">
            <w:pPr>
              <w:spacing w:before="120" w:after="120"/>
              <w:rPr>
                <w:rFonts w:ascii="Arial" w:hAnsi="Arial" w:cs="Arial"/>
                <w:sz w:val="22"/>
                <w:szCs w:val="26"/>
              </w:rPr>
            </w:pPr>
            <w:hyperlink r:id="rId10" w:history="1">
              <w:r w:rsidR="00FE7CD6" w:rsidRPr="00FE7CD6">
                <w:rPr>
                  <w:rStyle w:val="Hyperlink"/>
                  <w:rFonts w:ascii="Arial" w:hAnsi="Arial" w:cs="Arial"/>
                  <w:sz w:val="22"/>
                  <w:szCs w:val="26"/>
                </w:rPr>
                <w:t>Probation (Professional and Support Staff)</w:t>
              </w:r>
            </w:hyperlink>
            <w:r w:rsidR="001215CB">
              <w:rPr>
                <w:rStyle w:val="Hyperlink"/>
                <w:rFonts w:ascii="Arial" w:hAnsi="Arial" w:cs="Arial"/>
                <w:sz w:val="22"/>
                <w:szCs w:val="26"/>
              </w:rPr>
              <w:t xml:space="preserve"> </w:t>
            </w:r>
            <w:r w:rsidR="001215CB" w:rsidRPr="001215CB">
              <w:rPr>
                <w:rStyle w:val="Hyperlink"/>
                <w:rFonts w:ascii="Arial" w:hAnsi="Arial" w:cs="Arial"/>
                <w:sz w:val="22"/>
                <w:szCs w:val="26"/>
              </w:rPr>
              <w:t>Procedure</w:t>
            </w:r>
          </w:p>
          <w:p w14:paraId="4C8E26CC" w14:textId="53521326" w:rsidR="00FE7CD6" w:rsidRDefault="00DF3B60" w:rsidP="004B5C6C">
            <w:pPr>
              <w:spacing w:before="120" w:after="120"/>
              <w:rPr>
                <w:rFonts w:ascii="Arial" w:hAnsi="Arial" w:cs="Arial"/>
                <w:sz w:val="22"/>
                <w:szCs w:val="26"/>
              </w:rPr>
            </w:pPr>
            <w:hyperlink r:id="rId11" w:history="1">
              <w:r w:rsidR="00FE7CD6" w:rsidRPr="004B5C6C">
                <w:rPr>
                  <w:rStyle w:val="Hyperlink"/>
                  <w:rFonts w:ascii="Arial" w:hAnsi="Arial" w:cs="Arial"/>
                  <w:sz w:val="22"/>
                  <w:szCs w:val="24"/>
                </w:rPr>
                <w:t>Professional Employee Educational Assistance Procedure</w:t>
              </w:r>
            </w:hyperlink>
          </w:p>
          <w:p w14:paraId="4302959E" w14:textId="6278193D" w:rsidR="00746A0E" w:rsidRPr="00FE7CD6" w:rsidRDefault="00DF3B60" w:rsidP="004B5C6C">
            <w:pPr>
              <w:spacing w:before="120" w:after="120"/>
              <w:rPr>
                <w:rFonts w:ascii="Arial" w:hAnsi="Arial" w:cs="Arial"/>
                <w:sz w:val="22"/>
                <w:szCs w:val="24"/>
              </w:rPr>
            </w:pPr>
            <w:hyperlink r:id="rId12" w:history="1">
              <w:r w:rsidR="004B5C6C" w:rsidRPr="004B5C6C">
                <w:rPr>
                  <w:rStyle w:val="Hyperlink"/>
                  <w:rFonts w:ascii="Arial" w:hAnsi="Arial" w:cs="Arial"/>
                  <w:sz w:val="22"/>
                  <w:szCs w:val="24"/>
                </w:rPr>
                <w:t>Remuneration, Recognition and Benefits Leave Procedure</w:t>
              </w:r>
            </w:hyperlink>
          </w:p>
        </w:tc>
      </w:tr>
      <w:tr w:rsidR="00746A0E" w14:paraId="76652B21" w14:textId="77777777" w:rsidTr="006721EA">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lastRenderedPageBreak/>
              <w:t>Local Protocol</w:t>
            </w:r>
          </w:p>
        </w:tc>
        <w:tc>
          <w:tcPr>
            <w:tcW w:w="7147" w:type="dxa"/>
          </w:tcPr>
          <w:p w14:paraId="55AA03EB" w14:textId="5C532E70" w:rsidR="00746A0E" w:rsidRPr="00AC0FEF" w:rsidRDefault="004B5C6C" w:rsidP="00AC0FEF">
            <w:pPr>
              <w:spacing w:before="120" w:after="120"/>
              <w:rPr>
                <w:rFonts w:ascii="Arial" w:hAnsi="Arial" w:cs="Arial"/>
                <w:sz w:val="22"/>
              </w:rPr>
            </w:pPr>
            <w:r>
              <w:rPr>
                <w:rFonts w:ascii="Arial" w:hAnsi="Arial" w:cs="Arial"/>
                <w:sz w:val="22"/>
              </w:rPr>
              <w:t>N/A</w:t>
            </w:r>
          </w:p>
        </w:tc>
      </w:tr>
      <w:tr w:rsidR="00746A0E" w14:paraId="5AB64C6F" w14:textId="77777777" w:rsidTr="006721EA">
        <w:tc>
          <w:tcPr>
            <w:tcW w:w="2943" w:type="dxa"/>
          </w:tcPr>
          <w:p w14:paraId="22348C3F" w14:textId="0F6236D7" w:rsidR="00746A0E" w:rsidRPr="00AC0FEF" w:rsidRDefault="00746A0E" w:rsidP="00AC0FEF">
            <w:pPr>
              <w:spacing w:before="120" w:after="120"/>
              <w:rPr>
                <w:rFonts w:ascii="Arial" w:hAnsi="Arial" w:cs="Arial"/>
                <w:sz w:val="22"/>
              </w:rPr>
            </w:pPr>
            <w:r w:rsidRPr="00AC0FEF">
              <w:rPr>
                <w:rFonts w:ascii="Arial" w:hAnsi="Arial" w:cs="Arial"/>
                <w:sz w:val="22"/>
              </w:rPr>
              <w:t>Forms</w:t>
            </w:r>
          </w:p>
        </w:tc>
        <w:tc>
          <w:tcPr>
            <w:tcW w:w="7147" w:type="dxa"/>
          </w:tcPr>
          <w:p w14:paraId="54F51F15" w14:textId="081612FC" w:rsidR="00746A0E" w:rsidRPr="00AC0FEF" w:rsidRDefault="004B5C6C" w:rsidP="00AC0FEF">
            <w:pPr>
              <w:spacing w:before="120" w:after="120"/>
              <w:rPr>
                <w:rFonts w:ascii="Arial" w:hAnsi="Arial" w:cs="Arial"/>
                <w:sz w:val="22"/>
              </w:rPr>
            </w:pPr>
            <w:r>
              <w:rPr>
                <w:rFonts w:ascii="Arial" w:hAnsi="Arial" w:cs="Arial"/>
                <w:sz w:val="22"/>
              </w:rPr>
              <w:t>N/A</w:t>
            </w:r>
          </w:p>
        </w:tc>
      </w:tr>
    </w:tbl>
    <w:p w14:paraId="6BA7652E" w14:textId="26761596" w:rsidR="00A15D12" w:rsidRDefault="00A15D12" w:rsidP="00C22059">
      <w:pPr>
        <w:rPr>
          <w:rFonts w:ascii="Arial" w:hAnsi="Arial" w:cs="Arial"/>
          <w:sz w:val="20"/>
          <w:szCs w:val="24"/>
        </w:rPr>
      </w:pPr>
    </w:p>
    <w:p w14:paraId="298A2696" w14:textId="44870AB7" w:rsidR="00AF5791" w:rsidRPr="00A15D12" w:rsidRDefault="00AF5791" w:rsidP="00C22059">
      <w:pPr>
        <w:rPr>
          <w:rFonts w:ascii="Arial" w:hAnsi="Arial" w:cs="Arial"/>
          <w:sz w:val="20"/>
          <w:szCs w:val="24"/>
        </w:rPr>
      </w:pPr>
    </w:p>
    <w:sectPr w:rsidR="00AF5791" w:rsidRPr="00A15D12" w:rsidSect="00E77B43">
      <w:headerReference w:type="default" r:id="rId13"/>
      <w:footerReference w:type="even" r:id="rId14"/>
      <w:footerReference w:type="default" r:id="rId15"/>
      <w:headerReference w:type="first" r:id="rId16"/>
      <w:footerReference w:type="first" r:id="rId17"/>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line="240" w:lineRule="auto"/>
      </w:pPr>
      <w:r>
        <w:separator/>
      </w:r>
    </w:p>
  </w:endnote>
  <w:endnote w:type="continuationSeparator" w:id="0">
    <w:p w14:paraId="39B55E42" w14:textId="77777777" w:rsidR="00EE00D1" w:rsidRDefault="00EE00D1"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Foundry Sterling Book">
    <w:altName w:val="Calibri"/>
    <w:panose1 w:val="00000000000000000000"/>
    <w:charset w:val="00"/>
    <w:family w:val="moder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1200A3BC" w:rsidR="00830B58" w:rsidRDefault="007278DE" w:rsidP="00830B58">
    <w:pPr>
      <w:spacing w:after="0" w:line="240" w:lineRule="auto"/>
      <w:jc w:val="right"/>
      <w:rPr>
        <w:rFonts w:asciiTheme="minorHAnsi" w:hAnsiTheme="minorHAnsi" w:cstheme="minorHAnsi"/>
        <w:color w:val="70787B"/>
        <w:sz w:val="15"/>
        <w:szCs w:val="15"/>
      </w:rPr>
    </w:pPr>
    <w:r w:rsidRPr="007278DE">
      <w:rPr>
        <w:rFonts w:asciiTheme="minorHAnsi" w:hAnsiTheme="minorHAnsi" w:cstheme="minorHAnsi"/>
        <w:color w:val="70787B"/>
        <w:sz w:val="15"/>
        <w:szCs w:val="15"/>
      </w:rPr>
      <w:t xml:space="preserve">Performance Reviews and Professional Development (Professional and Support Staff) Policy </w:t>
    </w:r>
    <w:r w:rsidR="00830B58" w:rsidRPr="007278DE">
      <w:rPr>
        <w:rFonts w:asciiTheme="minorHAnsi" w:hAnsiTheme="minorHAnsi" w:cstheme="minorHAnsi"/>
        <w:color w:val="70787B"/>
        <w:sz w:val="15"/>
        <w:szCs w:val="15"/>
      </w:rPr>
      <w:t>|</w:t>
    </w:r>
    <w:r w:rsidRPr="007278DE">
      <w:rPr>
        <w:rFonts w:asciiTheme="minorHAnsi" w:hAnsiTheme="minorHAnsi" w:cstheme="minorHAnsi"/>
        <w:color w:val="70787B"/>
        <w:sz w:val="15"/>
        <w:szCs w:val="15"/>
      </w:rPr>
      <w:t>October 2023</w:t>
    </w:r>
  </w:p>
  <w:p w14:paraId="6521F9B2" w14:textId="73FA93AC"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278DE">
      <w:rPr>
        <w:rFonts w:asciiTheme="minorHAnsi" w:hAnsiTheme="minorHAnsi" w:cstheme="minorHAnsi"/>
        <w:color w:val="70787B"/>
        <w:sz w:val="15"/>
        <w:szCs w:val="15"/>
      </w:rPr>
      <w:t>2023/0001115</w:t>
    </w:r>
  </w:p>
  <w:p w14:paraId="008E73BC" w14:textId="0E9090D6" w:rsidR="00575CC3" w:rsidRPr="007278DE" w:rsidRDefault="00830B58" w:rsidP="007278DE">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01195E26" w:rsidR="00E77B43" w:rsidRDefault="007278DE" w:rsidP="00E77B43">
    <w:pPr>
      <w:spacing w:after="0" w:line="240" w:lineRule="auto"/>
      <w:jc w:val="right"/>
      <w:rPr>
        <w:rFonts w:asciiTheme="minorHAnsi" w:hAnsiTheme="minorHAnsi" w:cstheme="minorHAnsi"/>
        <w:color w:val="70787B"/>
        <w:sz w:val="15"/>
        <w:szCs w:val="15"/>
      </w:rPr>
    </w:pPr>
    <w:r w:rsidRPr="007278DE">
      <w:rPr>
        <w:rFonts w:asciiTheme="minorHAnsi" w:hAnsiTheme="minorHAnsi" w:cstheme="minorHAnsi"/>
        <w:color w:val="70787B"/>
        <w:sz w:val="15"/>
        <w:szCs w:val="15"/>
      </w:rPr>
      <w:t>Performance Reviews and Professional Development (Professional and Support Staff) Policy |October 2</w:t>
    </w:r>
    <w:r>
      <w:rPr>
        <w:rFonts w:asciiTheme="minorHAnsi" w:hAnsiTheme="minorHAnsi" w:cstheme="minorHAnsi"/>
        <w:color w:val="70787B"/>
        <w:sz w:val="15"/>
        <w:szCs w:val="15"/>
      </w:rPr>
      <w:t>023</w:t>
    </w:r>
    <w:r w:rsidR="00E77B43" w:rsidRPr="000209B9">
      <w:rPr>
        <w:rFonts w:asciiTheme="minorHAnsi" w:hAnsiTheme="minorHAnsi" w:cstheme="minorHAnsi"/>
        <w:color w:val="70787B"/>
        <w:sz w:val="15"/>
        <w:szCs w:val="15"/>
      </w:rPr>
      <w:t xml:space="preserve"> </w:t>
    </w:r>
  </w:p>
  <w:p w14:paraId="69EED422" w14:textId="0F4511AB"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278DE">
      <w:rPr>
        <w:rFonts w:asciiTheme="minorHAnsi" w:hAnsiTheme="minorHAnsi" w:cstheme="minorHAnsi"/>
        <w:color w:val="70787B"/>
        <w:sz w:val="15"/>
        <w:szCs w:val="15"/>
      </w:rPr>
      <w:t>2023/0001115</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C60E01"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line="240" w:lineRule="auto"/>
      </w:pPr>
      <w:r>
        <w:separator/>
      </w:r>
    </w:p>
  </w:footnote>
  <w:footnote w:type="continuationSeparator" w:id="0">
    <w:p w14:paraId="143A07E7" w14:textId="77777777" w:rsidR="00EE00D1" w:rsidRDefault="00EE00D1"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429C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947120A"/>
    <w:multiLevelType w:val="hybridMultilevel"/>
    <w:tmpl w:val="9EA003C4"/>
    <w:lvl w:ilvl="0" w:tplc="0A3616CE">
      <w:start w:val="1"/>
      <w:numFmt w:val="bullet"/>
      <w:lvlText w:val=""/>
      <w:lvlJc w:val="left"/>
      <w:pPr>
        <w:ind w:left="1429" w:hanging="360"/>
      </w:pPr>
      <w:rPr>
        <w:rFonts w:ascii="Symbol" w:hAnsi="Symbol" w:hint="default"/>
        <w:color w:val="FF000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B6144AC"/>
    <w:multiLevelType w:val="hybridMultilevel"/>
    <w:tmpl w:val="0FD499F4"/>
    <w:lvl w:ilvl="0" w:tplc="BCD4C4D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B6E270A"/>
    <w:multiLevelType w:val="hybridMultilevel"/>
    <w:tmpl w:val="A9A0E732"/>
    <w:lvl w:ilvl="0" w:tplc="BCD4C4D0">
      <w:start w:val="1"/>
      <w:numFmt w:val="bullet"/>
      <w:lvlText w:val=""/>
      <w:lvlJc w:val="left"/>
      <w:pPr>
        <w:ind w:left="108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CD44F5A"/>
    <w:multiLevelType w:val="hybridMultilevel"/>
    <w:tmpl w:val="E5F6B2D6"/>
    <w:lvl w:ilvl="0" w:tplc="447A8472">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2A57F17"/>
    <w:multiLevelType w:val="hybridMultilevel"/>
    <w:tmpl w:val="F66C3F84"/>
    <w:lvl w:ilvl="0" w:tplc="0A3616CE">
      <w:start w:val="1"/>
      <w:numFmt w:val="bullet"/>
      <w:lvlText w:val=""/>
      <w:lvlJc w:val="left"/>
      <w:pPr>
        <w:ind w:left="1429" w:hanging="360"/>
      </w:pPr>
      <w:rPr>
        <w:rFonts w:ascii="Symbol" w:hAnsi="Symbol" w:hint="default"/>
        <w:color w:val="FF0000"/>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154F383D"/>
    <w:multiLevelType w:val="hybridMultilevel"/>
    <w:tmpl w:val="92949C7C"/>
    <w:lvl w:ilvl="0" w:tplc="447A8472">
      <w:start w:val="1"/>
      <w:numFmt w:val="bullet"/>
      <w:lvlText w:val=""/>
      <w:lvlJc w:val="left"/>
      <w:pPr>
        <w:ind w:left="1080" w:hanging="360"/>
      </w:pPr>
      <w:rPr>
        <w:rFonts w:ascii="Symbol" w:hAnsi="Symbol" w:hint="default"/>
        <w:color w:val="E51F3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E408E6"/>
    <w:multiLevelType w:val="hybridMultilevel"/>
    <w:tmpl w:val="5CBABADE"/>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A36429B"/>
    <w:multiLevelType w:val="hybridMultilevel"/>
    <w:tmpl w:val="05F61AF8"/>
    <w:lvl w:ilvl="0" w:tplc="BCD4C4D0">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77494E"/>
    <w:multiLevelType w:val="hybridMultilevel"/>
    <w:tmpl w:val="CE8EDA50"/>
    <w:lvl w:ilvl="0" w:tplc="9150278A">
      <w:start w:val="1"/>
      <w:numFmt w:val="bullet"/>
      <w:lvlText w:val=""/>
      <w:lvlJc w:val="left"/>
      <w:pPr>
        <w:tabs>
          <w:tab w:val="num" w:pos="1077"/>
        </w:tabs>
        <w:ind w:left="108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6F2406E5"/>
    <w:multiLevelType w:val="hybridMultilevel"/>
    <w:tmpl w:val="9AECEFE0"/>
    <w:lvl w:ilvl="0" w:tplc="9D7288E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915861"/>
    <w:multiLevelType w:val="hybridMultilevel"/>
    <w:tmpl w:val="2D742D68"/>
    <w:lvl w:ilvl="0" w:tplc="874AC5E4">
      <w:start w:val="1"/>
      <w:numFmt w:val="bullet"/>
      <w:lvlText w:val=""/>
      <w:lvlJc w:val="left"/>
      <w:pPr>
        <w:ind w:left="1080" w:hanging="360"/>
      </w:pPr>
      <w:rPr>
        <w:rFonts w:ascii="Symbol" w:hAnsi="Symbol" w:hint="default"/>
        <w:color w:val="E51F3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4"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F81925"/>
    <w:multiLevelType w:val="hybridMultilevel"/>
    <w:tmpl w:val="D06C35DE"/>
    <w:lvl w:ilvl="0" w:tplc="BCD4C4D0">
      <w:start w:val="1"/>
      <w:numFmt w:val="bullet"/>
      <w:lvlText w:val=""/>
      <w:lvlJc w:val="left"/>
      <w:pPr>
        <w:ind w:left="108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4477392">
    <w:abstractNumId w:val="32"/>
  </w:num>
  <w:num w:numId="2" w16cid:durableId="396825147">
    <w:abstractNumId w:val="45"/>
  </w:num>
  <w:num w:numId="3" w16cid:durableId="1304701530">
    <w:abstractNumId w:val="38"/>
  </w:num>
  <w:num w:numId="4" w16cid:durableId="352269857">
    <w:abstractNumId w:val="33"/>
  </w:num>
  <w:num w:numId="5" w16cid:durableId="1640375799">
    <w:abstractNumId w:val="19"/>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30"/>
  </w:num>
  <w:num w:numId="19" w16cid:durableId="1511336397">
    <w:abstractNumId w:val="39"/>
  </w:num>
  <w:num w:numId="20" w16cid:durableId="1666785443">
    <w:abstractNumId w:val="12"/>
  </w:num>
  <w:num w:numId="21" w16cid:durableId="1708486012">
    <w:abstractNumId w:val="31"/>
  </w:num>
  <w:num w:numId="22" w16cid:durableId="831220188">
    <w:abstractNumId w:val="28"/>
  </w:num>
  <w:num w:numId="23" w16cid:durableId="1621642287">
    <w:abstractNumId w:val="29"/>
  </w:num>
  <w:num w:numId="24" w16cid:durableId="1833176348">
    <w:abstractNumId w:val="34"/>
  </w:num>
  <w:num w:numId="25" w16cid:durableId="1126041565">
    <w:abstractNumId w:val="37"/>
  </w:num>
  <w:num w:numId="26" w16cid:durableId="1098252483">
    <w:abstractNumId w:val="23"/>
  </w:num>
  <w:num w:numId="27" w16cid:durableId="1930380739">
    <w:abstractNumId w:val="13"/>
  </w:num>
  <w:num w:numId="28" w16cid:durableId="871302621">
    <w:abstractNumId w:val="15"/>
  </w:num>
  <w:num w:numId="29" w16cid:durableId="991954021">
    <w:abstractNumId w:val="44"/>
  </w:num>
  <w:num w:numId="30" w16cid:durableId="218833091">
    <w:abstractNumId w:val="16"/>
  </w:num>
  <w:num w:numId="31" w16cid:durableId="66726597">
    <w:abstractNumId w:val="36"/>
  </w:num>
  <w:num w:numId="32" w16cid:durableId="1786579993">
    <w:abstractNumId w:val="43"/>
  </w:num>
  <w:num w:numId="33" w16cid:durableId="1071662295">
    <w:abstractNumId w:val="25"/>
  </w:num>
  <w:num w:numId="34" w16cid:durableId="944117931">
    <w:abstractNumId w:val="24"/>
  </w:num>
  <w:num w:numId="35" w16cid:durableId="754860717">
    <w:abstractNumId w:val="22"/>
  </w:num>
  <w:num w:numId="36" w16cid:durableId="105849864">
    <w:abstractNumId w:val="27"/>
  </w:num>
  <w:num w:numId="37" w16cid:durableId="77217005">
    <w:abstractNumId w:val="26"/>
  </w:num>
  <w:num w:numId="38" w16cid:durableId="1787508516">
    <w:abstractNumId w:val="21"/>
  </w:num>
  <w:num w:numId="39" w16cid:durableId="1658727790">
    <w:abstractNumId w:val="14"/>
  </w:num>
  <w:num w:numId="40" w16cid:durableId="1368874910">
    <w:abstractNumId w:val="17"/>
  </w:num>
  <w:num w:numId="41" w16cid:durableId="1774402081">
    <w:abstractNumId w:val="35"/>
  </w:num>
  <w:num w:numId="42" w16cid:durableId="851799822">
    <w:abstractNumId w:val="41"/>
  </w:num>
  <w:num w:numId="43" w16cid:durableId="802573953">
    <w:abstractNumId w:val="46"/>
  </w:num>
  <w:num w:numId="44" w16cid:durableId="1056657800">
    <w:abstractNumId w:val="42"/>
  </w:num>
  <w:num w:numId="45" w16cid:durableId="1631663968">
    <w:abstractNumId w:val="18"/>
  </w:num>
  <w:num w:numId="46" w16cid:durableId="101536952">
    <w:abstractNumId w:val="40"/>
  </w:num>
  <w:num w:numId="47" w16cid:durableId="17426768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049F"/>
    <w:rsid w:val="0004319B"/>
    <w:rsid w:val="00047EA7"/>
    <w:rsid w:val="00052590"/>
    <w:rsid w:val="0006473D"/>
    <w:rsid w:val="000652A0"/>
    <w:rsid w:val="00067836"/>
    <w:rsid w:val="000728E0"/>
    <w:rsid w:val="000760A1"/>
    <w:rsid w:val="00083FFC"/>
    <w:rsid w:val="00091E5E"/>
    <w:rsid w:val="00093685"/>
    <w:rsid w:val="000B17D8"/>
    <w:rsid w:val="000B192C"/>
    <w:rsid w:val="000B71D9"/>
    <w:rsid w:val="000C0E96"/>
    <w:rsid w:val="000C57B7"/>
    <w:rsid w:val="000D3B39"/>
    <w:rsid w:val="000E01AE"/>
    <w:rsid w:val="000F1CE9"/>
    <w:rsid w:val="00103826"/>
    <w:rsid w:val="00104FF2"/>
    <w:rsid w:val="001215CB"/>
    <w:rsid w:val="00154994"/>
    <w:rsid w:val="0016404C"/>
    <w:rsid w:val="00164E41"/>
    <w:rsid w:val="00165F7C"/>
    <w:rsid w:val="001800F9"/>
    <w:rsid w:val="001968C3"/>
    <w:rsid w:val="001A124A"/>
    <w:rsid w:val="001A64A0"/>
    <w:rsid w:val="001A6554"/>
    <w:rsid w:val="001B01C6"/>
    <w:rsid w:val="001E1ED9"/>
    <w:rsid w:val="001F2B57"/>
    <w:rsid w:val="001F636F"/>
    <w:rsid w:val="00201B8F"/>
    <w:rsid w:val="00202BF7"/>
    <w:rsid w:val="00207FC2"/>
    <w:rsid w:val="00221E52"/>
    <w:rsid w:val="00221FEC"/>
    <w:rsid w:val="002257C2"/>
    <w:rsid w:val="00225E04"/>
    <w:rsid w:val="002439DB"/>
    <w:rsid w:val="0025746B"/>
    <w:rsid w:val="00257D7C"/>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34090"/>
    <w:rsid w:val="00334B56"/>
    <w:rsid w:val="0034277E"/>
    <w:rsid w:val="00343D34"/>
    <w:rsid w:val="0035677A"/>
    <w:rsid w:val="00360D4B"/>
    <w:rsid w:val="003654D8"/>
    <w:rsid w:val="00395AD8"/>
    <w:rsid w:val="003B0C8A"/>
    <w:rsid w:val="003B3912"/>
    <w:rsid w:val="003F5FDD"/>
    <w:rsid w:val="003F7778"/>
    <w:rsid w:val="00410ED5"/>
    <w:rsid w:val="00441285"/>
    <w:rsid w:val="004415C7"/>
    <w:rsid w:val="00456A0E"/>
    <w:rsid w:val="0046665F"/>
    <w:rsid w:val="00466DD2"/>
    <w:rsid w:val="00481C9C"/>
    <w:rsid w:val="00482467"/>
    <w:rsid w:val="0048248F"/>
    <w:rsid w:val="00484C1B"/>
    <w:rsid w:val="004911FC"/>
    <w:rsid w:val="00493EC2"/>
    <w:rsid w:val="00496A60"/>
    <w:rsid w:val="004A3DA2"/>
    <w:rsid w:val="004B2C98"/>
    <w:rsid w:val="004B5C6C"/>
    <w:rsid w:val="004B784E"/>
    <w:rsid w:val="004C3E07"/>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73B09"/>
    <w:rsid w:val="00681A26"/>
    <w:rsid w:val="006A0D50"/>
    <w:rsid w:val="006A16D3"/>
    <w:rsid w:val="006A5781"/>
    <w:rsid w:val="006B61C2"/>
    <w:rsid w:val="006C42D8"/>
    <w:rsid w:val="006C594F"/>
    <w:rsid w:val="006D360E"/>
    <w:rsid w:val="006D6C81"/>
    <w:rsid w:val="006E7342"/>
    <w:rsid w:val="006F4576"/>
    <w:rsid w:val="006F4919"/>
    <w:rsid w:val="0070341D"/>
    <w:rsid w:val="007066FB"/>
    <w:rsid w:val="00706B72"/>
    <w:rsid w:val="007225FE"/>
    <w:rsid w:val="00724189"/>
    <w:rsid w:val="007278DE"/>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31973"/>
    <w:rsid w:val="008508DF"/>
    <w:rsid w:val="008555C9"/>
    <w:rsid w:val="008605D5"/>
    <w:rsid w:val="00871911"/>
    <w:rsid w:val="00871C38"/>
    <w:rsid w:val="00871D81"/>
    <w:rsid w:val="008735AB"/>
    <w:rsid w:val="008758FA"/>
    <w:rsid w:val="008776AD"/>
    <w:rsid w:val="008C300D"/>
    <w:rsid w:val="008C5983"/>
    <w:rsid w:val="008C5F7B"/>
    <w:rsid w:val="008D0A1C"/>
    <w:rsid w:val="008D2294"/>
    <w:rsid w:val="008D4F55"/>
    <w:rsid w:val="008D57B3"/>
    <w:rsid w:val="008E2FFB"/>
    <w:rsid w:val="008F2DE0"/>
    <w:rsid w:val="0092371D"/>
    <w:rsid w:val="00941205"/>
    <w:rsid w:val="00947015"/>
    <w:rsid w:val="00950AB1"/>
    <w:rsid w:val="0095172A"/>
    <w:rsid w:val="009518A2"/>
    <w:rsid w:val="00966619"/>
    <w:rsid w:val="00985E2C"/>
    <w:rsid w:val="00993A5D"/>
    <w:rsid w:val="0099406C"/>
    <w:rsid w:val="009A2E79"/>
    <w:rsid w:val="009A4600"/>
    <w:rsid w:val="009B37D4"/>
    <w:rsid w:val="009C1E14"/>
    <w:rsid w:val="009C2FEF"/>
    <w:rsid w:val="009C7B84"/>
    <w:rsid w:val="009D2761"/>
    <w:rsid w:val="009D29B6"/>
    <w:rsid w:val="009E11AD"/>
    <w:rsid w:val="009F074C"/>
    <w:rsid w:val="00A10384"/>
    <w:rsid w:val="00A144B2"/>
    <w:rsid w:val="00A15D12"/>
    <w:rsid w:val="00A235F1"/>
    <w:rsid w:val="00A3242E"/>
    <w:rsid w:val="00A45BDF"/>
    <w:rsid w:val="00A50780"/>
    <w:rsid w:val="00A56091"/>
    <w:rsid w:val="00A5683C"/>
    <w:rsid w:val="00A57044"/>
    <w:rsid w:val="00A82960"/>
    <w:rsid w:val="00AA12A3"/>
    <w:rsid w:val="00AA188E"/>
    <w:rsid w:val="00AA391D"/>
    <w:rsid w:val="00AB00BF"/>
    <w:rsid w:val="00AB0F2E"/>
    <w:rsid w:val="00AC0FEF"/>
    <w:rsid w:val="00AC1EA9"/>
    <w:rsid w:val="00AE36C9"/>
    <w:rsid w:val="00AE4387"/>
    <w:rsid w:val="00AF5791"/>
    <w:rsid w:val="00AF719E"/>
    <w:rsid w:val="00B24AD5"/>
    <w:rsid w:val="00B25332"/>
    <w:rsid w:val="00B26F8D"/>
    <w:rsid w:val="00B42BD2"/>
    <w:rsid w:val="00B508D5"/>
    <w:rsid w:val="00B52233"/>
    <w:rsid w:val="00B63560"/>
    <w:rsid w:val="00B7337A"/>
    <w:rsid w:val="00B82F08"/>
    <w:rsid w:val="00B87851"/>
    <w:rsid w:val="00B9062A"/>
    <w:rsid w:val="00BA4D38"/>
    <w:rsid w:val="00BB58D7"/>
    <w:rsid w:val="00BB6CB6"/>
    <w:rsid w:val="00BD26DB"/>
    <w:rsid w:val="00BF387D"/>
    <w:rsid w:val="00C12E96"/>
    <w:rsid w:val="00C22059"/>
    <w:rsid w:val="00C2475A"/>
    <w:rsid w:val="00C31251"/>
    <w:rsid w:val="00C32760"/>
    <w:rsid w:val="00C3358F"/>
    <w:rsid w:val="00C42037"/>
    <w:rsid w:val="00C77710"/>
    <w:rsid w:val="00C80060"/>
    <w:rsid w:val="00C861E8"/>
    <w:rsid w:val="00CA6305"/>
    <w:rsid w:val="00CC70F7"/>
    <w:rsid w:val="00CD119B"/>
    <w:rsid w:val="00CE43D6"/>
    <w:rsid w:val="00CF611B"/>
    <w:rsid w:val="00CF6FF3"/>
    <w:rsid w:val="00D042D8"/>
    <w:rsid w:val="00D25E65"/>
    <w:rsid w:val="00D31785"/>
    <w:rsid w:val="00D345CC"/>
    <w:rsid w:val="00D532D6"/>
    <w:rsid w:val="00DA2384"/>
    <w:rsid w:val="00DB76F9"/>
    <w:rsid w:val="00DB7E17"/>
    <w:rsid w:val="00DD6067"/>
    <w:rsid w:val="00DE20FF"/>
    <w:rsid w:val="00DE45C5"/>
    <w:rsid w:val="00DF3B60"/>
    <w:rsid w:val="00DF3DF3"/>
    <w:rsid w:val="00E14D21"/>
    <w:rsid w:val="00E160A3"/>
    <w:rsid w:val="00E20D0C"/>
    <w:rsid w:val="00E21C52"/>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00D1"/>
    <w:rsid w:val="00EE310F"/>
    <w:rsid w:val="00EE3570"/>
    <w:rsid w:val="00EF0887"/>
    <w:rsid w:val="00F252F4"/>
    <w:rsid w:val="00F30DB2"/>
    <w:rsid w:val="00F311DC"/>
    <w:rsid w:val="00F54199"/>
    <w:rsid w:val="00F55C18"/>
    <w:rsid w:val="00F714F3"/>
    <w:rsid w:val="00F71CDF"/>
    <w:rsid w:val="00F74238"/>
    <w:rsid w:val="00F7432A"/>
    <w:rsid w:val="00F76C85"/>
    <w:rsid w:val="00F80692"/>
    <w:rsid w:val="00FA2D28"/>
    <w:rsid w:val="00FA6AC6"/>
    <w:rsid w:val="00FB180D"/>
    <w:rsid w:val="00FB329E"/>
    <w:rsid w:val="00FC349F"/>
    <w:rsid w:val="00FD349F"/>
    <w:rsid w:val="00FE60E5"/>
    <w:rsid w:val="00FE7CD6"/>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BulletPoints">
    <w:name w:val="Bullet Points"/>
    <w:basedOn w:val="Normal"/>
    <w:qFormat/>
    <w:rsid w:val="00706B72"/>
    <w:pPr>
      <w:ind w:left="720" w:hanging="360"/>
    </w:pPr>
    <w:rPr>
      <w:rFonts w:ascii="Foundry Sterling Book" w:hAnsi="Foundry Sterling Book" w:cstheme="minorBidi"/>
      <w:kern w:val="0"/>
      <w:sz w:val="20"/>
    </w:rPr>
  </w:style>
  <w:style w:type="paragraph" w:styleId="NormalWeb">
    <w:name w:val="Normal (Web)"/>
    <w:basedOn w:val="Normal"/>
    <w:unhideWhenUsed/>
    <w:rsid w:val="00950AB1"/>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arepointpubstor.blob.core.windows.net/policylibrary-prod/Remuneration,%20Recognition%20and%20Benefits%20Leave%20Procedure.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pointpubstor.blob.core.windows.net/policylibrary-prod/Professional%20Staff%20Educational%20Assistance%20Procedure.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harepointpubstor.blob.core.windows.net/policylibrary-prod/Probation%20(Professional%20and%20Support%20Staff)%20Procedure.pdf"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242</Value>
      <Value>563</Value>
      <Value>77</Value>
      <Value>550</Value>
    </TaxCatchAll>
    <SharedWithUsers xmlns="b40c662e-0380-4817-843d-2c7e10d40c39">
      <UserInfo>
        <DisplayName>Tom Slack</DisplayName>
        <AccountId>53</AccountId>
        <AccountType/>
      </UserInfo>
    </SharedWithUsers>
    <PublishOn xmlns="2f261a70-825f-4a37-b7b5-f6ecc2f4c5fa">2024-02-29T00:22:29+00:00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This policy outlines Griffith University’s commitment to the ongoing performance development of professional and support staff.</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2023-09-30T14:00:00+00:00</datedeclared>
    <PrivatePolicy xmlns="2f261a70-825f-4a37-b7b5-f6ecc2f4c5fa">false</PrivatePolicy>
    <policyadvisor xmlns="2f261a70-825f-4a37-b7b5-f6ecc2f4c5fa">
      <UserInfo>
        <DisplayName>Phoebe Gervaise</DisplayName>
        <AccountId>883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F1F16329-8FF1-45D6-889E-D7869E8FE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FE087261-2416-4848-BACE-F5D9ED48845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e6b88c-8d12-40de-97ca-53d6a0947b55"/>
    <ds:schemaRef ds:uri="http://purl.org/dc/elements/1.1/"/>
    <ds:schemaRef ds:uri="bacd1cd2-1dd3-4f11-98e6-3c5dee1c3255"/>
    <ds:schemaRef ds:uri="http://www.w3.org/XML/1998/namespace"/>
    <ds:schemaRef ds:uri="http://purl.org/dc/dcmitype/"/>
    <ds:schemaRef ds:uri="b40c662e-0380-4817-843d-2c7e10d40c39"/>
    <ds:schemaRef ds:uri="2f261a70-825f-4a37-b7b5-f6ecc2f4c5fa"/>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17</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Performance Reviews and Professional Development (Professional and Support Staff) Policy</vt:lpstr>
    </vt:vector>
  </TitlesOfParts>
  <Company>Griffith University</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Reviews and Professional Development (Professional and Support Staff) Policy</dc:title>
  <dc:creator>Jen Lofgren</dc:creator>
  <cp:lastModifiedBy>John Montgomery</cp:lastModifiedBy>
  <cp:revision>3</cp:revision>
  <dcterms:created xsi:type="dcterms:W3CDTF">2024-02-29T00:21:00Z</dcterms:created>
  <dcterms:modified xsi:type="dcterms:W3CDTF">2024-04-03T03:23:00Z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563;#Director, Human Resources|cc1b10db-d828-4854-ba13-d593a417bd3e</vt:lpwstr>
  </property>
  <property fmtid="{D5CDD505-2E9C-101B-9397-08002B2CF9AE}" pid="17" name="policycategory">
    <vt:lpwstr/>
  </property>
  <property fmtid="{D5CDD505-2E9C-101B-9397-08002B2CF9AE}" pid="18" name="officearea">
    <vt:lpwstr>550;#Human Resources|540241ce-6608-4852-8778-9c8a8484699c</vt:lpwstr>
  </property>
  <property fmtid="{D5CDD505-2E9C-101B-9397-08002B2CF9AE}" pid="19" name="policy-category">
    <vt:lpwstr>522;#Staff|3e9f4474-6295-47f7-a166-0065c4fb1613</vt:lpwstr>
  </property>
  <property fmtid="{D5CDD505-2E9C-101B-9397-08002B2CF9AE}" pid="20" name="glossaryterms">
    <vt:lpwstr/>
  </property>
  <property fmtid="{D5CDD505-2E9C-101B-9397-08002B2CF9AE}" pid="21" name="policyreview">
    <vt:lpwstr>242;#2026|0e39d474-4c22-40b4-8b37-f0e7c9e0e124</vt:lpwstr>
  </property>
  <property fmtid="{D5CDD505-2E9C-101B-9397-08002B2CF9AE}" pid="22" name="policyaudience">
    <vt:lpwstr>77;#Staff|45ee306d-49ae-43fa-a3ef-02f70754fd2d</vt:lpwstr>
  </property>
  <property fmtid="{D5CDD505-2E9C-101B-9397-08002B2CF9AE}" pid="23" name="Managed_Testing_Field">
    <vt:lpwstr/>
  </property>
</Properties>
</file>