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5ECABB2" w:rsidR="00ED6047" w:rsidRPr="000C7000" w:rsidRDefault="00BC553E" w:rsidP="002D5255">
      <w:pPr>
        <w:pStyle w:val="Heading1"/>
        <w:spacing w:before="0" w:after="240"/>
        <w:ind w:right="56"/>
        <w:rPr>
          <w:rFonts w:ascii="Griffith Sans Text" w:hAnsi="Griffith Sans Text"/>
          <w:sz w:val="52"/>
          <w:szCs w:val="32"/>
        </w:rPr>
      </w:pPr>
      <w:r>
        <w:rPr>
          <w:rFonts w:ascii="Griffith Sans Text" w:hAnsi="Griffith Sans Text"/>
          <w:sz w:val="52"/>
          <w:szCs w:val="32"/>
        </w:rPr>
        <w:t>Modern Slavery Supplier</w:t>
      </w:r>
      <w:r>
        <w:rPr>
          <w:rFonts w:ascii="Griffith Sans Text" w:hAnsi="Griffith Sans Text"/>
          <w:sz w:val="52"/>
          <w:szCs w:val="32"/>
        </w:rPr>
        <w:br/>
        <w:t xml:space="preserve">Assessment and Risk Management </w:t>
      </w:r>
    </w:p>
    <w:p w14:paraId="4B56D564" w14:textId="33010313" w:rsidR="00A144B2" w:rsidRPr="000C7000" w:rsidRDefault="00EF2F26" w:rsidP="002D5255">
      <w:pPr>
        <w:pStyle w:val="Heading2"/>
        <w:spacing w:before="0" w:after="0"/>
        <w:ind w:right="56"/>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EF2F26" w:rsidP="002D5255">
      <w:pPr>
        <w:pStyle w:val="Heading2"/>
        <w:spacing w:before="0" w:after="0"/>
        <w:ind w:right="56"/>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2D5255">
      <w:pPr>
        <w:pStyle w:val="Heading2"/>
        <w:spacing w:before="0" w:after="0"/>
        <w:ind w:right="56"/>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3A145CE3" w:rsidR="00C76573" w:rsidRPr="000C7000" w:rsidRDefault="00FF586B" w:rsidP="002D5255">
      <w:pPr>
        <w:pStyle w:val="Heading2"/>
        <w:spacing w:before="0" w:after="0"/>
        <w:ind w:left="284" w:right="56"/>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r w:rsidR="0072100B">
          <w:rPr>
            <w:rStyle w:val="Hyperlink"/>
            <w:rFonts w:ascii="Griffith Sans Text" w:hAnsi="Griffith Sans Text"/>
            <w:b w:val="0"/>
            <w:bCs w:val="0"/>
            <w:sz w:val="24"/>
            <w:szCs w:val="18"/>
          </w:rPr>
          <w:t>Process</w:t>
        </w:r>
      </w:hyperlink>
      <w:r w:rsidR="0072100B">
        <w:rPr>
          <w:rStyle w:val="Hyperlink"/>
          <w:rFonts w:ascii="Griffith Sans Text" w:hAnsi="Griffith Sans Text"/>
          <w:b w:val="0"/>
          <w:bCs w:val="0"/>
          <w:sz w:val="24"/>
          <w:szCs w:val="18"/>
        </w:rPr>
        <w:t xml:space="preserve"> Overview</w:t>
      </w:r>
      <w:r w:rsidR="00904689" w:rsidRPr="000C7000">
        <w:rPr>
          <w:rFonts w:ascii="Griffith Sans Text" w:hAnsi="Griffith Sans Text"/>
          <w:b w:val="0"/>
          <w:bCs w:val="0"/>
          <w:sz w:val="24"/>
          <w:szCs w:val="18"/>
        </w:rPr>
        <w:t xml:space="preserve"> | </w:t>
      </w:r>
      <w:hyperlink w:anchor="_3.2_[Insert_sub-heading]" w:history="1">
        <w:r w:rsidR="00904689" w:rsidRPr="000C7000">
          <w:rPr>
            <w:rStyle w:val="Hyperlink"/>
            <w:rFonts w:ascii="Griffith Sans Text" w:hAnsi="Griffith Sans Text"/>
            <w:b w:val="0"/>
            <w:bCs w:val="0"/>
            <w:sz w:val="24"/>
            <w:szCs w:val="18"/>
          </w:rPr>
          <w:t xml:space="preserve">3.2 </w:t>
        </w:r>
        <w:r w:rsidR="00154F8B">
          <w:rPr>
            <w:rStyle w:val="Hyperlink"/>
            <w:rFonts w:ascii="Griffith Sans Text" w:hAnsi="Griffith Sans Text"/>
            <w:b w:val="0"/>
            <w:bCs w:val="0"/>
            <w:sz w:val="24"/>
            <w:szCs w:val="18"/>
          </w:rPr>
          <w:t>Grievance Investigations</w:t>
        </w:r>
      </w:hyperlink>
    </w:p>
    <w:p w14:paraId="574A747E" w14:textId="5B26E8C5" w:rsidR="00A144B2" w:rsidRPr="000C7000" w:rsidRDefault="00FF586B" w:rsidP="002D5255">
      <w:pPr>
        <w:pStyle w:val="Heading2"/>
        <w:spacing w:before="0" w:after="0"/>
        <w:ind w:right="56"/>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2D5255">
      <w:pPr>
        <w:pStyle w:val="Heading2"/>
        <w:spacing w:before="0" w:after="0"/>
        <w:ind w:right="56"/>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2D5255">
      <w:pPr>
        <w:pStyle w:val="Heading2"/>
        <w:spacing w:before="0" w:after="0"/>
        <w:ind w:right="56"/>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2D5255">
      <w:pPr>
        <w:pStyle w:val="Heading2"/>
        <w:ind w:right="56"/>
        <w:rPr>
          <w:rFonts w:ascii="Griffith Sans Text" w:hAnsi="Griffith Sans Text"/>
        </w:rPr>
      </w:pPr>
      <w:bookmarkStart w:id="0" w:name="_1.0_Purpose"/>
      <w:bookmarkEnd w:id="0"/>
      <w:r w:rsidRPr="00237AB3">
        <w:rPr>
          <w:rFonts w:ascii="Griffith Sans Text" w:hAnsi="Griffith Sans Text"/>
        </w:rPr>
        <w:t>1.0 Purpose</w:t>
      </w:r>
    </w:p>
    <w:p w14:paraId="2965FFD8" w14:textId="77777777" w:rsidR="00BC553E" w:rsidRPr="00BC553E" w:rsidRDefault="00BC553E" w:rsidP="002D5255">
      <w:pPr>
        <w:widowControl w:val="0"/>
        <w:autoSpaceDE w:val="0"/>
        <w:autoSpaceDN w:val="0"/>
        <w:spacing w:after="120"/>
        <w:ind w:right="56"/>
        <w:rPr>
          <w:rFonts w:eastAsia="Arial" w:cs="Arial"/>
          <w:kern w:val="0"/>
          <w:lang w:val="en-US" w:eastAsia="en-US"/>
        </w:rPr>
      </w:pPr>
      <w:r w:rsidRPr="00BC553E">
        <w:rPr>
          <w:rFonts w:eastAsia="Arial" w:cs="Arial"/>
          <w:kern w:val="0"/>
          <w:lang w:val="en-US" w:eastAsia="en-US"/>
        </w:rPr>
        <w:t>Griffith University is committed to continuous improvement in relation to our systems and controls to assess, mitigate and address modern</w:t>
      </w:r>
      <w:r w:rsidRPr="00BC553E">
        <w:rPr>
          <w:rFonts w:eastAsia="Arial" w:cs="Arial"/>
          <w:spacing w:val="-5"/>
          <w:kern w:val="0"/>
          <w:lang w:val="en-US" w:eastAsia="en-US"/>
        </w:rPr>
        <w:t xml:space="preserve"> </w:t>
      </w:r>
      <w:r w:rsidRPr="00BC553E">
        <w:rPr>
          <w:rFonts w:eastAsia="Arial" w:cs="Arial"/>
          <w:kern w:val="0"/>
          <w:lang w:val="en-US" w:eastAsia="en-US"/>
        </w:rPr>
        <w:t>slavery</w:t>
      </w:r>
      <w:r w:rsidRPr="00BC553E">
        <w:rPr>
          <w:rFonts w:eastAsia="Arial" w:cs="Arial"/>
          <w:spacing w:val="-4"/>
          <w:kern w:val="0"/>
          <w:lang w:val="en-US" w:eastAsia="en-US"/>
        </w:rPr>
        <w:t xml:space="preserve"> </w:t>
      </w:r>
      <w:r w:rsidRPr="00BC553E">
        <w:rPr>
          <w:rFonts w:eastAsia="Arial" w:cs="Arial"/>
          <w:kern w:val="0"/>
          <w:lang w:val="en-US" w:eastAsia="en-US"/>
        </w:rPr>
        <w:t>risks.</w:t>
      </w:r>
      <w:r w:rsidRPr="00BC553E">
        <w:rPr>
          <w:rFonts w:eastAsia="Arial" w:cs="Arial"/>
          <w:spacing w:val="-4"/>
          <w:kern w:val="0"/>
          <w:lang w:val="en-US" w:eastAsia="en-US"/>
        </w:rPr>
        <w:t xml:space="preserve"> </w:t>
      </w:r>
      <w:r w:rsidRPr="00BC553E">
        <w:rPr>
          <w:rFonts w:eastAsia="Arial" w:cs="Arial"/>
          <w:kern w:val="0"/>
          <w:lang w:val="en-US" w:eastAsia="en-US"/>
        </w:rPr>
        <w:t>As</w:t>
      </w:r>
      <w:r w:rsidRPr="00BC553E">
        <w:rPr>
          <w:rFonts w:eastAsia="Arial" w:cs="Arial"/>
          <w:spacing w:val="-4"/>
          <w:kern w:val="0"/>
          <w:lang w:val="en-US" w:eastAsia="en-US"/>
        </w:rPr>
        <w:t xml:space="preserve"> </w:t>
      </w:r>
      <w:r w:rsidRPr="00BC553E">
        <w:rPr>
          <w:rFonts w:eastAsia="Arial" w:cs="Arial"/>
          <w:kern w:val="0"/>
          <w:lang w:val="en-US" w:eastAsia="en-US"/>
        </w:rPr>
        <w:t>part</w:t>
      </w:r>
      <w:r w:rsidRPr="00BC553E">
        <w:rPr>
          <w:rFonts w:eastAsia="Arial" w:cs="Arial"/>
          <w:spacing w:val="-1"/>
          <w:kern w:val="0"/>
          <w:lang w:val="en-US" w:eastAsia="en-US"/>
        </w:rPr>
        <w:t xml:space="preserve"> </w:t>
      </w:r>
      <w:r w:rsidRPr="00BC553E">
        <w:rPr>
          <w:rFonts w:eastAsia="Arial" w:cs="Arial"/>
          <w:kern w:val="0"/>
          <w:lang w:val="en-US" w:eastAsia="en-US"/>
        </w:rPr>
        <w:t>of</w:t>
      </w:r>
      <w:r w:rsidRPr="00BC553E">
        <w:rPr>
          <w:rFonts w:eastAsia="Arial" w:cs="Arial"/>
          <w:spacing w:val="-5"/>
          <w:kern w:val="0"/>
          <w:lang w:val="en-US" w:eastAsia="en-US"/>
        </w:rPr>
        <w:t xml:space="preserve"> </w:t>
      </w:r>
      <w:r w:rsidRPr="00BC553E">
        <w:rPr>
          <w:rFonts w:eastAsia="Arial" w:cs="Arial"/>
          <w:kern w:val="0"/>
          <w:lang w:val="en-US" w:eastAsia="en-US"/>
        </w:rPr>
        <w:t>this commitment,</w:t>
      </w:r>
      <w:r w:rsidRPr="00BC553E">
        <w:rPr>
          <w:rFonts w:eastAsia="Arial" w:cs="Arial"/>
          <w:spacing w:val="-5"/>
          <w:kern w:val="0"/>
          <w:lang w:val="en-US" w:eastAsia="en-US"/>
        </w:rPr>
        <w:t xml:space="preserve"> </w:t>
      </w:r>
      <w:r w:rsidRPr="00BC553E">
        <w:rPr>
          <w:rFonts w:eastAsia="Arial" w:cs="Arial"/>
          <w:kern w:val="0"/>
          <w:lang w:val="en-US" w:eastAsia="en-US"/>
        </w:rPr>
        <w:t>the</w:t>
      </w:r>
      <w:r w:rsidRPr="00BC553E">
        <w:rPr>
          <w:rFonts w:eastAsia="Arial" w:cs="Arial"/>
          <w:spacing w:val="-5"/>
          <w:kern w:val="0"/>
          <w:lang w:val="en-US" w:eastAsia="en-US"/>
        </w:rPr>
        <w:t xml:space="preserve"> </w:t>
      </w:r>
      <w:r w:rsidRPr="00BC553E">
        <w:rPr>
          <w:rFonts w:eastAsia="Arial" w:cs="Arial"/>
          <w:kern w:val="0"/>
          <w:lang w:val="en-US" w:eastAsia="en-US"/>
        </w:rPr>
        <w:t>University has</w:t>
      </w:r>
      <w:r w:rsidRPr="00BC553E">
        <w:rPr>
          <w:rFonts w:eastAsia="Arial" w:cs="Arial"/>
          <w:spacing w:val="-4"/>
          <w:kern w:val="0"/>
          <w:lang w:val="en-US" w:eastAsia="en-US"/>
        </w:rPr>
        <w:t xml:space="preserve"> </w:t>
      </w:r>
      <w:r w:rsidRPr="00BC553E">
        <w:rPr>
          <w:rFonts w:eastAsia="Arial" w:cs="Arial"/>
          <w:kern w:val="0"/>
          <w:lang w:val="en-US" w:eastAsia="en-US"/>
        </w:rPr>
        <w:t>developed a</w:t>
      </w:r>
      <w:r w:rsidRPr="00BC553E">
        <w:rPr>
          <w:rFonts w:eastAsia="Arial" w:cs="Arial"/>
          <w:spacing w:val="-5"/>
          <w:kern w:val="0"/>
          <w:lang w:val="en-US" w:eastAsia="en-US"/>
        </w:rPr>
        <w:t xml:space="preserve"> </w:t>
      </w:r>
      <w:r w:rsidRPr="00BC553E">
        <w:rPr>
          <w:rFonts w:eastAsia="Arial" w:cs="Arial"/>
          <w:kern w:val="0"/>
          <w:lang w:val="en-US" w:eastAsia="en-US"/>
        </w:rPr>
        <w:t>specific procedure to support modern slavery risk assessment and management across our operations and supply chains.</w:t>
      </w:r>
      <w:r w:rsidRPr="00BC553E">
        <w:rPr>
          <w:rFonts w:eastAsia="Arial" w:cs="Arial"/>
          <w:spacing w:val="-3"/>
          <w:kern w:val="0"/>
          <w:lang w:val="en-US" w:eastAsia="en-US"/>
        </w:rPr>
        <w:t xml:space="preserve"> </w:t>
      </w:r>
      <w:r w:rsidRPr="00BC553E">
        <w:rPr>
          <w:rFonts w:eastAsia="Arial" w:cs="Arial"/>
          <w:kern w:val="0"/>
          <w:lang w:val="en-US" w:eastAsia="en-US"/>
        </w:rPr>
        <w:t>The</w:t>
      </w:r>
      <w:r w:rsidRPr="00BC553E">
        <w:rPr>
          <w:rFonts w:eastAsia="Arial" w:cs="Arial"/>
          <w:spacing w:val="-3"/>
          <w:kern w:val="0"/>
          <w:lang w:val="en-US" w:eastAsia="en-US"/>
        </w:rPr>
        <w:t xml:space="preserve"> </w:t>
      </w:r>
      <w:r w:rsidRPr="00BC553E">
        <w:rPr>
          <w:rFonts w:eastAsia="Arial" w:cs="Arial"/>
          <w:kern w:val="0"/>
          <w:lang w:val="en-US" w:eastAsia="en-US"/>
        </w:rPr>
        <w:t>procedure</w:t>
      </w:r>
      <w:r w:rsidRPr="00BC553E">
        <w:rPr>
          <w:rFonts w:eastAsia="Arial" w:cs="Arial"/>
          <w:spacing w:val="-3"/>
          <w:kern w:val="0"/>
          <w:lang w:val="en-US" w:eastAsia="en-US"/>
        </w:rPr>
        <w:t xml:space="preserve"> </w:t>
      </w:r>
      <w:r w:rsidRPr="00BC553E">
        <w:rPr>
          <w:rFonts w:eastAsia="Arial" w:cs="Arial"/>
          <w:kern w:val="0"/>
          <w:lang w:val="en-US" w:eastAsia="en-US"/>
        </w:rPr>
        <w:t>is</w:t>
      </w:r>
      <w:r w:rsidRPr="00BC553E">
        <w:rPr>
          <w:rFonts w:eastAsia="Arial" w:cs="Arial"/>
          <w:spacing w:val="-2"/>
          <w:kern w:val="0"/>
          <w:lang w:val="en-US" w:eastAsia="en-US"/>
        </w:rPr>
        <w:t xml:space="preserve"> </w:t>
      </w:r>
      <w:r w:rsidRPr="00BC553E">
        <w:rPr>
          <w:rFonts w:eastAsia="Arial" w:cs="Arial"/>
          <w:kern w:val="0"/>
          <w:lang w:val="en-US" w:eastAsia="en-US"/>
        </w:rPr>
        <w:t>an</w:t>
      </w:r>
      <w:r w:rsidRPr="00BC553E">
        <w:rPr>
          <w:rFonts w:eastAsia="Arial" w:cs="Arial"/>
          <w:spacing w:val="-3"/>
          <w:kern w:val="0"/>
          <w:lang w:val="en-US" w:eastAsia="en-US"/>
        </w:rPr>
        <w:t xml:space="preserve"> </w:t>
      </w:r>
      <w:r w:rsidRPr="00BC553E">
        <w:rPr>
          <w:rFonts w:eastAsia="Arial" w:cs="Arial"/>
          <w:kern w:val="0"/>
          <w:lang w:val="en-US" w:eastAsia="en-US"/>
        </w:rPr>
        <w:t>expression of the Griffith</w:t>
      </w:r>
      <w:r w:rsidRPr="00BC553E">
        <w:rPr>
          <w:rFonts w:eastAsia="Arial" w:cs="Arial"/>
          <w:spacing w:val="-3"/>
          <w:kern w:val="0"/>
          <w:lang w:val="en-US" w:eastAsia="en-US"/>
        </w:rPr>
        <w:t xml:space="preserve"> </w:t>
      </w:r>
      <w:r w:rsidRPr="00BC553E">
        <w:rPr>
          <w:rFonts w:eastAsia="Arial" w:cs="Arial"/>
          <w:kern w:val="0"/>
          <w:lang w:val="en-US" w:eastAsia="en-US"/>
        </w:rPr>
        <w:t>Supplier</w:t>
      </w:r>
      <w:r w:rsidRPr="00BC553E">
        <w:rPr>
          <w:rFonts w:eastAsia="Arial" w:cs="Arial"/>
          <w:spacing w:val="-3"/>
          <w:kern w:val="0"/>
          <w:lang w:val="en-US" w:eastAsia="en-US"/>
        </w:rPr>
        <w:t xml:space="preserve"> </w:t>
      </w:r>
      <w:r w:rsidRPr="00BC553E">
        <w:rPr>
          <w:rFonts w:eastAsia="Arial" w:cs="Arial"/>
          <w:kern w:val="0"/>
          <w:lang w:val="en-US" w:eastAsia="en-US"/>
        </w:rPr>
        <w:t>Code of</w:t>
      </w:r>
      <w:r w:rsidRPr="00BC553E">
        <w:rPr>
          <w:rFonts w:eastAsia="Arial" w:cs="Arial"/>
          <w:spacing w:val="-3"/>
          <w:kern w:val="0"/>
          <w:lang w:val="en-US" w:eastAsia="en-US"/>
        </w:rPr>
        <w:t xml:space="preserve"> </w:t>
      </w:r>
      <w:r w:rsidRPr="00BC553E">
        <w:rPr>
          <w:rFonts w:eastAsia="Arial" w:cs="Arial"/>
          <w:kern w:val="0"/>
          <w:lang w:val="en-US" w:eastAsia="en-US"/>
        </w:rPr>
        <w:t>Conduct</w:t>
      </w:r>
      <w:r w:rsidRPr="00BC553E">
        <w:rPr>
          <w:rFonts w:eastAsia="Arial" w:cs="Arial"/>
          <w:spacing w:val="-2"/>
          <w:kern w:val="0"/>
          <w:lang w:val="en-US" w:eastAsia="en-US"/>
        </w:rPr>
        <w:t xml:space="preserve"> </w:t>
      </w:r>
      <w:r w:rsidRPr="00BC553E">
        <w:rPr>
          <w:rFonts w:eastAsia="Arial" w:cs="Arial"/>
          <w:kern w:val="0"/>
          <w:lang w:val="en-US" w:eastAsia="en-US"/>
        </w:rPr>
        <w:t>and</w:t>
      </w:r>
      <w:r w:rsidRPr="00BC553E">
        <w:rPr>
          <w:rFonts w:eastAsia="Arial" w:cs="Arial"/>
          <w:spacing w:val="-3"/>
          <w:kern w:val="0"/>
          <w:lang w:val="en-US" w:eastAsia="en-US"/>
        </w:rPr>
        <w:t xml:space="preserve"> </w:t>
      </w:r>
      <w:r w:rsidRPr="00BC553E">
        <w:rPr>
          <w:rFonts w:eastAsia="Arial" w:cs="Arial"/>
          <w:kern w:val="0"/>
          <w:lang w:val="en-US" w:eastAsia="en-US"/>
        </w:rPr>
        <w:t>is</w:t>
      </w:r>
      <w:r w:rsidRPr="00BC553E">
        <w:rPr>
          <w:rFonts w:eastAsia="Arial" w:cs="Arial"/>
          <w:spacing w:val="-2"/>
          <w:kern w:val="0"/>
          <w:lang w:val="en-US" w:eastAsia="en-US"/>
        </w:rPr>
        <w:t xml:space="preserve"> </w:t>
      </w:r>
      <w:r w:rsidRPr="00BC553E">
        <w:rPr>
          <w:rFonts w:eastAsia="Arial" w:cs="Arial"/>
          <w:kern w:val="0"/>
          <w:lang w:val="en-US" w:eastAsia="en-US"/>
        </w:rPr>
        <w:t>consistent</w:t>
      </w:r>
      <w:r w:rsidRPr="00BC553E">
        <w:rPr>
          <w:rFonts w:eastAsia="Arial" w:cs="Arial"/>
          <w:spacing w:val="-3"/>
          <w:kern w:val="0"/>
          <w:lang w:val="en-US" w:eastAsia="en-US"/>
        </w:rPr>
        <w:t xml:space="preserve"> </w:t>
      </w:r>
      <w:r w:rsidRPr="00BC553E">
        <w:rPr>
          <w:rFonts w:eastAsia="Arial" w:cs="Arial"/>
          <w:kern w:val="0"/>
          <w:lang w:val="en-US" w:eastAsia="en-US"/>
        </w:rPr>
        <w:t>with</w:t>
      </w:r>
      <w:r w:rsidRPr="00BC553E">
        <w:rPr>
          <w:rFonts w:eastAsia="Arial" w:cs="Arial"/>
          <w:spacing w:val="-3"/>
          <w:kern w:val="0"/>
          <w:lang w:val="en-US" w:eastAsia="en-US"/>
        </w:rPr>
        <w:t xml:space="preserve"> </w:t>
      </w:r>
      <w:r w:rsidRPr="00BC553E">
        <w:rPr>
          <w:rFonts w:eastAsia="Arial" w:cs="Arial"/>
          <w:kern w:val="0"/>
          <w:lang w:val="en-US" w:eastAsia="en-US"/>
        </w:rPr>
        <w:t xml:space="preserve">the </w:t>
      </w:r>
      <w:hyperlink r:id="rId11">
        <w:r w:rsidRPr="00821929">
          <w:rPr>
            <w:rFonts w:eastAsia="Arial" w:cs="Arial"/>
            <w:color w:val="E20817"/>
            <w:kern w:val="0"/>
            <w:lang w:val="en-US" w:eastAsia="en-US"/>
          </w:rPr>
          <w:t>core</w:t>
        </w:r>
      </w:hyperlink>
      <w:r w:rsidRPr="00821929">
        <w:rPr>
          <w:rFonts w:eastAsia="Arial" w:cs="Arial"/>
          <w:color w:val="E20817"/>
          <w:kern w:val="0"/>
          <w:lang w:val="en-US" w:eastAsia="en-US"/>
        </w:rPr>
        <w:t xml:space="preserve"> </w:t>
      </w:r>
      <w:hyperlink r:id="rId12">
        <w:r w:rsidRPr="00821929">
          <w:rPr>
            <w:rFonts w:eastAsia="Arial" w:cs="Arial"/>
            <w:color w:val="E20817"/>
            <w:kern w:val="0"/>
            <w:lang w:val="en-US" w:eastAsia="en-US"/>
          </w:rPr>
          <w:t>conventions of the International Labour Organization</w:t>
        </w:r>
      </w:hyperlink>
      <w:r w:rsidRPr="00821929">
        <w:rPr>
          <w:rFonts w:eastAsia="Arial" w:cs="Arial"/>
          <w:kern w:val="0"/>
          <w:lang w:val="en-US" w:eastAsia="en-US"/>
        </w:rPr>
        <w:t>,</w:t>
      </w:r>
      <w:r w:rsidRPr="00821929">
        <w:rPr>
          <w:rFonts w:eastAsia="Arial" w:cs="Arial"/>
          <w:color w:val="E20817"/>
          <w:kern w:val="0"/>
          <w:lang w:val="en-US" w:eastAsia="en-US"/>
        </w:rPr>
        <w:t xml:space="preserve"> </w:t>
      </w:r>
      <w:r w:rsidRPr="00821929">
        <w:rPr>
          <w:rFonts w:eastAsia="Arial" w:cs="Arial"/>
          <w:kern w:val="0"/>
          <w:lang w:val="en-US" w:eastAsia="en-US"/>
        </w:rPr>
        <w:t xml:space="preserve">the United Nations </w:t>
      </w:r>
      <w:hyperlink r:id="rId13">
        <w:r w:rsidRPr="00821929">
          <w:rPr>
            <w:rFonts w:eastAsia="Arial" w:cs="Arial"/>
            <w:color w:val="E20817"/>
            <w:kern w:val="0"/>
            <w:lang w:val="en-US" w:eastAsia="en-US"/>
          </w:rPr>
          <w:t>Guiding Principles on Business</w:t>
        </w:r>
      </w:hyperlink>
      <w:r w:rsidRPr="00821929">
        <w:rPr>
          <w:rFonts w:eastAsia="Arial" w:cs="Arial"/>
          <w:color w:val="E20817"/>
          <w:kern w:val="0"/>
          <w:lang w:val="en-US" w:eastAsia="en-US"/>
        </w:rPr>
        <w:t xml:space="preserve"> </w:t>
      </w:r>
      <w:hyperlink r:id="rId14">
        <w:r w:rsidRPr="00821929">
          <w:rPr>
            <w:rFonts w:eastAsia="Arial" w:cs="Arial"/>
            <w:color w:val="E20817"/>
            <w:kern w:val="0"/>
            <w:lang w:val="en-US" w:eastAsia="en-US"/>
          </w:rPr>
          <w:t>and Human Rights</w:t>
        </w:r>
      </w:hyperlink>
      <w:r w:rsidRPr="00821929">
        <w:rPr>
          <w:rFonts w:eastAsia="Arial" w:cs="Arial"/>
          <w:color w:val="E20817"/>
          <w:kern w:val="0"/>
          <w:lang w:val="en-US" w:eastAsia="en-US"/>
        </w:rPr>
        <w:t xml:space="preserve"> </w:t>
      </w:r>
      <w:r w:rsidRPr="00821929">
        <w:rPr>
          <w:rFonts w:eastAsia="Arial" w:cs="Arial"/>
          <w:kern w:val="0"/>
          <w:lang w:val="en-US" w:eastAsia="en-US"/>
        </w:rPr>
        <w:t xml:space="preserve">and the </w:t>
      </w:r>
      <w:hyperlink r:id="rId15" w:history="1">
        <w:r w:rsidRPr="00821929">
          <w:rPr>
            <w:rFonts w:eastAsia="Arial" w:cs="Arial"/>
            <w:color w:val="E20817"/>
            <w:kern w:val="0"/>
            <w:lang w:val="en-US" w:eastAsia="en-US"/>
          </w:rPr>
          <w:t>Queensland Government’s commitment to eliminating modern slavery in government supply chains</w:t>
        </w:r>
      </w:hyperlink>
      <w:r w:rsidRPr="00BC553E">
        <w:rPr>
          <w:rFonts w:eastAsia="Arial" w:cs="Arial"/>
          <w:kern w:val="0"/>
          <w:lang w:val="en-US" w:eastAsia="en-US"/>
        </w:rPr>
        <w:t>.</w:t>
      </w:r>
    </w:p>
    <w:p w14:paraId="4914C414" w14:textId="77777777" w:rsidR="00BC553E" w:rsidRPr="00BC553E" w:rsidRDefault="00BC553E" w:rsidP="002D5255">
      <w:pPr>
        <w:widowControl w:val="0"/>
        <w:autoSpaceDE w:val="0"/>
        <w:autoSpaceDN w:val="0"/>
        <w:spacing w:after="120"/>
        <w:ind w:right="56"/>
        <w:rPr>
          <w:rFonts w:eastAsia="Arial" w:cs="Arial"/>
          <w:kern w:val="0"/>
          <w:lang w:val="en-US" w:eastAsia="en-US"/>
        </w:rPr>
      </w:pPr>
      <w:r w:rsidRPr="00BC553E">
        <w:rPr>
          <w:rFonts w:cs="Arial"/>
        </w:rPr>
        <w:t>The</w:t>
      </w:r>
      <w:r w:rsidRPr="00BC553E">
        <w:rPr>
          <w:rFonts w:eastAsia="Arial" w:cs="Arial"/>
          <w:kern w:val="0"/>
          <w:lang w:val="en-US" w:eastAsia="en-US"/>
        </w:rPr>
        <w:t xml:space="preserve"> purpose of this Griffith Modern Slavery Supplier Assessment and Management Procedure is to support stakeholders involved in sourcing events and contract management to take a risk-based approach to identifying, assessing, and working with suppliers to respond to the risk of harm to people across our supply chains. This process applies to Griffith’s Tier 1 suppliers (these are Griffith’s direct suppliers of goods/services). In future, this may extend to other tiers within our supply chain.</w:t>
      </w:r>
    </w:p>
    <w:p w14:paraId="3CB31F76" w14:textId="27008250" w:rsidR="00BC553E" w:rsidRPr="00BC553E" w:rsidRDefault="00BC553E" w:rsidP="002D5255">
      <w:pPr>
        <w:widowControl w:val="0"/>
        <w:autoSpaceDE w:val="0"/>
        <w:autoSpaceDN w:val="0"/>
        <w:spacing w:after="120"/>
        <w:ind w:left="17" w:right="56"/>
        <w:rPr>
          <w:rFonts w:eastAsia="Arial" w:cs="Arial"/>
          <w:kern w:val="0"/>
          <w:lang w:val="en-US" w:eastAsia="en-US"/>
        </w:rPr>
      </w:pPr>
      <w:r w:rsidRPr="00BC553E">
        <w:rPr>
          <w:rFonts w:eastAsia="Arial" w:cs="Arial"/>
          <w:kern w:val="0"/>
          <w:lang w:val="en-US" w:eastAsia="en-US"/>
        </w:rPr>
        <w:t xml:space="preserve">This Procedure should be used in conjunction with the </w:t>
      </w:r>
      <w:hyperlink r:id="rId16" w:history="1">
        <w:r w:rsidRPr="00BC553E">
          <w:rPr>
            <w:rFonts w:eastAsia="Arial" w:cs="Arial"/>
            <w:color w:val="E20817"/>
            <w:kern w:val="0"/>
            <w:u w:color="E20817"/>
            <w:lang w:val="en-US" w:eastAsia="en-US"/>
          </w:rPr>
          <w:t xml:space="preserve">Informed 365 </w:t>
        </w:r>
        <w:r w:rsidR="00945480">
          <w:rPr>
            <w:rFonts w:eastAsia="Arial" w:cs="Arial"/>
            <w:color w:val="E20817"/>
            <w:kern w:val="0"/>
            <w:u w:color="E20817"/>
            <w:lang w:val="en-US" w:eastAsia="en-US"/>
          </w:rPr>
          <w:t>Platform</w:t>
        </w:r>
      </w:hyperlink>
      <w:r w:rsidRPr="00BC553E">
        <w:rPr>
          <w:rFonts w:eastAsia="Arial" w:cs="Arial"/>
          <w:kern w:val="0"/>
          <w:lang w:val="en-US" w:eastAsia="en-US"/>
        </w:rPr>
        <w:t xml:space="preserve">, a cloud-based </w:t>
      </w:r>
      <w:r w:rsidR="00945480">
        <w:rPr>
          <w:rFonts w:eastAsia="Arial" w:cs="Arial"/>
          <w:kern w:val="0"/>
          <w:lang w:val="en-US" w:eastAsia="en-US"/>
        </w:rPr>
        <w:t>solution</w:t>
      </w:r>
      <w:r w:rsidRPr="00BC553E">
        <w:rPr>
          <w:rFonts w:eastAsia="Arial" w:cs="Arial"/>
          <w:kern w:val="0"/>
          <w:lang w:val="en-US" w:eastAsia="en-US"/>
        </w:rPr>
        <w:t xml:space="preserve"> chosen by Griffith to </w:t>
      </w:r>
      <w:r w:rsidR="00945480">
        <w:rPr>
          <w:rFonts w:eastAsia="Arial" w:cs="Arial"/>
          <w:kern w:val="0"/>
          <w:lang w:val="en-US" w:eastAsia="en-US"/>
        </w:rPr>
        <w:t>assess</w:t>
      </w:r>
      <w:r w:rsidRPr="00BC553E">
        <w:rPr>
          <w:rFonts w:eastAsia="Arial" w:cs="Arial"/>
          <w:kern w:val="0"/>
          <w:lang w:val="en-US" w:eastAsia="en-US"/>
        </w:rPr>
        <w:t xml:space="preserve"> and engage with suppliers, prioritise tasks, </w:t>
      </w:r>
      <w:proofErr w:type="gramStart"/>
      <w:r w:rsidRPr="00BC553E">
        <w:rPr>
          <w:rFonts w:eastAsia="Arial" w:cs="Arial"/>
          <w:kern w:val="0"/>
          <w:lang w:val="en-US" w:eastAsia="en-US"/>
        </w:rPr>
        <w:t>track</w:t>
      </w:r>
      <w:proofErr w:type="gramEnd"/>
      <w:r w:rsidRPr="00BC553E">
        <w:rPr>
          <w:rFonts w:eastAsia="Arial" w:cs="Arial"/>
          <w:kern w:val="0"/>
          <w:lang w:val="en-US" w:eastAsia="en-US"/>
        </w:rPr>
        <w:t xml:space="preserve"> and report on progress. </w:t>
      </w:r>
    </w:p>
    <w:p w14:paraId="3ECAD6CC" w14:textId="77777777" w:rsidR="00BC553E" w:rsidRPr="00BC553E" w:rsidRDefault="00BC553E" w:rsidP="002D5255">
      <w:pPr>
        <w:widowControl w:val="0"/>
        <w:autoSpaceDE w:val="0"/>
        <w:autoSpaceDN w:val="0"/>
        <w:spacing w:after="120"/>
        <w:ind w:left="17" w:right="56"/>
        <w:rPr>
          <w:rFonts w:eastAsia="Arial" w:cs="Arial"/>
          <w:kern w:val="0"/>
          <w:lang w:val="en-US" w:eastAsia="en-US"/>
        </w:rPr>
      </w:pPr>
      <w:bookmarkStart w:id="1" w:name="_bookmark1"/>
      <w:bookmarkEnd w:id="1"/>
      <w:r w:rsidRPr="00BC553E">
        <w:rPr>
          <w:rFonts w:eastAsia="Arial" w:cs="Arial"/>
          <w:kern w:val="0"/>
          <w:lang w:val="en-US" w:eastAsia="en-US"/>
        </w:rPr>
        <w:t>Recognising that modern slavery is a global, evolving issue affecting all sectors and industries, this Procedure will be reviewed annually and updated in alignment with Griffith’s commitment to continuous improvement.</w:t>
      </w:r>
    </w:p>
    <w:p w14:paraId="7F0EA822" w14:textId="07CBBBFC" w:rsidR="00A144B2" w:rsidRPr="00237AB3" w:rsidRDefault="00A144B2" w:rsidP="002D5255">
      <w:pPr>
        <w:pStyle w:val="Heading2"/>
        <w:ind w:right="56"/>
        <w:rPr>
          <w:rFonts w:ascii="Griffith Sans Text" w:hAnsi="Griffith Sans Text"/>
        </w:rPr>
      </w:pPr>
      <w:r w:rsidRPr="00237AB3">
        <w:rPr>
          <w:rFonts w:ascii="Griffith Sans Text" w:hAnsi="Griffith Sans Text"/>
        </w:rPr>
        <w:t>2.0 Scope</w:t>
      </w:r>
    </w:p>
    <w:p w14:paraId="32381DE0" w14:textId="2C5B4A1D" w:rsidR="00A144B2" w:rsidRPr="00BC553E" w:rsidRDefault="00BC553E" w:rsidP="002D5255">
      <w:pPr>
        <w:spacing w:after="120"/>
        <w:ind w:right="56"/>
        <w:rPr>
          <w:rFonts w:eastAsia="Arial" w:cs="Arial"/>
          <w:kern w:val="0"/>
          <w:lang w:val="en-US" w:eastAsia="en-US"/>
        </w:rPr>
      </w:pPr>
      <w:r w:rsidRPr="00BC553E">
        <w:rPr>
          <w:rFonts w:eastAsia="Arial" w:cs="Arial"/>
          <w:kern w:val="0"/>
          <w:lang w:val="en-US" w:eastAsia="en-US"/>
        </w:rPr>
        <w:t>This procedure applies to all staff involved in sourcing events and contract management activities on behalf of Griffith</w:t>
      </w:r>
      <w:r>
        <w:rPr>
          <w:rFonts w:eastAsia="Arial" w:cs="Arial"/>
          <w:kern w:val="0"/>
          <w:lang w:val="en-US" w:eastAsia="en-US"/>
        </w:rPr>
        <w:t>.</w:t>
      </w:r>
    </w:p>
    <w:p w14:paraId="738A9BC3" w14:textId="48FE5F59" w:rsidR="00A144B2" w:rsidRPr="00237AB3" w:rsidRDefault="00A144B2" w:rsidP="002D5255">
      <w:pPr>
        <w:pStyle w:val="Heading2"/>
        <w:ind w:right="56"/>
        <w:rPr>
          <w:rFonts w:ascii="Griffith Sans Text" w:hAnsi="Griffith Sans Text"/>
        </w:rPr>
      </w:pPr>
      <w:r w:rsidRPr="00237AB3">
        <w:rPr>
          <w:rFonts w:ascii="Griffith Sans Text" w:hAnsi="Griffith Sans Text"/>
        </w:rPr>
        <w:t xml:space="preserve">3.0 </w:t>
      </w:r>
      <w:r w:rsidR="007418A5" w:rsidRPr="00237AB3">
        <w:rPr>
          <w:rFonts w:ascii="Griffith Sans Text" w:hAnsi="Griffith Sans Text"/>
        </w:rPr>
        <w:t>Procedure</w:t>
      </w:r>
    </w:p>
    <w:p w14:paraId="301FA844" w14:textId="7BE5E3EC" w:rsidR="00A144B2" w:rsidRPr="001520D3" w:rsidRDefault="00A144B2" w:rsidP="002D5255">
      <w:pPr>
        <w:pStyle w:val="Heading3"/>
        <w:ind w:left="567" w:right="56"/>
        <w:rPr>
          <w:rFonts w:ascii="Griffith Sans Text" w:hAnsi="Griffith Sans Text"/>
        </w:rPr>
      </w:pPr>
      <w:r w:rsidRPr="001520D3">
        <w:rPr>
          <w:rFonts w:ascii="Griffith Sans Text" w:hAnsi="Griffith Sans Text"/>
        </w:rPr>
        <w:t>3.1</w:t>
      </w:r>
      <w:r w:rsidR="0072100B">
        <w:rPr>
          <w:rFonts w:ascii="Griffith Sans Text" w:hAnsi="Griffith Sans Text"/>
        </w:rPr>
        <w:t xml:space="preserve"> Process overview</w:t>
      </w:r>
    </w:p>
    <w:p w14:paraId="77758132" w14:textId="2A63B08E" w:rsidR="00D46589" w:rsidRDefault="00D46589" w:rsidP="002D5255">
      <w:pPr>
        <w:spacing w:after="120"/>
        <w:ind w:left="567" w:right="56"/>
        <w:rPr>
          <w:rFonts w:eastAsia="Arial" w:cs="Arial"/>
          <w:kern w:val="0"/>
          <w:lang w:val="en-US" w:eastAsia="en-US"/>
        </w:rPr>
      </w:pPr>
      <w:r>
        <w:rPr>
          <w:rFonts w:eastAsia="Arial" w:cs="Arial"/>
          <w:kern w:val="0"/>
          <w:lang w:val="en-US" w:eastAsia="en-US"/>
        </w:rPr>
        <w:t>As illustrated in figure 1 below, t</w:t>
      </w:r>
      <w:r w:rsidR="0072100B" w:rsidRPr="0072100B">
        <w:rPr>
          <w:rFonts w:eastAsia="Arial" w:cs="Arial"/>
          <w:kern w:val="0"/>
          <w:lang w:val="en-US" w:eastAsia="en-US"/>
        </w:rPr>
        <w:t>his 3-step process aligns and intersects with Griffith’s</w:t>
      </w:r>
      <w:r w:rsidR="003B6A15">
        <w:rPr>
          <w:rFonts w:eastAsia="Arial" w:cs="Arial"/>
          <w:kern w:val="0"/>
          <w:lang w:val="en-US" w:eastAsia="en-US"/>
        </w:rPr>
        <w:t xml:space="preserve"> guidelines for</w:t>
      </w:r>
      <w:r>
        <w:rPr>
          <w:rFonts w:eastAsia="Arial" w:cs="Arial"/>
          <w:kern w:val="0"/>
          <w:lang w:val="en-US" w:eastAsia="en-US"/>
        </w:rPr>
        <w:t>:</w:t>
      </w:r>
    </w:p>
    <w:p w14:paraId="2C2ACBC2" w14:textId="428ECBB5" w:rsidR="00D46589" w:rsidRDefault="003B6A15" w:rsidP="002D5255">
      <w:pPr>
        <w:pStyle w:val="ListParagraph"/>
        <w:numPr>
          <w:ilvl w:val="0"/>
          <w:numId w:val="11"/>
        </w:numPr>
        <w:spacing w:after="120"/>
        <w:ind w:right="56"/>
        <w:rPr>
          <w:rFonts w:eastAsia="Arial" w:cs="Arial"/>
          <w:kern w:val="0"/>
          <w:lang w:val="en-US" w:eastAsia="en-US"/>
        </w:rPr>
      </w:pPr>
      <w:r>
        <w:rPr>
          <w:rFonts w:eastAsia="Arial" w:cs="Arial"/>
          <w:kern w:val="0"/>
          <w:lang w:val="en-US" w:eastAsia="en-US"/>
        </w:rPr>
        <w:lastRenderedPageBreak/>
        <w:t>Below $450,000 (exc. GST) and Very Low to Medium Risk Sourcing, noting that this process only applies for s</w:t>
      </w:r>
      <w:r w:rsidR="00D46589">
        <w:rPr>
          <w:rFonts w:eastAsia="Arial" w:cs="Arial"/>
          <w:kern w:val="0"/>
          <w:lang w:val="en-US" w:eastAsia="en-US"/>
        </w:rPr>
        <w:t xml:space="preserve">ourcing activities with a total cost equal to or greater than $20,000 </w:t>
      </w:r>
      <w:r>
        <w:rPr>
          <w:rFonts w:eastAsia="Arial" w:cs="Arial"/>
          <w:kern w:val="0"/>
          <w:lang w:val="en-US" w:eastAsia="en-US"/>
        </w:rPr>
        <w:t>and</w:t>
      </w:r>
      <w:r w:rsidR="00D46589">
        <w:rPr>
          <w:rFonts w:eastAsia="Arial" w:cs="Arial"/>
          <w:kern w:val="0"/>
          <w:lang w:val="en-US" w:eastAsia="en-US"/>
        </w:rPr>
        <w:t xml:space="preserve"> a </w:t>
      </w:r>
      <w:r>
        <w:rPr>
          <w:rFonts w:eastAsia="Arial" w:cs="Arial"/>
          <w:kern w:val="0"/>
          <w:lang w:val="en-US" w:eastAsia="en-US"/>
        </w:rPr>
        <w:t>high-risk</w:t>
      </w:r>
      <w:r w:rsidR="00D46589">
        <w:rPr>
          <w:rFonts w:eastAsia="Arial" w:cs="Arial"/>
          <w:kern w:val="0"/>
          <w:lang w:val="en-US" w:eastAsia="en-US"/>
        </w:rPr>
        <w:t xml:space="preserve"> rating.</w:t>
      </w:r>
    </w:p>
    <w:p w14:paraId="0C8D6D49" w14:textId="1129792A" w:rsidR="00D46589" w:rsidRDefault="003B6A15" w:rsidP="002D5255">
      <w:pPr>
        <w:pStyle w:val="ListParagraph"/>
        <w:numPr>
          <w:ilvl w:val="0"/>
          <w:numId w:val="11"/>
        </w:numPr>
        <w:spacing w:after="120"/>
        <w:ind w:right="56"/>
        <w:rPr>
          <w:rFonts w:eastAsia="Arial" w:cs="Arial"/>
          <w:kern w:val="0"/>
          <w:lang w:val="en-US" w:eastAsia="en-US"/>
        </w:rPr>
      </w:pPr>
      <w:r>
        <w:rPr>
          <w:rFonts w:eastAsia="Arial" w:cs="Arial"/>
          <w:kern w:val="0"/>
          <w:lang w:val="en-US" w:eastAsia="en-US"/>
        </w:rPr>
        <w:t>Strategic Sourcing - s</w:t>
      </w:r>
      <w:r w:rsidR="00D46589">
        <w:rPr>
          <w:rFonts w:eastAsia="Arial" w:cs="Arial"/>
          <w:kern w:val="0"/>
          <w:lang w:val="en-US" w:eastAsia="en-US"/>
        </w:rPr>
        <w:t>ourcing activities with a total cost equal to or greater than $450,000 (excluding GST) irrespective of risk rating.</w:t>
      </w:r>
    </w:p>
    <w:p w14:paraId="6C813384" w14:textId="7CF61D96" w:rsidR="00D46589" w:rsidRPr="003B6A15" w:rsidRDefault="003B6A15" w:rsidP="002D5255">
      <w:pPr>
        <w:pStyle w:val="ListParagraph"/>
        <w:numPr>
          <w:ilvl w:val="0"/>
          <w:numId w:val="11"/>
        </w:numPr>
        <w:spacing w:after="120"/>
        <w:ind w:right="56"/>
        <w:rPr>
          <w:rFonts w:eastAsia="Arial" w:cs="Arial"/>
          <w:kern w:val="0"/>
          <w:lang w:val="en-US" w:eastAsia="en-US"/>
        </w:rPr>
      </w:pPr>
      <w:r w:rsidRPr="003B6A15">
        <w:rPr>
          <w:rFonts w:eastAsia="Arial" w:cs="Arial"/>
          <w:kern w:val="0"/>
          <w:lang w:val="en-US" w:eastAsia="en-US"/>
        </w:rPr>
        <w:t>Contract Management.</w:t>
      </w:r>
      <w:r>
        <w:rPr>
          <w:rFonts w:eastAsia="Arial" w:cs="Arial"/>
          <w:kern w:val="0"/>
          <w:lang w:val="en-US" w:eastAsia="en-US"/>
        </w:rPr>
        <w:br/>
      </w:r>
    </w:p>
    <w:p w14:paraId="6F4CAEE2" w14:textId="41815EBF" w:rsidR="000760A1" w:rsidRDefault="0072100B" w:rsidP="002D5255">
      <w:pPr>
        <w:pStyle w:val="NormalWhite"/>
        <w:spacing w:after="120"/>
        <w:ind w:right="56"/>
        <w:jc w:val="left"/>
        <w:rPr>
          <w:rFonts w:cs="Arial"/>
          <w:color w:val="auto"/>
          <w:sz w:val="22"/>
        </w:rPr>
      </w:pPr>
      <w:r>
        <w:rPr>
          <w:rFonts w:cs="Arial"/>
          <w:color w:val="auto"/>
          <w:sz w:val="22"/>
        </w:rPr>
        <w:tab/>
      </w:r>
      <w:r>
        <w:rPr>
          <w:noProof/>
          <w:szCs w:val="20"/>
        </w:rPr>
        <w:drawing>
          <wp:inline distT="0" distB="0" distL="0" distR="0" wp14:anchorId="1B1C99C2" wp14:editId="2A11483A">
            <wp:extent cx="5980430" cy="2999740"/>
            <wp:effectExtent l="19050" t="19050" r="20320" b="10160"/>
            <wp:docPr id="1684468418" name="Picture 16844684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68418" name="Picture 1">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0430" cy="2999740"/>
                    </a:xfrm>
                    <a:prstGeom prst="rect">
                      <a:avLst/>
                    </a:prstGeom>
                    <a:noFill/>
                    <a:ln>
                      <a:solidFill>
                        <a:schemeClr val="bg1">
                          <a:lumMod val="50000"/>
                        </a:schemeClr>
                      </a:solidFill>
                    </a:ln>
                  </pic:spPr>
                </pic:pic>
              </a:graphicData>
            </a:graphic>
          </wp:inline>
        </w:drawing>
      </w:r>
    </w:p>
    <w:p w14:paraId="134B556C" w14:textId="22379E2D" w:rsidR="0072100B" w:rsidRPr="0072100B" w:rsidRDefault="0072100B" w:rsidP="002D5255">
      <w:pPr>
        <w:pStyle w:val="NormalWhite"/>
        <w:spacing w:after="240"/>
        <w:ind w:right="57"/>
        <w:jc w:val="left"/>
        <w:rPr>
          <w:rFonts w:cs="Arial"/>
          <w:color w:val="auto"/>
          <w:sz w:val="18"/>
          <w:szCs w:val="18"/>
        </w:rPr>
      </w:pPr>
      <w:r>
        <w:rPr>
          <w:rFonts w:cs="Arial"/>
          <w:color w:val="auto"/>
          <w:sz w:val="22"/>
        </w:rPr>
        <w:tab/>
      </w:r>
      <w:r w:rsidRPr="0072100B">
        <w:rPr>
          <w:rFonts w:cs="Arial"/>
          <w:i/>
          <w:iCs/>
          <w:color w:val="auto"/>
          <w:sz w:val="18"/>
          <w:szCs w:val="18"/>
        </w:rPr>
        <w:t>Figure 1 – Modern Slavery Risk Assessment and Management Overview</w:t>
      </w:r>
    </w:p>
    <w:p w14:paraId="141D4DBF" w14:textId="3D371B8E" w:rsidR="0059325A" w:rsidRDefault="00A3242E" w:rsidP="002D5255">
      <w:pPr>
        <w:pStyle w:val="Heading4"/>
        <w:ind w:left="851"/>
      </w:pPr>
      <w:r w:rsidRPr="004922AF">
        <w:t>3</w:t>
      </w:r>
      <w:r w:rsidRPr="001A17A0">
        <w:t xml:space="preserve">.1.1 </w:t>
      </w:r>
      <w:r w:rsidR="0072100B" w:rsidRPr="001A17A0">
        <w:t>Step 1: Supplier Assessment</w:t>
      </w:r>
    </w:p>
    <w:p w14:paraId="16CF4A2A" w14:textId="39C4AFC3" w:rsidR="001A17A0" w:rsidRPr="001A17A0" w:rsidRDefault="001A17A0" w:rsidP="002D5255">
      <w:pPr>
        <w:pStyle w:val="Heading5"/>
        <w:ind w:left="851"/>
      </w:pPr>
      <w:r>
        <w:t>3.1.1.1 Short Supplier Assessment Questionnaire (Short SAQ)</w:t>
      </w:r>
    </w:p>
    <w:p w14:paraId="6A323946" w14:textId="0C34BEF6" w:rsidR="001A17A0" w:rsidRPr="0072100B" w:rsidRDefault="0072100B" w:rsidP="002D5255">
      <w:pPr>
        <w:pStyle w:val="BodyText"/>
        <w:tabs>
          <w:tab w:val="left" w:pos="8492"/>
        </w:tabs>
        <w:spacing w:after="120" w:line="276" w:lineRule="auto"/>
        <w:ind w:left="851" w:right="57"/>
        <w:rPr>
          <w:i/>
          <w:color w:val="5B9BD4"/>
          <w:sz w:val="22"/>
          <w:szCs w:val="22"/>
        </w:rPr>
      </w:pPr>
      <w:r w:rsidRPr="0072100B">
        <w:rPr>
          <w:sz w:val="22"/>
          <w:szCs w:val="22"/>
        </w:rPr>
        <w:t xml:space="preserve">As part of the sourcing process, suppliers, including vendors, service providers, and contractors, may be invited to submit an </w:t>
      </w:r>
      <w:r w:rsidR="003B6A15">
        <w:rPr>
          <w:sz w:val="22"/>
          <w:szCs w:val="22"/>
        </w:rPr>
        <w:t>E</w:t>
      </w:r>
      <w:r w:rsidRPr="0072100B">
        <w:rPr>
          <w:sz w:val="22"/>
          <w:szCs w:val="22"/>
        </w:rPr>
        <w:t xml:space="preserve">xpression of </w:t>
      </w:r>
      <w:r w:rsidR="003B6A15">
        <w:rPr>
          <w:sz w:val="22"/>
          <w:szCs w:val="22"/>
        </w:rPr>
        <w:t>I</w:t>
      </w:r>
      <w:r w:rsidRPr="0072100B">
        <w:rPr>
          <w:sz w:val="22"/>
          <w:szCs w:val="22"/>
        </w:rPr>
        <w:t xml:space="preserve">nterest (EOI) or </w:t>
      </w:r>
      <w:r w:rsidR="003B6A15">
        <w:rPr>
          <w:sz w:val="22"/>
          <w:szCs w:val="22"/>
        </w:rPr>
        <w:t>an offer in response to a Request for Quotation (RFQ), Request for Proposal (RFP) or Invitation to Offer (ITO)</w:t>
      </w:r>
      <w:r w:rsidRPr="0072100B">
        <w:rPr>
          <w:sz w:val="22"/>
          <w:szCs w:val="22"/>
        </w:rPr>
        <w:t>. In all these instances, the stakeholder responsible for the sourcing event, should ask suppliers to complete an initial modern slavery Supplier Assessment Questionnaire (</w:t>
      </w:r>
      <w:r w:rsidR="00C77B7A">
        <w:rPr>
          <w:sz w:val="22"/>
          <w:szCs w:val="22"/>
        </w:rPr>
        <w:t>Short</w:t>
      </w:r>
      <w:r w:rsidRPr="0072100B">
        <w:rPr>
          <w:sz w:val="22"/>
          <w:szCs w:val="22"/>
        </w:rPr>
        <w:t xml:space="preserve"> SAQ). </w:t>
      </w:r>
      <w:r w:rsidR="001A17A0" w:rsidRPr="0072100B">
        <w:rPr>
          <w:sz w:val="22"/>
          <w:szCs w:val="22"/>
        </w:rPr>
        <w:t xml:space="preserve">Within the same </w:t>
      </w:r>
      <w:r w:rsidR="00C77B7A">
        <w:rPr>
          <w:sz w:val="22"/>
          <w:szCs w:val="22"/>
        </w:rPr>
        <w:t>Short</w:t>
      </w:r>
      <w:r w:rsidR="001A17A0" w:rsidRPr="0072100B">
        <w:rPr>
          <w:sz w:val="22"/>
          <w:szCs w:val="22"/>
        </w:rPr>
        <w:t xml:space="preserve"> SAQ, suppliers are required to agree to comply with Griffith's Supplier Code of Conduct.</w:t>
      </w:r>
    </w:p>
    <w:p w14:paraId="3EA3EA65" w14:textId="77777777" w:rsidR="001A17A0" w:rsidRDefault="0022568A" w:rsidP="002D5255">
      <w:pPr>
        <w:pStyle w:val="BodyText"/>
        <w:tabs>
          <w:tab w:val="left" w:pos="9214"/>
        </w:tabs>
        <w:spacing w:after="120" w:line="276" w:lineRule="auto"/>
        <w:ind w:left="851" w:right="56"/>
        <w:rPr>
          <w:b/>
          <w:bCs/>
          <w:sz w:val="22"/>
          <w:szCs w:val="22"/>
        </w:rPr>
      </w:pPr>
      <w:r>
        <w:rPr>
          <w:b/>
          <w:bCs/>
          <w:sz w:val="22"/>
          <w:szCs w:val="22"/>
        </w:rPr>
        <w:t>NOTE</w:t>
      </w:r>
      <w:r w:rsidR="001A17A0">
        <w:rPr>
          <w:b/>
          <w:bCs/>
          <w:sz w:val="22"/>
          <w:szCs w:val="22"/>
        </w:rPr>
        <w:t>S</w:t>
      </w:r>
      <w:r>
        <w:rPr>
          <w:b/>
          <w:bCs/>
          <w:sz w:val="22"/>
          <w:szCs w:val="22"/>
        </w:rPr>
        <w:t xml:space="preserve">: </w:t>
      </w:r>
    </w:p>
    <w:p w14:paraId="36D45E24" w14:textId="46768C1A" w:rsidR="001A17A0" w:rsidRPr="00D9617E" w:rsidRDefault="001A17A0" w:rsidP="00D9617E">
      <w:pPr>
        <w:pStyle w:val="BodyText"/>
        <w:numPr>
          <w:ilvl w:val="0"/>
          <w:numId w:val="12"/>
        </w:numPr>
        <w:tabs>
          <w:tab w:val="left" w:pos="8492"/>
        </w:tabs>
        <w:spacing w:after="120" w:line="276" w:lineRule="auto"/>
        <w:ind w:right="57"/>
        <w:rPr>
          <w:color w:val="E20817"/>
          <w:sz w:val="22"/>
          <w:szCs w:val="22"/>
          <w:u w:color="E20817"/>
        </w:rPr>
      </w:pPr>
      <w:r w:rsidRPr="0072100B">
        <w:rPr>
          <w:sz w:val="22"/>
          <w:szCs w:val="22"/>
        </w:rPr>
        <w:t xml:space="preserve">The link </w:t>
      </w:r>
      <w:r w:rsidR="00D9617E">
        <w:rPr>
          <w:sz w:val="22"/>
          <w:szCs w:val="22"/>
        </w:rPr>
        <w:t xml:space="preserve">to the Short SAQ is included in the </w:t>
      </w:r>
      <w:hyperlink r:id="rId18" w:history="1">
        <w:r w:rsidR="00D9617E" w:rsidRPr="00D9617E">
          <w:rPr>
            <w:color w:val="E20817"/>
            <w:sz w:val="22"/>
            <w:szCs w:val="22"/>
            <w:u w:color="E20817"/>
          </w:rPr>
          <w:t>Request for Quotation Part B Supplier Response Schedule - General Goods and Services</w:t>
        </w:r>
      </w:hyperlink>
      <w:r w:rsidR="00D9617E">
        <w:rPr>
          <w:color w:val="E20817"/>
          <w:sz w:val="22"/>
          <w:szCs w:val="22"/>
          <w:u w:color="E20817"/>
        </w:rPr>
        <w:t>.</w:t>
      </w:r>
    </w:p>
    <w:p w14:paraId="057FBFDE" w14:textId="77777777" w:rsidR="00945480" w:rsidRDefault="00945480" w:rsidP="00945480">
      <w:pPr>
        <w:pStyle w:val="BodyText"/>
        <w:numPr>
          <w:ilvl w:val="0"/>
          <w:numId w:val="12"/>
        </w:numPr>
        <w:tabs>
          <w:tab w:val="left" w:pos="9214"/>
        </w:tabs>
        <w:spacing w:after="120" w:line="276" w:lineRule="auto"/>
        <w:ind w:right="56"/>
        <w:rPr>
          <w:sz w:val="22"/>
          <w:szCs w:val="22"/>
        </w:rPr>
      </w:pPr>
      <w:r w:rsidRPr="009866E8">
        <w:rPr>
          <w:sz w:val="22"/>
          <w:szCs w:val="22"/>
        </w:rPr>
        <w:t xml:space="preserve">Suppliers who are already registered on the </w:t>
      </w:r>
      <w:hyperlink r:id="rId19" w:history="1">
        <w:r w:rsidRPr="00BC553E">
          <w:rPr>
            <w:color w:val="E20817"/>
            <w:sz w:val="22"/>
            <w:szCs w:val="22"/>
            <w:u w:color="E20817"/>
          </w:rPr>
          <w:t xml:space="preserve">Informed 365 </w:t>
        </w:r>
        <w:r>
          <w:rPr>
            <w:color w:val="E20817"/>
            <w:sz w:val="22"/>
            <w:szCs w:val="22"/>
            <w:u w:color="E20817"/>
          </w:rPr>
          <w:t>Platform</w:t>
        </w:r>
      </w:hyperlink>
      <w:r>
        <w:rPr>
          <w:color w:val="E20817"/>
          <w:sz w:val="22"/>
          <w:szCs w:val="22"/>
          <w:u w:color="E20817"/>
        </w:rPr>
        <w:t xml:space="preserve"> </w:t>
      </w:r>
      <w:r w:rsidRPr="009866E8">
        <w:rPr>
          <w:sz w:val="22"/>
          <w:szCs w:val="22"/>
        </w:rPr>
        <w:t xml:space="preserve">and have been assessed within the last 12 months, will not be required to complete the </w:t>
      </w:r>
      <w:r>
        <w:rPr>
          <w:sz w:val="22"/>
          <w:szCs w:val="22"/>
        </w:rPr>
        <w:t>Short</w:t>
      </w:r>
      <w:r w:rsidRPr="009866E8">
        <w:rPr>
          <w:sz w:val="22"/>
          <w:szCs w:val="22"/>
        </w:rPr>
        <w:t xml:space="preserve"> SAQ. </w:t>
      </w:r>
    </w:p>
    <w:p w14:paraId="01D4D921" w14:textId="3FD3566A" w:rsidR="0022568A" w:rsidRPr="009866E8" w:rsidRDefault="001A17A0" w:rsidP="002D5255">
      <w:pPr>
        <w:pStyle w:val="BodyText"/>
        <w:numPr>
          <w:ilvl w:val="0"/>
          <w:numId w:val="12"/>
        </w:numPr>
        <w:tabs>
          <w:tab w:val="left" w:pos="9214"/>
        </w:tabs>
        <w:spacing w:after="120" w:line="276" w:lineRule="auto"/>
        <w:ind w:right="56"/>
        <w:rPr>
          <w:sz w:val="22"/>
          <w:szCs w:val="22"/>
        </w:rPr>
      </w:pPr>
      <w:r w:rsidRPr="009866E8">
        <w:rPr>
          <w:sz w:val="22"/>
          <w:szCs w:val="22"/>
        </w:rPr>
        <w:t xml:space="preserve">To gain access and receive training on the </w:t>
      </w:r>
      <w:r w:rsidR="00945480">
        <w:rPr>
          <w:sz w:val="22"/>
          <w:szCs w:val="22"/>
        </w:rPr>
        <w:t>Platform</w:t>
      </w:r>
      <w:r w:rsidRPr="009866E8">
        <w:rPr>
          <w:sz w:val="22"/>
          <w:szCs w:val="22"/>
        </w:rPr>
        <w:t xml:space="preserve">, contact </w:t>
      </w:r>
      <w:hyperlink r:id="rId20" w:history="1">
        <w:r w:rsidRPr="009866E8">
          <w:rPr>
            <w:rStyle w:val="Hyperlink"/>
            <w:sz w:val="22"/>
            <w:szCs w:val="22"/>
          </w:rPr>
          <w:t>procurement@griffith.edu.au</w:t>
        </w:r>
      </w:hyperlink>
    </w:p>
    <w:p w14:paraId="7E734D18" w14:textId="77777777" w:rsidR="008D45BC" w:rsidRDefault="008D45BC" w:rsidP="002D5255">
      <w:pPr>
        <w:pStyle w:val="BodyText"/>
        <w:tabs>
          <w:tab w:val="left" w:pos="8492"/>
        </w:tabs>
        <w:spacing w:after="120" w:line="276" w:lineRule="auto"/>
        <w:ind w:left="851" w:right="57"/>
        <w:rPr>
          <w:sz w:val="22"/>
          <w:szCs w:val="22"/>
        </w:rPr>
      </w:pPr>
    </w:p>
    <w:p w14:paraId="7752D6AA" w14:textId="073ACA5C" w:rsidR="0072100B" w:rsidRPr="0072100B" w:rsidRDefault="0072100B" w:rsidP="00945480">
      <w:pPr>
        <w:pStyle w:val="BodyText"/>
        <w:tabs>
          <w:tab w:val="left" w:pos="8492"/>
        </w:tabs>
        <w:spacing w:after="120" w:line="276" w:lineRule="auto"/>
        <w:ind w:left="851" w:right="57"/>
        <w:rPr>
          <w:i/>
          <w:color w:val="5B9BD4"/>
          <w:sz w:val="22"/>
          <w:szCs w:val="22"/>
        </w:rPr>
      </w:pPr>
      <w:r w:rsidRPr="0072100B">
        <w:rPr>
          <w:sz w:val="22"/>
          <w:szCs w:val="22"/>
        </w:rPr>
        <w:lastRenderedPageBreak/>
        <w:t xml:space="preserve">As part of the contract management process, suppliers with an existing contract may also be invited to complete the </w:t>
      </w:r>
      <w:r w:rsidR="00C77B7A">
        <w:rPr>
          <w:sz w:val="22"/>
          <w:szCs w:val="22"/>
        </w:rPr>
        <w:t>Short</w:t>
      </w:r>
      <w:r w:rsidRPr="0072100B">
        <w:rPr>
          <w:sz w:val="22"/>
          <w:szCs w:val="22"/>
        </w:rPr>
        <w:t xml:space="preserve"> SAQ on the </w:t>
      </w:r>
      <w:r w:rsidR="003B6A15" w:rsidRPr="00BC553E">
        <w:rPr>
          <w:sz w:val="22"/>
          <w:szCs w:val="22"/>
        </w:rPr>
        <w:t xml:space="preserve">Informed 365 </w:t>
      </w:r>
      <w:r w:rsidR="00945480">
        <w:rPr>
          <w:sz w:val="22"/>
          <w:szCs w:val="22"/>
        </w:rPr>
        <w:t>Platform</w:t>
      </w:r>
      <w:r w:rsidR="003B6A15">
        <w:rPr>
          <w:color w:val="E20817"/>
          <w:sz w:val="22"/>
          <w:szCs w:val="22"/>
          <w:u w:color="E20817"/>
        </w:rPr>
        <w:t xml:space="preserve"> </w:t>
      </w:r>
      <w:r w:rsidRPr="0072100B">
        <w:rPr>
          <w:sz w:val="22"/>
          <w:szCs w:val="22"/>
        </w:rPr>
        <w:t>if they fall in a spend category at high risk of modern slavery, namely:</w:t>
      </w:r>
    </w:p>
    <w:p w14:paraId="4002235B" w14:textId="77777777" w:rsidR="0072100B" w:rsidRPr="0072100B" w:rsidRDefault="0072100B" w:rsidP="002D5255">
      <w:pPr>
        <w:pStyle w:val="NormalWhite"/>
        <w:numPr>
          <w:ilvl w:val="0"/>
          <w:numId w:val="9"/>
        </w:numPr>
        <w:spacing w:after="120"/>
        <w:ind w:left="1208" w:right="57" w:hanging="357"/>
        <w:jc w:val="left"/>
        <w:rPr>
          <w:rFonts w:cs="Arial"/>
          <w:color w:val="auto"/>
          <w:sz w:val="22"/>
        </w:rPr>
      </w:pPr>
      <w:r w:rsidRPr="0072100B">
        <w:rPr>
          <w:rFonts w:cs="Arial"/>
          <w:color w:val="auto"/>
          <w:sz w:val="22"/>
        </w:rPr>
        <w:t>Building &amp; grounds.</w:t>
      </w:r>
    </w:p>
    <w:p w14:paraId="2D132D9B" w14:textId="77777777" w:rsidR="0072100B" w:rsidRPr="0072100B" w:rsidRDefault="0072100B" w:rsidP="002D5255">
      <w:pPr>
        <w:pStyle w:val="NormalWhite"/>
        <w:numPr>
          <w:ilvl w:val="0"/>
          <w:numId w:val="9"/>
        </w:numPr>
        <w:spacing w:after="120"/>
        <w:ind w:left="1208" w:right="57" w:hanging="357"/>
        <w:jc w:val="left"/>
        <w:rPr>
          <w:rFonts w:cs="Arial"/>
          <w:color w:val="auto"/>
          <w:sz w:val="22"/>
        </w:rPr>
      </w:pPr>
      <w:r w:rsidRPr="0072100B">
        <w:rPr>
          <w:rFonts w:cs="Arial"/>
          <w:color w:val="auto"/>
          <w:sz w:val="22"/>
        </w:rPr>
        <w:t>Construction refurbishment &amp; works.</w:t>
      </w:r>
    </w:p>
    <w:p w14:paraId="53C95B17" w14:textId="77777777" w:rsidR="0072100B" w:rsidRPr="0072100B" w:rsidRDefault="0072100B" w:rsidP="002D5255">
      <w:pPr>
        <w:pStyle w:val="NormalWhite"/>
        <w:numPr>
          <w:ilvl w:val="0"/>
          <w:numId w:val="9"/>
        </w:numPr>
        <w:spacing w:after="120"/>
        <w:ind w:left="1208" w:right="57" w:hanging="357"/>
        <w:jc w:val="left"/>
        <w:rPr>
          <w:rFonts w:cs="Arial"/>
          <w:color w:val="auto"/>
          <w:sz w:val="22"/>
        </w:rPr>
      </w:pPr>
      <w:r w:rsidRPr="0072100B">
        <w:rPr>
          <w:rFonts w:cs="Arial"/>
          <w:color w:val="auto"/>
          <w:sz w:val="22"/>
        </w:rPr>
        <w:t>Property Management.</w:t>
      </w:r>
    </w:p>
    <w:p w14:paraId="6EB85BA4" w14:textId="77777777" w:rsidR="0072100B" w:rsidRPr="0072100B" w:rsidRDefault="0072100B" w:rsidP="002D5255">
      <w:pPr>
        <w:pStyle w:val="NormalWhite"/>
        <w:numPr>
          <w:ilvl w:val="0"/>
          <w:numId w:val="9"/>
        </w:numPr>
        <w:spacing w:after="120"/>
        <w:ind w:left="1208" w:right="57" w:hanging="357"/>
        <w:jc w:val="left"/>
        <w:rPr>
          <w:rFonts w:cs="Arial"/>
          <w:color w:val="auto"/>
          <w:sz w:val="22"/>
        </w:rPr>
      </w:pPr>
      <w:r w:rsidRPr="0072100B">
        <w:rPr>
          <w:rFonts w:cs="Arial"/>
          <w:color w:val="auto"/>
          <w:sz w:val="22"/>
        </w:rPr>
        <w:t>IT hardware and audiovisual.</w:t>
      </w:r>
    </w:p>
    <w:p w14:paraId="31A09E10" w14:textId="77777777" w:rsidR="0072100B" w:rsidRPr="0072100B" w:rsidRDefault="0072100B" w:rsidP="002D5255">
      <w:pPr>
        <w:pStyle w:val="NormalWhite"/>
        <w:numPr>
          <w:ilvl w:val="0"/>
          <w:numId w:val="9"/>
        </w:numPr>
        <w:spacing w:after="120"/>
        <w:ind w:left="1208" w:right="57" w:hanging="357"/>
        <w:jc w:val="left"/>
        <w:rPr>
          <w:rFonts w:cs="Arial"/>
          <w:color w:val="auto"/>
          <w:sz w:val="22"/>
        </w:rPr>
      </w:pPr>
      <w:r w:rsidRPr="0072100B">
        <w:rPr>
          <w:rFonts w:cs="Arial"/>
          <w:color w:val="auto"/>
          <w:sz w:val="22"/>
        </w:rPr>
        <w:t>Laboratory and research.</w:t>
      </w:r>
    </w:p>
    <w:p w14:paraId="79DC8C79" w14:textId="77777777" w:rsidR="0072100B" w:rsidRPr="0072100B" w:rsidRDefault="0072100B" w:rsidP="002D5255">
      <w:pPr>
        <w:pStyle w:val="NormalWhite"/>
        <w:numPr>
          <w:ilvl w:val="0"/>
          <w:numId w:val="9"/>
        </w:numPr>
        <w:spacing w:after="120"/>
        <w:ind w:left="1208" w:right="57" w:hanging="357"/>
        <w:jc w:val="left"/>
        <w:rPr>
          <w:rFonts w:cs="Arial"/>
          <w:color w:val="auto"/>
          <w:sz w:val="22"/>
        </w:rPr>
      </w:pPr>
      <w:r w:rsidRPr="0072100B">
        <w:rPr>
          <w:rFonts w:cs="Arial"/>
          <w:color w:val="auto"/>
          <w:sz w:val="22"/>
        </w:rPr>
        <w:t>Travel and entertainment.</w:t>
      </w:r>
    </w:p>
    <w:p w14:paraId="1D05F4CC" w14:textId="77777777" w:rsidR="0072100B" w:rsidRPr="0072100B" w:rsidRDefault="0072100B" w:rsidP="002D5255">
      <w:pPr>
        <w:pStyle w:val="NormalWhite"/>
        <w:numPr>
          <w:ilvl w:val="0"/>
          <w:numId w:val="9"/>
        </w:numPr>
        <w:spacing w:after="120"/>
        <w:ind w:left="1208" w:right="57" w:hanging="357"/>
        <w:jc w:val="left"/>
        <w:rPr>
          <w:rFonts w:cs="Arial"/>
          <w:color w:val="auto"/>
          <w:sz w:val="22"/>
        </w:rPr>
      </w:pPr>
      <w:r w:rsidRPr="0072100B">
        <w:rPr>
          <w:rFonts w:cs="Arial"/>
          <w:color w:val="auto"/>
          <w:sz w:val="22"/>
        </w:rPr>
        <w:t>Office related supply and services.</w:t>
      </w:r>
    </w:p>
    <w:p w14:paraId="74CDB3EC" w14:textId="2C728FE0" w:rsidR="00FE60E5" w:rsidRDefault="00E538B7" w:rsidP="002D5255">
      <w:pPr>
        <w:pStyle w:val="BodyText"/>
        <w:tabs>
          <w:tab w:val="left" w:pos="8492"/>
        </w:tabs>
        <w:spacing w:after="120" w:line="276" w:lineRule="auto"/>
        <w:ind w:left="851" w:right="57"/>
        <w:rPr>
          <w:sz w:val="22"/>
          <w:szCs w:val="22"/>
        </w:rPr>
      </w:pPr>
      <w:r w:rsidRPr="00E538B7">
        <w:rPr>
          <w:color w:val="auto"/>
          <w:sz w:val="22"/>
          <w:szCs w:val="22"/>
        </w:rPr>
        <w:t xml:space="preserve">Upon completion of the </w:t>
      </w:r>
      <w:r w:rsidR="00C77B7A">
        <w:rPr>
          <w:color w:val="auto"/>
          <w:sz w:val="22"/>
          <w:szCs w:val="22"/>
        </w:rPr>
        <w:t>Short</w:t>
      </w:r>
      <w:r w:rsidRPr="00E538B7">
        <w:rPr>
          <w:color w:val="auto"/>
          <w:sz w:val="22"/>
          <w:szCs w:val="22"/>
        </w:rPr>
        <w:t xml:space="preserve"> SAQ, the </w:t>
      </w:r>
      <w:hyperlink r:id="rId21" w:history="1">
        <w:r w:rsidR="003B6A15" w:rsidRPr="00BC553E">
          <w:rPr>
            <w:color w:val="E20817"/>
            <w:sz w:val="22"/>
            <w:szCs w:val="22"/>
            <w:u w:color="E20817"/>
          </w:rPr>
          <w:t xml:space="preserve">Informed 365 </w:t>
        </w:r>
        <w:r w:rsidR="00945480">
          <w:rPr>
            <w:color w:val="E20817"/>
            <w:sz w:val="22"/>
            <w:szCs w:val="22"/>
            <w:u w:color="E20817"/>
          </w:rPr>
          <w:t>Platform</w:t>
        </w:r>
      </w:hyperlink>
      <w:r w:rsidRPr="00E538B7">
        <w:rPr>
          <w:color w:val="auto"/>
          <w:sz w:val="22"/>
          <w:szCs w:val="22"/>
        </w:rPr>
        <w:t xml:space="preserve"> will automatically generate the risk rating, and specific actions should be taken according to the identified risk level: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260"/>
        <w:gridCol w:w="5562"/>
      </w:tblGrid>
      <w:tr w:rsidR="00E538B7" w14:paraId="76A822D4" w14:textId="77777777" w:rsidTr="00AF4D1B">
        <w:tc>
          <w:tcPr>
            <w:tcW w:w="3260" w:type="dxa"/>
          </w:tcPr>
          <w:p w14:paraId="0C4D05EF" w14:textId="496B9B4A" w:rsidR="00E538B7" w:rsidRPr="00C62871" w:rsidRDefault="00E538B7" w:rsidP="002D5255">
            <w:pPr>
              <w:pStyle w:val="Heading4"/>
              <w:spacing w:line="276" w:lineRule="auto"/>
              <w:ind w:left="273" w:right="57"/>
            </w:pPr>
            <w:r>
              <w:t>RISK LEVEL</w:t>
            </w:r>
          </w:p>
        </w:tc>
        <w:tc>
          <w:tcPr>
            <w:tcW w:w="5562" w:type="dxa"/>
          </w:tcPr>
          <w:p w14:paraId="01E952E8" w14:textId="7AFBFD3B" w:rsidR="00E538B7" w:rsidRPr="00786706" w:rsidRDefault="00E538B7" w:rsidP="002D5255">
            <w:pPr>
              <w:pStyle w:val="Heading4"/>
              <w:spacing w:line="276" w:lineRule="auto"/>
              <w:ind w:left="0" w:right="57"/>
              <w:rPr>
                <w:lang w:val="en-GB"/>
              </w:rPr>
            </w:pPr>
            <w:r>
              <w:rPr>
                <w:lang w:val="en-GB"/>
              </w:rPr>
              <w:t>RATING</w:t>
            </w:r>
          </w:p>
        </w:tc>
      </w:tr>
      <w:tr w:rsidR="00E538B7" w14:paraId="1E1E7FF7" w14:textId="77777777" w:rsidTr="00AF4D1B">
        <w:tc>
          <w:tcPr>
            <w:tcW w:w="3260" w:type="dxa"/>
          </w:tcPr>
          <w:p w14:paraId="2B4D1E9F" w14:textId="4FCB05C3" w:rsidR="00E538B7" w:rsidRPr="00C62871" w:rsidRDefault="009866E8" w:rsidP="002D5255">
            <w:pPr>
              <w:pStyle w:val="Heading4"/>
              <w:spacing w:before="120" w:line="276" w:lineRule="auto"/>
              <w:ind w:left="273" w:right="57"/>
            </w:pPr>
            <w:r>
              <w:t>VERY LOW</w:t>
            </w:r>
          </w:p>
        </w:tc>
        <w:tc>
          <w:tcPr>
            <w:tcW w:w="5562" w:type="dxa"/>
          </w:tcPr>
          <w:p w14:paraId="489C7A20" w14:textId="052F7E8F" w:rsidR="00E538B7" w:rsidRPr="004922AF" w:rsidRDefault="009866E8" w:rsidP="002D5255">
            <w:pPr>
              <w:spacing w:after="120" w:line="276" w:lineRule="auto"/>
              <w:ind w:right="57"/>
              <w:rPr>
                <w:rFonts w:cs="Arial"/>
                <w:szCs w:val="28"/>
                <w:lang w:val="en-GB"/>
              </w:rPr>
            </w:pPr>
            <w:r>
              <w:rPr>
                <w:rFonts w:cs="Arial"/>
                <w:szCs w:val="28"/>
                <w:lang w:val="en-GB"/>
              </w:rPr>
              <w:t>Exceeds requirements</w:t>
            </w:r>
          </w:p>
        </w:tc>
      </w:tr>
      <w:tr w:rsidR="00E538B7" w14:paraId="6A7D5DC4" w14:textId="77777777" w:rsidTr="00AF4D1B">
        <w:tc>
          <w:tcPr>
            <w:tcW w:w="3260" w:type="dxa"/>
          </w:tcPr>
          <w:p w14:paraId="131FE8AC" w14:textId="18176B71" w:rsidR="00E538B7" w:rsidRPr="00C62871" w:rsidRDefault="009866E8" w:rsidP="002D5255">
            <w:pPr>
              <w:pStyle w:val="Heading4"/>
              <w:spacing w:before="120" w:line="276" w:lineRule="auto"/>
              <w:ind w:left="273" w:right="57"/>
            </w:pPr>
            <w:r>
              <w:t>LOW</w:t>
            </w:r>
          </w:p>
        </w:tc>
        <w:tc>
          <w:tcPr>
            <w:tcW w:w="5562" w:type="dxa"/>
          </w:tcPr>
          <w:p w14:paraId="4A2DBBF7" w14:textId="4FFDDBB4" w:rsidR="00E538B7" w:rsidRPr="004922AF" w:rsidRDefault="009866E8" w:rsidP="002D5255">
            <w:pPr>
              <w:spacing w:after="120" w:line="276" w:lineRule="auto"/>
              <w:ind w:right="57"/>
              <w:rPr>
                <w:rFonts w:cs="Arial"/>
                <w:szCs w:val="28"/>
                <w:lang w:val="en-GB"/>
              </w:rPr>
            </w:pPr>
            <w:r>
              <w:rPr>
                <w:rFonts w:cs="Arial"/>
                <w:szCs w:val="28"/>
              </w:rPr>
              <w:t>Meets requirements</w:t>
            </w:r>
          </w:p>
        </w:tc>
      </w:tr>
      <w:tr w:rsidR="009866E8" w14:paraId="7CDB43BA" w14:textId="77777777" w:rsidTr="00AF4D1B">
        <w:tc>
          <w:tcPr>
            <w:tcW w:w="3260" w:type="dxa"/>
          </w:tcPr>
          <w:p w14:paraId="106E1BAB" w14:textId="103104F0" w:rsidR="009866E8" w:rsidRDefault="009866E8" w:rsidP="002D5255">
            <w:pPr>
              <w:pStyle w:val="Heading4"/>
              <w:spacing w:before="120" w:line="276" w:lineRule="auto"/>
              <w:ind w:left="273" w:right="57"/>
            </w:pPr>
            <w:r>
              <w:t>MEDIUM</w:t>
            </w:r>
          </w:p>
        </w:tc>
        <w:tc>
          <w:tcPr>
            <w:tcW w:w="5562" w:type="dxa"/>
          </w:tcPr>
          <w:p w14:paraId="6B281C86" w14:textId="7A472BD9" w:rsidR="009866E8" w:rsidRPr="004922AF" w:rsidRDefault="009866E8" w:rsidP="002D5255">
            <w:pPr>
              <w:spacing w:after="120" w:line="276" w:lineRule="auto"/>
              <w:ind w:right="57"/>
              <w:rPr>
                <w:rFonts w:cs="Arial"/>
                <w:szCs w:val="28"/>
              </w:rPr>
            </w:pPr>
            <w:r>
              <w:rPr>
                <w:rFonts w:cs="Arial"/>
                <w:szCs w:val="28"/>
              </w:rPr>
              <w:t>Meets requirements except for minor aspects</w:t>
            </w:r>
          </w:p>
        </w:tc>
      </w:tr>
      <w:tr w:rsidR="009866E8" w14:paraId="39AD23C2" w14:textId="77777777" w:rsidTr="00AF4D1B">
        <w:tc>
          <w:tcPr>
            <w:tcW w:w="3260" w:type="dxa"/>
          </w:tcPr>
          <w:p w14:paraId="70973F67" w14:textId="7B3AC792" w:rsidR="009866E8" w:rsidRDefault="009866E8" w:rsidP="002D5255">
            <w:pPr>
              <w:pStyle w:val="Heading4"/>
              <w:spacing w:before="120" w:line="276" w:lineRule="auto"/>
              <w:ind w:left="273" w:right="57"/>
            </w:pPr>
            <w:r>
              <w:t>HIGH</w:t>
            </w:r>
          </w:p>
        </w:tc>
        <w:tc>
          <w:tcPr>
            <w:tcW w:w="5562" w:type="dxa"/>
          </w:tcPr>
          <w:p w14:paraId="75683459" w14:textId="15E4D360" w:rsidR="009866E8" w:rsidRPr="004922AF" w:rsidRDefault="009866E8" w:rsidP="002D5255">
            <w:pPr>
              <w:spacing w:after="120" w:line="276" w:lineRule="auto"/>
              <w:ind w:right="57"/>
              <w:rPr>
                <w:rFonts w:cs="Arial"/>
                <w:szCs w:val="28"/>
              </w:rPr>
            </w:pPr>
            <w:r>
              <w:rPr>
                <w:rFonts w:cs="Arial"/>
                <w:szCs w:val="28"/>
              </w:rPr>
              <w:t>Does not meet requirements but may be adaptable</w:t>
            </w:r>
          </w:p>
        </w:tc>
      </w:tr>
      <w:tr w:rsidR="009866E8" w14:paraId="24BEA70C" w14:textId="77777777" w:rsidTr="00AF4D1B">
        <w:tc>
          <w:tcPr>
            <w:tcW w:w="3260" w:type="dxa"/>
          </w:tcPr>
          <w:p w14:paraId="1830890C" w14:textId="30539C9B" w:rsidR="009866E8" w:rsidRDefault="009866E8" w:rsidP="002D5255">
            <w:pPr>
              <w:pStyle w:val="Heading4"/>
              <w:spacing w:before="120" w:line="276" w:lineRule="auto"/>
              <w:ind w:left="273" w:right="57"/>
            </w:pPr>
            <w:r>
              <w:t>VERY HIGH</w:t>
            </w:r>
          </w:p>
        </w:tc>
        <w:tc>
          <w:tcPr>
            <w:tcW w:w="5562" w:type="dxa"/>
          </w:tcPr>
          <w:p w14:paraId="190660DC" w14:textId="3260EE8C" w:rsidR="009866E8" w:rsidRPr="004922AF" w:rsidRDefault="009866E8" w:rsidP="002D5255">
            <w:pPr>
              <w:spacing w:after="120" w:line="276" w:lineRule="auto"/>
              <w:ind w:right="57"/>
              <w:rPr>
                <w:rFonts w:cs="Arial"/>
                <w:szCs w:val="28"/>
              </w:rPr>
            </w:pPr>
            <w:r>
              <w:rPr>
                <w:rFonts w:cs="Arial"/>
                <w:szCs w:val="28"/>
              </w:rPr>
              <w:t>Major non-compliance with requirements</w:t>
            </w:r>
          </w:p>
        </w:tc>
      </w:tr>
    </w:tbl>
    <w:p w14:paraId="65D59CEA" w14:textId="254B1C9E" w:rsidR="00E538B7" w:rsidRDefault="009866E8" w:rsidP="002D5255">
      <w:pPr>
        <w:pStyle w:val="BodyText"/>
        <w:tabs>
          <w:tab w:val="left" w:pos="8492"/>
        </w:tabs>
        <w:spacing w:before="168" w:after="240" w:line="276" w:lineRule="auto"/>
        <w:ind w:left="851" w:right="56"/>
        <w:rPr>
          <w:i/>
          <w:iCs/>
          <w:sz w:val="18"/>
          <w:szCs w:val="18"/>
        </w:rPr>
      </w:pPr>
      <w:r w:rsidRPr="009866E8">
        <w:rPr>
          <w:i/>
          <w:iCs/>
          <w:sz w:val="18"/>
          <w:szCs w:val="18"/>
        </w:rPr>
        <w:t>Table 1. Supplier Risk Rating</w:t>
      </w:r>
    </w:p>
    <w:p w14:paraId="26FA71BD" w14:textId="33E6E827" w:rsidR="00252C5C" w:rsidRPr="001A17A0" w:rsidRDefault="00252C5C" w:rsidP="002D5255">
      <w:pPr>
        <w:pStyle w:val="Heading5"/>
        <w:ind w:left="851"/>
      </w:pPr>
      <w:r>
        <w:t>3.1.1.2 Long Supplier Assessment Questionnaire (</w:t>
      </w:r>
      <w:r w:rsidR="00C77B7A">
        <w:t>Long</w:t>
      </w:r>
      <w:r>
        <w:t xml:space="preserve"> SAQ)</w:t>
      </w:r>
    </w:p>
    <w:p w14:paraId="41B2DAF6" w14:textId="094DCB1A" w:rsidR="009866E8" w:rsidRPr="009866E8" w:rsidRDefault="009866E8" w:rsidP="002D5255">
      <w:pPr>
        <w:pStyle w:val="BodyText"/>
        <w:spacing w:after="120" w:line="276" w:lineRule="auto"/>
        <w:ind w:left="851" w:right="56"/>
        <w:rPr>
          <w:sz w:val="22"/>
          <w:szCs w:val="22"/>
        </w:rPr>
      </w:pPr>
      <w:r w:rsidRPr="002D6FF4">
        <w:rPr>
          <w:rFonts w:eastAsiaTheme="minorHAnsi"/>
          <w:sz w:val="22"/>
          <w:szCs w:val="22"/>
          <w:u w:color="F04E45"/>
          <w:lang w:val="en-AU" w:eastAsia="en-AU"/>
        </w:rPr>
        <w:t>Suppliers</w:t>
      </w:r>
      <w:r w:rsidRPr="009866E8">
        <w:rPr>
          <w:sz w:val="22"/>
          <w:szCs w:val="22"/>
        </w:rPr>
        <w:t xml:space="preserve"> with a </w:t>
      </w:r>
      <w:r w:rsidRPr="009866E8">
        <w:rPr>
          <w:b/>
          <w:bCs/>
          <w:sz w:val="22"/>
          <w:szCs w:val="22"/>
        </w:rPr>
        <w:t>very high, high or medium risk rating</w:t>
      </w:r>
      <w:r w:rsidRPr="009866E8">
        <w:rPr>
          <w:sz w:val="22"/>
          <w:szCs w:val="22"/>
        </w:rPr>
        <w:t xml:space="preserve"> </w:t>
      </w:r>
      <w:r w:rsidR="002D5255">
        <w:rPr>
          <w:sz w:val="22"/>
          <w:szCs w:val="22"/>
        </w:rPr>
        <w:t xml:space="preserve">to the </w:t>
      </w:r>
      <w:r w:rsidR="00C77B7A">
        <w:rPr>
          <w:sz w:val="22"/>
          <w:szCs w:val="22"/>
        </w:rPr>
        <w:t>Short</w:t>
      </w:r>
      <w:r w:rsidRPr="009866E8">
        <w:rPr>
          <w:sz w:val="22"/>
          <w:szCs w:val="22"/>
        </w:rPr>
        <w:t xml:space="preserve"> SAQ</w:t>
      </w:r>
      <w:r w:rsidR="002D5255">
        <w:rPr>
          <w:sz w:val="22"/>
          <w:szCs w:val="22"/>
        </w:rPr>
        <w:t xml:space="preserve"> </w:t>
      </w:r>
      <w:r w:rsidRPr="009866E8">
        <w:rPr>
          <w:sz w:val="22"/>
          <w:szCs w:val="22"/>
        </w:rPr>
        <w:t>will be requested to complete a more extensive SAQ (</w:t>
      </w:r>
      <w:r w:rsidR="00C77B7A">
        <w:rPr>
          <w:sz w:val="22"/>
          <w:szCs w:val="22"/>
        </w:rPr>
        <w:t>Long</w:t>
      </w:r>
      <w:r w:rsidRPr="009866E8">
        <w:rPr>
          <w:sz w:val="22"/>
          <w:szCs w:val="22"/>
        </w:rPr>
        <w:t xml:space="preserve"> SAQ), if</w:t>
      </w:r>
      <w:r w:rsidR="003B6A15">
        <w:rPr>
          <w:sz w:val="22"/>
          <w:szCs w:val="22"/>
        </w:rPr>
        <w:t xml:space="preserve"> they are</w:t>
      </w:r>
      <w:r w:rsidRPr="009866E8">
        <w:rPr>
          <w:sz w:val="22"/>
          <w:szCs w:val="22"/>
        </w:rPr>
        <w:t>:</w:t>
      </w:r>
    </w:p>
    <w:p w14:paraId="0586DE45" w14:textId="2B6B8A0B" w:rsidR="009866E8" w:rsidRPr="009866E8" w:rsidRDefault="00C77B7A" w:rsidP="002D5255">
      <w:pPr>
        <w:pStyle w:val="NormalWhite"/>
        <w:numPr>
          <w:ilvl w:val="1"/>
          <w:numId w:val="9"/>
        </w:numPr>
        <w:spacing w:after="120"/>
        <w:ind w:right="56"/>
        <w:jc w:val="left"/>
        <w:rPr>
          <w:rFonts w:cs="Arial"/>
          <w:color w:val="auto"/>
          <w:sz w:val="22"/>
        </w:rPr>
      </w:pPr>
      <w:r>
        <w:rPr>
          <w:rFonts w:cs="Arial"/>
          <w:color w:val="auto"/>
          <w:sz w:val="22"/>
        </w:rPr>
        <w:t>Short</w:t>
      </w:r>
      <w:r w:rsidR="009866E8" w:rsidRPr="009866E8">
        <w:rPr>
          <w:rFonts w:cs="Arial"/>
          <w:color w:val="auto"/>
          <w:sz w:val="22"/>
        </w:rPr>
        <w:t>listed for inclusion as a Panel member (usually EOI); or</w:t>
      </w:r>
    </w:p>
    <w:p w14:paraId="2209BACF" w14:textId="2BB2F0A1" w:rsidR="009866E8" w:rsidRPr="009866E8" w:rsidRDefault="00945480" w:rsidP="002D5255">
      <w:pPr>
        <w:pStyle w:val="NormalWhite"/>
        <w:numPr>
          <w:ilvl w:val="1"/>
          <w:numId w:val="9"/>
        </w:numPr>
        <w:spacing w:after="120"/>
        <w:ind w:right="56"/>
        <w:jc w:val="left"/>
        <w:rPr>
          <w:rFonts w:cs="Arial"/>
          <w:color w:val="auto"/>
          <w:sz w:val="22"/>
        </w:rPr>
      </w:pPr>
      <w:r>
        <w:rPr>
          <w:rFonts w:cs="Arial"/>
          <w:color w:val="auto"/>
          <w:sz w:val="22"/>
        </w:rPr>
        <w:t>S</w:t>
      </w:r>
      <w:r w:rsidR="009866E8" w:rsidRPr="009866E8">
        <w:rPr>
          <w:rFonts w:cs="Arial"/>
          <w:color w:val="auto"/>
          <w:sz w:val="22"/>
        </w:rPr>
        <w:t>elected as preferred suppliers following a sourcing event (ITO, RFQ, RFP); or</w:t>
      </w:r>
    </w:p>
    <w:p w14:paraId="6A506473" w14:textId="6AFD1C1B" w:rsidR="009866E8" w:rsidRDefault="00945480" w:rsidP="002D5255">
      <w:pPr>
        <w:pStyle w:val="NormalWhite"/>
        <w:numPr>
          <w:ilvl w:val="1"/>
          <w:numId w:val="9"/>
        </w:numPr>
        <w:spacing w:after="120"/>
        <w:ind w:right="56"/>
        <w:jc w:val="left"/>
        <w:rPr>
          <w:color w:val="000000" w:themeColor="text1"/>
          <w:sz w:val="22"/>
        </w:rPr>
      </w:pPr>
      <w:r>
        <w:rPr>
          <w:color w:val="000000" w:themeColor="text1"/>
          <w:sz w:val="22"/>
        </w:rPr>
        <w:t>E</w:t>
      </w:r>
      <w:r w:rsidR="009866E8" w:rsidRPr="002D6FF4">
        <w:rPr>
          <w:color w:val="000000" w:themeColor="text1"/>
          <w:sz w:val="22"/>
        </w:rPr>
        <w:t xml:space="preserve">xisting suppliers operating in a high-risk spend category. </w:t>
      </w:r>
    </w:p>
    <w:p w14:paraId="7C46691E" w14:textId="06A194F4" w:rsidR="002D5255" w:rsidRPr="008D45BC" w:rsidRDefault="009866E8" w:rsidP="008D45BC">
      <w:pPr>
        <w:pStyle w:val="BodyText"/>
        <w:tabs>
          <w:tab w:val="left" w:pos="9214"/>
        </w:tabs>
        <w:spacing w:after="120" w:line="276" w:lineRule="auto"/>
        <w:ind w:left="851" w:right="56"/>
        <w:rPr>
          <w:sz w:val="22"/>
          <w:szCs w:val="22"/>
        </w:rPr>
      </w:pPr>
      <w:r w:rsidRPr="009866E8">
        <w:rPr>
          <w:sz w:val="22"/>
          <w:szCs w:val="22"/>
        </w:rPr>
        <w:t xml:space="preserve">Depending on the activity, either the Sourcing Lead or the Contract Manager will send the </w:t>
      </w:r>
      <w:r w:rsidR="00C77B7A">
        <w:rPr>
          <w:sz w:val="22"/>
          <w:szCs w:val="22"/>
        </w:rPr>
        <w:t>Long</w:t>
      </w:r>
      <w:r w:rsidRPr="009866E8">
        <w:rPr>
          <w:sz w:val="22"/>
          <w:szCs w:val="22"/>
        </w:rPr>
        <w:t xml:space="preserve"> SAQ to suppliers through the </w:t>
      </w:r>
      <w:r w:rsidR="003B6A15" w:rsidRPr="00BC553E">
        <w:rPr>
          <w:sz w:val="22"/>
          <w:szCs w:val="22"/>
        </w:rPr>
        <w:t xml:space="preserve">Informed 365 </w:t>
      </w:r>
      <w:r w:rsidR="00945480">
        <w:rPr>
          <w:sz w:val="22"/>
          <w:szCs w:val="22"/>
        </w:rPr>
        <w:t>Platform</w:t>
      </w:r>
      <w:r w:rsidRPr="009866E8">
        <w:rPr>
          <w:sz w:val="22"/>
          <w:szCs w:val="22"/>
        </w:rPr>
        <w:t xml:space="preserve">, and a second risk rating will be automatically </w:t>
      </w:r>
      <w:r w:rsidRPr="009866E8">
        <w:rPr>
          <w:sz w:val="22"/>
          <w:szCs w:val="22"/>
        </w:rPr>
        <w:lastRenderedPageBreak/>
        <w:t>generated for each supplier upon</w:t>
      </w:r>
      <w:r w:rsidR="003B6A15">
        <w:rPr>
          <w:sz w:val="22"/>
          <w:szCs w:val="22"/>
        </w:rPr>
        <w:t xml:space="preserve"> completion.  </w:t>
      </w:r>
    </w:p>
    <w:p w14:paraId="024643AD" w14:textId="3B77C17B" w:rsidR="00252C5C" w:rsidRDefault="00252C5C" w:rsidP="002D5255">
      <w:pPr>
        <w:pStyle w:val="BodyText"/>
        <w:tabs>
          <w:tab w:val="left" w:pos="9214"/>
        </w:tabs>
        <w:spacing w:after="120" w:line="276" w:lineRule="auto"/>
        <w:ind w:left="851" w:right="56"/>
        <w:rPr>
          <w:b/>
          <w:bCs/>
          <w:sz w:val="22"/>
          <w:szCs w:val="22"/>
        </w:rPr>
      </w:pPr>
      <w:r>
        <w:rPr>
          <w:b/>
          <w:bCs/>
          <w:sz w:val="22"/>
          <w:szCs w:val="22"/>
        </w:rPr>
        <w:t>NOTES:</w:t>
      </w:r>
    </w:p>
    <w:p w14:paraId="561A1846" w14:textId="762D9804" w:rsidR="009866E8" w:rsidRPr="00252C5C" w:rsidRDefault="009866E8" w:rsidP="002D5255">
      <w:pPr>
        <w:pStyle w:val="BodyText"/>
        <w:numPr>
          <w:ilvl w:val="0"/>
          <w:numId w:val="13"/>
        </w:numPr>
        <w:tabs>
          <w:tab w:val="left" w:pos="9214"/>
        </w:tabs>
        <w:spacing w:after="120" w:line="276" w:lineRule="auto"/>
        <w:ind w:right="56"/>
        <w:rPr>
          <w:sz w:val="22"/>
          <w:szCs w:val="22"/>
        </w:rPr>
      </w:pPr>
      <w:r w:rsidRPr="00252C5C">
        <w:rPr>
          <w:sz w:val="22"/>
          <w:szCs w:val="22"/>
        </w:rPr>
        <w:t xml:space="preserve">Completion of the </w:t>
      </w:r>
      <w:r w:rsidR="00C77B7A">
        <w:rPr>
          <w:sz w:val="22"/>
          <w:szCs w:val="22"/>
        </w:rPr>
        <w:t>Long</w:t>
      </w:r>
      <w:r w:rsidRPr="00252C5C">
        <w:rPr>
          <w:sz w:val="22"/>
          <w:szCs w:val="22"/>
        </w:rPr>
        <w:t xml:space="preserve"> SAQ’s by suppliers may not always be timely or satisfactory, however, it is a requirement for supplying to Griffith. To encourage completion, it is crucial that Griffith communicates its expectations and the importance of suppliers’ meaningful responses. Griffith may also need to prompt and support the supplier to provide the information required to determine an appropriate modern slavery risk rating.</w:t>
      </w:r>
    </w:p>
    <w:p w14:paraId="42220E25" w14:textId="4FE1FF91" w:rsidR="009866E8" w:rsidRPr="008D6335" w:rsidRDefault="009866E8" w:rsidP="002D5255">
      <w:pPr>
        <w:pStyle w:val="BodyText"/>
        <w:keepNext/>
        <w:tabs>
          <w:tab w:val="left" w:pos="9214"/>
        </w:tabs>
        <w:spacing w:after="120" w:line="276" w:lineRule="auto"/>
        <w:ind w:left="845" w:right="57"/>
        <w:rPr>
          <w:color w:val="E20817"/>
          <w:sz w:val="24"/>
          <w:szCs w:val="24"/>
        </w:rPr>
      </w:pPr>
      <w:r w:rsidRPr="009866E8">
        <w:rPr>
          <w:sz w:val="22"/>
          <w:szCs w:val="22"/>
        </w:rPr>
        <w:t xml:space="preserve">Suppliers with a </w:t>
      </w:r>
      <w:r w:rsidRPr="009866E8">
        <w:rPr>
          <w:b/>
          <w:bCs/>
          <w:sz w:val="22"/>
          <w:szCs w:val="22"/>
        </w:rPr>
        <w:t xml:space="preserve">very low or low risk rating </w:t>
      </w:r>
      <w:r w:rsidR="002D5255">
        <w:rPr>
          <w:sz w:val="22"/>
          <w:szCs w:val="22"/>
        </w:rPr>
        <w:t>to the</w:t>
      </w:r>
      <w:r w:rsidRPr="009866E8">
        <w:rPr>
          <w:sz w:val="22"/>
          <w:szCs w:val="22"/>
        </w:rPr>
        <w:t xml:space="preserve"> </w:t>
      </w:r>
      <w:r w:rsidR="00C77B7A">
        <w:rPr>
          <w:sz w:val="22"/>
          <w:szCs w:val="22"/>
        </w:rPr>
        <w:t>Short</w:t>
      </w:r>
      <w:r w:rsidR="008D45BC">
        <w:rPr>
          <w:sz w:val="22"/>
          <w:szCs w:val="22"/>
        </w:rPr>
        <w:t xml:space="preserve"> </w:t>
      </w:r>
      <w:r w:rsidRPr="009866E8">
        <w:rPr>
          <w:sz w:val="22"/>
          <w:szCs w:val="22"/>
        </w:rPr>
        <w:t>SAQ</w:t>
      </w:r>
      <w:r w:rsidR="002D5255">
        <w:rPr>
          <w:sz w:val="22"/>
          <w:szCs w:val="22"/>
        </w:rPr>
        <w:t xml:space="preserve"> </w:t>
      </w:r>
      <w:r w:rsidRPr="009866E8">
        <w:rPr>
          <w:sz w:val="22"/>
          <w:szCs w:val="22"/>
        </w:rPr>
        <w:t xml:space="preserve">will not be required to complete the </w:t>
      </w:r>
      <w:r w:rsidR="00C77B7A">
        <w:rPr>
          <w:sz w:val="22"/>
          <w:szCs w:val="22"/>
        </w:rPr>
        <w:t>Long</w:t>
      </w:r>
      <w:r w:rsidRPr="009866E8">
        <w:rPr>
          <w:sz w:val="22"/>
          <w:szCs w:val="22"/>
        </w:rPr>
        <w:t xml:space="preserve"> SAQ and can move on to the onboarding process.</w:t>
      </w:r>
      <w:r w:rsidRPr="00096033">
        <w:t xml:space="preserve"> </w:t>
      </w:r>
    </w:p>
    <w:p w14:paraId="6C11276C" w14:textId="71E36505" w:rsidR="009866E8" w:rsidRPr="00AF4D1B" w:rsidRDefault="009866E8" w:rsidP="002D5255">
      <w:pPr>
        <w:pStyle w:val="Heading5"/>
        <w:spacing w:before="120"/>
        <w:ind w:left="851" w:right="56"/>
        <w:rPr>
          <w:b/>
          <w:bCs/>
          <w:szCs w:val="24"/>
        </w:rPr>
      </w:pPr>
      <w:r w:rsidRPr="00AF4D1B">
        <w:rPr>
          <w:b/>
          <w:bCs/>
          <w:szCs w:val="24"/>
        </w:rPr>
        <w:t xml:space="preserve">3.1.2 Step 2: Supplier </w:t>
      </w:r>
      <w:r w:rsidR="002D6FF4" w:rsidRPr="00AF4D1B">
        <w:rPr>
          <w:b/>
          <w:bCs/>
          <w:szCs w:val="24"/>
        </w:rPr>
        <w:t>Onboarding and Improvement Plan</w:t>
      </w:r>
    </w:p>
    <w:p w14:paraId="0D204BD8" w14:textId="6CB0019B" w:rsidR="002D6FF4" w:rsidRPr="002D6FF4" w:rsidRDefault="002D6FF4" w:rsidP="002D5255">
      <w:pPr>
        <w:pStyle w:val="BodyText"/>
        <w:spacing w:after="120" w:line="276" w:lineRule="auto"/>
        <w:ind w:left="851" w:right="57"/>
        <w:rPr>
          <w:sz w:val="22"/>
          <w:szCs w:val="22"/>
        </w:rPr>
      </w:pPr>
      <w:r w:rsidRPr="002D6FF4">
        <w:rPr>
          <w:sz w:val="22"/>
          <w:szCs w:val="22"/>
        </w:rPr>
        <w:t>Once the assessment process is finalized and regardless</w:t>
      </w:r>
      <w:r w:rsidR="00252C5C">
        <w:rPr>
          <w:sz w:val="22"/>
          <w:szCs w:val="22"/>
        </w:rPr>
        <w:t xml:space="preserve"> of</w:t>
      </w:r>
      <w:r w:rsidRPr="002D6FF4">
        <w:rPr>
          <w:sz w:val="22"/>
          <w:szCs w:val="22"/>
        </w:rPr>
        <w:t xml:space="preserve"> the assigned risk level, the Sourcing Lead or Contract Manager should engage with suppliers to</w:t>
      </w:r>
      <w:r w:rsidR="008D45BC">
        <w:rPr>
          <w:sz w:val="22"/>
          <w:szCs w:val="22"/>
        </w:rPr>
        <w:t xml:space="preserve"> ensure that</w:t>
      </w:r>
      <w:r w:rsidRPr="002D6FF4">
        <w:rPr>
          <w:sz w:val="22"/>
          <w:szCs w:val="22"/>
        </w:rPr>
        <w:t>:</w:t>
      </w:r>
    </w:p>
    <w:p w14:paraId="48E0E248" w14:textId="77777777"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 xml:space="preserve">The supplier agrees with the modern slavery provisions included in the relevant contract. The modern slavery provisions to be included in the contract are available on the </w:t>
      </w:r>
      <w:hyperlink r:id="rId22" w:history="1">
        <w:r w:rsidRPr="008D45BC">
          <w:rPr>
            <w:color w:val="E20817"/>
            <w:sz w:val="22"/>
            <w:szCs w:val="22"/>
            <w:u w:val="single"/>
          </w:rPr>
          <w:t>Purchasing Page</w:t>
        </w:r>
      </w:hyperlink>
      <w:r w:rsidRPr="002D6FF4">
        <w:rPr>
          <w:sz w:val="22"/>
          <w:szCs w:val="22"/>
        </w:rPr>
        <w:t>.</w:t>
      </w:r>
    </w:p>
    <w:p w14:paraId="43176E14" w14:textId="3A2E124E"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 xml:space="preserve">Where applicable, the supplier agrees with implementing the time-bound Improvement Plan outlined on the Informed 365 </w:t>
      </w:r>
      <w:r w:rsidR="00945480">
        <w:rPr>
          <w:sz w:val="22"/>
          <w:szCs w:val="22"/>
        </w:rPr>
        <w:t>Platform</w:t>
      </w:r>
      <w:r w:rsidRPr="002D6FF4">
        <w:rPr>
          <w:sz w:val="22"/>
          <w:szCs w:val="22"/>
        </w:rPr>
        <w:t xml:space="preserve"> (see Step 3 for more details).</w:t>
      </w:r>
    </w:p>
    <w:p w14:paraId="0611CBA5" w14:textId="5F4670DC" w:rsidR="002D6FF4" w:rsidRPr="00AF4D1B" w:rsidRDefault="002D6FF4" w:rsidP="002D5255">
      <w:pPr>
        <w:pStyle w:val="Heading5"/>
        <w:spacing w:before="120"/>
        <w:ind w:left="851" w:right="56"/>
        <w:rPr>
          <w:b/>
          <w:bCs/>
          <w:szCs w:val="24"/>
        </w:rPr>
      </w:pPr>
      <w:r w:rsidRPr="00AF4D1B">
        <w:rPr>
          <w:b/>
          <w:bCs/>
          <w:szCs w:val="24"/>
        </w:rPr>
        <w:t>3.1.3 Step 3: Management and Collaboration</w:t>
      </w:r>
    </w:p>
    <w:p w14:paraId="2BA625CD" w14:textId="6C342AEC" w:rsidR="002D6FF4" w:rsidRPr="002D6FF4" w:rsidRDefault="002D6FF4" w:rsidP="002D5255">
      <w:pPr>
        <w:pStyle w:val="BodyText"/>
        <w:spacing w:after="120" w:line="276" w:lineRule="auto"/>
        <w:ind w:left="851" w:right="57"/>
        <w:rPr>
          <w:bCs/>
          <w:sz w:val="22"/>
          <w:szCs w:val="22"/>
        </w:rPr>
      </w:pPr>
      <w:r w:rsidRPr="002D6FF4">
        <w:rPr>
          <w:bCs/>
          <w:sz w:val="22"/>
          <w:szCs w:val="22"/>
        </w:rPr>
        <w:t xml:space="preserve">Suppliers with a </w:t>
      </w:r>
      <w:r w:rsidRPr="002D6FF4">
        <w:rPr>
          <w:b/>
          <w:sz w:val="22"/>
          <w:szCs w:val="22"/>
        </w:rPr>
        <w:t>Very Low or Low risk</w:t>
      </w:r>
      <w:r w:rsidRPr="002D6FF4">
        <w:rPr>
          <w:bCs/>
          <w:sz w:val="22"/>
          <w:szCs w:val="22"/>
        </w:rPr>
        <w:t xml:space="preserve"> rating to the </w:t>
      </w:r>
      <w:r w:rsidR="00C77B7A">
        <w:rPr>
          <w:bCs/>
          <w:sz w:val="22"/>
          <w:szCs w:val="22"/>
        </w:rPr>
        <w:t>Long</w:t>
      </w:r>
      <w:r w:rsidRPr="002D6FF4">
        <w:rPr>
          <w:bCs/>
          <w:sz w:val="22"/>
          <w:szCs w:val="22"/>
        </w:rPr>
        <w:t xml:space="preserve"> SAQ are not required to have an Improvement Plan.</w:t>
      </w:r>
    </w:p>
    <w:p w14:paraId="20050231" w14:textId="0CD8AA68" w:rsidR="002D6FF4" w:rsidRPr="002D6FF4" w:rsidRDefault="002D6FF4" w:rsidP="002D5255">
      <w:pPr>
        <w:pStyle w:val="BodyText"/>
        <w:spacing w:after="120" w:line="276" w:lineRule="auto"/>
        <w:ind w:left="851" w:right="57"/>
        <w:rPr>
          <w:b/>
          <w:sz w:val="22"/>
          <w:szCs w:val="22"/>
        </w:rPr>
      </w:pPr>
      <w:r w:rsidRPr="002D6FF4">
        <w:rPr>
          <w:bCs/>
          <w:sz w:val="22"/>
          <w:szCs w:val="22"/>
        </w:rPr>
        <w:t>However, supplier</w:t>
      </w:r>
      <w:r w:rsidRPr="002D6FF4">
        <w:rPr>
          <w:sz w:val="22"/>
          <w:szCs w:val="22"/>
        </w:rPr>
        <w:t>s with a</w:t>
      </w:r>
      <w:r w:rsidRPr="002D6FF4">
        <w:rPr>
          <w:b/>
          <w:bCs/>
          <w:sz w:val="22"/>
          <w:szCs w:val="22"/>
        </w:rPr>
        <w:t xml:space="preserve"> Very High, High, or Medium</w:t>
      </w:r>
      <w:r w:rsidRPr="002D6FF4">
        <w:rPr>
          <w:sz w:val="22"/>
          <w:szCs w:val="22"/>
        </w:rPr>
        <w:t xml:space="preserve"> risk rating to the Long SAQ </w:t>
      </w:r>
      <w:r w:rsidR="008961AA" w:rsidRPr="002D6FF4">
        <w:rPr>
          <w:sz w:val="22"/>
          <w:szCs w:val="22"/>
        </w:rPr>
        <w:t>will be</w:t>
      </w:r>
      <w:r w:rsidRPr="002D6FF4">
        <w:rPr>
          <w:sz w:val="22"/>
          <w:szCs w:val="22"/>
        </w:rPr>
        <w:t xml:space="preserve"> asked to agree on an Improvement Plan to minimise the risks identified and encourage continuous improvement in their approach to addressing modern slavery.</w:t>
      </w:r>
    </w:p>
    <w:p w14:paraId="7B31C7AC" w14:textId="4E538B0C" w:rsidR="002D6FF4" w:rsidRPr="002D6FF4" w:rsidRDefault="002D6FF4" w:rsidP="002D5255">
      <w:pPr>
        <w:pStyle w:val="BodyText"/>
        <w:spacing w:after="120" w:line="276" w:lineRule="auto"/>
        <w:ind w:left="851" w:right="57"/>
        <w:rPr>
          <w:sz w:val="22"/>
          <w:szCs w:val="22"/>
        </w:rPr>
      </w:pPr>
      <w:r w:rsidRPr="002D6FF4">
        <w:rPr>
          <w:sz w:val="22"/>
          <w:szCs w:val="22"/>
        </w:rPr>
        <w:t xml:space="preserve">Suppliers may receive multiple recommendations, but they're not required to act on all. We ask for the implementation of </w:t>
      </w:r>
      <w:r w:rsidR="008D45BC">
        <w:rPr>
          <w:sz w:val="22"/>
          <w:szCs w:val="22"/>
        </w:rPr>
        <w:t xml:space="preserve">at least </w:t>
      </w:r>
      <w:r w:rsidRPr="002D6FF4">
        <w:rPr>
          <w:sz w:val="22"/>
          <w:szCs w:val="22"/>
        </w:rPr>
        <w:t xml:space="preserve">one recommendation within a suitable timeframe. While one action is the minimum, considering more is encouraged, except for non-negotiable actions posing a high harm risk to people. Contact </w:t>
      </w:r>
      <w:hyperlink r:id="rId23" w:history="1">
        <w:r w:rsidRPr="00252C5C">
          <w:rPr>
            <w:rStyle w:val="Hyperlink"/>
            <w:sz w:val="22"/>
            <w:szCs w:val="22"/>
          </w:rPr>
          <w:t>Strategic Procurement and Supply</w:t>
        </w:r>
      </w:hyperlink>
      <w:r w:rsidRPr="002D6FF4">
        <w:rPr>
          <w:sz w:val="22"/>
          <w:szCs w:val="22"/>
        </w:rPr>
        <w:t xml:space="preserve"> for guidance if needed.</w:t>
      </w:r>
    </w:p>
    <w:p w14:paraId="3FC60254" w14:textId="77777777" w:rsidR="002D6FF4" w:rsidRPr="002D6FF4" w:rsidRDefault="002D6FF4" w:rsidP="002D5255">
      <w:pPr>
        <w:pStyle w:val="BodyText"/>
        <w:spacing w:after="120" w:line="276" w:lineRule="auto"/>
        <w:ind w:left="851" w:right="57"/>
        <w:rPr>
          <w:bCs/>
          <w:sz w:val="22"/>
          <w:szCs w:val="22"/>
        </w:rPr>
      </w:pPr>
      <w:r w:rsidRPr="002D6FF4">
        <w:rPr>
          <w:bCs/>
          <w:sz w:val="22"/>
          <w:szCs w:val="22"/>
        </w:rPr>
        <w:t>Actions expected from Sourcing Lead and/or Contract Managers:</w:t>
      </w:r>
    </w:p>
    <w:p w14:paraId="47AC7E2E" w14:textId="71E3B1E2" w:rsidR="002D6FF4" w:rsidRDefault="38D0F65F" w:rsidP="3F5B55B0">
      <w:pPr>
        <w:pStyle w:val="BodyText"/>
        <w:numPr>
          <w:ilvl w:val="0"/>
          <w:numId w:val="10"/>
        </w:numPr>
        <w:spacing w:after="120" w:line="276" w:lineRule="auto"/>
        <w:ind w:right="57"/>
        <w:rPr>
          <w:sz w:val="22"/>
          <w:szCs w:val="22"/>
        </w:rPr>
      </w:pPr>
      <w:r w:rsidRPr="3F5B55B0">
        <w:rPr>
          <w:sz w:val="22"/>
          <w:szCs w:val="22"/>
        </w:rPr>
        <w:t xml:space="preserve">The Improvement Plan will be shared through the Informed 365 Platform. Suppliers will review the proposed Improvement Plan, commit to at least one recommended action that is relevant and feasible, prioritise all non-negotiable actions, and indicate a specific time frame for completing the selected actions.  </w:t>
      </w:r>
    </w:p>
    <w:p w14:paraId="5F5DAE40" w14:textId="71BB9788"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 xml:space="preserve">Commencing or continuing to provide goods and services to Griffith may not be appropriate until the actions outlined in the Improvement Plan are completed. </w:t>
      </w:r>
      <w:hyperlink r:id="rId24" w:history="1">
        <w:r w:rsidR="006F1575" w:rsidRPr="00252C5C">
          <w:rPr>
            <w:rStyle w:val="Hyperlink"/>
            <w:sz w:val="22"/>
            <w:szCs w:val="22"/>
          </w:rPr>
          <w:t>Strategic Procurement and Supply</w:t>
        </w:r>
      </w:hyperlink>
      <w:r w:rsidRPr="002D6FF4">
        <w:rPr>
          <w:sz w:val="22"/>
          <w:szCs w:val="22"/>
        </w:rPr>
        <w:t xml:space="preserve"> can advise on the best course of action, taking into account that suppliers may be at various stages of maturity in their efforts to combat modern slavery. The approach should be collaborative, based on open communication, and focused on promoting ongoing improvement.</w:t>
      </w:r>
    </w:p>
    <w:p w14:paraId="25B88FBB" w14:textId="7111C1A0" w:rsidR="002D6FF4" w:rsidRDefault="002D6FF4" w:rsidP="002D5255">
      <w:pPr>
        <w:pStyle w:val="BodyText"/>
        <w:numPr>
          <w:ilvl w:val="0"/>
          <w:numId w:val="10"/>
        </w:numPr>
        <w:spacing w:after="120" w:line="276" w:lineRule="auto"/>
        <w:ind w:right="57"/>
        <w:rPr>
          <w:sz w:val="22"/>
          <w:szCs w:val="22"/>
        </w:rPr>
      </w:pPr>
      <w:r w:rsidRPr="002D6FF4">
        <w:rPr>
          <w:sz w:val="22"/>
          <w:szCs w:val="22"/>
        </w:rPr>
        <w:t xml:space="preserve">If a supplier indicates they have no appetite to amend or enhance their modern slavery approach, or Griffith and the supplier cannot reach an agreement, the Sourcing Lead and/or Contract manager (as appropriate) should seek more information from the supplier to </w:t>
      </w:r>
      <w:r w:rsidRPr="002D6FF4">
        <w:rPr>
          <w:sz w:val="22"/>
          <w:szCs w:val="22"/>
        </w:rPr>
        <w:lastRenderedPageBreak/>
        <w:t>determine their reason for not wishing to collaborate.</w:t>
      </w:r>
    </w:p>
    <w:p w14:paraId="1352024A" w14:textId="77777777"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Sourcing Lead and/or Contract manager (as appropriate) should emphasise that Griffith recognises that this can take time and may require Griffith to assist the supplier.</w:t>
      </w:r>
    </w:p>
    <w:p w14:paraId="4C2E9870" w14:textId="6C44B85B" w:rsidR="002D6FF4" w:rsidRPr="002D6FF4" w:rsidRDefault="002D6FF4" w:rsidP="002D5255">
      <w:pPr>
        <w:pStyle w:val="BodyText"/>
        <w:tabs>
          <w:tab w:val="left" w:pos="284"/>
        </w:tabs>
        <w:spacing w:after="120" w:line="276" w:lineRule="auto"/>
        <w:ind w:left="774" w:right="57"/>
        <w:rPr>
          <w:sz w:val="22"/>
          <w:szCs w:val="22"/>
        </w:rPr>
      </w:pPr>
      <w:r w:rsidRPr="002D6FF4">
        <w:rPr>
          <w:sz w:val="22"/>
          <w:szCs w:val="22"/>
        </w:rPr>
        <w:t xml:space="preserve">Griffith recognises that modern slavery risk management is a process of continuous improvement and not a moment-in-time proposition. Once the Improvement Plan has been agreed, the Contract Manager is responsible for engaging and monitoring suppliers’ progress at a frequency that aligns with each supplier’s Contract </w:t>
      </w:r>
      <w:r w:rsidR="006F1575">
        <w:rPr>
          <w:sz w:val="22"/>
          <w:szCs w:val="22"/>
        </w:rPr>
        <w:t>M</w:t>
      </w:r>
      <w:r w:rsidRPr="002D6FF4">
        <w:rPr>
          <w:sz w:val="22"/>
          <w:szCs w:val="22"/>
        </w:rPr>
        <w:t xml:space="preserve">anagement </w:t>
      </w:r>
      <w:r w:rsidR="006F1575">
        <w:rPr>
          <w:sz w:val="22"/>
          <w:szCs w:val="22"/>
        </w:rPr>
        <w:t>P</w:t>
      </w:r>
      <w:r w:rsidRPr="002D6FF4">
        <w:rPr>
          <w:sz w:val="22"/>
          <w:szCs w:val="22"/>
        </w:rPr>
        <w:t>lan. The objective of having periodic checkpoints is to discuss progress on the improvement plan, collaborate on challenges and solutions and share Griffith’s and the Government’s expectations relating to modern slavery, for example by:</w:t>
      </w:r>
    </w:p>
    <w:p w14:paraId="329AEC6F" w14:textId="77777777"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Sharing Griffith’s annual Modern Slavery Statement.</w:t>
      </w:r>
    </w:p>
    <w:p w14:paraId="7C6D3FCD" w14:textId="77777777"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Sharing Griffith’s policy commitments and any updates.</w:t>
      </w:r>
    </w:p>
    <w:p w14:paraId="0635A7BE" w14:textId="77777777"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Sharing Griffith-developed or other guidance related to modern slavery risk management.</w:t>
      </w:r>
    </w:p>
    <w:p w14:paraId="5370D8B2" w14:textId="77777777"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Notifying suppliers of capability building sessions and/or practical tools to help suppliers manage the risk of modern slavery within their operations and supply chains.</w:t>
      </w:r>
    </w:p>
    <w:p w14:paraId="2B36191B" w14:textId="7BE51FB0" w:rsidR="002D6FF4" w:rsidRPr="002D6FF4" w:rsidRDefault="002D6FF4" w:rsidP="002D5255">
      <w:pPr>
        <w:pStyle w:val="BodyText"/>
        <w:numPr>
          <w:ilvl w:val="0"/>
          <w:numId w:val="10"/>
        </w:numPr>
        <w:spacing w:after="120" w:line="276" w:lineRule="auto"/>
        <w:ind w:right="57"/>
        <w:rPr>
          <w:sz w:val="22"/>
          <w:szCs w:val="22"/>
        </w:rPr>
      </w:pPr>
      <w:r w:rsidRPr="002D6FF4">
        <w:rPr>
          <w:sz w:val="22"/>
          <w:szCs w:val="22"/>
        </w:rPr>
        <w:t xml:space="preserve">Referring to the Government’s guidelines (e.g., </w:t>
      </w:r>
      <w:hyperlink r:id="rId25" w:history="1">
        <w:r w:rsidRPr="00C9219E">
          <w:rPr>
            <w:rStyle w:val="Hyperlink"/>
            <w:rFonts w:eastAsiaTheme="minorHAnsi"/>
            <w:kern w:val="2"/>
            <w:sz w:val="22"/>
            <w:szCs w:val="22"/>
            <w:lang w:val="en-AU" w:eastAsia="en-AU"/>
          </w:rPr>
          <w:t>Eliminating modern slavery in government supply chains</w:t>
        </w:r>
      </w:hyperlink>
      <w:r w:rsidRPr="002D6FF4">
        <w:rPr>
          <w:sz w:val="22"/>
          <w:szCs w:val="22"/>
        </w:rPr>
        <w:t xml:space="preserve">) and resources available </w:t>
      </w:r>
      <w:hyperlink r:id="rId26" w:history="1">
        <w:r w:rsidRPr="00C9219E">
          <w:rPr>
            <w:rStyle w:val="Hyperlink"/>
            <w:rFonts w:eastAsiaTheme="minorHAnsi"/>
            <w:kern w:val="2"/>
            <w:sz w:val="22"/>
            <w:szCs w:val="22"/>
            <w:lang w:val="en-AU" w:eastAsia="en-AU"/>
          </w:rPr>
          <w:t>here</w:t>
        </w:r>
      </w:hyperlink>
      <w:r w:rsidRPr="002D6FF4">
        <w:rPr>
          <w:sz w:val="22"/>
          <w:szCs w:val="22"/>
        </w:rPr>
        <w:t>.</w:t>
      </w:r>
    </w:p>
    <w:p w14:paraId="556DDEA0" w14:textId="77777777" w:rsidR="002D6FF4" w:rsidRPr="002D6FF4" w:rsidRDefault="002D6FF4" w:rsidP="002D5255">
      <w:pPr>
        <w:pStyle w:val="BodyText"/>
        <w:spacing w:after="120" w:line="276" w:lineRule="auto"/>
        <w:ind w:left="851" w:right="57"/>
        <w:rPr>
          <w:sz w:val="22"/>
          <w:szCs w:val="22"/>
        </w:rPr>
      </w:pPr>
      <w:r w:rsidRPr="002D6FF4">
        <w:rPr>
          <w:sz w:val="22"/>
          <w:szCs w:val="22"/>
        </w:rPr>
        <w:t xml:space="preserve">Suppliers will also be required to re-assess their approach to modern slavery on a regular basis, by completing a new Short or Long SAQ depending on their risk rating. </w:t>
      </w:r>
    </w:p>
    <w:p w14:paraId="73027457" w14:textId="69503E4C" w:rsidR="002D6FF4" w:rsidRPr="002D6FF4" w:rsidRDefault="002D6FF4" w:rsidP="002D5255">
      <w:pPr>
        <w:pStyle w:val="BodyText"/>
        <w:spacing w:after="120" w:line="276" w:lineRule="auto"/>
        <w:ind w:left="851" w:right="57"/>
        <w:rPr>
          <w:sz w:val="22"/>
          <w:szCs w:val="22"/>
        </w:rPr>
      </w:pPr>
      <w:r w:rsidRPr="002D6FF4">
        <w:rPr>
          <w:sz w:val="22"/>
          <w:szCs w:val="22"/>
        </w:rPr>
        <w:t xml:space="preserve">Details of the frequency of re-assessment required are also included in table </w:t>
      </w:r>
      <w:r w:rsidR="006F1575">
        <w:rPr>
          <w:sz w:val="22"/>
          <w:szCs w:val="22"/>
        </w:rPr>
        <w:t>2</w:t>
      </w:r>
      <w:r w:rsidRPr="002D6FF4">
        <w:rPr>
          <w:sz w:val="22"/>
          <w:szCs w:val="22"/>
        </w:rPr>
        <w:t xml:space="preserve"> below.</w:t>
      </w:r>
    </w:p>
    <w:tbl>
      <w:tblPr>
        <w:tblStyle w:val="TableGrid"/>
        <w:tblW w:w="9497" w:type="dxa"/>
        <w:tblInd w:w="851"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1843"/>
        <w:gridCol w:w="4110"/>
        <w:gridCol w:w="3544"/>
      </w:tblGrid>
      <w:tr w:rsidR="008961AA" w14:paraId="19CE60E3" w14:textId="496AAE4A" w:rsidTr="00154F8B">
        <w:tc>
          <w:tcPr>
            <w:tcW w:w="1843" w:type="dxa"/>
          </w:tcPr>
          <w:p w14:paraId="4A5748BC" w14:textId="504F117E" w:rsidR="008961AA" w:rsidRPr="00C62871" w:rsidRDefault="008961AA" w:rsidP="002D5255">
            <w:pPr>
              <w:pStyle w:val="Heading4"/>
              <w:spacing w:line="276" w:lineRule="auto"/>
              <w:ind w:left="138" w:right="56"/>
            </w:pPr>
            <w:r>
              <w:lastRenderedPageBreak/>
              <w:t>RISK RATING</w:t>
            </w:r>
          </w:p>
        </w:tc>
        <w:tc>
          <w:tcPr>
            <w:tcW w:w="4110" w:type="dxa"/>
          </w:tcPr>
          <w:p w14:paraId="118E43DE" w14:textId="4BE120B7" w:rsidR="008961AA" w:rsidRPr="00786706" w:rsidRDefault="008961AA" w:rsidP="002D5255">
            <w:pPr>
              <w:pStyle w:val="Heading4"/>
              <w:spacing w:line="276" w:lineRule="auto"/>
              <w:ind w:left="135" w:right="56"/>
              <w:rPr>
                <w:lang w:val="en-GB"/>
              </w:rPr>
            </w:pPr>
            <w:r>
              <w:rPr>
                <w:lang w:val="en-GB"/>
              </w:rPr>
              <w:t>FREQUENCY OF CHECKPOINTS AND ASSOCIATED ACTIONS</w:t>
            </w:r>
          </w:p>
        </w:tc>
        <w:tc>
          <w:tcPr>
            <w:tcW w:w="3544" w:type="dxa"/>
          </w:tcPr>
          <w:p w14:paraId="1CAD35B6" w14:textId="62D91C04" w:rsidR="008961AA" w:rsidRDefault="008961AA" w:rsidP="002D5255">
            <w:pPr>
              <w:pStyle w:val="Heading4"/>
              <w:spacing w:line="276" w:lineRule="auto"/>
              <w:ind w:right="56"/>
              <w:rPr>
                <w:lang w:val="en-GB"/>
              </w:rPr>
            </w:pPr>
            <w:r>
              <w:rPr>
                <w:lang w:val="en-GB"/>
              </w:rPr>
              <w:t>FREQUENCY OF RE-ASSESSMENT</w:t>
            </w:r>
          </w:p>
        </w:tc>
      </w:tr>
      <w:tr w:rsidR="008961AA" w14:paraId="4A0C0748" w14:textId="3BF23F04" w:rsidTr="00154F8B">
        <w:tc>
          <w:tcPr>
            <w:tcW w:w="1843" w:type="dxa"/>
            <w:shd w:val="clear" w:color="auto" w:fill="FF0000"/>
          </w:tcPr>
          <w:p w14:paraId="1D6791A6" w14:textId="0B6C5E82" w:rsidR="00154F8B" w:rsidRPr="00BE0B10" w:rsidRDefault="008961AA" w:rsidP="002D5255">
            <w:pPr>
              <w:pStyle w:val="Heading4"/>
              <w:spacing w:before="120" w:line="276" w:lineRule="auto"/>
              <w:ind w:left="138" w:right="56"/>
              <w:jc w:val="center"/>
            </w:pPr>
            <w:r w:rsidRPr="006B3E5F">
              <w:t xml:space="preserve">VERY </w:t>
            </w:r>
            <w:r w:rsidR="00154F8B" w:rsidRPr="006B3E5F">
              <w:t>HIGH</w:t>
            </w:r>
          </w:p>
        </w:tc>
        <w:tc>
          <w:tcPr>
            <w:tcW w:w="4110" w:type="dxa"/>
          </w:tcPr>
          <w:p w14:paraId="294B5516" w14:textId="6AB6C18C" w:rsidR="008961AA" w:rsidRPr="004922AF" w:rsidRDefault="00154F8B" w:rsidP="002D5255">
            <w:pPr>
              <w:spacing w:after="120" w:line="276" w:lineRule="auto"/>
              <w:ind w:left="135" w:right="56"/>
              <w:rPr>
                <w:rFonts w:cs="Arial"/>
                <w:szCs w:val="28"/>
                <w:lang w:val="en-GB"/>
              </w:rPr>
            </w:pPr>
            <w:r>
              <w:rPr>
                <w:rFonts w:cs="Arial"/>
                <w:szCs w:val="28"/>
                <w:lang w:val="en-GB"/>
              </w:rPr>
              <w:t>As per Contract Management Plan</w:t>
            </w:r>
          </w:p>
        </w:tc>
        <w:tc>
          <w:tcPr>
            <w:tcW w:w="3544" w:type="dxa"/>
          </w:tcPr>
          <w:p w14:paraId="57684342" w14:textId="18DCBDBB" w:rsidR="008961AA" w:rsidRDefault="00154F8B" w:rsidP="002D5255">
            <w:pPr>
              <w:spacing w:after="120" w:line="276" w:lineRule="auto"/>
              <w:ind w:right="56"/>
              <w:rPr>
                <w:rFonts w:cs="Arial"/>
                <w:szCs w:val="28"/>
                <w:lang w:val="en-GB"/>
              </w:rPr>
            </w:pPr>
            <w:r>
              <w:rPr>
                <w:rFonts w:cs="Arial"/>
                <w:szCs w:val="28"/>
                <w:lang w:val="en-GB"/>
              </w:rPr>
              <w:t>Suppliers re-complete a Long SAQ every 12 months or as needed</w:t>
            </w:r>
          </w:p>
        </w:tc>
      </w:tr>
      <w:tr w:rsidR="00154F8B" w14:paraId="5F18A6FA" w14:textId="55E92DC4" w:rsidTr="00154F8B">
        <w:tc>
          <w:tcPr>
            <w:tcW w:w="1843" w:type="dxa"/>
            <w:shd w:val="clear" w:color="auto" w:fill="FFC000"/>
          </w:tcPr>
          <w:p w14:paraId="4A802A46" w14:textId="67BBF8DF" w:rsidR="00154F8B" w:rsidRPr="00154F8B" w:rsidRDefault="00154F8B" w:rsidP="002D5255">
            <w:pPr>
              <w:pStyle w:val="Heading4"/>
              <w:spacing w:before="120" w:line="276" w:lineRule="auto"/>
              <w:ind w:left="138" w:right="56"/>
              <w:jc w:val="center"/>
              <w:rPr>
                <w:color w:val="FFFFFF" w:themeColor="background1"/>
              </w:rPr>
            </w:pPr>
            <w:r w:rsidRPr="006B3E5F">
              <w:t>HIGH</w:t>
            </w:r>
          </w:p>
        </w:tc>
        <w:tc>
          <w:tcPr>
            <w:tcW w:w="4110" w:type="dxa"/>
          </w:tcPr>
          <w:p w14:paraId="31E2A675" w14:textId="02A63FDC" w:rsidR="00154F8B" w:rsidRPr="004922AF" w:rsidRDefault="00154F8B" w:rsidP="002D5255">
            <w:pPr>
              <w:spacing w:after="120" w:line="276" w:lineRule="auto"/>
              <w:ind w:left="135" w:right="56"/>
              <w:rPr>
                <w:rFonts w:cs="Arial"/>
                <w:szCs w:val="28"/>
                <w:lang w:val="en-GB"/>
              </w:rPr>
            </w:pPr>
            <w:r w:rsidRPr="00655A51">
              <w:rPr>
                <w:rFonts w:cs="Arial"/>
                <w:szCs w:val="28"/>
                <w:lang w:val="en-GB"/>
              </w:rPr>
              <w:t>As per Contract Management Plan</w:t>
            </w:r>
          </w:p>
        </w:tc>
        <w:tc>
          <w:tcPr>
            <w:tcW w:w="3544" w:type="dxa"/>
          </w:tcPr>
          <w:p w14:paraId="6D8D9C88" w14:textId="680A401F" w:rsidR="00154F8B" w:rsidRDefault="00154F8B" w:rsidP="002D5255">
            <w:pPr>
              <w:spacing w:after="120" w:line="276" w:lineRule="auto"/>
              <w:ind w:right="56"/>
              <w:rPr>
                <w:rFonts w:cs="Arial"/>
                <w:szCs w:val="28"/>
              </w:rPr>
            </w:pPr>
            <w:r>
              <w:rPr>
                <w:rFonts w:cs="Arial"/>
                <w:szCs w:val="28"/>
                <w:lang w:val="en-GB"/>
              </w:rPr>
              <w:t>Suppliers re-complete a Long SAQ every 12 months or as needed</w:t>
            </w:r>
          </w:p>
        </w:tc>
      </w:tr>
      <w:tr w:rsidR="00154F8B" w14:paraId="57B243F9" w14:textId="6CBAEF8F" w:rsidTr="006B3E5F">
        <w:tc>
          <w:tcPr>
            <w:tcW w:w="1843" w:type="dxa"/>
            <w:shd w:val="clear" w:color="auto" w:fill="FFFF00"/>
          </w:tcPr>
          <w:p w14:paraId="4FCAA1CE" w14:textId="77777777" w:rsidR="00154F8B" w:rsidRPr="00154F8B" w:rsidRDefault="00154F8B" w:rsidP="002D5255">
            <w:pPr>
              <w:pStyle w:val="Heading4"/>
              <w:spacing w:before="120" w:line="276" w:lineRule="auto"/>
              <w:ind w:left="138" w:right="56"/>
              <w:jc w:val="center"/>
              <w:rPr>
                <w:color w:val="FFFFFF" w:themeColor="background1"/>
              </w:rPr>
            </w:pPr>
            <w:r w:rsidRPr="006B3E5F">
              <w:t>MEDIUM</w:t>
            </w:r>
          </w:p>
        </w:tc>
        <w:tc>
          <w:tcPr>
            <w:tcW w:w="4110" w:type="dxa"/>
          </w:tcPr>
          <w:p w14:paraId="2BAE45A3" w14:textId="116DCFC5" w:rsidR="00154F8B" w:rsidRPr="004922AF" w:rsidRDefault="00154F8B" w:rsidP="002D5255">
            <w:pPr>
              <w:spacing w:after="120" w:line="276" w:lineRule="auto"/>
              <w:ind w:left="135" w:right="56"/>
              <w:rPr>
                <w:rFonts w:cs="Arial"/>
                <w:szCs w:val="28"/>
              </w:rPr>
            </w:pPr>
            <w:r w:rsidRPr="00655A51">
              <w:rPr>
                <w:rFonts w:cs="Arial"/>
                <w:szCs w:val="28"/>
                <w:lang w:val="en-GB"/>
              </w:rPr>
              <w:t>As per Contract Management Plan</w:t>
            </w:r>
          </w:p>
        </w:tc>
        <w:tc>
          <w:tcPr>
            <w:tcW w:w="3544" w:type="dxa"/>
          </w:tcPr>
          <w:p w14:paraId="5A853F5A" w14:textId="6C4AE2C4" w:rsidR="00154F8B" w:rsidRDefault="00154F8B" w:rsidP="002D5255">
            <w:pPr>
              <w:spacing w:after="120" w:line="276" w:lineRule="auto"/>
              <w:ind w:right="56"/>
              <w:rPr>
                <w:rFonts w:cs="Arial"/>
                <w:szCs w:val="28"/>
              </w:rPr>
            </w:pPr>
            <w:r>
              <w:rPr>
                <w:rFonts w:cs="Arial"/>
                <w:szCs w:val="28"/>
                <w:lang w:val="en-GB"/>
              </w:rPr>
              <w:t>Suppliers re-complete a Long SAQ every 12 months or as needed</w:t>
            </w:r>
          </w:p>
        </w:tc>
      </w:tr>
      <w:tr w:rsidR="00154F8B" w14:paraId="2919ED9C" w14:textId="44DC4A05" w:rsidTr="00154F8B">
        <w:tc>
          <w:tcPr>
            <w:tcW w:w="1843" w:type="dxa"/>
            <w:shd w:val="clear" w:color="auto" w:fill="92D050"/>
          </w:tcPr>
          <w:p w14:paraId="6CE6856A" w14:textId="5FABC248" w:rsidR="00154F8B" w:rsidRPr="00154F8B" w:rsidRDefault="00154F8B" w:rsidP="002D5255">
            <w:pPr>
              <w:pStyle w:val="Heading4"/>
              <w:spacing w:before="120" w:line="276" w:lineRule="auto"/>
              <w:ind w:left="138" w:right="56"/>
              <w:jc w:val="center"/>
              <w:rPr>
                <w:color w:val="FFFFFF" w:themeColor="background1"/>
              </w:rPr>
            </w:pPr>
            <w:r w:rsidRPr="006B3E5F">
              <w:t>LOW</w:t>
            </w:r>
          </w:p>
        </w:tc>
        <w:tc>
          <w:tcPr>
            <w:tcW w:w="4110" w:type="dxa"/>
          </w:tcPr>
          <w:p w14:paraId="62992B2B" w14:textId="7204FB39" w:rsidR="00154F8B" w:rsidRPr="004922AF" w:rsidRDefault="00154F8B" w:rsidP="002D5255">
            <w:pPr>
              <w:spacing w:after="120" w:line="276" w:lineRule="auto"/>
              <w:ind w:left="135" w:right="56"/>
              <w:rPr>
                <w:rFonts w:cs="Arial"/>
                <w:szCs w:val="28"/>
              </w:rPr>
            </w:pPr>
            <w:r w:rsidRPr="00655A51">
              <w:rPr>
                <w:rFonts w:cs="Arial"/>
                <w:szCs w:val="28"/>
                <w:lang w:val="en-GB"/>
              </w:rPr>
              <w:t>As per Contract Management Plan</w:t>
            </w:r>
          </w:p>
        </w:tc>
        <w:tc>
          <w:tcPr>
            <w:tcW w:w="3544" w:type="dxa"/>
          </w:tcPr>
          <w:p w14:paraId="521071FD" w14:textId="1153BFE3" w:rsidR="00154F8B" w:rsidRDefault="00154F8B" w:rsidP="002D5255">
            <w:pPr>
              <w:spacing w:after="120" w:line="276" w:lineRule="auto"/>
              <w:ind w:right="56"/>
              <w:rPr>
                <w:rFonts w:cs="Arial"/>
                <w:szCs w:val="28"/>
              </w:rPr>
            </w:pPr>
            <w:r>
              <w:rPr>
                <w:rFonts w:cs="Arial"/>
                <w:szCs w:val="28"/>
                <w:lang w:val="en-GB"/>
              </w:rPr>
              <w:t xml:space="preserve">Suppliers re-complete a </w:t>
            </w:r>
            <w:r w:rsidR="00945480">
              <w:rPr>
                <w:rFonts w:cs="Arial"/>
                <w:szCs w:val="28"/>
                <w:lang w:val="en-GB"/>
              </w:rPr>
              <w:t>Short</w:t>
            </w:r>
            <w:r>
              <w:rPr>
                <w:rFonts w:cs="Arial"/>
                <w:szCs w:val="28"/>
                <w:lang w:val="en-GB"/>
              </w:rPr>
              <w:t xml:space="preserve"> SAQ every 24 months or as needed</w:t>
            </w:r>
          </w:p>
        </w:tc>
      </w:tr>
      <w:tr w:rsidR="00154F8B" w14:paraId="34A2286C" w14:textId="5BF1DE62" w:rsidTr="00154F8B">
        <w:tc>
          <w:tcPr>
            <w:tcW w:w="1843" w:type="dxa"/>
            <w:shd w:val="clear" w:color="auto" w:fill="00B050"/>
          </w:tcPr>
          <w:p w14:paraId="62BD3D1B" w14:textId="66F41024" w:rsidR="00154F8B" w:rsidRPr="00154F8B" w:rsidRDefault="00154F8B" w:rsidP="002D5255">
            <w:pPr>
              <w:pStyle w:val="Heading4"/>
              <w:spacing w:before="120" w:line="276" w:lineRule="auto"/>
              <w:ind w:left="138" w:right="56"/>
              <w:jc w:val="center"/>
              <w:rPr>
                <w:color w:val="FFFFFF" w:themeColor="background1"/>
              </w:rPr>
            </w:pPr>
            <w:r w:rsidRPr="006B3E5F">
              <w:t>VERY LOW</w:t>
            </w:r>
          </w:p>
        </w:tc>
        <w:tc>
          <w:tcPr>
            <w:tcW w:w="4110" w:type="dxa"/>
          </w:tcPr>
          <w:p w14:paraId="10DE20EF" w14:textId="1AE8264A" w:rsidR="00154F8B" w:rsidRPr="004922AF" w:rsidRDefault="00154F8B" w:rsidP="002D5255">
            <w:pPr>
              <w:spacing w:after="120" w:line="276" w:lineRule="auto"/>
              <w:ind w:left="135" w:right="56"/>
              <w:rPr>
                <w:rFonts w:cs="Arial"/>
                <w:szCs w:val="28"/>
              </w:rPr>
            </w:pPr>
            <w:r w:rsidRPr="00655A51">
              <w:rPr>
                <w:rFonts w:cs="Arial"/>
                <w:szCs w:val="28"/>
                <w:lang w:val="en-GB"/>
              </w:rPr>
              <w:t>As per Contract Management Plan</w:t>
            </w:r>
          </w:p>
        </w:tc>
        <w:tc>
          <w:tcPr>
            <w:tcW w:w="3544" w:type="dxa"/>
          </w:tcPr>
          <w:p w14:paraId="68ED4FE2" w14:textId="18F2C557" w:rsidR="00154F8B" w:rsidRDefault="00154F8B" w:rsidP="002D5255">
            <w:pPr>
              <w:spacing w:after="120" w:line="276" w:lineRule="auto"/>
              <w:ind w:right="56"/>
              <w:rPr>
                <w:rFonts w:cs="Arial"/>
                <w:szCs w:val="28"/>
              </w:rPr>
            </w:pPr>
            <w:r>
              <w:rPr>
                <w:rFonts w:cs="Arial"/>
                <w:szCs w:val="28"/>
                <w:lang w:val="en-GB"/>
              </w:rPr>
              <w:t xml:space="preserve">Suppliers re-complete a </w:t>
            </w:r>
            <w:r w:rsidR="00945480">
              <w:rPr>
                <w:rFonts w:cs="Arial"/>
                <w:szCs w:val="28"/>
                <w:lang w:val="en-GB"/>
              </w:rPr>
              <w:t>Short</w:t>
            </w:r>
            <w:r>
              <w:rPr>
                <w:rFonts w:cs="Arial"/>
                <w:szCs w:val="28"/>
                <w:lang w:val="en-GB"/>
              </w:rPr>
              <w:t xml:space="preserve"> SAQ every 24 months or as needed</w:t>
            </w:r>
          </w:p>
        </w:tc>
      </w:tr>
    </w:tbl>
    <w:p w14:paraId="75E5FE19" w14:textId="1C75260C" w:rsidR="002D6FF4" w:rsidRDefault="00154F8B" w:rsidP="002D5255">
      <w:pPr>
        <w:pStyle w:val="BodyText"/>
        <w:spacing w:before="168" w:line="276" w:lineRule="auto"/>
        <w:ind w:left="851" w:right="56"/>
        <w:rPr>
          <w:i/>
          <w:iCs/>
          <w:sz w:val="18"/>
          <w:szCs w:val="18"/>
        </w:rPr>
      </w:pPr>
      <w:r w:rsidRPr="00154F8B">
        <w:rPr>
          <w:i/>
          <w:iCs/>
          <w:sz w:val="18"/>
          <w:szCs w:val="18"/>
        </w:rPr>
        <w:t>Table 2. Monitor and engagement frequency</w:t>
      </w:r>
    </w:p>
    <w:p w14:paraId="35227886" w14:textId="77777777" w:rsidR="00154F8B" w:rsidRPr="00154F8B" w:rsidRDefault="00154F8B" w:rsidP="002D5255">
      <w:pPr>
        <w:pStyle w:val="BodyText"/>
        <w:spacing w:after="120" w:line="276" w:lineRule="auto"/>
        <w:ind w:left="851" w:right="57"/>
        <w:rPr>
          <w:sz w:val="22"/>
          <w:szCs w:val="22"/>
        </w:rPr>
      </w:pPr>
      <w:r w:rsidRPr="00154F8B">
        <w:rPr>
          <w:sz w:val="22"/>
          <w:szCs w:val="22"/>
        </w:rPr>
        <w:t>As-needed, re-assessments outside of this regular cycle may also be triggered if:</w:t>
      </w:r>
    </w:p>
    <w:p w14:paraId="0A10E524" w14:textId="77777777" w:rsidR="00154F8B" w:rsidRPr="00154F8B" w:rsidRDefault="00154F8B" w:rsidP="002D5255">
      <w:pPr>
        <w:pStyle w:val="BodyText"/>
        <w:numPr>
          <w:ilvl w:val="0"/>
          <w:numId w:val="10"/>
        </w:numPr>
        <w:spacing w:after="120" w:line="276" w:lineRule="auto"/>
        <w:ind w:right="57"/>
        <w:rPr>
          <w:sz w:val="22"/>
          <w:szCs w:val="22"/>
        </w:rPr>
      </w:pPr>
      <w:r w:rsidRPr="00154F8B">
        <w:rPr>
          <w:sz w:val="22"/>
          <w:szCs w:val="22"/>
        </w:rPr>
        <w:t>There is a change to the nature of the goods and services the supplier provides, or to the nature of the supplier’s operations and supply chain management.</w:t>
      </w:r>
    </w:p>
    <w:p w14:paraId="453351DF" w14:textId="77777777" w:rsidR="00154F8B" w:rsidRPr="00154F8B" w:rsidRDefault="00154F8B" w:rsidP="002D5255">
      <w:pPr>
        <w:pStyle w:val="BodyText"/>
        <w:numPr>
          <w:ilvl w:val="0"/>
          <w:numId w:val="10"/>
        </w:numPr>
        <w:spacing w:after="120" w:line="276" w:lineRule="auto"/>
        <w:ind w:right="57"/>
        <w:rPr>
          <w:sz w:val="22"/>
          <w:szCs w:val="22"/>
        </w:rPr>
      </w:pPr>
      <w:r w:rsidRPr="00154F8B">
        <w:rPr>
          <w:sz w:val="22"/>
          <w:szCs w:val="22"/>
        </w:rPr>
        <w:t>A supplier indicates they cannot complete/fulfil a commitment in their Improvement Plan.</w:t>
      </w:r>
    </w:p>
    <w:p w14:paraId="5CD8AFE7" w14:textId="77777777" w:rsidR="00154F8B" w:rsidRPr="00154F8B" w:rsidRDefault="00154F8B" w:rsidP="002D5255">
      <w:pPr>
        <w:pStyle w:val="BodyText"/>
        <w:numPr>
          <w:ilvl w:val="0"/>
          <w:numId w:val="10"/>
        </w:numPr>
        <w:spacing w:after="120" w:line="276" w:lineRule="auto"/>
        <w:ind w:right="57"/>
        <w:rPr>
          <w:sz w:val="22"/>
          <w:szCs w:val="22"/>
        </w:rPr>
      </w:pPr>
      <w:r w:rsidRPr="00154F8B">
        <w:rPr>
          <w:sz w:val="22"/>
          <w:szCs w:val="22"/>
        </w:rPr>
        <w:t>New or additional modern slavery risks are identified.</w:t>
      </w:r>
    </w:p>
    <w:p w14:paraId="7FE10D3A" w14:textId="77777777" w:rsidR="00154F8B" w:rsidRPr="00154F8B" w:rsidRDefault="00154F8B" w:rsidP="002D5255">
      <w:pPr>
        <w:pStyle w:val="BodyText"/>
        <w:numPr>
          <w:ilvl w:val="0"/>
          <w:numId w:val="10"/>
        </w:numPr>
        <w:spacing w:after="120" w:line="276" w:lineRule="auto"/>
        <w:ind w:right="57"/>
        <w:rPr>
          <w:sz w:val="22"/>
          <w:szCs w:val="22"/>
        </w:rPr>
      </w:pPr>
      <w:r w:rsidRPr="00154F8B">
        <w:rPr>
          <w:sz w:val="22"/>
          <w:szCs w:val="22"/>
        </w:rPr>
        <w:t>Contract negotiations or variations are underway.</w:t>
      </w:r>
    </w:p>
    <w:p w14:paraId="77C561E1" w14:textId="77777777" w:rsidR="00154F8B" w:rsidRPr="00154F8B" w:rsidRDefault="00154F8B" w:rsidP="002D5255">
      <w:pPr>
        <w:pStyle w:val="BodyText"/>
        <w:numPr>
          <w:ilvl w:val="0"/>
          <w:numId w:val="10"/>
        </w:numPr>
        <w:spacing w:after="120" w:line="276" w:lineRule="auto"/>
        <w:ind w:right="57"/>
        <w:rPr>
          <w:sz w:val="22"/>
          <w:szCs w:val="22"/>
        </w:rPr>
      </w:pPr>
      <w:r w:rsidRPr="00154F8B">
        <w:rPr>
          <w:sz w:val="22"/>
          <w:szCs w:val="22"/>
        </w:rPr>
        <w:t>An incident of modern slavery is identified, or a credible allegation of modern slavery practices or behaviours is detected during ongoing monitoring of other sources including notification by the supplier, via media sources or whistle blower reports.</w:t>
      </w:r>
    </w:p>
    <w:p w14:paraId="124F75BE" w14:textId="4C7F943D" w:rsidR="00E77B43" w:rsidRPr="001520D3" w:rsidRDefault="00A144B2" w:rsidP="002D5255">
      <w:pPr>
        <w:pStyle w:val="Heading3"/>
        <w:ind w:left="567" w:right="56"/>
        <w:rPr>
          <w:rFonts w:ascii="Griffith Sans Text" w:hAnsi="Griffith Sans Text"/>
        </w:rPr>
      </w:pPr>
      <w:bookmarkStart w:id="2" w:name="_3.2_[Insert_sub-heading]"/>
      <w:bookmarkEnd w:id="2"/>
      <w:r w:rsidRPr="001520D3">
        <w:rPr>
          <w:rFonts w:ascii="Griffith Sans Text" w:hAnsi="Griffith Sans Text"/>
        </w:rPr>
        <w:t xml:space="preserve">3.2 </w:t>
      </w:r>
      <w:r w:rsidR="00154F8B">
        <w:rPr>
          <w:rFonts w:ascii="Griffith Sans Text" w:hAnsi="Griffith Sans Text"/>
        </w:rPr>
        <w:t>Grievance Investigations</w:t>
      </w:r>
    </w:p>
    <w:p w14:paraId="7FF47118" w14:textId="138BD140" w:rsidR="00C9219E" w:rsidRPr="00C9219E" w:rsidRDefault="00C9219E" w:rsidP="002D5255">
      <w:pPr>
        <w:pStyle w:val="BodyText"/>
        <w:spacing w:after="120" w:line="276" w:lineRule="auto"/>
        <w:ind w:left="567" w:right="658"/>
        <w:rPr>
          <w:sz w:val="22"/>
          <w:szCs w:val="22"/>
        </w:rPr>
      </w:pPr>
      <w:r w:rsidRPr="00C9219E">
        <w:rPr>
          <w:sz w:val="22"/>
          <w:szCs w:val="22"/>
        </w:rPr>
        <w:t xml:space="preserve">Substantiated allegations or findings of harm (e.g., through media exposure) would trigger a re-assessment of the supplier’s modern slavery risk rating and subsequent engagement and monitoring activities. All grievance investigations should be escalated to Strategic Procurement and Supply. For more information, please refer to </w:t>
      </w:r>
      <w:hyperlink r:id="rId27" w:history="1">
        <w:r w:rsidRPr="0018027B">
          <w:rPr>
            <w:rStyle w:val="Hyperlink"/>
            <w:rFonts w:eastAsiaTheme="minorHAnsi"/>
            <w:kern w:val="2"/>
            <w:sz w:val="22"/>
            <w:szCs w:val="22"/>
            <w:u w:val="single"/>
            <w:lang w:val="en-AU" w:eastAsia="en-AU"/>
          </w:rPr>
          <w:t>Griffith’s Modern Slavery Grievance and Remediation Procedure</w:t>
        </w:r>
      </w:hyperlink>
      <w:r>
        <w:rPr>
          <w:rStyle w:val="Hyperlink"/>
          <w:rFonts w:eastAsiaTheme="minorHAnsi"/>
          <w:color w:val="000000" w:themeColor="text1"/>
          <w:kern w:val="2"/>
          <w:sz w:val="22"/>
          <w:szCs w:val="22"/>
          <w:lang w:val="en-AU" w:eastAsia="en-AU"/>
        </w:rPr>
        <w:t>.</w:t>
      </w:r>
    </w:p>
    <w:p w14:paraId="5FA391B0" w14:textId="77777777" w:rsidR="00C9219E" w:rsidRPr="00C9219E" w:rsidRDefault="00C9219E" w:rsidP="002D5255">
      <w:pPr>
        <w:pStyle w:val="BodyText"/>
        <w:spacing w:after="120" w:line="276" w:lineRule="auto"/>
        <w:ind w:left="567" w:right="658"/>
        <w:rPr>
          <w:sz w:val="22"/>
          <w:szCs w:val="22"/>
        </w:rPr>
      </w:pPr>
      <w:r w:rsidRPr="00C9219E">
        <w:rPr>
          <w:b/>
          <w:bCs/>
          <w:sz w:val="22"/>
          <w:szCs w:val="22"/>
        </w:rPr>
        <w:t>Prospective supplier</w:t>
      </w:r>
      <w:r w:rsidRPr="00C9219E">
        <w:rPr>
          <w:sz w:val="22"/>
          <w:szCs w:val="22"/>
        </w:rPr>
        <w:t xml:space="preserve">: If a modern slavery incident relating to a prospective supplier comes to the attention of Griffith, the stakeholder responsible for the sourcing event should liaise with </w:t>
      </w:r>
      <w:r w:rsidRPr="00C9219E">
        <w:rPr>
          <w:sz w:val="22"/>
          <w:szCs w:val="22"/>
        </w:rPr>
        <w:lastRenderedPageBreak/>
        <w:t>Strategic Procurement and Supply to determine the correct course of action. A determination will then be made as to whether the supplier should still be eligible to supply to Griffith (subject to appropriate remediation actions and commitment to an Improvement Plan) or excluded from the sourcing event.</w:t>
      </w:r>
    </w:p>
    <w:p w14:paraId="21190367" w14:textId="77777777" w:rsidR="00C9219E" w:rsidRPr="00493082" w:rsidRDefault="00C9219E" w:rsidP="002D5255">
      <w:pPr>
        <w:pStyle w:val="BodyText"/>
        <w:spacing w:after="120" w:line="276" w:lineRule="auto"/>
        <w:ind w:left="567" w:right="658"/>
        <w:rPr>
          <w:sz w:val="22"/>
          <w:szCs w:val="22"/>
        </w:rPr>
      </w:pPr>
      <w:r w:rsidRPr="00493082">
        <w:rPr>
          <w:b/>
          <w:bCs/>
          <w:sz w:val="22"/>
          <w:szCs w:val="22"/>
        </w:rPr>
        <w:t>Existing supplier</w:t>
      </w:r>
      <w:r w:rsidRPr="00493082">
        <w:rPr>
          <w:sz w:val="22"/>
          <w:szCs w:val="22"/>
        </w:rPr>
        <w:t>: Where the supplier has progressed through to onboarding, or if they are an existing supplier to Griffith, a re-assessment of the supplier may be required.</w:t>
      </w:r>
    </w:p>
    <w:p w14:paraId="5EB8F927" w14:textId="418EF0AB" w:rsidR="00A144B2" w:rsidRPr="00237AB3" w:rsidRDefault="007418A5" w:rsidP="0018027B">
      <w:pPr>
        <w:pStyle w:val="Heading2"/>
        <w:ind w:left="567" w:right="56"/>
        <w:rPr>
          <w:rFonts w:ascii="Griffith Sans Text" w:hAnsi="Griffith Sans Text"/>
        </w:rPr>
      </w:pPr>
      <w:bookmarkStart w:id="3" w:name="_4.0_Roles,_responsibilities"/>
      <w:bookmarkStart w:id="4" w:name="_5.0_Definitions"/>
      <w:bookmarkStart w:id="5" w:name="_4.0_Definitions"/>
      <w:bookmarkEnd w:id="3"/>
      <w:bookmarkEnd w:id="4"/>
      <w:bookmarkEnd w:id="5"/>
      <w:r w:rsidRPr="00237AB3">
        <w:rPr>
          <w:rFonts w:ascii="Griffith Sans Text" w:hAnsi="Griffith Sans Text"/>
        </w:rPr>
        <w:t>4</w:t>
      </w:r>
      <w:r w:rsidR="00A144B2" w:rsidRPr="00237AB3">
        <w:rPr>
          <w:rFonts w:ascii="Griffith Sans Text" w:hAnsi="Griffith Sans Text"/>
        </w:rPr>
        <w:t>.0 Definitions</w:t>
      </w:r>
    </w:p>
    <w:p w14:paraId="08BF0A28" w14:textId="5DDFCFC5" w:rsidR="00C9219E" w:rsidRPr="00C9219E" w:rsidRDefault="00C9219E" w:rsidP="0018027B">
      <w:pPr>
        <w:widowControl w:val="0"/>
        <w:tabs>
          <w:tab w:val="left" w:pos="1010"/>
          <w:tab w:val="left" w:pos="1011"/>
        </w:tabs>
        <w:autoSpaceDE w:val="0"/>
        <w:autoSpaceDN w:val="0"/>
        <w:spacing w:after="120"/>
        <w:ind w:left="567" w:right="680"/>
      </w:pPr>
      <w:r w:rsidRPr="00C9219E">
        <w:rPr>
          <w:b/>
          <w:bCs/>
        </w:rPr>
        <w:t>Inherent Risk:</w:t>
      </w:r>
      <w:r w:rsidRPr="00C9219E">
        <w:t xml:space="preserve"> </w:t>
      </w:r>
      <w:r w:rsidRPr="00C9219E">
        <w:rPr>
          <w:rFonts w:eastAsia="Times New Roman"/>
          <w:color w:val="374151"/>
        </w:rPr>
        <w:t xml:space="preserve"> </w:t>
      </w:r>
      <w:r w:rsidRPr="00C9219E">
        <w:t>refers to the level of risk within a particular business, industry, or supply chain for the potential occurrence or involvement in modern slavery practices. It signifies the underlying or built-in risk factors that are present due to various factors such as geographical location, industry type, labour practices, or specific vulnerabilities in the supply chain</w:t>
      </w:r>
      <w:r w:rsidR="0018027B">
        <w:t xml:space="preserve">. These risk factors persist </w:t>
      </w:r>
      <w:r w:rsidRPr="00C9219E">
        <w:t xml:space="preserve">even if preventive measures are taken. </w:t>
      </w:r>
    </w:p>
    <w:p w14:paraId="23F5611F" w14:textId="77777777" w:rsidR="00C9219E" w:rsidRPr="00C9219E" w:rsidRDefault="00C9219E" w:rsidP="0018027B">
      <w:pPr>
        <w:widowControl w:val="0"/>
        <w:tabs>
          <w:tab w:val="left" w:pos="1010"/>
          <w:tab w:val="left" w:pos="1011"/>
        </w:tabs>
        <w:autoSpaceDE w:val="0"/>
        <w:autoSpaceDN w:val="0"/>
        <w:spacing w:after="120"/>
        <w:ind w:left="567" w:right="680"/>
      </w:pPr>
      <w:r w:rsidRPr="00C9219E">
        <w:rPr>
          <w:b/>
          <w:bCs/>
        </w:rPr>
        <w:t>Modern slavery:</w:t>
      </w:r>
      <w:r w:rsidRPr="00C9219E">
        <w:t xml:space="preserve"> Situations where coercion, threats or deception are used to exploit victims and undermine or deprive them of their freedom. Modern slavery, as an umbrella term covering numerous practices, is not defined under international law. For the purpose of this document, modern slavery is considered to include trafficking in persons, slavery, servitude, forced marriage, forced labour, debt bondage, deceptive recruiting for labour or services, and the worst forms of child labour.</w:t>
      </w:r>
    </w:p>
    <w:p w14:paraId="179BABC5" w14:textId="77777777" w:rsidR="00C9219E" w:rsidRPr="00C9219E" w:rsidRDefault="00C9219E" w:rsidP="0018027B">
      <w:pPr>
        <w:widowControl w:val="0"/>
        <w:tabs>
          <w:tab w:val="left" w:pos="1010"/>
          <w:tab w:val="left" w:pos="1011"/>
        </w:tabs>
        <w:autoSpaceDE w:val="0"/>
        <w:autoSpaceDN w:val="0"/>
        <w:spacing w:after="120"/>
        <w:ind w:left="567" w:right="680"/>
      </w:pPr>
      <w:r w:rsidRPr="00C9219E">
        <w:rPr>
          <w:b/>
          <w:bCs/>
        </w:rPr>
        <w:t>Modern Slavery Risk:</w:t>
      </w:r>
      <w:r w:rsidRPr="00C9219E">
        <w:t xml:space="preserve"> the potential for the supplier or a related entity to have adverse impacts on the protection or enjoyment of human rights by affected stakeholders, including the potential for modern slavery practices or behaviours to occur within the supply chain.</w:t>
      </w:r>
    </w:p>
    <w:p w14:paraId="4A195F4F" w14:textId="639260B0" w:rsidR="00C9219E" w:rsidRPr="00C9219E" w:rsidRDefault="00C9219E" w:rsidP="0018027B">
      <w:pPr>
        <w:widowControl w:val="0"/>
        <w:tabs>
          <w:tab w:val="left" w:pos="1010"/>
          <w:tab w:val="left" w:pos="1011"/>
        </w:tabs>
        <w:autoSpaceDE w:val="0"/>
        <w:autoSpaceDN w:val="0"/>
        <w:spacing w:after="120"/>
        <w:ind w:left="567" w:right="680"/>
      </w:pPr>
      <w:r w:rsidRPr="00C9219E">
        <w:rPr>
          <w:b/>
          <w:bCs/>
        </w:rPr>
        <w:t>Modern Slavery Task Force:</w:t>
      </w:r>
      <w:r w:rsidRPr="00C9219E">
        <w:t xml:space="preserve"> cross-functional, executive-level unit, established to provide strategic guidance</w:t>
      </w:r>
      <w:r w:rsidR="0018027B">
        <w:t xml:space="preserve"> for anti-slavery activities. </w:t>
      </w:r>
    </w:p>
    <w:p w14:paraId="4A6A431F" w14:textId="77777777" w:rsidR="00C9219E" w:rsidRPr="00C9219E" w:rsidRDefault="00C9219E" w:rsidP="0018027B">
      <w:pPr>
        <w:widowControl w:val="0"/>
        <w:tabs>
          <w:tab w:val="left" w:pos="1010"/>
          <w:tab w:val="left" w:pos="1011"/>
        </w:tabs>
        <w:autoSpaceDE w:val="0"/>
        <w:autoSpaceDN w:val="0"/>
        <w:spacing w:after="120"/>
        <w:ind w:left="567" w:right="680"/>
      </w:pPr>
      <w:r w:rsidRPr="00C9219E">
        <w:rPr>
          <w:b/>
          <w:bCs/>
        </w:rPr>
        <w:t>Residual risk:</w:t>
      </w:r>
      <w:r w:rsidRPr="00C9219E">
        <w:t xml:space="preserve"> Residual risk represents the level of risk present once risk controls have been put in place, which should reduce the inherent risk but may not remove the risk entirely.</w:t>
      </w:r>
    </w:p>
    <w:p w14:paraId="699DEBE7" w14:textId="01943C9F" w:rsidR="00C9219E" w:rsidRPr="00C9219E" w:rsidRDefault="00C9219E" w:rsidP="0018027B">
      <w:pPr>
        <w:widowControl w:val="0"/>
        <w:tabs>
          <w:tab w:val="left" w:pos="1010"/>
          <w:tab w:val="left" w:pos="1011"/>
        </w:tabs>
        <w:autoSpaceDE w:val="0"/>
        <w:autoSpaceDN w:val="0"/>
        <w:spacing w:after="120"/>
        <w:ind w:left="567" w:right="680"/>
      </w:pPr>
      <w:r w:rsidRPr="00C9219E">
        <w:rPr>
          <w:b/>
          <w:bCs/>
        </w:rPr>
        <w:t>Supplier Assessment Questionnaire (SAQ):</w:t>
      </w:r>
      <w:r w:rsidRPr="00C9219E">
        <w:t xml:space="preserve"> It is a set of questions to enable suppliers/vendors to share information about their business.</w:t>
      </w:r>
      <w:r w:rsidR="00AF4D1B">
        <w:t xml:space="preserve"> The assessment process comprises of two types of SAQ, the Short SAQ and Long SAQ.</w:t>
      </w:r>
    </w:p>
    <w:p w14:paraId="6A6FEF7B" w14:textId="43A16BE2" w:rsidR="00C9219E" w:rsidRPr="00C9219E" w:rsidRDefault="00C9219E" w:rsidP="0018027B">
      <w:pPr>
        <w:widowControl w:val="0"/>
        <w:tabs>
          <w:tab w:val="left" w:pos="1010"/>
          <w:tab w:val="left" w:pos="1011"/>
        </w:tabs>
        <w:autoSpaceDE w:val="0"/>
        <w:autoSpaceDN w:val="0"/>
        <w:spacing w:after="120"/>
        <w:ind w:left="567" w:right="680"/>
      </w:pPr>
      <w:r w:rsidRPr="00C9219E">
        <w:rPr>
          <w:b/>
          <w:bCs/>
        </w:rPr>
        <w:t>Short SAQ:</w:t>
      </w:r>
      <w:r w:rsidRPr="00C9219E">
        <w:t xml:space="preserve"> It is designed to be quick and easy to complete, consisting of a limited number of questions</w:t>
      </w:r>
      <w:r w:rsidR="0018027B">
        <w:t xml:space="preserve"> </w:t>
      </w:r>
      <w:r w:rsidRPr="00C9219E">
        <w:t>to quickly assess the actions taken by the supplier to address modern slavery risks.</w:t>
      </w:r>
    </w:p>
    <w:p w14:paraId="63433778" w14:textId="22B49093" w:rsidR="00C9219E" w:rsidRPr="00C9219E" w:rsidRDefault="00C9219E" w:rsidP="0018027B">
      <w:pPr>
        <w:widowControl w:val="0"/>
        <w:tabs>
          <w:tab w:val="left" w:pos="1010"/>
          <w:tab w:val="left" w:pos="1011"/>
        </w:tabs>
        <w:autoSpaceDE w:val="0"/>
        <w:autoSpaceDN w:val="0"/>
        <w:spacing w:after="120"/>
        <w:ind w:left="567" w:right="680"/>
      </w:pPr>
      <w:r w:rsidRPr="00C9219E">
        <w:rPr>
          <w:b/>
          <w:bCs/>
        </w:rPr>
        <w:t>Long SAQ:</w:t>
      </w:r>
      <w:r w:rsidRPr="00C9219E">
        <w:t xml:space="preserve"> It is extensive and comprehensive, with a wide range of questions that delve deeply into various aspects of a supplier's operations and practice. Its purpose is to facilitate an understanding of the residual risks, seeking detailed information regarding a supplier's policies, procedures, due diligence efforts, and actions taken to prevent and address modern slavery. </w:t>
      </w:r>
    </w:p>
    <w:p w14:paraId="24B3E51D" w14:textId="77777777" w:rsidR="00C9219E" w:rsidRPr="00C9219E" w:rsidRDefault="00C9219E" w:rsidP="0018027B">
      <w:pPr>
        <w:widowControl w:val="0"/>
        <w:tabs>
          <w:tab w:val="left" w:pos="1010"/>
          <w:tab w:val="left" w:pos="1011"/>
        </w:tabs>
        <w:autoSpaceDE w:val="0"/>
        <w:autoSpaceDN w:val="0"/>
        <w:spacing w:after="120"/>
        <w:ind w:left="567" w:right="681"/>
      </w:pPr>
      <w:r w:rsidRPr="00C9219E">
        <w:rPr>
          <w:b/>
          <w:bCs/>
        </w:rPr>
        <w:t>Supplier:</w:t>
      </w:r>
      <w:r w:rsidRPr="00C9219E">
        <w:t xml:space="preserve"> A party in the supply chain that makes goods and services available to companies or consumers.</w:t>
      </w:r>
    </w:p>
    <w:p w14:paraId="2469604E" w14:textId="77777777" w:rsidR="00C9219E" w:rsidRPr="00C9219E" w:rsidRDefault="00C9219E" w:rsidP="0018027B">
      <w:pPr>
        <w:widowControl w:val="0"/>
        <w:tabs>
          <w:tab w:val="left" w:pos="1010"/>
          <w:tab w:val="left" w:pos="1011"/>
        </w:tabs>
        <w:autoSpaceDE w:val="0"/>
        <w:autoSpaceDN w:val="0"/>
        <w:spacing w:after="120"/>
        <w:ind w:left="567" w:right="681"/>
      </w:pPr>
      <w:r w:rsidRPr="00C9219E">
        <w:rPr>
          <w:b/>
          <w:bCs/>
        </w:rPr>
        <w:t>Tier-1 supplier:</w:t>
      </w:r>
      <w:r w:rsidRPr="00C9219E">
        <w:t xml:space="preserve"> These are Griffith’s direct suppliers of the final product.</w:t>
      </w:r>
    </w:p>
    <w:p w14:paraId="79A050D9" w14:textId="77777777" w:rsidR="00C9219E" w:rsidRPr="00C9219E" w:rsidRDefault="00C9219E" w:rsidP="0018027B">
      <w:pPr>
        <w:widowControl w:val="0"/>
        <w:tabs>
          <w:tab w:val="left" w:pos="1010"/>
          <w:tab w:val="left" w:pos="1011"/>
        </w:tabs>
        <w:autoSpaceDE w:val="0"/>
        <w:autoSpaceDN w:val="0"/>
        <w:spacing w:after="120"/>
        <w:ind w:left="567" w:right="681"/>
      </w:pPr>
      <w:r w:rsidRPr="00C9219E">
        <w:rPr>
          <w:b/>
          <w:bCs/>
        </w:rPr>
        <w:t>Tier-2 supplier:</w:t>
      </w:r>
      <w:r w:rsidRPr="00C9219E">
        <w:t xml:space="preserve"> These are suppliers or subcontractors for Griffith’s tier 1 suppliers.</w:t>
      </w:r>
    </w:p>
    <w:p w14:paraId="6B8985C1" w14:textId="27CC9FA9" w:rsidR="00091E5E" w:rsidRDefault="00091E5E" w:rsidP="002D5255">
      <w:pPr>
        <w:ind w:right="56"/>
        <w:rPr>
          <w:rFonts w:cs="Arial"/>
          <w:b/>
          <w:bCs/>
          <w:sz w:val="20"/>
          <w:szCs w:val="20"/>
        </w:rPr>
      </w:pPr>
      <w:r>
        <w:rPr>
          <w:rFonts w:cs="Arial"/>
          <w:b/>
          <w:bCs/>
          <w:sz w:val="20"/>
          <w:szCs w:val="20"/>
        </w:rPr>
        <w:br w:type="page"/>
      </w:r>
    </w:p>
    <w:p w14:paraId="12A3BF87" w14:textId="3D3BC32C" w:rsidR="00811F90" w:rsidRPr="00237AB3" w:rsidRDefault="007418A5" w:rsidP="002D5255">
      <w:pPr>
        <w:pStyle w:val="Heading2"/>
        <w:ind w:right="56"/>
        <w:rPr>
          <w:rFonts w:ascii="Griffith Sans Text" w:hAnsi="Griffith Sans Text"/>
        </w:rPr>
      </w:pPr>
      <w:bookmarkStart w:id="6" w:name="_6.0_Information"/>
      <w:bookmarkStart w:id="7" w:name="_5.0_Information"/>
      <w:bookmarkEnd w:id="6"/>
      <w:bookmarkEnd w:id="7"/>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0271BB">
        <w:tc>
          <w:tcPr>
            <w:tcW w:w="2943" w:type="dxa"/>
          </w:tcPr>
          <w:p w14:paraId="043C5737" w14:textId="2C6464CE" w:rsidR="00786706" w:rsidRPr="004922AF" w:rsidRDefault="00786706" w:rsidP="002D5255">
            <w:pPr>
              <w:spacing w:after="120" w:line="276" w:lineRule="auto"/>
              <w:ind w:right="56"/>
              <w:rPr>
                <w:rFonts w:cs="Arial"/>
                <w:szCs w:val="28"/>
              </w:rPr>
            </w:pPr>
            <w:r w:rsidRPr="004922AF">
              <w:rPr>
                <w:rFonts w:cs="Arial"/>
                <w:szCs w:val="28"/>
              </w:rPr>
              <w:t>Title</w:t>
            </w:r>
          </w:p>
        </w:tc>
        <w:tc>
          <w:tcPr>
            <w:tcW w:w="7147" w:type="dxa"/>
          </w:tcPr>
          <w:p w14:paraId="19EA923A" w14:textId="1642CFC3" w:rsidR="00786706" w:rsidRPr="004922AF" w:rsidRDefault="00C9219E" w:rsidP="002D5255">
            <w:pPr>
              <w:spacing w:after="120" w:line="276" w:lineRule="auto"/>
              <w:ind w:right="56"/>
              <w:rPr>
                <w:rFonts w:cs="Arial"/>
                <w:szCs w:val="28"/>
                <w:lang w:val="en-GB"/>
              </w:rPr>
            </w:pPr>
            <w:r>
              <w:rPr>
                <w:rFonts w:cs="Arial"/>
                <w:szCs w:val="28"/>
                <w:lang w:val="en-GB"/>
              </w:rPr>
              <w:t xml:space="preserve">Modern Slavery Supplier Assessment and </w:t>
            </w:r>
            <w:r w:rsidR="00F742A0">
              <w:rPr>
                <w:rFonts w:cs="Arial"/>
                <w:szCs w:val="28"/>
                <w:lang w:val="en-GB"/>
              </w:rPr>
              <w:t xml:space="preserve">Risk </w:t>
            </w:r>
            <w:r>
              <w:rPr>
                <w:rFonts w:cs="Arial"/>
                <w:szCs w:val="28"/>
                <w:lang w:val="en-GB"/>
              </w:rPr>
              <w:t>Management</w:t>
            </w:r>
            <w:r w:rsidR="0041339E">
              <w:rPr>
                <w:rFonts w:cs="Arial"/>
                <w:szCs w:val="28"/>
                <w:lang w:val="en-GB"/>
              </w:rPr>
              <w:t xml:space="preserve"> Procedure.</w:t>
            </w:r>
          </w:p>
        </w:tc>
      </w:tr>
      <w:tr w:rsidR="00786706" w14:paraId="66D4D4A1" w14:textId="77777777" w:rsidTr="000271BB">
        <w:tc>
          <w:tcPr>
            <w:tcW w:w="2943" w:type="dxa"/>
          </w:tcPr>
          <w:p w14:paraId="18280F52" w14:textId="5ED479A2" w:rsidR="00786706" w:rsidRPr="004922AF" w:rsidRDefault="00786706" w:rsidP="002D5255">
            <w:pPr>
              <w:spacing w:after="120" w:line="276" w:lineRule="auto"/>
              <w:ind w:right="56"/>
              <w:rPr>
                <w:rFonts w:cs="Arial"/>
                <w:szCs w:val="28"/>
              </w:rPr>
            </w:pPr>
            <w:r w:rsidRPr="004922AF">
              <w:rPr>
                <w:rFonts w:cs="Arial"/>
                <w:szCs w:val="28"/>
              </w:rPr>
              <w:t>Document number</w:t>
            </w:r>
          </w:p>
        </w:tc>
        <w:tc>
          <w:tcPr>
            <w:tcW w:w="7147" w:type="dxa"/>
          </w:tcPr>
          <w:p w14:paraId="53E0817F" w14:textId="3BA175BF" w:rsidR="00786706" w:rsidRPr="004922AF" w:rsidRDefault="00E83258" w:rsidP="002D5255">
            <w:pPr>
              <w:spacing w:after="120" w:line="276" w:lineRule="auto"/>
              <w:ind w:right="56"/>
              <w:rPr>
                <w:rFonts w:cs="Arial"/>
                <w:szCs w:val="28"/>
                <w:lang w:val="en-GB"/>
              </w:rPr>
            </w:pPr>
            <w:r w:rsidRPr="00E83258">
              <w:rPr>
                <w:rFonts w:cs="Arial"/>
                <w:szCs w:val="28"/>
              </w:rPr>
              <w:t>2023/0001212</w:t>
            </w:r>
          </w:p>
        </w:tc>
      </w:tr>
      <w:tr w:rsidR="00786706" w14:paraId="66BCD115" w14:textId="77777777" w:rsidTr="000271BB">
        <w:tc>
          <w:tcPr>
            <w:tcW w:w="2943" w:type="dxa"/>
          </w:tcPr>
          <w:p w14:paraId="0DEE091F" w14:textId="5E2B7B69" w:rsidR="00786706" w:rsidRPr="004922AF" w:rsidRDefault="00786706" w:rsidP="002D5255">
            <w:pPr>
              <w:spacing w:after="120" w:line="276" w:lineRule="auto"/>
              <w:ind w:right="56"/>
              <w:rPr>
                <w:rFonts w:cs="Arial"/>
                <w:szCs w:val="28"/>
              </w:rPr>
            </w:pPr>
            <w:r w:rsidRPr="004922AF">
              <w:rPr>
                <w:rFonts w:cs="Arial"/>
                <w:szCs w:val="28"/>
              </w:rPr>
              <w:t>Purpose</w:t>
            </w:r>
          </w:p>
        </w:tc>
        <w:tc>
          <w:tcPr>
            <w:tcW w:w="7147" w:type="dxa"/>
          </w:tcPr>
          <w:p w14:paraId="7FE09B90" w14:textId="61A61661" w:rsidR="00786706" w:rsidRPr="004922AF" w:rsidRDefault="00C9219E" w:rsidP="002D5255">
            <w:pPr>
              <w:spacing w:after="120" w:line="276" w:lineRule="auto"/>
              <w:ind w:right="56"/>
              <w:rPr>
                <w:rFonts w:cs="Arial"/>
                <w:szCs w:val="28"/>
                <w:lang w:val="en-GB"/>
              </w:rPr>
            </w:pPr>
            <w:r>
              <w:rPr>
                <w:rFonts w:cs="Arial"/>
                <w:szCs w:val="28"/>
              </w:rPr>
              <w:t>A specific procedure to support modern slavery risk assessment and management across our operations and supply chains.</w:t>
            </w:r>
          </w:p>
        </w:tc>
      </w:tr>
      <w:tr w:rsidR="00786706" w14:paraId="625A2530" w14:textId="77777777" w:rsidTr="000271BB">
        <w:tc>
          <w:tcPr>
            <w:tcW w:w="2943" w:type="dxa"/>
          </w:tcPr>
          <w:p w14:paraId="74ADF083" w14:textId="20B8679F" w:rsidR="00786706" w:rsidRPr="004922AF" w:rsidRDefault="00786706" w:rsidP="002D5255">
            <w:pPr>
              <w:spacing w:after="120" w:line="276" w:lineRule="auto"/>
              <w:ind w:right="56"/>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C1F68CA" w:rsidR="00786706" w:rsidRPr="004922AF" w:rsidRDefault="00C9219E" w:rsidP="002D5255">
                <w:pPr>
                  <w:spacing w:after="120" w:line="276" w:lineRule="auto"/>
                  <w:ind w:right="56"/>
                  <w:rPr>
                    <w:rFonts w:cs="Arial"/>
                    <w:szCs w:val="28"/>
                  </w:rPr>
                </w:pPr>
                <w:r>
                  <w:rPr>
                    <w:rFonts w:cs="Arial"/>
                    <w:szCs w:val="28"/>
                  </w:rPr>
                  <w:t>Staff</w:t>
                </w:r>
              </w:p>
            </w:sdtContent>
          </w:sdt>
        </w:tc>
      </w:tr>
      <w:tr w:rsidR="00786706" w14:paraId="132A1D0D" w14:textId="77777777" w:rsidTr="000271BB">
        <w:tc>
          <w:tcPr>
            <w:tcW w:w="2943" w:type="dxa"/>
          </w:tcPr>
          <w:p w14:paraId="375184E5" w14:textId="4F1FD2B3" w:rsidR="00786706" w:rsidRPr="004922AF" w:rsidRDefault="00786706" w:rsidP="002D5255">
            <w:pPr>
              <w:spacing w:after="120" w:line="276" w:lineRule="auto"/>
              <w:ind w:right="56"/>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C238EE1" w:rsidR="00786706" w:rsidRPr="004922AF" w:rsidRDefault="00C9219E" w:rsidP="002D5255">
                <w:pPr>
                  <w:spacing w:after="120" w:line="276" w:lineRule="auto"/>
                  <w:ind w:right="56"/>
                  <w:rPr>
                    <w:rFonts w:cs="Arial"/>
                    <w:szCs w:val="28"/>
                  </w:rPr>
                </w:pPr>
                <w:r>
                  <w:rPr>
                    <w:rFonts w:cs="Arial"/>
                    <w:szCs w:val="28"/>
                  </w:rPr>
                  <w:t>Operational</w:t>
                </w:r>
              </w:p>
            </w:sdtContent>
          </w:sdt>
        </w:tc>
      </w:tr>
      <w:tr w:rsidR="00786706" w14:paraId="704234F9" w14:textId="77777777" w:rsidTr="000271BB">
        <w:tc>
          <w:tcPr>
            <w:tcW w:w="2943" w:type="dxa"/>
          </w:tcPr>
          <w:p w14:paraId="51A9284E" w14:textId="46B8CBB9" w:rsidR="00786706" w:rsidRPr="004922AF" w:rsidRDefault="00786706" w:rsidP="002D5255">
            <w:pPr>
              <w:spacing w:after="120" w:line="276" w:lineRule="auto"/>
              <w:ind w:right="56"/>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494D87D" w:rsidR="007512F5" w:rsidRPr="004922AF" w:rsidRDefault="0041339E" w:rsidP="002D5255">
                <w:pPr>
                  <w:spacing w:after="120" w:line="276" w:lineRule="auto"/>
                  <w:ind w:right="56"/>
                  <w:rPr>
                    <w:rFonts w:cs="Arial"/>
                    <w:szCs w:val="28"/>
                    <w:lang w:val="en-GB"/>
                  </w:rPr>
                </w:pPr>
                <w:r>
                  <w:rPr>
                    <w:rFonts w:cs="Arial"/>
                    <w:szCs w:val="28"/>
                    <w:lang w:val="en-GB"/>
                  </w:rPr>
                  <w:t>Finance</w:t>
                </w:r>
              </w:p>
            </w:sdtContent>
          </w:sdt>
        </w:tc>
      </w:tr>
      <w:tr w:rsidR="00A57044" w14:paraId="1DD394A7" w14:textId="77777777" w:rsidTr="000271BB">
        <w:tc>
          <w:tcPr>
            <w:tcW w:w="2943" w:type="dxa"/>
          </w:tcPr>
          <w:p w14:paraId="4CDE964B" w14:textId="59EBC56D" w:rsidR="00A57044" w:rsidRPr="004922AF" w:rsidRDefault="0046665F" w:rsidP="002D5255">
            <w:pPr>
              <w:spacing w:after="120" w:line="276" w:lineRule="auto"/>
              <w:ind w:right="56"/>
              <w:rPr>
                <w:rFonts w:cs="Arial"/>
                <w:szCs w:val="28"/>
              </w:rPr>
            </w:pPr>
            <w:r w:rsidRPr="004922AF">
              <w:rPr>
                <w:rFonts w:cs="Arial"/>
                <w:szCs w:val="28"/>
              </w:rPr>
              <w:t>UN Sustainable Development Goals (SDs)</w:t>
            </w:r>
          </w:p>
        </w:tc>
        <w:tc>
          <w:tcPr>
            <w:tcW w:w="7147" w:type="dxa"/>
          </w:tcPr>
          <w:p w14:paraId="68B0A012" w14:textId="77777777" w:rsidR="00A57044" w:rsidRPr="004922AF" w:rsidRDefault="008239FE" w:rsidP="002D5255">
            <w:pPr>
              <w:spacing w:after="120" w:line="276" w:lineRule="auto"/>
              <w:ind w:right="56"/>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501BE57" w:rsidR="00067836" w:rsidRPr="004922AF" w:rsidRDefault="0018027B" w:rsidP="00166169">
                <w:pPr>
                  <w:spacing w:after="120" w:line="276" w:lineRule="auto"/>
                  <w:ind w:right="56"/>
                  <w:rPr>
                    <w:rFonts w:cs="Arial"/>
                    <w:szCs w:val="28"/>
                  </w:rPr>
                </w:pPr>
                <w:r>
                  <w:rPr>
                    <w:rFonts w:cs="Arial"/>
                    <w:szCs w:val="28"/>
                  </w:rPr>
                  <w:t>8: Decent Work and Economic Growth</w:t>
                </w:r>
              </w:p>
            </w:sdtContent>
          </w:sdt>
        </w:tc>
      </w:tr>
      <w:tr w:rsidR="00786706" w14:paraId="72503509" w14:textId="77777777" w:rsidTr="000271BB">
        <w:tc>
          <w:tcPr>
            <w:tcW w:w="2943" w:type="dxa"/>
          </w:tcPr>
          <w:p w14:paraId="7967AC55" w14:textId="476A8E6E" w:rsidR="00786706" w:rsidRPr="004922AF" w:rsidRDefault="00786706" w:rsidP="002D5255">
            <w:pPr>
              <w:spacing w:after="120" w:line="276" w:lineRule="auto"/>
              <w:ind w:right="56"/>
              <w:rPr>
                <w:rFonts w:cs="Arial"/>
                <w:szCs w:val="28"/>
              </w:rPr>
            </w:pPr>
            <w:r w:rsidRPr="004922AF">
              <w:rPr>
                <w:rFonts w:cs="Arial"/>
                <w:szCs w:val="28"/>
              </w:rPr>
              <w:t>Approval date</w:t>
            </w:r>
          </w:p>
        </w:tc>
        <w:tc>
          <w:tcPr>
            <w:tcW w:w="7147" w:type="dxa"/>
          </w:tcPr>
          <w:p w14:paraId="194B217B" w14:textId="3C671919" w:rsidR="00786706" w:rsidRPr="004922AF" w:rsidRDefault="0041339E" w:rsidP="002D5255">
            <w:pPr>
              <w:spacing w:after="120" w:line="276" w:lineRule="auto"/>
              <w:ind w:right="56"/>
              <w:rPr>
                <w:rFonts w:cs="Arial"/>
                <w:szCs w:val="28"/>
              </w:rPr>
            </w:pPr>
            <w:r>
              <w:rPr>
                <w:rFonts w:cs="Arial"/>
                <w:szCs w:val="28"/>
              </w:rPr>
              <w:t xml:space="preserve"> </w:t>
            </w:r>
            <w:r w:rsidR="00166169">
              <w:rPr>
                <w:rFonts w:cs="Arial"/>
                <w:szCs w:val="28"/>
              </w:rPr>
              <w:t xml:space="preserve">26 October </w:t>
            </w:r>
            <w:r>
              <w:rPr>
                <w:rFonts w:cs="Arial"/>
                <w:szCs w:val="28"/>
              </w:rPr>
              <w:t>2023</w:t>
            </w:r>
          </w:p>
        </w:tc>
      </w:tr>
      <w:tr w:rsidR="00786706" w14:paraId="2AB5E63B" w14:textId="77777777" w:rsidTr="000271BB">
        <w:tc>
          <w:tcPr>
            <w:tcW w:w="2943" w:type="dxa"/>
          </w:tcPr>
          <w:p w14:paraId="64F617D1" w14:textId="7CF14029" w:rsidR="00786706" w:rsidRPr="004922AF" w:rsidRDefault="00786706" w:rsidP="002D5255">
            <w:pPr>
              <w:spacing w:after="120" w:line="276" w:lineRule="auto"/>
              <w:ind w:right="56"/>
              <w:rPr>
                <w:rFonts w:cs="Arial"/>
                <w:szCs w:val="28"/>
              </w:rPr>
            </w:pPr>
            <w:r w:rsidRPr="004922AF">
              <w:rPr>
                <w:rFonts w:cs="Arial"/>
                <w:szCs w:val="28"/>
              </w:rPr>
              <w:t>Effective date</w:t>
            </w:r>
          </w:p>
        </w:tc>
        <w:tc>
          <w:tcPr>
            <w:tcW w:w="7147" w:type="dxa"/>
          </w:tcPr>
          <w:p w14:paraId="4FFCA795" w14:textId="38DCD0E4" w:rsidR="00786706" w:rsidRPr="004922AF" w:rsidRDefault="00FE6937" w:rsidP="002D5255">
            <w:pPr>
              <w:spacing w:after="120" w:line="276" w:lineRule="auto"/>
              <w:ind w:right="56"/>
              <w:rPr>
                <w:rFonts w:cs="Arial"/>
                <w:szCs w:val="28"/>
              </w:rPr>
            </w:pPr>
            <w:r>
              <w:rPr>
                <w:rFonts w:cs="Arial"/>
                <w:szCs w:val="28"/>
              </w:rPr>
              <w:t xml:space="preserve">26 </w:t>
            </w:r>
            <w:r w:rsidR="00166169">
              <w:rPr>
                <w:rFonts w:cs="Arial"/>
                <w:szCs w:val="28"/>
              </w:rPr>
              <w:t>October</w:t>
            </w:r>
            <w:r w:rsidR="0041339E">
              <w:rPr>
                <w:rFonts w:cs="Arial"/>
                <w:szCs w:val="28"/>
              </w:rPr>
              <w:t xml:space="preserve"> 2023</w:t>
            </w:r>
          </w:p>
        </w:tc>
      </w:tr>
      <w:tr w:rsidR="00786706" w14:paraId="6F3FFE23" w14:textId="77777777" w:rsidTr="000271BB">
        <w:tc>
          <w:tcPr>
            <w:tcW w:w="2943" w:type="dxa"/>
          </w:tcPr>
          <w:p w14:paraId="6FF0BF57" w14:textId="3ECF3A96" w:rsidR="00786706" w:rsidRPr="004922AF" w:rsidRDefault="00786706" w:rsidP="002D5255">
            <w:pPr>
              <w:spacing w:after="120" w:line="276" w:lineRule="auto"/>
              <w:ind w:right="56"/>
              <w:rPr>
                <w:rFonts w:cs="Arial"/>
                <w:szCs w:val="28"/>
              </w:rPr>
            </w:pPr>
            <w:r w:rsidRPr="004922AF">
              <w:rPr>
                <w:rFonts w:cs="Arial"/>
                <w:szCs w:val="28"/>
              </w:rPr>
              <w:t>Review date</w:t>
            </w:r>
          </w:p>
        </w:tc>
        <w:tc>
          <w:tcPr>
            <w:tcW w:w="7147" w:type="dxa"/>
          </w:tcPr>
          <w:p w14:paraId="01E953C9" w14:textId="317C75DC" w:rsidR="00786706" w:rsidRPr="004922AF" w:rsidRDefault="0041339E" w:rsidP="002D5255">
            <w:pPr>
              <w:spacing w:after="120" w:line="276" w:lineRule="auto"/>
              <w:ind w:right="56"/>
              <w:rPr>
                <w:rFonts w:cs="Arial"/>
                <w:szCs w:val="28"/>
              </w:rPr>
            </w:pPr>
            <w:r>
              <w:rPr>
                <w:rFonts w:cs="Arial"/>
                <w:szCs w:val="28"/>
              </w:rPr>
              <w:t>2024</w:t>
            </w:r>
            <w:r w:rsidR="00EF2F26" w:rsidRPr="00EF2F26">
              <w:rPr>
                <w:rFonts w:cs="Arial"/>
                <w:szCs w:val="28"/>
              </w:rPr>
              <w:t xml:space="preserve"> (Currently under review)</w:t>
            </w:r>
          </w:p>
        </w:tc>
      </w:tr>
      <w:tr w:rsidR="00786706" w14:paraId="3BDD3607" w14:textId="77777777" w:rsidTr="000271BB">
        <w:tc>
          <w:tcPr>
            <w:tcW w:w="2943" w:type="dxa"/>
          </w:tcPr>
          <w:p w14:paraId="12FCF114" w14:textId="4AD0B255" w:rsidR="00786706" w:rsidRPr="004922AF" w:rsidRDefault="00786706" w:rsidP="002D5255">
            <w:pPr>
              <w:spacing w:after="120" w:line="276" w:lineRule="auto"/>
              <w:ind w:right="56"/>
              <w:rPr>
                <w:rFonts w:cs="Arial"/>
                <w:szCs w:val="28"/>
              </w:rPr>
            </w:pPr>
            <w:r w:rsidRPr="004922AF">
              <w:rPr>
                <w:rFonts w:cs="Arial"/>
                <w:szCs w:val="28"/>
              </w:rPr>
              <w:t>Policy advisor</w:t>
            </w:r>
          </w:p>
        </w:tc>
        <w:tc>
          <w:tcPr>
            <w:tcW w:w="7147" w:type="dxa"/>
          </w:tcPr>
          <w:p w14:paraId="0CB94D75" w14:textId="284356F1" w:rsidR="00786706" w:rsidRPr="004922AF" w:rsidRDefault="0041339E" w:rsidP="002D5255">
            <w:pPr>
              <w:spacing w:after="120" w:line="276" w:lineRule="auto"/>
              <w:ind w:right="56"/>
              <w:rPr>
                <w:rFonts w:cs="Arial"/>
                <w:szCs w:val="28"/>
              </w:rPr>
            </w:pPr>
            <w:r>
              <w:rPr>
                <w:rFonts w:cs="Arial"/>
                <w:szCs w:val="28"/>
              </w:rPr>
              <w:t>Head of Strategic Procurement and Supply</w:t>
            </w:r>
          </w:p>
        </w:tc>
      </w:tr>
      <w:tr w:rsidR="00786706" w14:paraId="49179DFF" w14:textId="77777777" w:rsidTr="000271BB">
        <w:tc>
          <w:tcPr>
            <w:tcW w:w="2943" w:type="dxa"/>
          </w:tcPr>
          <w:p w14:paraId="1B0442C2" w14:textId="61E06347" w:rsidR="00786706" w:rsidRPr="004922AF" w:rsidRDefault="00786706" w:rsidP="002D5255">
            <w:pPr>
              <w:spacing w:after="120" w:line="276" w:lineRule="auto"/>
              <w:ind w:right="56"/>
              <w:rPr>
                <w:rFonts w:cs="Arial"/>
                <w:szCs w:val="28"/>
              </w:rPr>
            </w:pPr>
            <w:r w:rsidRPr="004922AF">
              <w:rPr>
                <w:rFonts w:cs="Arial"/>
                <w:szCs w:val="28"/>
              </w:rPr>
              <w:t>Approving authority</w:t>
            </w:r>
          </w:p>
        </w:tc>
        <w:tc>
          <w:tcPr>
            <w:tcW w:w="7147" w:type="dxa"/>
          </w:tcPr>
          <w:p w14:paraId="0D81D6BC" w14:textId="1183EE6F" w:rsidR="00786706" w:rsidRPr="004922AF" w:rsidRDefault="0041339E" w:rsidP="002D5255">
            <w:pPr>
              <w:spacing w:after="120" w:line="276" w:lineRule="auto"/>
              <w:ind w:right="56"/>
              <w:rPr>
                <w:rFonts w:cs="Arial"/>
                <w:szCs w:val="28"/>
              </w:rPr>
            </w:pPr>
            <w:r>
              <w:rPr>
                <w:rFonts w:cs="Arial"/>
                <w:szCs w:val="28"/>
              </w:rPr>
              <w:t xml:space="preserve">Chief </w:t>
            </w:r>
            <w:r w:rsidR="00E83258">
              <w:rPr>
                <w:rFonts w:cs="Arial"/>
                <w:szCs w:val="28"/>
              </w:rPr>
              <w:t>Financial</w:t>
            </w:r>
            <w:r>
              <w:rPr>
                <w:rFonts w:cs="Arial"/>
                <w:szCs w:val="28"/>
              </w:rPr>
              <w:t xml:space="preserve"> Officer</w:t>
            </w:r>
          </w:p>
        </w:tc>
      </w:tr>
    </w:tbl>
    <w:p w14:paraId="07DD10BA" w14:textId="704189FD" w:rsidR="00811F90" w:rsidRDefault="00AF4D1B" w:rsidP="002D5255">
      <w:pPr>
        <w:ind w:right="56"/>
        <w:rPr>
          <w:rFonts w:cs="Arial"/>
          <w:sz w:val="20"/>
          <w:szCs w:val="20"/>
        </w:rPr>
      </w:pPr>
      <w:r>
        <w:rPr>
          <w:rFonts w:cs="Arial"/>
          <w:sz w:val="20"/>
          <w:szCs w:val="20"/>
        </w:rPr>
        <w:br/>
      </w:r>
    </w:p>
    <w:p w14:paraId="605F990D" w14:textId="015915AF" w:rsidR="00C22059" w:rsidRPr="00237AB3" w:rsidRDefault="007418A5" w:rsidP="002D5255">
      <w:pPr>
        <w:pStyle w:val="Heading2"/>
        <w:ind w:right="56"/>
        <w:rPr>
          <w:rFonts w:ascii="Griffith Sans Text" w:hAnsi="Griffith Sans Text"/>
        </w:rPr>
      </w:pPr>
      <w:bookmarkStart w:id="8" w:name="_7.0_Related_Policy"/>
      <w:bookmarkStart w:id="9" w:name="_6.0_Related_Policy"/>
      <w:bookmarkEnd w:id="8"/>
      <w:bookmarkEnd w:id="9"/>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0271BB">
        <w:tc>
          <w:tcPr>
            <w:tcW w:w="2943" w:type="dxa"/>
          </w:tcPr>
          <w:p w14:paraId="30FE0F19" w14:textId="2232CC87" w:rsidR="00746A0E" w:rsidRPr="004922AF" w:rsidRDefault="00746A0E" w:rsidP="002D5255">
            <w:pPr>
              <w:spacing w:after="120" w:line="276" w:lineRule="auto"/>
              <w:ind w:right="56"/>
              <w:rPr>
                <w:rFonts w:cs="Arial"/>
              </w:rPr>
            </w:pPr>
            <w:r w:rsidRPr="004922AF">
              <w:rPr>
                <w:rFonts w:cs="Arial"/>
              </w:rPr>
              <w:t>Legislation</w:t>
            </w:r>
          </w:p>
        </w:tc>
        <w:tc>
          <w:tcPr>
            <w:tcW w:w="7147" w:type="dxa"/>
          </w:tcPr>
          <w:p w14:paraId="1D95EE8D" w14:textId="008A0784" w:rsidR="00746A0E" w:rsidRPr="0041339E" w:rsidRDefault="00EF2F26" w:rsidP="002D5255">
            <w:pPr>
              <w:spacing w:after="120" w:line="276" w:lineRule="auto"/>
              <w:ind w:right="56"/>
              <w:rPr>
                <w:rFonts w:cs="Arial"/>
                <w:lang w:val="en-GB"/>
              </w:rPr>
            </w:pPr>
            <w:hyperlink r:id="rId28">
              <w:r w:rsidR="0041339E" w:rsidRPr="0041339E">
                <w:rPr>
                  <w:color w:val="E20917"/>
                </w:rPr>
                <w:t>Modern</w:t>
              </w:r>
              <w:r w:rsidR="0041339E" w:rsidRPr="0041339E">
                <w:rPr>
                  <w:color w:val="E20917"/>
                  <w:spacing w:val="-14"/>
                </w:rPr>
                <w:t xml:space="preserve"> </w:t>
              </w:r>
              <w:r w:rsidR="0041339E" w:rsidRPr="0041339E">
                <w:rPr>
                  <w:color w:val="E20917"/>
                </w:rPr>
                <w:t>Slavery</w:t>
              </w:r>
              <w:r w:rsidR="0041339E" w:rsidRPr="0041339E">
                <w:rPr>
                  <w:color w:val="E20917"/>
                  <w:spacing w:val="-10"/>
                </w:rPr>
                <w:t xml:space="preserve"> </w:t>
              </w:r>
              <w:r w:rsidR="0041339E" w:rsidRPr="0041339E">
                <w:rPr>
                  <w:color w:val="E20917"/>
                </w:rPr>
                <w:t>Act</w:t>
              </w:r>
              <w:r w:rsidR="0041339E" w:rsidRPr="0041339E">
                <w:rPr>
                  <w:color w:val="E20917"/>
                  <w:spacing w:val="-10"/>
                </w:rPr>
                <w:t xml:space="preserve"> </w:t>
              </w:r>
              <w:r w:rsidR="0041339E" w:rsidRPr="0041339E">
                <w:rPr>
                  <w:color w:val="E20917"/>
                  <w:spacing w:val="-4"/>
                </w:rPr>
                <w:t>2018</w:t>
              </w:r>
            </w:hyperlink>
          </w:p>
        </w:tc>
      </w:tr>
      <w:tr w:rsidR="00746A0E" w:rsidRPr="004922AF" w14:paraId="13D635BA" w14:textId="77777777" w:rsidTr="000271BB">
        <w:tc>
          <w:tcPr>
            <w:tcW w:w="2943" w:type="dxa"/>
          </w:tcPr>
          <w:p w14:paraId="7CB30007" w14:textId="274434BC" w:rsidR="00746A0E" w:rsidRPr="004922AF" w:rsidRDefault="00746A0E" w:rsidP="002D5255">
            <w:pPr>
              <w:spacing w:after="120" w:line="276" w:lineRule="auto"/>
              <w:ind w:right="56"/>
              <w:rPr>
                <w:rFonts w:cs="Arial"/>
              </w:rPr>
            </w:pPr>
            <w:r w:rsidRPr="004922AF">
              <w:rPr>
                <w:rFonts w:cs="Arial"/>
              </w:rPr>
              <w:lastRenderedPageBreak/>
              <w:t>Policy</w:t>
            </w:r>
          </w:p>
        </w:tc>
        <w:tc>
          <w:tcPr>
            <w:tcW w:w="7147" w:type="dxa"/>
          </w:tcPr>
          <w:p w14:paraId="089D9180" w14:textId="77777777" w:rsidR="0041339E" w:rsidRPr="0041339E" w:rsidRDefault="00EF2F26" w:rsidP="002D5255">
            <w:pPr>
              <w:pStyle w:val="TableParagraph"/>
              <w:spacing w:line="276" w:lineRule="auto"/>
              <w:ind w:left="0"/>
            </w:pPr>
            <w:hyperlink r:id="rId29" w:history="1">
              <w:r w:rsidR="0041339E" w:rsidRPr="0041339E">
                <w:rPr>
                  <w:rStyle w:val="Hyperlink"/>
                  <w:spacing w:val="-2"/>
                </w:rPr>
                <w:t>Modern Slavery</w:t>
              </w:r>
              <w:r w:rsidR="0041339E" w:rsidRPr="0041339E">
                <w:rPr>
                  <w:rStyle w:val="Hyperlink"/>
                  <w:spacing w:val="-1"/>
                </w:rPr>
                <w:t xml:space="preserve"> </w:t>
              </w:r>
              <w:r w:rsidR="0041339E" w:rsidRPr="0041339E">
                <w:rPr>
                  <w:rStyle w:val="Hyperlink"/>
                  <w:spacing w:val="-2"/>
                </w:rPr>
                <w:t>Policy</w:t>
              </w:r>
            </w:hyperlink>
          </w:p>
          <w:p w14:paraId="3F32C912" w14:textId="77777777" w:rsidR="0041339E" w:rsidRPr="0041339E" w:rsidRDefault="00EF2F26" w:rsidP="002D5255">
            <w:pPr>
              <w:spacing w:after="120" w:line="276" w:lineRule="auto"/>
              <w:ind w:right="56"/>
              <w:rPr>
                <w:rStyle w:val="Hyperlink"/>
              </w:rPr>
            </w:pPr>
            <w:hyperlink r:id="rId30" w:history="1">
              <w:r w:rsidR="0041339E" w:rsidRPr="0041339E">
                <w:rPr>
                  <w:rStyle w:val="Hyperlink"/>
                </w:rPr>
                <w:t xml:space="preserve">Procurement and Supply Policy </w:t>
              </w:r>
            </w:hyperlink>
          </w:p>
          <w:p w14:paraId="7A1507B9" w14:textId="5670C497" w:rsidR="00746A0E" w:rsidRPr="004922AF" w:rsidRDefault="00EF2F26" w:rsidP="002D5255">
            <w:pPr>
              <w:spacing w:after="120" w:line="276" w:lineRule="auto"/>
              <w:ind w:right="56"/>
              <w:rPr>
                <w:rFonts w:cs="Arial"/>
                <w:lang w:val="en-GB"/>
              </w:rPr>
            </w:pPr>
            <w:hyperlink r:id="rId31" w:history="1">
              <w:r w:rsidR="0041339E" w:rsidRPr="0041339E">
                <w:rPr>
                  <w:rStyle w:val="Hyperlink"/>
                </w:rPr>
                <w:t>Supplier</w:t>
              </w:r>
              <w:r w:rsidR="0041339E" w:rsidRPr="0041339E">
                <w:rPr>
                  <w:rStyle w:val="Hyperlink"/>
                  <w:spacing w:val="-14"/>
                </w:rPr>
                <w:t xml:space="preserve"> </w:t>
              </w:r>
              <w:r w:rsidR="0041339E" w:rsidRPr="0041339E">
                <w:rPr>
                  <w:rStyle w:val="Hyperlink"/>
                </w:rPr>
                <w:t>Code</w:t>
              </w:r>
              <w:r w:rsidR="0041339E" w:rsidRPr="0041339E">
                <w:rPr>
                  <w:rStyle w:val="Hyperlink"/>
                  <w:spacing w:val="-14"/>
                </w:rPr>
                <w:t xml:space="preserve"> </w:t>
              </w:r>
              <w:r w:rsidR="0041339E" w:rsidRPr="0041339E">
                <w:rPr>
                  <w:rStyle w:val="Hyperlink"/>
                </w:rPr>
                <w:t>of</w:t>
              </w:r>
              <w:r w:rsidR="0041339E" w:rsidRPr="0041339E">
                <w:rPr>
                  <w:rStyle w:val="Hyperlink"/>
                  <w:spacing w:val="-14"/>
                </w:rPr>
                <w:t xml:space="preserve"> </w:t>
              </w:r>
              <w:r w:rsidR="0041339E" w:rsidRPr="0041339E">
                <w:rPr>
                  <w:rStyle w:val="Hyperlink"/>
                </w:rPr>
                <w:t>Conduct</w:t>
              </w:r>
            </w:hyperlink>
          </w:p>
        </w:tc>
      </w:tr>
      <w:tr w:rsidR="00746A0E" w:rsidRPr="004922AF" w14:paraId="55329BCC" w14:textId="77777777" w:rsidTr="000271BB">
        <w:tc>
          <w:tcPr>
            <w:tcW w:w="2943" w:type="dxa"/>
          </w:tcPr>
          <w:p w14:paraId="1BD7DB3E" w14:textId="54AA41D2" w:rsidR="00746A0E" w:rsidRPr="004922AF" w:rsidRDefault="00746A0E" w:rsidP="002D5255">
            <w:pPr>
              <w:spacing w:after="120" w:line="276" w:lineRule="auto"/>
              <w:ind w:right="56"/>
              <w:rPr>
                <w:rFonts w:cs="Arial"/>
              </w:rPr>
            </w:pPr>
            <w:r w:rsidRPr="004922AF">
              <w:rPr>
                <w:rFonts w:cs="Arial"/>
              </w:rPr>
              <w:t>Procedures</w:t>
            </w:r>
          </w:p>
        </w:tc>
        <w:tc>
          <w:tcPr>
            <w:tcW w:w="7147" w:type="dxa"/>
          </w:tcPr>
          <w:p w14:paraId="4302959E" w14:textId="6AA0D012" w:rsidR="00746A0E" w:rsidRPr="004922AF" w:rsidRDefault="00EF2F26" w:rsidP="002D5255">
            <w:pPr>
              <w:spacing w:after="120" w:line="276" w:lineRule="auto"/>
              <w:ind w:right="56"/>
              <w:rPr>
                <w:rFonts w:cs="Arial"/>
                <w:lang w:val="en-GB"/>
              </w:rPr>
            </w:pPr>
            <w:hyperlink r:id="rId32" w:history="1">
              <w:r w:rsidR="0041339E" w:rsidRPr="00821929">
                <w:rPr>
                  <w:rStyle w:val="Hyperlink"/>
                </w:rPr>
                <w:t>Griffith’s Modern Slavery Grievance and Remediation Procedure</w:t>
              </w:r>
            </w:hyperlink>
          </w:p>
        </w:tc>
      </w:tr>
      <w:tr w:rsidR="00746A0E" w:rsidRPr="004922AF" w14:paraId="76652B21" w14:textId="77777777" w:rsidTr="000271BB">
        <w:tc>
          <w:tcPr>
            <w:tcW w:w="2943" w:type="dxa"/>
          </w:tcPr>
          <w:p w14:paraId="118FD34E" w14:textId="481E52F8" w:rsidR="00746A0E" w:rsidRPr="004922AF" w:rsidRDefault="00746A0E" w:rsidP="002D5255">
            <w:pPr>
              <w:spacing w:after="120" w:line="276" w:lineRule="auto"/>
              <w:ind w:right="56"/>
              <w:rPr>
                <w:rFonts w:cs="Arial"/>
              </w:rPr>
            </w:pPr>
            <w:r w:rsidRPr="004922AF">
              <w:rPr>
                <w:rFonts w:cs="Arial"/>
              </w:rPr>
              <w:t>Local Protocol</w:t>
            </w:r>
          </w:p>
        </w:tc>
        <w:tc>
          <w:tcPr>
            <w:tcW w:w="7147" w:type="dxa"/>
          </w:tcPr>
          <w:p w14:paraId="55AA03EB" w14:textId="059EBADE" w:rsidR="00746A0E" w:rsidRPr="004922AF" w:rsidRDefault="0041339E" w:rsidP="002D5255">
            <w:pPr>
              <w:spacing w:after="120" w:line="276" w:lineRule="auto"/>
              <w:ind w:right="56"/>
              <w:rPr>
                <w:rFonts w:cs="Arial"/>
              </w:rPr>
            </w:pPr>
            <w:r>
              <w:rPr>
                <w:rFonts w:cs="Arial"/>
              </w:rPr>
              <w:t>N/A</w:t>
            </w:r>
          </w:p>
        </w:tc>
      </w:tr>
      <w:tr w:rsidR="00746A0E" w:rsidRPr="004922AF" w14:paraId="5AB64C6F" w14:textId="77777777" w:rsidTr="000271BB">
        <w:tc>
          <w:tcPr>
            <w:tcW w:w="2943" w:type="dxa"/>
          </w:tcPr>
          <w:p w14:paraId="22348C3F" w14:textId="0F6236D7" w:rsidR="00746A0E" w:rsidRPr="004922AF" w:rsidRDefault="00746A0E" w:rsidP="002D5255">
            <w:pPr>
              <w:spacing w:after="120" w:line="276" w:lineRule="auto"/>
              <w:ind w:right="56"/>
              <w:rPr>
                <w:rFonts w:cs="Arial"/>
              </w:rPr>
            </w:pPr>
            <w:r w:rsidRPr="004922AF">
              <w:rPr>
                <w:rFonts w:cs="Arial"/>
              </w:rPr>
              <w:t>Forms</w:t>
            </w:r>
          </w:p>
        </w:tc>
        <w:tc>
          <w:tcPr>
            <w:tcW w:w="7147" w:type="dxa"/>
          </w:tcPr>
          <w:p w14:paraId="54F51F15" w14:textId="4492F7EF" w:rsidR="00746A0E" w:rsidRPr="004922AF" w:rsidRDefault="0041339E" w:rsidP="002D5255">
            <w:pPr>
              <w:spacing w:after="120" w:line="276" w:lineRule="auto"/>
              <w:ind w:right="56"/>
              <w:rPr>
                <w:rFonts w:cs="Arial"/>
              </w:rPr>
            </w:pPr>
            <w:r>
              <w:rPr>
                <w:rFonts w:cs="Arial"/>
              </w:rPr>
              <w:t>N/A</w:t>
            </w:r>
          </w:p>
        </w:tc>
      </w:tr>
    </w:tbl>
    <w:p w14:paraId="6BA7652E" w14:textId="26761596" w:rsidR="00A15D12" w:rsidRPr="004922AF" w:rsidRDefault="00A15D12" w:rsidP="002D5255">
      <w:pPr>
        <w:ind w:right="56"/>
        <w:rPr>
          <w:rFonts w:cs="Arial"/>
        </w:rPr>
      </w:pPr>
    </w:p>
    <w:p w14:paraId="298A2696" w14:textId="78803C00" w:rsidR="00AF5791" w:rsidRPr="00A15D12" w:rsidRDefault="00AF5791" w:rsidP="002D5255">
      <w:pPr>
        <w:ind w:right="56"/>
        <w:rPr>
          <w:rFonts w:cs="Arial"/>
          <w:sz w:val="20"/>
          <w:szCs w:val="24"/>
        </w:rPr>
      </w:pPr>
    </w:p>
    <w:sectPr w:rsidR="00AF5791" w:rsidRPr="00A15D12" w:rsidSect="008961AA">
      <w:headerReference w:type="default" r:id="rId33"/>
      <w:footerReference w:type="even" r:id="rId34"/>
      <w:footerReference w:type="default" r:id="rId35"/>
      <w:headerReference w:type="first" r:id="rId36"/>
      <w:footerReference w:type="first" r:id="rId3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9EA7" w14:textId="77777777" w:rsidR="005815B7" w:rsidRDefault="005815B7" w:rsidP="00575CC3">
      <w:pPr>
        <w:spacing w:after="0" w:line="240" w:lineRule="auto"/>
      </w:pPr>
      <w:r>
        <w:separator/>
      </w:r>
    </w:p>
  </w:endnote>
  <w:endnote w:type="continuationSeparator" w:id="0">
    <w:p w14:paraId="33451B3B" w14:textId="77777777" w:rsidR="005815B7" w:rsidRDefault="005815B7" w:rsidP="00575CC3">
      <w:pPr>
        <w:spacing w:after="0" w:line="240" w:lineRule="auto"/>
      </w:pPr>
      <w:r>
        <w:continuationSeparator/>
      </w:r>
    </w:p>
  </w:endnote>
  <w:endnote w:type="continuationNotice" w:id="1">
    <w:p w14:paraId="1489D973" w14:textId="77777777" w:rsidR="005815B7" w:rsidRDefault="005815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4D"/>
    <w:family w:val="auto"/>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027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5BB8DEA5" w:rsidR="00830B58" w:rsidRDefault="00493082" w:rsidP="00830B58">
    <w:pPr>
      <w:spacing w:after="0" w:line="240" w:lineRule="auto"/>
      <w:jc w:val="right"/>
      <w:rPr>
        <w:rFonts w:asciiTheme="minorHAnsi" w:hAnsiTheme="minorHAnsi" w:cstheme="minorHAnsi"/>
        <w:color w:val="70787B"/>
        <w:sz w:val="15"/>
        <w:szCs w:val="15"/>
      </w:rPr>
    </w:pPr>
    <w:r w:rsidRPr="00493082">
      <w:rPr>
        <w:rFonts w:asciiTheme="minorHAnsi" w:hAnsiTheme="minorHAnsi" w:cstheme="minorHAnsi"/>
        <w:color w:val="70787B"/>
        <w:sz w:val="15"/>
        <w:szCs w:val="15"/>
      </w:rPr>
      <w:t xml:space="preserve">Modern Slavery Supplier Assessment and </w:t>
    </w:r>
    <w:r w:rsidR="00166169">
      <w:rPr>
        <w:rFonts w:asciiTheme="minorHAnsi" w:hAnsiTheme="minorHAnsi" w:cstheme="minorHAnsi"/>
        <w:color w:val="70787B"/>
        <w:sz w:val="15"/>
        <w:szCs w:val="15"/>
      </w:rPr>
      <w:t xml:space="preserve">Risk </w:t>
    </w:r>
    <w:r w:rsidRPr="00493082">
      <w:rPr>
        <w:rFonts w:asciiTheme="minorHAnsi" w:hAnsiTheme="minorHAnsi" w:cstheme="minorHAnsi"/>
        <w:color w:val="70787B"/>
        <w:sz w:val="15"/>
        <w:szCs w:val="15"/>
      </w:rPr>
      <w:t>Management Procedure</w:t>
    </w:r>
    <w:r w:rsidR="002B29ED" w:rsidRPr="00493082">
      <w:rPr>
        <w:rFonts w:asciiTheme="minorHAnsi" w:hAnsiTheme="minorHAnsi" w:cstheme="minorHAnsi"/>
        <w:color w:val="70787B"/>
        <w:sz w:val="15"/>
        <w:szCs w:val="15"/>
      </w:rPr>
      <w:t xml:space="preserve"> </w:t>
    </w:r>
    <w:r w:rsidR="00830B58" w:rsidRPr="00493082">
      <w:rPr>
        <w:rFonts w:asciiTheme="minorHAnsi" w:hAnsiTheme="minorHAnsi" w:cstheme="minorHAnsi"/>
        <w:color w:val="70787B"/>
        <w:sz w:val="15"/>
        <w:szCs w:val="15"/>
      </w:rPr>
      <w:t>|</w:t>
    </w:r>
    <w:r w:rsidR="00166169">
      <w:rPr>
        <w:rFonts w:asciiTheme="minorHAnsi" w:hAnsiTheme="minorHAnsi" w:cstheme="minorHAnsi"/>
        <w:color w:val="70787B"/>
        <w:sz w:val="15"/>
        <w:szCs w:val="15"/>
      </w:rPr>
      <w:t xml:space="preserve">October </w:t>
    </w:r>
    <w:r w:rsidRPr="00493082">
      <w:rPr>
        <w:rFonts w:asciiTheme="minorHAnsi" w:hAnsiTheme="minorHAnsi" w:cstheme="minorHAnsi"/>
        <w:color w:val="70787B"/>
        <w:sz w:val="15"/>
        <w:szCs w:val="15"/>
      </w:rPr>
      <w:t>2023</w:t>
    </w:r>
  </w:p>
  <w:p w14:paraId="6521F9B2" w14:textId="6059E60C"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83258" w:rsidRPr="00E83258">
      <w:rPr>
        <w:rFonts w:asciiTheme="minorHAnsi" w:hAnsiTheme="minorHAnsi" w:cstheme="minorHAnsi"/>
        <w:color w:val="70787B"/>
        <w:sz w:val="15"/>
        <w:szCs w:val="15"/>
      </w:rPr>
      <w:t>2023/0001212</w:t>
    </w:r>
  </w:p>
  <w:p w14:paraId="008E73BC" w14:textId="2C0F1B53" w:rsidR="00575CC3" w:rsidRPr="00AF4D1B" w:rsidRDefault="00830B58" w:rsidP="00AF4D1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cs="Arial"/>
        <w:color w:val="70787B"/>
        <w:szCs w:val="18"/>
      </w:rPr>
    </w:pPr>
    <w:r w:rsidRPr="00E77B43">
      <w:rPr>
        <w:rFonts w:cs="Arial"/>
        <w:color w:val="70787B"/>
        <w:szCs w:val="18"/>
      </w:rPr>
      <w:t>1</w:t>
    </w:r>
  </w:p>
  <w:p w14:paraId="1891C6C0" w14:textId="0241BEEB" w:rsidR="006B3E5F" w:rsidRDefault="006B3E5F" w:rsidP="006B3E5F">
    <w:pPr>
      <w:spacing w:after="0" w:line="240" w:lineRule="auto"/>
      <w:jc w:val="right"/>
      <w:rPr>
        <w:rFonts w:asciiTheme="minorHAnsi" w:hAnsiTheme="minorHAnsi" w:cstheme="minorHAnsi"/>
        <w:color w:val="70787B"/>
        <w:sz w:val="15"/>
        <w:szCs w:val="15"/>
      </w:rPr>
    </w:pPr>
    <w:r w:rsidRPr="00493082">
      <w:rPr>
        <w:rFonts w:asciiTheme="minorHAnsi" w:hAnsiTheme="minorHAnsi" w:cstheme="minorHAnsi"/>
        <w:color w:val="70787B"/>
        <w:sz w:val="15"/>
        <w:szCs w:val="15"/>
      </w:rPr>
      <w:t>Modern Slavery Supplier Assessment and Management Procedure |</w:t>
    </w:r>
    <w:r w:rsidR="00166169">
      <w:rPr>
        <w:rFonts w:asciiTheme="minorHAnsi" w:hAnsiTheme="minorHAnsi" w:cstheme="minorHAnsi"/>
        <w:color w:val="70787B"/>
        <w:sz w:val="15"/>
        <w:szCs w:val="15"/>
      </w:rPr>
      <w:t>October</w:t>
    </w:r>
    <w:r w:rsidRPr="00493082">
      <w:rPr>
        <w:rFonts w:asciiTheme="minorHAnsi" w:hAnsiTheme="minorHAnsi" w:cstheme="minorHAnsi"/>
        <w:color w:val="70787B"/>
        <w:sz w:val="15"/>
        <w:szCs w:val="15"/>
      </w:rPr>
      <w:t xml:space="preserve"> 2023</w:t>
    </w:r>
  </w:p>
  <w:p w14:paraId="2B826F8B" w14:textId="34801452" w:rsidR="006B3E5F" w:rsidRDefault="006B3E5F" w:rsidP="006B3E5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83258" w:rsidRPr="00E83258">
      <w:rPr>
        <w:rFonts w:asciiTheme="minorHAnsi" w:hAnsiTheme="minorHAnsi" w:cstheme="minorHAnsi"/>
        <w:color w:val="70787B"/>
        <w:sz w:val="15"/>
        <w:szCs w:val="15"/>
      </w:rPr>
      <w:t>2023/0001212</w:t>
    </w:r>
  </w:p>
  <w:p w14:paraId="3471DC75" w14:textId="3C3B5547" w:rsidR="00E77B43" w:rsidRPr="006B3E5F" w:rsidRDefault="006B3E5F" w:rsidP="006B3E5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9D61" w14:textId="77777777" w:rsidR="005815B7" w:rsidRDefault="005815B7" w:rsidP="00575CC3">
      <w:pPr>
        <w:spacing w:after="0" w:line="240" w:lineRule="auto"/>
      </w:pPr>
      <w:r>
        <w:separator/>
      </w:r>
    </w:p>
  </w:footnote>
  <w:footnote w:type="continuationSeparator" w:id="0">
    <w:p w14:paraId="7429143C" w14:textId="77777777" w:rsidR="005815B7" w:rsidRDefault="005815B7" w:rsidP="00575CC3">
      <w:pPr>
        <w:spacing w:after="0" w:line="240" w:lineRule="auto"/>
      </w:pPr>
      <w:r>
        <w:continuationSeparator/>
      </w:r>
    </w:p>
  </w:footnote>
  <w:footnote w:type="continuationNotice" w:id="1">
    <w:p w14:paraId="26B7CEB9" w14:textId="77777777" w:rsidR="005815B7" w:rsidRDefault="005815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969173782" name="Picture 19691737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506678369" name="Picture 506678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FA619E"/>
    <w:multiLevelType w:val="hybridMultilevel"/>
    <w:tmpl w:val="5010E9A2"/>
    <w:lvl w:ilvl="0" w:tplc="7A2C7194">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FF694F"/>
    <w:multiLevelType w:val="hybridMultilevel"/>
    <w:tmpl w:val="843A14B4"/>
    <w:lvl w:ilvl="0" w:tplc="7A2C7194">
      <w:start w:val="1"/>
      <w:numFmt w:val="bullet"/>
      <w:lvlText w:val=""/>
      <w:lvlJc w:val="left"/>
      <w:pPr>
        <w:ind w:left="1211" w:hanging="360"/>
      </w:pPr>
      <w:rPr>
        <w:rFonts w:ascii="Symbol" w:hAnsi="Symbol" w:hint="default"/>
        <w:color w:val="E51F30"/>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791023FF"/>
    <w:multiLevelType w:val="hybridMultilevel"/>
    <w:tmpl w:val="01AED7B0"/>
    <w:lvl w:ilvl="0" w:tplc="7A2C7194">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7C272C51"/>
    <w:multiLevelType w:val="hybridMultilevel"/>
    <w:tmpl w:val="969A0A72"/>
    <w:lvl w:ilvl="0" w:tplc="7A2C7194">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7F8604CC"/>
    <w:multiLevelType w:val="multilevel"/>
    <w:tmpl w:val="700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572751">
    <w:abstractNumId w:val="4"/>
  </w:num>
  <w:num w:numId="2" w16cid:durableId="1511336397">
    <w:abstractNumId w:val="9"/>
  </w:num>
  <w:num w:numId="3" w16cid:durableId="1666785443">
    <w:abstractNumId w:val="0"/>
  </w:num>
  <w:num w:numId="4" w16cid:durableId="1708486012">
    <w:abstractNumId w:val="5"/>
  </w:num>
  <w:num w:numId="5" w16cid:durableId="1621642287">
    <w:abstractNumId w:val="3"/>
  </w:num>
  <w:num w:numId="6" w16cid:durableId="1833176348">
    <w:abstractNumId w:val="6"/>
  </w:num>
  <w:num w:numId="7" w16cid:durableId="1126041565">
    <w:abstractNumId w:val="8"/>
  </w:num>
  <w:num w:numId="8" w16cid:durableId="1098252483">
    <w:abstractNumId w:val="2"/>
  </w:num>
  <w:num w:numId="9" w16cid:durableId="218833091">
    <w:abstractNumId w:val="1"/>
  </w:num>
  <w:num w:numId="10" w16cid:durableId="132723827">
    <w:abstractNumId w:val="10"/>
  </w:num>
  <w:num w:numId="11" w16cid:durableId="49694056">
    <w:abstractNumId w:val="12"/>
  </w:num>
  <w:num w:numId="12" w16cid:durableId="601651477">
    <w:abstractNumId w:val="11"/>
  </w:num>
  <w:num w:numId="13" w16cid:durableId="1520700291">
    <w:abstractNumId w:val="7"/>
  </w:num>
  <w:num w:numId="14" w16cid:durableId="57910030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271BB"/>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54F8B"/>
    <w:rsid w:val="0016404C"/>
    <w:rsid w:val="00164E41"/>
    <w:rsid w:val="0016609B"/>
    <w:rsid w:val="00166169"/>
    <w:rsid w:val="00173945"/>
    <w:rsid w:val="001800F9"/>
    <w:rsid w:val="0018027B"/>
    <w:rsid w:val="001868B0"/>
    <w:rsid w:val="001968C3"/>
    <w:rsid w:val="001A124A"/>
    <w:rsid w:val="001A17A0"/>
    <w:rsid w:val="001A64A0"/>
    <w:rsid w:val="001E1ED9"/>
    <w:rsid w:val="001F271E"/>
    <w:rsid w:val="001F2B57"/>
    <w:rsid w:val="001F636F"/>
    <w:rsid w:val="00201B8F"/>
    <w:rsid w:val="00207FC2"/>
    <w:rsid w:val="00221E52"/>
    <w:rsid w:val="00221FEC"/>
    <w:rsid w:val="0022568A"/>
    <w:rsid w:val="002257C2"/>
    <w:rsid w:val="00225E04"/>
    <w:rsid w:val="00237AB3"/>
    <w:rsid w:val="002439DB"/>
    <w:rsid w:val="00252C5C"/>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D5255"/>
    <w:rsid w:val="002D6FF4"/>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B6A15"/>
    <w:rsid w:val="003F7778"/>
    <w:rsid w:val="0040296F"/>
    <w:rsid w:val="00410ED5"/>
    <w:rsid w:val="0041339E"/>
    <w:rsid w:val="004344DE"/>
    <w:rsid w:val="00441285"/>
    <w:rsid w:val="004415C7"/>
    <w:rsid w:val="00456A0E"/>
    <w:rsid w:val="0046665F"/>
    <w:rsid w:val="00466DD2"/>
    <w:rsid w:val="00481C9C"/>
    <w:rsid w:val="00482467"/>
    <w:rsid w:val="0048248F"/>
    <w:rsid w:val="00484C1B"/>
    <w:rsid w:val="004922AF"/>
    <w:rsid w:val="00493082"/>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15B7"/>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60BDA"/>
    <w:rsid w:val="006A0D50"/>
    <w:rsid w:val="006A16D3"/>
    <w:rsid w:val="006A5781"/>
    <w:rsid w:val="006B3E5F"/>
    <w:rsid w:val="006B61C2"/>
    <w:rsid w:val="006C42D8"/>
    <w:rsid w:val="006C594F"/>
    <w:rsid w:val="006D0ECD"/>
    <w:rsid w:val="006E18F3"/>
    <w:rsid w:val="006E7342"/>
    <w:rsid w:val="006E7AE3"/>
    <w:rsid w:val="006F1575"/>
    <w:rsid w:val="006F4576"/>
    <w:rsid w:val="006F4919"/>
    <w:rsid w:val="0070341D"/>
    <w:rsid w:val="007066FB"/>
    <w:rsid w:val="00716737"/>
    <w:rsid w:val="0072100B"/>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7F2D3D"/>
    <w:rsid w:val="008011BC"/>
    <w:rsid w:val="00811AE1"/>
    <w:rsid w:val="00811F90"/>
    <w:rsid w:val="008122F0"/>
    <w:rsid w:val="00820F73"/>
    <w:rsid w:val="00821929"/>
    <w:rsid w:val="008239FE"/>
    <w:rsid w:val="00825029"/>
    <w:rsid w:val="00830B58"/>
    <w:rsid w:val="00840C83"/>
    <w:rsid w:val="008605D5"/>
    <w:rsid w:val="00865E12"/>
    <w:rsid w:val="00871911"/>
    <w:rsid w:val="00871C38"/>
    <w:rsid w:val="00871D81"/>
    <w:rsid w:val="008735AB"/>
    <w:rsid w:val="008776AD"/>
    <w:rsid w:val="008961AA"/>
    <w:rsid w:val="008C05CD"/>
    <w:rsid w:val="008C1FDE"/>
    <w:rsid w:val="008C300D"/>
    <w:rsid w:val="008C5983"/>
    <w:rsid w:val="008D0A1C"/>
    <w:rsid w:val="008D2294"/>
    <w:rsid w:val="008D45BC"/>
    <w:rsid w:val="008D57B3"/>
    <w:rsid w:val="008F2DE0"/>
    <w:rsid w:val="008F588D"/>
    <w:rsid w:val="00904689"/>
    <w:rsid w:val="0092371D"/>
    <w:rsid w:val="00941205"/>
    <w:rsid w:val="00945480"/>
    <w:rsid w:val="00947015"/>
    <w:rsid w:val="0095172A"/>
    <w:rsid w:val="009518A2"/>
    <w:rsid w:val="00966619"/>
    <w:rsid w:val="009866E8"/>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24251"/>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4D1B"/>
    <w:rsid w:val="00AF5791"/>
    <w:rsid w:val="00AF719E"/>
    <w:rsid w:val="00B11F04"/>
    <w:rsid w:val="00B24AD5"/>
    <w:rsid w:val="00B25332"/>
    <w:rsid w:val="00B26F8D"/>
    <w:rsid w:val="00B42BD2"/>
    <w:rsid w:val="00B508D5"/>
    <w:rsid w:val="00B52233"/>
    <w:rsid w:val="00B82F08"/>
    <w:rsid w:val="00B9062A"/>
    <w:rsid w:val="00BB58D7"/>
    <w:rsid w:val="00BC553E"/>
    <w:rsid w:val="00BD26DB"/>
    <w:rsid w:val="00BE0B10"/>
    <w:rsid w:val="00BF387D"/>
    <w:rsid w:val="00C00B53"/>
    <w:rsid w:val="00C22059"/>
    <w:rsid w:val="00C2475A"/>
    <w:rsid w:val="00C31251"/>
    <w:rsid w:val="00C32760"/>
    <w:rsid w:val="00C577E2"/>
    <w:rsid w:val="00C62871"/>
    <w:rsid w:val="00C76573"/>
    <w:rsid w:val="00C77710"/>
    <w:rsid w:val="00C77B7A"/>
    <w:rsid w:val="00C80060"/>
    <w:rsid w:val="00C9219E"/>
    <w:rsid w:val="00CA6305"/>
    <w:rsid w:val="00CA6AC5"/>
    <w:rsid w:val="00CA75B5"/>
    <w:rsid w:val="00CD119B"/>
    <w:rsid w:val="00CF611B"/>
    <w:rsid w:val="00CF6FF3"/>
    <w:rsid w:val="00D042D8"/>
    <w:rsid w:val="00D25E65"/>
    <w:rsid w:val="00D434E9"/>
    <w:rsid w:val="00D46589"/>
    <w:rsid w:val="00D532D6"/>
    <w:rsid w:val="00D9617E"/>
    <w:rsid w:val="00DA2384"/>
    <w:rsid w:val="00DB0FC8"/>
    <w:rsid w:val="00DB76F9"/>
    <w:rsid w:val="00DB7E17"/>
    <w:rsid w:val="00DD6067"/>
    <w:rsid w:val="00DE45C5"/>
    <w:rsid w:val="00DF3DF3"/>
    <w:rsid w:val="00E14D21"/>
    <w:rsid w:val="00E166E0"/>
    <w:rsid w:val="00E20D0C"/>
    <w:rsid w:val="00E21C52"/>
    <w:rsid w:val="00E34E2C"/>
    <w:rsid w:val="00E538B7"/>
    <w:rsid w:val="00E633D7"/>
    <w:rsid w:val="00E67BB3"/>
    <w:rsid w:val="00E702F7"/>
    <w:rsid w:val="00E7138A"/>
    <w:rsid w:val="00E77B43"/>
    <w:rsid w:val="00E826C9"/>
    <w:rsid w:val="00E83258"/>
    <w:rsid w:val="00E9677E"/>
    <w:rsid w:val="00EA50A4"/>
    <w:rsid w:val="00EA768F"/>
    <w:rsid w:val="00EB67A0"/>
    <w:rsid w:val="00EB7614"/>
    <w:rsid w:val="00EB7EA9"/>
    <w:rsid w:val="00EC5612"/>
    <w:rsid w:val="00ED6047"/>
    <w:rsid w:val="00EE1B96"/>
    <w:rsid w:val="00EE310F"/>
    <w:rsid w:val="00EE3570"/>
    <w:rsid w:val="00EE7384"/>
    <w:rsid w:val="00EF0887"/>
    <w:rsid w:val="00EF2F26"/>
    <w:rsid w:val="00F252F4"/>
    <w:rsid w:val="00F311DC"/>
    <w:rsid w:val="00F54199"/>
    <w:rsid w:val="00F55C18"/>
    <w:rsid w:val="00F71CDF"/>
    <w:rsid w:val="00F74238"/>
    <w:rsid w:val="00F742A0"/>
    <w:rsid w:val="00F7432A"/>
    <w:rsid w:val="00F80692"/>
    <w:rsid w:val="00FA2481"/>
    <w:rsid w:val="00FA2D28"/>
    <w:rsid w:val="00FA6AC6"/>
    <w:rsid w:val="00FB180D"/>
    <w:rsid w:val="00FB329E"/>
    <w:rsid w:val="00FC349F"/>
    <w:rsid w:val="00FD349F"/>
    <w:rsid w:val="00FE60E5"/>
    <w:rsid w:val="00FE6937"/>
    <w:rsid w:val="00FF586B"/>
    <w:rsid w:val="38D0F65F"/>
    <w:rsid w:val="3F5B55B0"/>
    <w:rsid w:val="4CF0243A"/>
    <w:rsid w:val="52C9406B"/>
    <w:rsid w:val="623756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898F5DB4-8BA5-4780-9F16-057BC15A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FF4"/>
    <w:pPr>
      <w:spacing w:before="120"/>
    </w:pPr>
    <w:rPr>
      <w:rFonts w:ascii="Arial" w:hAnsi="Arial" w:cs="Times New Roman (Body CS)"/>
      <w:color w:val="000000" w:themeColor="text1"/>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1A17A0"/>
    <w:pPr>
      <w:keepNext/>
      <w:keepLines/>
      <w:spacing w:before="200" w:after="120"/>
      <w:ind w:left="1440"/>
      <w:outlineLvl w:val="3"/>
    </w:pPr>
    <w:rPr>
      <w:rFonts w:ascii="Griffith Sans Text" w:eastAsiaTheme="majorEastAsia" w:hAnsi="Griffith Sans Text" w:cs="Times New Roman (Headings CS)"/>
      <w:b/>
      <w:bCs/>
      <w:iCs/>
    </w:rPr>
  </w:style>
  <w:style w:type="paragraph" w:styleId="Heading5">
    <w:name w:val="heading 5"/>
    <w:basedOn w:val="Normal"/>
    <w:next w:val="Normal"/>
    <w:link w:val="Heading5Char"/>
    <w:uiPriority w:val="9"/>
    <w:unhideWhenUsed/>
    <w:qFormat/>
    <w:rsid w:val="001A17A0"/>
    <w:pPr>
      <w:keepNext/>
      <w:keepLines/>
      <w:spacing w:before="200" w:after="120"/>
      <w:outlineLvl w:val="4"/>
    </w:pPr>
    <w:rPr>
      <w:rFonts w:ascii="Griffith Sans Text" w:eastAsiaTheme="majorEastAsia" w:hAnsi="Griffith Sans Text" w:cs="Times New Roman (Headings CS)"/>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1A17A0"/>
    <w:rPr>
      <w:rFonts w:ascii="Griffith Sans Text" w:eastAsiaTheme="majorEastAsia" w:hAnsi="Griffith Sans Text" w:cs="Times New Roman (Headings CS)"/>
      <w:b/>
      <w:bCs/>
      <w:iCs/>
      <w:color w:val="000000" w:themeColor="text1"/>
      <w:kern w:val="2"/>
    </w:rPr>
  </w:style>
  <w:style w:type="character" w:customStyle="1" w:styleId="Heading5Char">
    <w:name w:val="Heading 5 Char"/>
    <w:link w:val="Heading5"/>
    <w:uiPriority w:val="9"/>
    <w:rsid w:val="001A17A0"/>
    <w:rPr>
      <w:rFonts w:ascii="Griffith Sans Text" w:eastAsiaTheme="majorEastAsia" w:hAnsi="Griffith Sans Text" w:cs="Times New Roman (Headings CS)"/>
      <w:color w:val="000000" w:themeColor="text1"/>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aliases w:val="List Paragraph1,List Paragraph11,List Paragraph111"/>
    <w:basedOn w:val="Normal"/>
    <w:link w:val="ListParagraphChar"/>
    <w:uiPriority w:val="1"/>
    <w:qFormat/>
    <w:rsid w:val="008C5983"/>
    <w:pPr>
      <w:numPr>
        <w:numId w:val="7"/>
      </w:numPr>
    </w:pPr>
  </w:style>
  <w:style w:type="paragraph" w:styleId="Quote">
    <w:name w:val="Quote"/>
    <w:basedOn w:val="Normal"/>
    <w:next w:val="Normal"/>
    <w:link w:val="QuoteChar"/>
    <w:uiPriority w:val="29"/>
    <w:rsid w:val="00575CC3"/>
    <w:rPr>
      <w:i/>
      <w:iCs/>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BodyText">
    <w:name w:val="Body Text"/>
    <w:basedOn w:val="Normal"/>
    <w:link w:val="BodyTextChar"/>
    <w:uiPriority w:val="1"/>
    <w:qFormat/>
    <w:rsid w:val="0072100B"/>
    <w:pPr>
      <w:widowControl w:val="0"/>
      <w:autoSpaceDE w:val="0"/>
      <w:autoSpaceDN w:val="0"/>
      <w:spacing w:after="0" w:line="240" w:lineRule="auto"/>
    </w:pPr>
    <w:rPr>
      <w:rFonts w:eastAsia="Arial" w:cs="Arial"/>
      <w:kern w:val="0"/>
      <w:sz w:val="20"/>
      <w:szCs w:val="20"/>
      <w:lang w:val="en-US" w:eastAsia="en-US"/>
    </w:rPr>
  </w:style>
  <w:style w:type="character" w:customStyle="1" w:styleId="BodyTextChar">
    <w:name w:val="Body Text Char"/>
    <w:basedOn w:val="DefaultParagraphFont"/>
    <w:link w:val="BodyText"/>
    <w:uiPriority w:val="1"/>
    <w:rsid w:val="0072100B"/>
    <w:rPr>
      <w:rFonts w:ascii="Arial" w:eastAsia="Arial" w:hAnsi="Arial" w:cs="Arial"/>
      <w:sz w:val="20"/>
      <w:szCs w:val="20"/>
      <w:lang w:val="en-US" w:eastAsia="en-US"/>
    </w:rPr>
  </w:style>
  <w:style w:type="character" w:customStyle="1" w:styleId="ListParagraphChar">
    <w:name w:val="List Paragraph Char"/>
    <w:aliases w:val="List Paragraph1 Char,List Paragraph11 Char,List Paragraph111 Char"/>
    <w:basedOn w:val="DefaultParagraphFont"/>
    <w:link w:val="ListParagraph"/>
    <w:uiPriority w:val="1"/>
    <w:locked/>
    <w:rsid w:val="00C9219E"/>
    <w:rPr>
      <w:rFonts w:ascii="Arial" w:hAnsi="Arial" w:cs="Times New Roman (Body CS)"/>
      <w:color w:val="000000" w:themeColor="text1"/>
      <w:kern w:val="2"/>
    </w:rPr>
  </w:style>
  <w:style w:type="character" w:styleId="CommentReference">
    <w:name w:val="annotation reference"/>
    <w:basedOn w:val="DefaultParagraphFont"/>
    <w:uiPriority w:val="99"/>
    <w:semiHidden/>
    <w:unhideWhenUsed/>
    <w:rsid w:val="0041339E"/>
    <w:rPr>
      <w:sz w:val="16"/>
      <w:szCs w:val="16"/>
    </w:rPr>
  </w:style>
  <w:style w:type="paragraph" w:styleId="CommentText">
    <w:name w:val="annotation text"/>
    <w:basedOn w:val="Normal"/>
    <w:link w:val="CommentTextChar"/>
    <w:uiPriority w:val="99"/>
    <w:unhideWhenUsed/>
    <w:rsid w:val="0041339E"/>
    <w:pPr>
      <w:spacing w:line="240" w:lineRule="auto"/>
    </w:pPr>
    <w:rPr>
      <w:sz w:val="20"/>
      <w:szCs w:val="20"/>
    </w:rPr>
  </w:style>
  <w:style w:type="character" w:customStyle="1" w:styleId="CommentTextChar">
    <w:name w:val="Comment Text Char"/>
    <w:basedOn w:val="DefaultParagraphFont"/>
    <w:link w:val="CommentText"/>
    <w:uiPriority w:val="99"/>
    <w:rsid w:val="0041339E"/>
    <w:rPr>
      <w:rFonts w:ascii="Arial" w:hAnsi="Arial" w:cs="Times New Roman (Body CS)"/>
      <w:color w:val="000000" w:themeColor="text1"/>
      <w:kern w:val="2"/>
      <w:sz w:val="20"/>
      <w:szCs w:val="20"/>
    </w:rPr>
  </w:style>
  <w:style w:type="paragraph" w:styleId="CommentSubject">
    <w:name w:val="annotation subject"/>
    <w:basedOn w:val="CommentText"/>
    <w:next w:val="CommentText"/>
    <w:link w:val="CommentSubjectChar"/>
    <w:uiPriority w:val="99"/>
    <w:semiHidden/>
    <w:unhideWhenUsed/>
    <w:rsid w:val="0041339E"/>
    <w:rPr>
      <w:b/>
      <w:bCs/>
    </w:rPr>
  </w:style>
  <w:style w:type="character" w:customStyle="1" w:styleId="CommentSubjectChar">
    <w:name w:val="Comment Subject Char"/>
    <w:basedOn w:val="CommentTextChar"/>
    <w:link w:val="CommentSubject"/>
    <w:uiPriority w:val="99"/>
    <w:semiHidden/>
    <w:rsid w:val="0041339E"/>
    <w:rPr>
      <w:rFonts w:ascii="Arial" w:hAnsi="Arial" w:cs="Times New Roman (Body CS)"/>
      <w:b/>
      <w:bCs/>
      <w:color w:val="000000" w:themeColor="text1"/>
      <w:kern w:val="2"/>
      <w:sz w:val="20"/>
      <w:szCs w:val="20"/>
    </w:rPr>
  </w:style>
  <w:style w:type="paragraph" w:customStyle="1" w:styleId="TableParagraph">
    <w:name w:val="Table Paragraph"/>
    <w:basedOn w:val="Normal"/>
    <w:uiPriority w:val="1"/>
    <w:qFormat/>
    <w:rsid w:val="0041339E"/>
    <w:pPr>
      <w:widowControl w:val="0"/>
      <w:autoSpaceDE w:val="0"/>
      <w:autoSpaceDN w:val="0"/>
      <w:spacing w:before="122" w:after="0" w:line="240" w:lineRule="auto"/>
      <w:ind w:left="110"/>
    </w:pPr>
    <w:rPr>
      <w:rFonts w:eastAsia="Arial" w:cs="Arial"/>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31331">
      <w:bodyDiv w:val="1"/>
      <w:marLeft w:val="0"/>
      <w:marRight w:val="0"/>
      <w:marTop w:val="0"/>
      <w:marBottom w:val="0"/>
      <w:divBdr>
        <w:top w:val="none" w:sz="0" w:space="0" w:color="auto"/>
        <w:left w:val="none" w:sz="0" w:space="0" w:color="auto"/>
        <w:bottom w:val="none" w:sz="0" w:space="0" w:color="auto"/>
        <w:right w:val="none" w:sz="0" w:space="0" w:color="auto"/>
      </w:divBdr>
    </w:div>
    <w:div w:id="1587155135">
      <w:bodyDiv w:val="1"/>
      <w:marLeft w:val="0"/>
      <w:marRight w:val="0"/>
      <w:marTop w:val="0"/>
      <w:marBottom w:val="0"/>
      <w:divBdr>
        <w:top w:val="none" w:sz="0" w:space="0" w:color="auto"/>
        <w:left w:val="none" w:sz="0" w:space="0" w:color="auto"/>
        <w:bottom w:val="none" w:sz="0" w:space="0" w:color="auto"/>
        <w:right w:val="none" w:sz="0" w:space="0" w:color="auto"/>
      </w:divBdr>
    </w:div>
    <w:div w:id="20336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publications/guidingprinciplesbusinesshr_en.pdf" TargetMode="External"/><Relationship Id="rId18" Type="http://schemas.openxmlformats.org/officeDocument/2006/relationships/hyperlink" Target="https://www.griffith.edu.au/__data/assets/word_doc/0022/1810363/Request-for-Quotation-Part-B-Supplier-Response-Schedule.docx?_gl=1*1yrprq*_ga*MTMwODQxMTc4NC4xNjg3OTQ4MzIw*_ga_Q8BF6T8XSD*MTY5ODE5NzUxMy4xMi4wLjE2OTgxOTc1MTMuNjAuMC4w" TargetMode="External"/><Relationship Id="rId26" Type="http://schemas.openxmlformats.org/officeDocument/2006/relationships/hyperlink" Target="https://modernslaveryregister.gov.au/resources/"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nformed365.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bguides.ilo.org/c.php?g=657806&amp;p=4649148&amp;%3A~%3Atext=freedom%20of%20association%20and%20effective%2Cdiscrimination%20in%20employment%20and%20occupation" TargetMode="External"/><Relationship Id="rId17" Type="http://schemas.openxmlformats.org/officeDocument/2006/relationships/image" Target="media/image1.png"/><Relationship Id="rId25" Type="http://schemas.openxmlformats.org/officeDocument/2006/relationships/hyperlink" Target="chrome-extension://efaidnbmnnnibpcajpcglclefindmkaj/https:/www.forgov.qld.gov.au/__data/assets/pdf_file/0022/251185/eliminating-modern-slavery-guide.pd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formed365.com/" TargetMode="External"/><Relationship Id="rId20" Type="http://schemas.openxmlformats.org/officeDocument/2006/relationships/hyperlink" Target="mailto:procurement@griffith.edu.au" TargetMode="External"/><Relationship Id="rId29" Type="http://schemas.openxmlformats.org/officeDocument/2006/relationships/hyperlink" Target="https://sharepointpubstor.blob.core.windows.net/policylibrary-prod/Modern%20Slavery%20Policy.pdf"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guides.ilo.org/c.php?g=657806&amp;p=4649148&amp;%3A~%3Atext=freedom%20of%20association%20and%20effective%2Cdiscrimination%20in%20employment%20and%20occupation" TargetMode="External"/><Relationship Id="rId24" Type="http://schemas.openxmlformats.org/officeDocument/2006/relationships/hyperlink" Target="mailto:procurement@griffith.edu.au" TargetMode="External"/><Relationship Id="rId32" Type="http://schemas.openxmlformats.org/officeDocument/2006/relationships/hyperlink" Target="https://search.griffith.edu.au/s/redirect?collection=on-campus-search&amp;url=https%3A%2F%2Fsharepointpubstor.blob.core.windows.net%2Fpolicylibrary-prod%2FModern%2520Slavery%2520Grievance%2520and%2520Remediation%2520Procedure.pdf&amp;auth=ugqWD8lLArPARtOe%2FYC52g&amp;profile=_default&amp;rank=1&amp;query=modern+slavery+grievance+and+remediation"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gov.qld.gov.au/finance-and-procurement/procurement/procurement-resources/procurement-policies-and-frameworks/eliminating-modern-slavery" TargetMode="External"/><Relationship Id="rId23" Type="http://schemas.openxmlformats.org/officeDocument/2006/relationships/hyperlink" Target="mailto:procurement@griffith.edu.au" TargetMode="External"/><Relationship Id="rId28" Type="http://schemas.openxmlformats.org/officeDocument/2006/relationships/hyperlink" Target="https://www.legislation.gov.au/Details/C2018A00153"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nformed365.com/" TargetMode="External"/><Relationship Id="rId31" Type="http://schemas.openxmlformats.org/officeDocument/2006/relationships/hyperlink" Target="https://www.griffith.edu.au/__data/assets/pdf_file/0045/1669689/Griffith-University-Supplier-Code-of-Conduct-6_12_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publications/guidingprinciplesbusinesshr_en.pdf" TargetMode="External"/><Relationship Id="rId22" Type="http://schemas.openxmlformats.org/officeDocument/2006/relationships/hyperlink" Target="https://intranet.secure.griffith.edu.au/finance/spending-and-receiving-money/purchasing" TargetMode="External"/><Relationship Id="rId27" Type="http://schemas.openxmlformats.org/officeDocument/2006/relationships/hyperlink" Target="https://sharepointpubstor.blob.core.windows.net/policylibrary-prod/Modern%20Slavery%20Grievance%20and%20Remediation%20Procedure.pdf" TargetMode="External"/><Relationship Id="rId30" Type="http://schemas.openxmlformats.org/officeDocument/2006/relationships/hyperlink" Target="https://sharepointpubstor.blob.core.windows.net/policylibrary-prod/Procurement%20and%20Supply%20Policy.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01930FF4-4D5E-49EA-A3E2-DBBE37CA4489}">
    <t:Anchor>
      <t:Comment id="841373551"/>
    </t:Anchor>
    <t:History>
      <t:Event id="{500173B9-E616-4CB5-8DF9-0F5CE2B486A2}" time="2023-10-25T02:23:13.814Z">
        <t:Attribution userId="S::m.adoi@griffith.edu.au::7a7392a2-3b13-4b6b-9ab9-881fb06bd33e" userProvider="AD" userName="Mary Adoi"/>
        <t:Anchor>
          <t:Comment id="841373551"/>
        </t:Anchor>
        <t:Create/>
      </t:Event>
      <t:Event id="{757B9EF4-51C4-45F8-837A-569CECAD91F2}" time="2023-10-25T02:23:13.814Z">
        <t:Attribution userId="S::m.adoi@griffith.edu.au::7a7392a2-3b13-4b6b-9ab9-881fb06bd33e" userProvider="AD" userName="Mary Adoi"/>
        <t:Anchor>
          <t:Comment id="841373551"/>
        </t:Anchor>
        <t:Assign userId="S::d.toschi@griffith.edu.au::580a7ad5-2222-452c-b4b9-7d0573a60c47" userProvider="AD" userName="Daria Toschi"/>
      </t:Event>
      <t:Event id="{E52F2D2E-9BA2-4090-9101-68A2024E3A08}" time="2023-10-25T02:23:13.814Z">
        <t:Attribution userId="S::m.adoi@griffith.edu.au::7a7392a2-3b13-4b6b-9ab9-881fb06bd33e" userProvider="AD" userName="Mary Adoi"/>
        <t:Anchor>
          <t:Comment id="841373551"/>
        </t:Anchor>
        <t:SetTitle title="@Daria Toschi Use of language consistent with the platform. &quot;The Improvement Plan will be shared through the Informed 365 Platform. Suppliers will review the proposed Improvement Plan, commit to at least one recommended action that is relevant and …"/>
      </t:Event>
      <t:Event id="{850A645F-D547-4995-87A0-4B9B4CC8C8D7}" time="2023-10-25T05:57:33.355Z">
        <t:Attribution userId="S::d.toschi@griffith.edu.au::580a7ad5-2222-452c-b4b9-7d0573a60c47" userProvider="AD" userName="Daria Toschi"/>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4D"/>
    <w:family w:val="auto"/>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03553"/>
    <w:rsid w:val="00180DA7"/>
    <w:rsid w:val="002B6EE3"/>
    <w:rsid w:val="002D19FA"/>
    <w:rsid w:val="0067363E"/>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77</Value>
      <Value>114</Value>
      <Value>583</Value>
      <Value>529</Value>
      <Value>91</Value>
    </TaxCatchAll>
    <SharedWithUsers xmlns="b40c662e-0380-4817-843d-2c7e10d40c39">
      <UserInfo>
        <DisplayName>Mary Adoi</DisplayName>
        <AccountId>144</AccountId>
        <AccountType/>
      </UserInfo>
      <UserInfo>
        <DisplayName>Daria Toschi</DisplayName>
        <AccountId>10</AccountId>
        <AccountType/>
      </UserInfo>
      <UserInfo>
        <DisplayName>Hayley McLachlan</DisplayName>
        <AccountId>178</AccountId>
        <AccountType/>
      </UserInfo>
      <UserInfo>
        <DisplayName>Peter Bryant</DisplayName>
        <AccountId>28</AccountId>
        <AccountType/>
      </UserInfo>
      <UserInfo>
        <DisplayName>Bruce Pain</DisplayName>
        <AccountId>13</AccountId>
        <AccountType/>
      </UserInfo>
      <UserInfo>
        <DisplayName>Tracy Murphy</DisplayName>
        <AccountId>15</AccountId>
        <AccountType/>
      </UserInfo>
    </SharedWithUsers>
    <PublishOn xmlns="2f261a70-825f-4a37-b7b5-f6ecc2f4c5fa">2023-10-27T00:43:21+00:00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A specific procedure to support modern slavery risk assessment and management across our operations and supply chains.</policysummary>
    <PolicyCategoryPath xmlns="2f261a70-825f-4a37-b7b5-f6ecc2f4c5fa">Operational:Finance</PolicyCategoryPath>
    <PolicyCategory0 xmlns="2f261a70-825f-4a37-b7b5-f6ecc2f4c5fa">Finance</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2023-10-25T14:00:00+00:00</datedeclared>
    <PrivatePolicy xmlns="2f261a70-825f-4a37-b7b5-f6ecc2f4c5fa">false</PrivatePolicy>
    <policyadvisor xmlns="2f261a70-825f-4a37-b7b5-f6ecc2f4c5fa">
      <UserInfo>
        <DisplayName>Bruce Pain</DisplayName>
        <AccountId>205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Financial Officer</TermName>
          <TermId xmlns="http://schemas.microsoft.com/office/infopath/2007/PartnerControls">59adb015-80f0-47d1-a2a2-01dc1e9132a8</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3BD85-7151-4251-BDAE-66EB515CCA81}">
  <ds:schemaRefs>
    <ds:schemaRef ds:uri="http://schemas.openxmlformats.org/officeDocument/2006/bibliography"/>
  </ds:schemaRefs>
</ds:datastoreItem>
</file>

<file path=customXml/itemProps2.xml><?xml version="1.0" encoding="utf-8"?>
<ds:datastoreItem xmlns:ds="http://schemas.openxmlformats.org/officeDocument/2006/customXml" ds:itemID="{6601E057-6B15-4853-B8C3-1649F412EDCA}">
  <ds:schemaRefs>
    <ds:schemaRef ds:uri="http://schemas.microsoft.com/office/2006/documentManagement/types"/>
    <ds:schemaRef ds:uri="2f261a70-825f-4a37-b7b5-f6ecc2f4c5fa"/>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b40c662e-0380-4817-843d-2c7e10d40c39"/>
    <ds:schemaRef ds:uri="http://purl.org/dc/dcmitype/"/>
  </ds:schemaRefs>
</ds:datastoreItem>
</file>

<file path=customXml/itemProps3.xml><?xml version="1.0" encoding="utf-8"?>
<ds:datastoreItem xmlns:ds="http://schemas.openxmlformats.org/officeDocument/2006/customXml" ds:itemID="{D8931FC5-5529-4FA5-8895-FA93907B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57</TotalTime>
  <Pages>9</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Supplier Assessment and Risk Management Procedure</dc:title>
  <dc:subject/>
  <dc:creator>Jen Lofgren</dc:creator>
  <cp:keywords/>
  <cp:lastModifiedBy>John Montgomery</cp:lastModifiedBy>
  <cp:revision>12</cp:revision>
  <dcterms:created xsi:type="dcterms:W3CDTF">2023-10-24T08:40:00Z</dcterms:created>
  <dcterms:modified xsi:type="dcterms:W3CDTF">2024-04-26T03:24:00Z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583;#Chief Financial Officer|59adb015-80f0-47d1-a2a2-01dc1e9132a8</vt:lpwstr>
  </property>
  <property fmtid="{D5CDD505-2E9C-101B-9397-08002B2CF9AE}" pid="17" name="policycategory">
    <vt:lpwstr/>
  </property>
  <property fmtid="{D5CDD505-2E9C-101B-9397-08002B2CF9AE}" pid="18" name="officearea">
    <vt:lpwstr>114;#Finance|4aa22cf4-03a0-4167-aaa7-1894a1ac6b82</vt:lpwstr>
  </property>
  <property fmtid="{D5CDD505-2E9C-101B-9397-08002B2CF9AE}" pid="19" name="policy-category">
    <vt:lpwstr>529;#Operational:Finance|7c4d54fe-a143-4322-ada2-3a0028566dc3</vt:lpwstr>
  </property>
  <property fmtid="{D5CDD505-2E9C-101B-9397-08002B2CF9AE}" pid="20" name="glossaryterms">
    <vt:lpwstr/>
  </property>
  <property fmtid="{D5CDD505-2E9C-101B-9397-08002B2CF9AE}" pid="21" name="policyaudience">
    <vt:lpwstr>77;#Staff|45ee306d-49ae-43fa-a3ef-02f70754fd2d</vt:lpwstr>
  </property>
  <property fmtid="{D5CDD505-2E9C-101B-9397-08002B2CF9AE}" pid="22" name="policyreview">
    <vt:lpwstr>91;#2024|4006b601-77d0-4e08-aa8b-4003839fc9be</vt:lpwstr>
  </property>
  <property fmtid="{D5CDD505-2E9C-101B-9397-08002B2CF9AE}" pid="23" name="Managed_Testing_Field">
    <vt:lpwstr/>
  </property>
</Properties>
</file>