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1E2BA489" w:rsidR="00F471E2" w:rsidRPr="00F7147F" w:rsidRDefault="00997BF8" w:rsidP="008D030A">
      <w:pPr>
        <w:pStyle w:val="ContentsHeading1"/>
        <w:pBdr>
          <w:bottom w:val="none" w:sz="0" w:space="0" w:color="auto"/>
        </w:pBdr>
        <w:rPr>
          <w:rFonts w:ascii="Arial" w:hAnsi="Arial" w:cs="Arial"/>
          <w:sz w:val="48"/>
          <w:szCs w:val="48"/>
        </w:rPr>
      </w:pPr>
      <w:bookmarkStart w:id="0" w:name="_Ref20321537"/>
      <w:r>
        <w:rPr>
          <w:rFonts w:ascii="Arial" w:hAnsi="Arial" w:cs="Arial"/>
          <w:sz w:val="48"/>
          <w:szCs w:val="48"/>
        </w:rPr>
        <w:t>Managing Assessment of University Appointments: Sanctions and Export Controls Compliance</w:t>
      </w:r>
    </w:p>
    <w:bookmarkStart w:id="1" w:name="_Ref20411738"/>
    <w:bookmarkStart w:id="2" w:name="_Ref20411785"/>
    <w:p w14:paraId="757C4A4A" w14:textId="078DBDB3" w:rsidR="00997DEA" w:rsidRPr="004F01DA" w:rsidRDefault="00997DEA" w:rsidP="009648C3">
      <w:pPr>
        <w:spacing w:before="80" w:after="8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936140" w:rsidRPr="00936140">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6AAB4091" w:rsidR="00997DEA" w:rsidRPr="004F01DA" w:rsidRDefault="00997DEA" w:rsidP="009648C3">
      <w:pPr>
        <w:spacing w:before="80" w:after="8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936140" w:rsidRPr="00936140">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0184C69F" w14:textId="386755AA" w:rsidR="00623A68" w:rsidRDefault="00997DEA" w:rsidP="009648C3">
      <w:pPr>
        <w:spacing w:before="80" w:after="8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936140" w:rsidRPr="00936140">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78555A5B" w14:textId="471A650E" w:rsidR="00623A68" w:rsidRPr="00623A68" w:rsidRDefault="009A546C" w:rsidP="00D429B3">
      <w:pPr>
        <w:spacing w:before="80" w:after="80"/>
        <w:ind w:left="709"/>
        <w:rPr>
          <w:rStyle w:val="Hyperlink"/>
          <w:rFonts w:ascii="Copernicus Medium" w:hAnsi="Copernicus Medium" w:cs="Arial"/>
          <w:b/>
          <w:bCs/>
          <w:sz w:val="24"/>
          <w:szCs w:val="24"/>
          <w:u w:val="none"/>
          <w:shd w:val="clear" w:color="auto" w:fill="FFFFFF"/>
        </w:rPr>
      </w:pPr>
      <w:hyperlink w:anchor="_3.1_New_fixed-term" w:history="1">
        <w:r w:rsidR="00BE610A" w:rsidRPr="00BE610A">
          <w:rPr>
            <w:rStyle w:val="Hyperlink"/>
            <w:rFonts w:ascii="Copernicus Medium" w:hAnsi="Copernicus Medium" w:cs="Arial"/>
            <w:b/>
            <w:bCs/>
            <w:sz w:val="24"/>
            <w:szCs w:val="24"/>
            <w:shd w:val="clear" w:color="auto" w:fill="FFFFFF"/>
          </w:rPr>
          <w:t>3.1 New fixed-term and continuing appointments following an advertised recruitment process</w:t>
        </w:r>
      </w:hyperlink>
      <w:r w:rsidR="00623A68" w:rsidRPr="00623A68">
        <w:rPr>
          <w:rFonts w:ascii="Copernicus Medium" w:hAnsi="Copernicus Medium" w:cs="Arial"/>
          <w:b/>
          <w:bCs/>
          <w:color w:val="E30918"/>
          <w:sz w:val="24"/>
          <w:szCs w:val="24"/>
          <w:shd w:val="clear" w:color="auto" w:fill="FFFFFF"/>
        </w:rPr>
        <w:t xml:space="preserve"> </w:t>
      </w:r>
      <w:r w:rsidR="00786A73">
        <w:rPr>
          <w:rFonts w:ascii="Copernicus Medium" w:hAnsi="Copernicus Medium" w:cs="Arial"/>
          <w:b/>
          <w:bCs/>
          <w:color w:val="E30918"/>
          <w:sz w:val="24"/>
          <w:szCs w:val="24"/>
          <w:shd w:val="clear" w:color="auto" w:fill="FFFFFF"/>
        </w:rPr>
        <w:t xml:space="preserve">| </w:t>
      </w:r>
      <w:hyperlink w:anchor="_New_Direct_Appointments," w:history="1">
        <w:r w:rsidR="00BE610A" w:rsidRPr="00BE610A">
          <w:rPr>
            <w:rStyle w:val="Hyperlink"/>
            <w:rFonts w:ascii="Copernicus Medium" w:hAnsi="Copernicus Medium" w:cs="Arial"/>
            <w:b/>
            <w:bCs/>
            <w:sz w:val="24"/>
            <w:szCs w:val="24"/>
            <w:shd w:val="clear" w:color="auto" w:fill="FFFFFF"/>
          </w:rPr>
          <w:t xml:space="preserve">3.2 New Direct Appointments, Secondments/Secondment Extensions, Unpaid Appointments </w:t>
        </w:r>
      </w:hyperlink>
      <w:r w:rsidR="00786A73">
        <w:rPr>
          <w:rStyle w:val="Hyperlink"/>
          <w:rFonts w:ascii="Copernicus Medium" w:hAnsi="Copernicus Medium" w:cs="Arial"/>
          <w:b/>
          <w:bCs/>
          <w:sz w:val="24"/>
          <w:szCs w:val="24"/>
          <w:u w:val="none"/>
          <w:shd w:val="clear" w:color="auto" w:fill="FFFFFF"/>
        </w:rPr>
        <w:t xml:space="preserve">| </w:t>
      </w:r>
      <w:hyperlink w:anchor="_Casual_(Professional_and" w:history="1">
        <w:r w:rsidR="00623A68" w:rsidRPr="00BE610A">
          <w:rPr>
            <w:rStyle w:val="Hyperlink"/>
            <w:rFonts w:ascii="Copernicus Medium" w:hAnsi="Copernicus Medium" w:cs="Arial"/>
            <w:b/>
            <w:bCs/>
            <w:sz w:val="24"/>
            <w:szCs w:val="24"/>
            <w:shd w:val="clear" w:color="auto" w:fill="FFFFFF"/>
          </w:rPr>
          <w:t>3.3 Casual (Professional and Academic) and fixed Term appointment extensions</w:t>
        </w:r>
      </w:hyperlink>
      <w:r w:rsidR="00786A73">
        <w:rPr>
          <w:rStyle w:val="Hyperlink"/>
          <w:rFonts w:ascii="Copernicus Medium" w:hAnsi="Copernicus Medium" w:cs="Arial"/>
          <w:b/>
          <w:bCs/>
          <w:sz w:val="24"/>
          <w:szCs w:val="24"/>
          <w:u w:val="none"/>
          <w:shd w:val="clear" w:color="auto" w:fill="FFFFFF"/>
        </w:rPr>
        <w:t xml:space="preserve"> | </w:t>
      </w:r>
      <w:hyperlink w:anchor="_Export_Control_and" w:history="1">
        <w:r w:rsidR="00623A68" w:rsidRPr="005F7A38">
          <w:rPr>
            <w:rStyle w:val="Hyperlink"/>
            <w:rFonts w:ascii="Copernicus Medium" w:hAnsi="Copernicus Medium" w:cs="Arial"/>
            <w:b/>
            <w:bCs/>
            <w:sz w:val="24"/>
            <w:szCs w:val="24"/>
            <w:shd w:val="clear" w:color="auto" w:fill="FFFFFF"/>
          </w:rPr>
          <w:t>3.4 Export Control and Security Manager review process for the IECT form</w:t>
        </w:r>
      </w:hyperlink>
      <w:r w:rsidR="00623A68" w:rsidRPr="00623A68">
        <w:rPr>
          <w:rStyle w:val="Hyperlink"/>
          <w:rFonts w:ascii="Copernicus Medium" w:hAnsi="Copernicus Medium" w:cs="Arial"/>
          <w:b/>
          <w:bCs/>
          <w:sz w:val="24"/>
          <w:szCs w:val="24"/>
          <w:u w:val="none"/>
          <w:shd w:val="clear" w:color="auto" w:fill="FFFFFF"/>
        </w:rPr>
        <w:t xml:space="preserve"> </w:t>
      </w:r>
    </w:p>
    <w:p w14:paraId="4A6E6A60" w14:textId="49086DA6" w:rsidR="00997DEA" w:rsidRPr="004F01DA" w:rsidRDefault="00997DEA" w:rsidP="009648C3">
      <w:pPr>
        <w:spacing w:before="80" w:after="8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936140" w:rsidRPr="00936140">
        <w:rPr>
          <w:rFonts w:ascii="Copernicus Medium" w:hAnsi="Copernicus Medium" w:cs="Arial"/>
          <w:b/>
          <w:bCs/>
          <w:color w:val="E30918"/>
          <w:sz w:val="24"/>
          <w:szCs w:val="24"/>
        </w:rPr>
        <w:t>4.0 Definitions</w:t>
      </w:r>
      <w:r w:rsidRPr="004F01DA">
        <w:rPr>
          <w:rFonts w:ascii="Copernicus Medium" w:hAnsi="Copernicus Medium" w:cs="Arial"/>
          <w:b/>
          <w:bCs/>
          <w:color w:val="E30918"/>
          <w:sz w:val="24"/>
          <w:szCs w:val="24"/>
          <w:shd w:val="clear" w:color="auto" w:fill="FFFFFF"/>
        </w:rPr>
        <w:fldChar w:fldCharType="end"/>
      </w:r>
    </w:p>
    <w:p w14:paraId="2E800012" w14:textId="1BD2C619" w:rsidR="00BC55CF" w:rsidRDefault="00BC55CF" w:rsidP="00E235C1">
      <w:pPr>
        <w:pStyle w:val="Heading2"/>
        <w:ind w:left="426" w:hanging="426"/>
        <w:rPr>
          <w:shd w:val="clear" w:color="auto" w:fill="FFFFFF"/>
        </w:rPr>
      </w:pPr>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179F6D89" w14:textId="3FE22450" w:rsidR="00C15C5C" w:rsidRPr="0046741C" w:rsidRDefault="00C15C5C" w:rsidP="0015279A">
      <w:pPr>
        <w:pStyle w:val="ListParagraph"/>
        <w:ind w:left="0"/>
        <w:jc w:val="both"/>
        <w:rPr>
          <w:rFonts w:ascii="Arial" w:hAnsi="Arial" w:cs="Arial"/>
          <w:szCs w:val="20"/>
        </w:rPr>
      </w:pPr>
      <w:bookmarkStart w:id="4" w:name="_Ref20318879"/>
      <w:bookmarkStart w:id="5" w:name="_Ref20411801"/>
      <w:r w:rsidRPr="0046741C">
        <w:rPr>
          <w:rFonts w:ascii="Arial" w:hAnsi="Arial" w:cs="Arial"/>
          <w:szCs w:val="20"/>
        </w:rPr>
        <w:t>Griffith University is required to comply with Australian export controls and sanctions legislation. Non-compliance may incur significant penalties to the University and the individual, including prosecution for criminal offences.</w:t>
      </w:r>
    </w:p>
    <w:p w14:paraId="5A39E6C0" w14:textId="77777777" w:rsidR="00C15C5C" w:rsidRPr="0046741C" w:rsidRDefault="00C15C5C" w:rsidP="0015279A">
      <w:pPr>
        <w:pStyle w:val="ListParagraph"/>
        <w:ind w:left="0"/>
        <w:jc w:val="both"/>
        <w:rPr>
          <w:rFonts w:ascii="Arial" w:hAnsi="Arial" w:cs="Arial"/>
          <w:szCs w:val="20"/>
        </w:rPr>
      </w:pPr>
    </w:p>
    <w:p w14:paraId="7A56469D" w14:textId="77777777" w:rsidR="00C15C5C" w:rsidRPr="0046741C" w:rsidRDefault="00C15C5C" w:rsidP="0015279A">
      <w:pPr>
        <w:pStyle w:val="ListParagraph"/>
        <w:ind w:left="0"/>
        <w:jc w:val="both"/>
        <w:rPr>
          <w:rFonts w:ascii="Arial" w:hAnsi="Arial" w:cs="Arial"/>
          <w:szCs w:val="20"/>
        </w:rPr>
      </w:pPr>
      <w:r w:rsidRPr="0046741C">
        <w:rPr>
          <w:rFonts w:ascii="Arial" w:hAnsi="Arial" w:cs="Arial"/>
          <w:szCs w:val="20"/>
        </w:rPr>
        <w:t xml:space="preserve">This document sets out the procedure for managing </w:t>
      </w:r>
      <w:r>
        <w:rPr>
          <w:rFonts w:ascii="Arial" w:hAnsi="Arial" w:cs="Arial"/>
          <w:szCs w:val="20"/>
        </w:rPr>
        <w:t xml:space="preserve">new Griffith staff appointments, including the appointment of casuals and un-paid staff.  The purpose of this procedure is to ensure that Griffith University adheres to and </w:t>
      </w:r>
      <w:r w:rsidRPr="0046741C">
        <w:rPr>
          <w:rFonts w:ascii="Arial" w:hAnsi="Arial" w:cs="Arial"/>
          <w:szCs w:val="20"/>
        </w:rPr>
        <w:t>does not contravene or breach the legislative framework underpinning Australia's system of export controls and sanctions.</w:t>
      </w:r>
    </w:p>
    <w:p w14:paraId="5ADFE055" w14:textId="77777777" w:rsidR="00C15C5C" w:rsidRPr="0046741C" w:rsidRDefault="00C15C5C" w:rsidP="0015279A">
      <w:pPr>
        <w:pStyle w:val="ListParagraph"/>
        <w:ind w:left="0"/>
        <w:jc w:val="both"/>
        <w:rPr>
          <w:rFonts w:ascii="Arial" w:hAnsi="Arial" w:cs="Arial"/>
          <w:szCs w:val="20"/>
        </w:rPr>
      </w:pPr>
    </w:p>
    <w:p w14:paraId="59ADFAEA" w14:textId="495D08B3" w:rsidR="00C15C5C" w:rsidRPr="0046741C" w:rsidRDefault="00C15C5C" w:rsidP="0015279A">
      <w:pPr>
        <w:pStyle w:val="ListParagraph"/>
        <w:ind w:left="0"/>
        <w:jc w:val="both"/>
        <w:rPr>
          <w:rFonts w:ascii="Arial" w:hAnsi="Arial" w:cs="Arial"/>
          <w:szCs w:val="20"/>
        </w:rPr>
      </w:pPr>
      <w:r w:rsidRPr="0046741C">
        <w:rPr>
          <w:rFonts w:ascii="Arial" w:hAnsi="Arial" w:cs="Arial"/>
          <w:szCs w:val="20"/>
        </w:rPr>
        <w:t xml:space="preserve">This procedure should be read in conjunction with documents listed </w:t>
      </w:r>
      <w:r>
        <w:rPr>
          <w:rFonts w:ascii="Arial" w:hAnsi="Arial" w:cs="Arial"/>
          <w:szCs w:val="20"/>
        </w:rPr>
        <w:t xml:space="preserve">in the Information Section. </w:t>
      </w:r>
    </w:p>
    <w:p w14:paraId="65297E40" w14:textId="46355ACA" w:rsidR="00F97A5A" w:rsidRPr="00ED12B6" w:rsidRDefault="007706AB" w:rsidP="00E235C1">
      <w:pPr>
        <w:pStyle w:val="Heading2"/>
        <w:ind w:left="426" w:hanging="426"/>
      </w:pPr>
      <w:bookmarkStart w:id="6" w:name="_Ref20480989"/>
      <w:r>
        <w:t xml:space="preserve">2.0 </w:t>
      </w:r>
      <w:r w:rsidR="00F97A5A">
        <w:t>Scope</w:t>
      </w:r>
      <w:bookmarkEnd w:id="4"/>
      <w:bookmarkEnd w:id="5"/>
      <w:bookmarkEnd w:id="6"/>
    </w:p>
    <w:p w14:paraId="1FB0370C" w14:textId="4863498D" w:rsidR="00C15C5C" w:rsidRPr="0046741C" w:rsidRDefault="00C15C5C" w:rsidP="0015279A">
      <w:pPr>
        <w:jc w:val="both"/>
        <w:rPr>
          <w:rFonts w:ascii="Arial" w:hAnsi="Arial" w:cs="Arial"/>
          <w:szCs w:val="20"/>
        </w:rPr>
      </w:pPr>
      <w:bookmarkStart w:id="7" w:name="_Ref20318910"/>
      <w:bookmarkStart w:id="8" w:name="_Ref20411814"/>
      <w:r w:rsidRPr="0046741C">
        <w:rPr>
          <w:rFonts w:ascii="Arial" w:hAnsi="Arial" w:cs="Arial"/>
          <w:szCs w:val="20"/>
        </w:rPr>
        <w:t>Australia’s international sanctions impose a set of restrictions upon the supply of a range of goods and services (including the supply of training and technology) to specific individuals, organisations, foreign nations, and their citizenry.</w:t>
      </w:r>
    </w:p>
    <w:p w14:paraId="463C943C" w14:textId="5C4C2511" w:rsidR="00C15C5C" w:rsidRDefault="00C15C5C" w:rsidP="0015279A">
      <w:pPr>
        <w:jc w:val="both"/>
        <w:rPr>
          <w:rStyle w:val="Hyperlink"/>
          <w:rFonts w:ascii="Arial" w:hAnsi="Arial" w:cs="Arial"/>
          <w:i/>
          <w:iCs/>
          <w:color w:val="auto"/>
          <w:szCs w:val="20"/>
        </w:rPr>
      </w:pPr>
      <w:r w:rsidRPr="0046741C">
        <w:rPr>
          <w:rFonts w:ascii="Arial" w:hAnsi="Arial" w:cs="Arial"/>
          <w:szCs w:val="20"/>
        </w:rPr>
        <w:t>‘Sanctions’ refers to both the United Nations</w:t>
      </w:r>
      <w:r>
        <w:rPr>
          <w:rFonts w:ascii="Arial" w:hAnsi="Arial" w:cs="Arial"/>
          <w:szCs w:val="20"/>
        </w:rPr>
        <w:t xml:space="preserve"> Security Council</w:t>
      </w:r>
      <w:r w:rsidRPr="0046741C">
        <w:rPr>
          <w:rFonts w:ascii="Arial" w:hAnsi="Arial" w:cs="Arial"/>
          <w:szCs w:val="20"/>
        </w:rPr>
        <w:t xml:space="preserve"> and Australian Autonomous Sanctions managed by the Department of Foreign Affairs and Trade (DFAT). Sanctions regimes are different depending on </w:t>
      </w:r>
      <w:r>
        <w:rPr>
          <w:rFonts w:ascii="Arial" w:hAnsi="Arial" w:cs="Arial"/>
          <w:szCs w:val="20"/>
        </w:rPr>
        <w:t xml:space="preserve">the </w:t>
      </w:r>
      <w:r w:rsidRPr="0046741C">
        <w:rPr>
          <w:rFonts w:ascii="Arial" w:hAnsi="Arial" w:cs="Arial"/>
          <w:szCs w:val="20"/>
        </w:rPr>
        <w:t xml:space="preserve">country </w:t>
      </w:r>
      <w:r>
        <w:rPr>
          <w:rFonts w:ascii="Arial" w:hAnsi="Arial" w:cs="Arial"/>
          <w:szCs w:val="20"/>
        </w:rPr>
        <w:t xml:space="preserve">or theme (e.g., human rights) </w:t>
      </w:r>
      <w:r w:rsidRPr="0046741C">
        <w:rPr>
          <w:rFonts w:ascii="Arial" w:hAnsi="Arial" w:cs="Arial"/>
          <w:szCs w:val="20"/>
        </w:rPr>
        <w:t xml:space="preserve">and are regularly modified and updated. The list of countries and details of sanctions regimes are </w:t>
      </w:r>
      <w:r>
        <w:rPr>
          <w:rFonts w:ascii="Arial" w:hAnsi="Arial" w:cs="Arial"/>
          <w:szCs w:val="20"/>
        </w:rPr>
        <w:t xml:space="preserve">outlined </w:t>
      </w:r>
      <w:r w:rsidRPr="0046741C">
        <w:rPr>
          <w:rFonts w:ascii="Arial" w:hAnsi="Arial" w:cs="Arial"/>
          <w:szCs w:val="20"/>
        </w:rPr>
        <w:t xml:space="preserve">in the </w:t>
      </w:r>
      <w:hyperlink r:id="rId11" w:history="1">
        <w:r w:rsidRPr="007D1A33">
          <w:rPr>
            <w:rStyle w:val="Hyperlink"/>
            <w:rFonts w:ascii="Arial" w:hAnsi="Arial" w:cs="Arial"/>
            <w:szCs w:val="20"/>
          </w:rPr>
          <w:t>DFAT Sanctions website</w:t>
        </w:r>
      </w:hyperlink>
      <w:r w:rsidRPr="007D1A33">
        <w:rPr>
          <w:rStyle w:val="Hyperlink"/>
          <w:rFonts w:ascii="Arial" w:hAnsi="Arial" w:cs="Arial"/>
          <w:color w:val="auto"/>
          <w:szCs w:val="20"/>
          <w:u w:val="none"/>
        </w:rPr>
        <w:t>.</w:t>
      </w:r>
    </w:p>
    <w:p w14:paraId="39C5612F" w14:textId="4ED82E66" w:rsidR="00C15C5C" w:rsidRDefault="00C15C5C" w:rsidP="0015279A">
      <w:pPr>
        <w:jc w:val="both"/>
        <w:rPr>
          <w:rFonts w:ascii="Arial" w:hAnsi="Arial" w:cs="Arial"/>
          <w:szCs w:val="20"/>
        </w:rPr>
      </w:pPr>
      <w:r w:rsidRPr="0046741C">
        <w:rPr>
          <w:rFonts w:ascii="Arial" w:hAnsi="Arial" w:cs="Arial"/>
          <w:szCs w:val="20"/>
        </w:rPr>
        <w:t xml:space="preserve">Australia’s export controls under the Department of Defence regulate the export and supply of military and dual-use goods and technologies. </w:t>
      </w:r>
      <w:hyperlink r:id="rId12" w:history="1">
        <w:r w:rsidRPr="007423BF">
          <w:rPr>
            <w:rStyle w:val="Hyperlink"/>
            <w:rFonts w:ascii="Arial" w:hAnsi="Arial" w:cs="Arial"/>
            <w:szCs w:val="20"/>
          </w:rPr>
          <w:t>Defence Export Controls</w:t>
        </w:r>
        <w:r w:rsidRPr="007423BF">
          <w:rPr>
            <w:rStyle w:val="Hyperlink"/>
            <w:rFonts w:ascii="Arial" w:hAnsi="Arial" w:cs="Arial"/>
            <w:i/>
            <w:iCs/>
            <w:szCs w:val="20"/>
          </w:rPr>
          <w:t xml:space="preserve"> </w:t>
        </w:r>
        <w:r w:rsidRPr="007423BF">
          <w:rPr>
            <w:rStyle w:val="Hyperlink"/>
            <w:rFonts w:ascii="Arial" w:hAnsi="Arial" w:cs="Arial"/>
            <w:szCs w:val="20"/>
          </w:rPr>
          <w:t>(DEC)</w:t>
        </w:r>
      </w:hyperlink>
      <w:r w:rsidRPr="0046741C">
        <w:rPr>
          <w:rFonts w:ascii="Arial" w:hAnsi="Arial" w:cs="Arial"/>
          <w:szCs w:val="20"/>
        </w:rPr>
        <w:t xml:space="preserve"> support individuals and organisations including universities to meet their obligations under Australian law. </w:t>
      </w:r>
    </w:p>
    <w:p w14:paraId="4151A2B2" w14:textId="77777777" w:rsidR="00C15C5C" w:rsidRPr="00B8542D" w:rsidRDefault="00C15C5C" w:rsidP="0015279A">
      <w:pPr>
        <w:tabs>
          <w:tab w:val="left" w:pos="851"/>
        </w:tabs>
        <w:jc w:val="both"/>
        <w:rPr>
          <w:rFonts w:ascii="Arial" w:hAnsi="Arial" w:cs="Arial"/>
          <w:bCs/>
          <w:szCs w:val="20"/>
        </w:rPr>
      </w:pPr>
      <w:r w:rsidRPr="00B8542D">
        <w:rPr>
          <w:rFonts w:ascii="Arial" w:hAnsi="Arial" w:cs="Arial"/>
          <w:bCs/>
          <w:szCs w:val="20"/>
        </w:rPr>
        <w:t>Through the application Policies and Procedures, the University will take reasonable precautions, exercise due diligence, and raise awareness within the university community, to avoid contravening sanctions law. The University will also</w:t>
      </w:r>
      <w:r w:rsidRPr="00B8542D">
        <w:rPr>
          <w:rFonts w:ascii="Arial" w:hAnsi="Arial" w:cs="Arial"/>
          <w:szCs w:val="20"/>
        </w:rPr>
        <w:t xml:space="preserve"> meet its c</w:t>
      </w:r>
      <w:r w:rsidRPr="00B8542D">
        <w:rPr>
          <w:rFonts w:ascii="Arial" w:hAnsi="Arial" w:cs="Arial"/>
          <w:bCs/>
          <w:szCs w:val="20"/>
        </w:rPr>
        <w:t xml:space="preserve">ompliance obligations with Australia’s export control system in line with Australia’s national interests and international obligations. </w:t>
      </w:r>
    </w:p>
    <w:p w14:paraId="6E5753E2" w14:textId="77777777" w:rsidR="00C15C5C" w:rsidRPr="00B8542D" w:rsidRDefault="00C15C5C" w:rsidP="0015279A">
      <w:pPr>
        <w:tabs>
          <w:tab w:val="left" w:pos="851"/>
        </w:tabs>
        <w:jc w:val="both"/>
        <w:rPr>
          <w:rFonts w:ascii="Arial" w:hAnsi="Arial" w:cs="Arial"/>
          <w:bCs/>
          <w:szCs w:val="20"/>
        </w:rPr>
      </w:pPr>
      <w:r w:rsidRPr="00B8542D">
        <w:rPr>
          <w:rFonts w:ascii="Arial" w:hAnsi="Arial" w:cs="Arial"/>
          <w:bCs/>
          <w:szCs w:val="20"/>
        </w:rPr>
        <w:lastRenderedPageBreak/>
        <w:t xml:space="preserve">Due diligence includes to be properly informed about persons or entities connected directly or indirectly with the activities proposed by the new staff appointee. Due diligence checks must include searching </w:t>
      </w:r>
      <w:hyperlink r:id="rId13" w:history="1">
        <w:r w:rsidRPr="00B8542D">
          <w:rPr>
            <w:rStyle w:val="Hyperlink"/>
            <w:rFonts w:ascii="Arial" w:hAnsi="Arial" w:cs="Arial"/>
            <w:bCs/>
            <w:color w:val="auto"/>
            <w:szCs w:val="20"/>
            <w:u w:val="none"/>
          </w:rPr>
          <w:t>the</w:t>
        </w:r>
        <w:r w:rsidRPr="00B8542D">
          <w:rPr>
            <w:rStyle w:val="Hyperlink"/>
            <w:rFonts w:ascii="Arial" w:hAnsi="Arial" w:cs="Arial"/>
            <w:bCs/>
            <w:szCs w:val="20"/>
          </w:rPr>
          <w:t xml:space="preserve"> Consolidated List</w:t>
        </w:r>
      </w:hyperlink>
      <w:r w:rsidRPr="00B8542D">
        <w:rPr>
          <w:rFonts w:ascii="Arial" w:hAnsi="Arial" w:cs="Arial"/>
          <w:bCs/>
          <w:szCs w:val="20"/>
        </w:rPr>
        <w:t xml:space="preserve"> (a DFAT list of all ‘designated’ persons and entities subject to targeted financial sanctions under Australian sanctions law) to ascertain if the new staff appointee is listed or connected to a person or entity subject to sanctions.</w:t>
      </w:r>
    </w:p>
    <w:p w14:paraId="2739F4E5" w14:textId="77777777" w:rsidR="00C15C5C" w:rsidRPr="00660DC4" w:rsidRDefault="00C15C5C" w:rsidP="00D82D67">
      <w:pPr>
        <w:pStyle w:val="NormalWhite"/>
        <w:numPr>
          <w:ilvl w:val="0"/>
          <w:numId w:val="41"/>
        </w:numPr>
        <w:spacing w:before="80" w:after="80"/>
        <w:ind w:left="924" w:hanging="357"/>
        <w:rPr>
          <w:rFonts w:ascii="Arial" w:hAnsi="Arial" w:cs="Arial"/>
          <w:color w:val="000000" w:themeColor="text1"/>
          <w:szCs w:val="20"/>
        </w:rPr>
      </w:pPr>
      <w:r w:rsidRPr="00660DC4">
        <w:rPr>
          <w:rFonts w:ascii="Arial" w:hAnsi="Arial" w:cs="Arial"/>
          <w:color w:val="000000" w:themeColor="text1"/>
          <w:szCs w:val="20"/>
        </w:rPr>
        <w:t>The University will not deal with ‘designated’ persons or entities.</w:t>
      </w:r>
    </w:p>
    <w:p w14:paraId="7574CF54" w14:textId="77777777" w:rsidR="00C15C5C" w:rsidRPr="00834B4B" w:rsidRDefault="00C15C5C" w:rsidP="00D82D67">
      <w:pPr>
        <w:pStyle w:val="NormalWhite"/>
        <w:numPr>
          <w:ilvl w:val="0"/>
          <w:numId w:val="41"/>
        </w:numPr>
        <w:spacing w:before="80" w:after="80"/>
        <w:ind w:left="924" w:hanging="357"/>
        <w:rPr>
          <w:rFonts w:ascii="Arial" w:hAnsi="Arial" w:cs="Arial"/>
          <w:color w:val="000000" w:themeColor="text1"/>
          <w:szCs w:val="20"/>
        </w:rPr>
      </w:pPr>
      <w:r w:rsidRPr="00834B4B">
        <w:rPr>
          <w:rFonts w:ascii="Arial" w:hAnsi="Arial" w:cs="Arial"/>
          <w:color w:val="000000" w:themeColor="text1"/>
          <w:szCs w:val="20"/>
        </w:rPr>
        <w:t xml:space="preserve">The University will avoid high-risk activity and will seek advice from DFAT to determine whether a sanction permit application might be submitted in very exceptional circumstances based on the relevance and quality of the new staff appointee and the activity proposed. </w:t>
      </w:r>
    </w:p>
    <w:p w14:paraId="1D42B710" w14:textId="77777777" w:rsidR="00C15C5C" w:rsidRPr="00834B4B" w:rsidRDefault="00C15C5C" w:rsidP="00D82D67">
      <w:pPr>
        <w:pStyle w:val="NormalWhite"/>
        <w:numPr>
          <w:ilvl w:val="0"/>
          <w:numId w:val="41"/>
        </w:numPr>
        <w:spacing w:before="80" w:after="80"/>
        <w:ind w:left="924" w:hanging="357"/>
        <w:rPr>
          <w:rFonts w:ascii="Arial" w:hAnsi="Arial" w:cs="Arial"/>
          <w:color w:val="000000" w:themeColor="text1"/>
          <w:szCs w:val="20"/>
        </w:rPr>
      </w:pPr>
      <w:r w:rsidRPr="00834B4B">
        <w:rPr>
          <w:rFonts w:ascii="Arial" w:hAnsi="Arial" w:cs="Arial"/>
          <w:color w:val="000000" w:themeColor="text1"/>
          <w:szCs w:val="20"/>
        </w:rPr>
        <w:t>The University will implement tools and measures to avoid breaches of Australia’s export control legislation and will consult with DEC and apply for approval before exporting controlled goods, technology or activity listed under the DSGL.</w:t>
      </w:r>
    </w:p>
    <w:p w14:paraId="008C8CF3" w14:textId="0246C372" w:rsidR="00C15C5C" w:rsidRPr="00B8542D" w:rsidRDefault="00C15C5C" w:rsidP="00D82D67">
      <w:pPr>
        <w:jc w:val="both"/>
        <w:rPr>
          <w:rFonts w:ascii="Arial" w:hAnsi="Arial" w:cs="Arial"/>
          <w:bCs/>
          <w:szCs w:val="20"/>
        </w:rPr>
      </w:pPr>
      <w:r w:rsidRPr="00B8542D">
        <w:rPr>
          <w:rFonts w:ascii="Arial" w:hAnsi="Arial" w:cs="Arial"/>
          <w:bCs/>
          <w:szCs w:val="20"/>
        </w:rPr>
        <w:t xml:space="preserve">All University staff are responsible for complying with Australian Sanctions and Export Controls in the conduct of their university activities. All staff must exercise appropriate due diligence when considering any matter subject to their authority or care that may fall within the scope of this procedure. Individuals must ensure appropriate approvals and permits are in place prior to commencing the relevant activity (e.g., research or exchange of resources). </w:t>
      </w:r>
    </w:p>
    <w:p w14:paraId="49D6B327" w14:textId="5A987C9B" w:rsidR="00C15C5C" w:rsidRPr="00885DF0" w:rsidRDefault="00C15C5C" w:rsidP="00D82D67">
      <w:pPr>
        <w:pStyle w:val="ListParagraph"/>
        <w:numPr>
          <w:ilvl w:val="0"/>
          <w:numId w:val="37"/>
        </w:numPr>
        <w:spacing w:before="80" w:after="80"/>
        <w:ind w:left="924" w:hanging="357"/>
        <w:contextualSpacing w:val="0"/>
        <w:jc w:val="both"/>
        <w:rPr>
          <w:rFonts w:ascii="Arial" w:hAnsi="Arial" w:cs="Arial"/>
          <w:bCs/>
          <w:szCs w:val="20"/>
        </w:rPr>
      </w:pPr>
      <w:r w:rsidRPr="00B8542D">
        <w:rPr>
          <w:rFonts w:ascii="Arial" w:hAnsi="Arial" w:cs="Arial"/>
          <w:bCs/>
          <w:szCs w:val="20"/>
        </w:rPr>
        <w:t xml:space="preserve">Griffith's </w:t>
      </w:r>
      <w:hyperlink r:id="rId14" w:history="1">
        <w:r w:rsidRPr="00B8542D">
          <w:rPr>
            <w:rStyle w:val="Hyperlink"/>
            <w:rFonts w:ascii="Arial" w:hAnsi="Arial" w:cs="Arial"/>
            <w:bCs/>
            <w:szCs w:val="20"/>
          </w:rPr>
          <w:t>International Engagement Checking Tool (IECT)</w:t>
        </w:r>
      </w:hyperlink>
      <w:r w:rsidRPr="00B8542D">
        <w:rPr>
          <w:rFonts w:ascii="Arial" w:hAnsi="Arial" w:cs="Arial"/>
          <w:bCs/>
          <w:szCs w:val="20"/>
        </w:rPr>
        <w:t xml:space="preserve"> supports staff to address compliance with Australian sanctions, foreign interference and transparency issues, prohibitions on the transfer of Defence and strategic goods, weapons of mass destruction and weapons and arms related goods and technologies. This online tool must be used to determine whether any activity proposed with a foreign organisation or person could be a contravention of Australian law or require disclosure under Australian law. Note that, if the identified applicant is from a sanctioned country the Manager/Supervisor will search the DFAT Consolidated List (</w:t>
      </w:r>
      <w:hyperlink r:id="rId15" w:history="1">
        <w:r w:rsidRPr="00B8542D">
          <w:rPr>
            <w:rStyle w:val="Hyperlink"/>
            <w:rFonts w:ascii="Arial" w:hAnsi="Arial" w:cs="Arial"/>
            <w:bCs/>
            <w:szCs w:val="20"/>
          </w:rPr>
          <w:t>Consolidated List</w:t>
        </w:r>
      </w:hyperlink>
      <w:r w:rsidRPr="00B8542D">
        <w:rPr>
          <w:rFonts w:ascii="Arial" w:hAnsi="Arial" w:cs="Arial"/>
          <w:bCs/>
          <w:szCs w:val="20"/>
        </w:rPr>
        <w:t xml:space="preserve">), providing confirmation in the IECT form.  </w:t>
      </w:r>
      <w:r w:rsidRPr="00B8542D">
        <w:rPr>
          <w:rFonts w:ascii="Arial" w:hAnsi="Arial" w:cs="Arial"/>
          <w:szCs w:val="20"/>
        </w:rPr>
        <w:t>If the applicant and/or affiliated Institutions or places of previous employment are included in the Consolidated List, the appointment will not proceed.</w:t>
      </w:r>
    </w:p>
    <w:p w14:paraId="6BCAA54D" w14:textId="1DA0316F" w:rsidR="00C15C5C" w:rsidRPr="00595729" w:rsidRDefault="00C15C5C" w:rsidP="00D82D67">
      <w:pPr>
        <w:pStyle w:val="ListParagraph"/>
        <w:numPr>
          <w:ilvl w:val="0"/>
          <w:numId w:val="37"/>
        </w:numPr>
        <w:tabs>
          <w:tab w:val="left" w:pos="2149"/>
        </w:tabs>
        <w:spacing w:before="80" w:after="80"/>
        <w:ind w:left="924" w:hanging="357"/>
        <w:contextualSpacing w:val="0"/>
        <w:jc w:val="both"/>
        <w:rPr>
          <w:rStyle w:val="Hyperlink"/>
          <w:rFonts w:ascii="Arial" w:hAnsi="Arial" w:cs="Arial"/>
          <w:bCs/>
          <w:color w:val="auto"/>
          <w:szCs w:val="20"/>
          <w:u w:val="none"/>
        </w:rPr>
      </w:pPr>
      <w:r w:rsidRPr="00B8542D">
        <w:rPr>
          <w:rFonts w:ascii="Arial" w:hAnsi="Arial" w:cs="Arial"/>
          <w:bCs/>
          <w:szCs w:val="20"/>
        </w:rPr>
        <w:t xml:space="preserve">the </w:t>
      </w:r>
      <w:hyperlink r:id="rId16" w:history="1">
        <w:r w:rsidRPr="00B8542D">
          <w:rPr>
            <w:rStyle w:val="Hyperlink"/>
            <w:rFonts w:ascii="Arial" w:hAnsi="Arial" w:cs="Arial"/>
            <w:bCs/>
            <w:szCs w:val="20"/>
          </w:rPr>
          <w:t>Sanctions Compliance Webpage</w:t>
        </w:r>
      </w:hyperlink>
      <w:r w:rsidRPr="00B8542D">
        <w:rPr>
          <w:rFonts w:ascii="Arial" w:hAnsi="Arial" w:cs="Arial"/>
          <w:bCs/>
          <w:szCs w:val="20"/>
        </w:rPr>
        <w:t xml:space="preserve"> and</w:t>
      </w:r>
      <w:r w:rsidRPr="00B8542D">
        <w:t xml:space="preserve"> </w:t>
      </w:r>
      <w:r w:rsidRPr="00B8542D">
        <w:rPr>
          <w:rFonts w:ascii="Arial" w:hAnsi="Arial" w:cs="Arial"/>
          <w:bCs/>
          <w:szCs w:val="20"/>
        </w:rPr>
        <w:t>the</w:t>
      </w:r>
      <w:r w:rsidRPr="00B8542D">
        <w:t xml:space="preserve"> </w:t>
      </w:r>
      <w:hyperlink r:id="rId17" w:history="1">
        <w:r w:rsidRPr="00B8542D">
          <w:rPr>
            <w:rStyle w:val="Hyperlink"/>
            <w:rFonts w:ascii="Arial" w:hAnsi="Arial" w:cs="Arial"/>
            <w:bCs/>
            <w:szCs w:val="20"/>
          </w:rPr>
          <w:t>Secure Engagement with International Parties Hub</w:t>
        </w:r>
      </w:hyperlink>
      <w:r w:rsidRPr="00B8542D">
        <w:rPr>
          <w:rFonts w:ascii="Arial" w:hAnsi="Arial" w:cs="Arial"/>
          <w:bCs/>
          <w:szCs w:val="20"/>
        </w:rPr>
        <w:t xml:space="preserve"> an intranet site available to staff </w:t>
      </w:r>
      <w:r>
        <w:rPr>
          <w:rFonts w:ascii="Arial" w:hAnsi="Arial" w:cs="Arial"/>
          <w:bCs/>
          <w:szCs w:val="20"/>
        </w:rPr>
        <w:t xml:space="preserve">including information on the University commitment </w:t>
      </w:r>
      <w:r w:rsidRPr="008D1836">
        <w:rPr>
          <w:rFonts w:ascii="Arial" w:hAnsi="Arial" w:cs="Arial"/>
          <w:bCs/>
          <w:szCs w:val="20"/>
        </w:rPr>
        <w:t>to ensuring secure and productive international engagement</w:t>
      </w:r>
      <w:r>
        <w:rPr>
          <w:rFonts w:ascii="Arial" w:hAnsi="Arial" w:cs="Arial"/>
          <w:bCs/>
          <w:szCs w:val="20"/>
        </w:rPr>
        <w:t xml:space="preserve"> while </w:t>
      </w:r>
      <w:r w:rsidRPr="008D1836">
        <w:rPr>
          <w:rFonts w:ascii="Arial" w:hAnsi="Arial" w:cs="Arial"/>
          <w:bCs/>
          <w:szCs w:val="20"/>
        </w:rPr>
        <w:t>minimis</w:t>
      </w:r>
      <w:r>
        <w:rPr>
          <w:rFonts w:ascii="Arial" w:hAnsi="Arial" w:cs="Arial"/>
          <w:bCs/>
          <w:szCs w:val="20"/>
        </w:rPr>
        <w:t>ing</w:t>
      </w:r>
      <w:r w:rsidRPr="008D1836">
        <w:rPr>
          <w:rFonts w:ascii="Arial" w:hAnsi="Arial" w:cs="Arial"/>
          <w:bCs/>
          <w:szCs w:val="20"/>
        </w:rPr>
        <w:t xml:space="preserve"> risks to Australia’s national security.</w:t>
      </w:r>
      <w:r w:rsidRPr="00B8542D">
        <w:rPr>
          <w:rFonts w:ascii="Arial" w:hAnsi="Arial" w:cs="Arial"/>
          <w:bCs/>
          <w:szCs w:val="20"/>
        </w:rPr>
        <w:t xml:space="preserve"> </w:t>
      </w:r>
    </w:p>
    <w:p w14:paraId="16734CDB" w14:textId="0DDE130A" w:rsidR="00C91165" w:rsidRDefault="007706AB" w:rsidP="00E235C1">
      <w:pPr>
        <w:pStyle w:val="Heading2"/>
        <w:ind w:left="426" w:hanging="426"/>
      </w:pPr>
      <w:bookmarkStart w:id="9" w:name="_Ref20481014"/>
      <w:r>
        <w:t xml:space="preserve">3.0 </w:t>
      </w:r>
      <w:r w:rsidR="00C91165">
        <w:t>P</w:t>
      </w:r>
      <w:bookmarkEnd w:id="7"/>
      <w:r w:rsidR="00A71AD8">
        <w:t>rocedure</w:t>
      </w:r>
      <w:bookmarkEnd w:id="8"/>
      <w:bookmarkEnd w:id="9"/>
    </w:p>
    <w:p w14:paraId="63D42863" w14:textId="370E8B3F" w:rsidR="00595729" w:rsidRDefault="00595729" w:rsidP="00D82D67">
      <w:pPr>
        <w:pStyle w:val="ListParagraph"/>
        <w:ind w:left="0"/>
        <w:jc w:val="both"/>
        <w:rPr>
          <w:rFonts w:ascii="Arial" w:hAnsi="Arial" w:cs="Arial"/>
          <w:szCs w:val="20"/>
        </w:rPr>
      </w:pPr>
      <w:r w:rsidRPr="008D1836">
        <w:rPr>
          <w:rFonts w:ascii="Arial" w:hAnsi="Arial" w:cs="Arial"/>
          <w:szCs w:val="20"/>
        </w:rPr>
        <w:t xml:space="preserve">The process described below sets out a flow of duty to ensure sufficient and correct due diligence is performed during the assessment of all </w:t>
      </w:r>
      <w:r>
        <w:rPr>
          <w:rFonts w:ascii="Arial" w:hAnsi="Arial" w:cs="Arial"/>
          <w:szCs w:val="20"/>
        </w:rPr>
        <w:t>new Griffith staff appointments (Academic and Professional), if they originate from a sanctioned country, including the appointments of casual and unpaid appointments,</w:t>
      </w:r>
      <w:r w:rsidRPr="008D1836">
        <w:rPr>
          <w:rFonts w:ascii="Arial" w:hAnsi="Arial" w:cs="Arial"/>
          <w:szCs w:val="20"/>
        </w:rPr>
        <w:t xml:space="preserve"> upon which a decision of an offer is made. </w:t>
      </w:r>
    </w:p>
    <w:p w14:paraId="5D1E44FD" w14:textId="77777777" w:rsidR="00595729" w:rsidRPr="008D1836" w:rsidRDefault="00595729" w:rsidP="00D82D67">
      <w:pPr>
        <w:pStyle w:val="ListParagraph"/>
        <w:ind w:left="0"/>
        <w:jc w:val="both"/>
        <w:rPr>
          <w:rFonts w:ascii="Arial" w:hAnsi="Arial" w:cs="Arial"/>
          <w:szCs w:val="20"/>
        </w:rPr>
      </w:pPr>
    </w:p>
    <w:p w14:paraId="6D4994BE" w14:textId="77777777" w:rsidR="00595729" w:rsidRDefault="00595729" w:rsidP="00D82D67">
      <w:pPr>
        <w:pStyle w:val="ListParagraph"/>
        <w:ind w:left="0"/>
        <w:jc w:val="both"/>
        <w:rPr>
          <w:rFonts w:ascii="Arial" w:hAnsi="Arial" w:cs="Arial"/>
          <w:szCs w:val="20"/>
        </w:rPr>
      </w:pPr>
      <w:r w:rsidRPr="008D1836">
        <w:rPr>
          <w:rFonts w:ascii="Arial" w:hAnsi="Arial" w:cs="Arial"/>
          <w:szCs w:val="20"/>
        </w:rPr>
        <w:t>The processes are dependent on the type of appointment and comprises of a risk assessment and subsequent decision-making process based on the full CV and/or further appropriate documentation provided by the applicant.</w:t>
      </w:r>
      <w:r>
        <w:rPr>
          <w:rFonts w:ascii="Arial" w:hAnsi="Arial" w:cs="Arial"/>
          <w:szCs w:val="20"/>
        </w:rPr>
        <w:t xml:space="preserve"> </w:t>
      </w:r>
      <w:bookmarkStart w:id="10" w:name="_Hlk139631664"/>
      <w:r w:rsidRPr="007B2966">
        <w:rPr>
          <w:rFonts w:ascii="Arial" w:hAnsi="Arial" w:cs="Arial"/>
          <w:szCs w:val="20"/>
        </w:rPr>
        <w:t>Individuals currently residing in Australia who are Australian citizens, permanent residents or holders of Australian humanitarian visas do not require assessment</w:t>
      </w:r>
      <w:r w:rsidRPr="008D1836">
        <w:rPr>
          <w:rFonts w:ascii="Arial" w:hAnsi="Arial" w:cs="Arial"/>
          <w:szCs w:val="20"/>
        </w:rPr>
        <w:t>.</w:t>
      </w:r>
      <w:bookmarkEnd w:id="10"/>
    </w:p>
    <w:p w14:paraId="43526E9F" w14:textId="23D7E365" w:rsidR="00305C35" w:rsidRDefault="00305C35" w:rsidP="00C74762">
      <w:pPr>
        <w:pStyle w:val="Heading3"/>
        <w:ind w:left="1015" w:hanging="448"/>
      </w:pPr>
      <w:bookmarkStart w:id="11" w:name="_3.1_&lt;Insert_sub-heading&gt;"/>
      <w:bookmarkStart w:id="12" w:name="_3.1_New_fixed-term"/>
      <w:bookmarkEnd w:id="11"/>
      <w:bookmarkEnd w:id="12"/>
      <w:r>
        <w:t xml:space="preserve">3.1 </w:t>
      </w:r>
      <w:r w:rsidR="00997BF8">
        <w:t>New fixed-term and continuing appointments following an advertised recruitment process</w:t>
      </w:r>
    </w:p>
    <w:p w14:paraId="6B785376" w14:textId="6C37BA16" w:rsidR="00885DF0" w:rsidRDefault="00885DF0" w:rsidP="00FB6B57">
      <w:pPr>
        <w:ind w:left="567"/>
        <w:jc w:val="both"/>
        <w:rPr>
          <w:rFonts w:ascii="Arial" w:hAnsi="Arial" w:cs="Arial"/>
        </w:rPr>
      </w:pPr>
      <w:r>
        <w:rPr>
          <w:rFonts w:ascii="Arial" w:hAnsi="Arial" w:cs="Arial"/>
        </w:rPr>
        <w:t xml:space="preserve">A Manager/Supervisor </w:t>
      </w:r>
      <w:r w:rsidRPr="00B8250A">
        <w:rPr>
          <w:rFonts w:ascii="Arial" w:hAnsi="Arial" w:cs="Arial"/>
        </w:rPr>
        <w:t>r</w:t>
      </w:r>
      <w:r>
        <w:rPr>
          <w:rFonts w:ascii="Arial" w:hAnsi="Arial" w:cs="Arial"/>
        </w:rPr>
        <w:t>a</w:t>
      </w:r>
      <w:r w:rsidRPr="00B8250A">
        <w:rPr>
          <w:rFonts w:ascii="Arial" w:hAnsi="Arial" w:cs="Arial"/>
        </w:rPr>
        <w:t>ises</w:t>
      </w:r>
      <w:r>
        <w:rPr>
          <w:rFonts w:ascii="Arial" w:hAnsi="Arial" w:cs="Arial"/>
        </w:rPr>
        <w:t xml:space="preserve"> an advertising</w:t>
      </w:r>
      <w:r w:rsidRPr="00B8250A">
        <w:rPr>
          <w:rFonts w:ascii="Arial" w:hAnsi="Arial" w:cs="Arial"/>
        </w:rPr>
        <w:t xml:space="preserve"> </w:t>
      </w:r>
      <w:r>
        <w:rPr>
          <w:rFonts w:ascii="Arial" w:hAnsi="Arial" w:cs="Arial"/>
        </w:rPr>
        <w:t xml:space="preserve">request to fill an established position </w:t>
      </w:r>
      <w:r w:rsidRPr="00B8250A">
        <w:rPr>
          <w:rFonts w:ascii="Arial" w:hAnsi="Arial" w:cs="Arial"/>
        </w:rPr>
        <w:t xml:space="preserve">with </w:t>
      </w:r>
      <w:r>
        <w:rPr>
          <w:rFonts w:ascii="Arial" w:hAnsi="Arial" w:cs="Arial"/>
        </w:rPr>
        <w:t>the Talent Acquisition Team via SmartRecruiter. As a part of the online application process, an applicant is asked the following screening questions:</w:t>
      </w:r>
    </w:p>
    <w:p w14:paraId="0226C4C4" w14:textId="77777777" w:rsidR="00885DF0" w:rsidRPr="00FF21E3" w:rsidRDefault="00885DF0" w:rsidP="005C75D4">
      <w:pPr>
        <w:pStyle w:val="NormalWhite"/>
        <w:numPr>
          <w:ilvl w:val="0"/>
          <w:numId w:val="43"/>
        </w:numPr>
        <w:spacing w:before="80" w:after="80"/>
        <w:ind w:left="1434" w:hanging="357"/>
        <w:rPr>
          <w:rFonts w:ascii="Arial" w:hAnsi="Arial" w:cs="Arial"/>
          <w:color w:val="000000" w:themeColor="text1"/>
        </w:rPr>
      </w:pPr>
      <w:r w:rsidRPr="00FF21E3">
        <w:rPr>
          <w:rFonts w:ascii="Arial" w:hAnsi="Arial" w:cs="Arial"/>
          <w:color w:val="000000" w:themeColor="text1"/>
        </w:rPr>
        <w:t>Question 1: Are you an Australian Citizen? Answer options: YES or NO</w:t>
      </w:r>
    </w:p>
    <w:p w14:paraId="24574016" w14:textId="77777777" w:rsidR="00885DF0" w:rsidRPr="00062BDC" w:rsidRDefault="00885DF0" w:rsidP="00062BDC">
      <w:pPr>
        <w:pStyle w:val="NormalWhite"/>
        <w:numPr>
          <w:ilvl w:val="0"/>
          <w:numId w:val="43"/>
        </w:numPr>
        <w:spacing w:before="80" w:after="80"/>
        <w:ind w:left="1434" w:hanging="357"/>
        <w:rPr>
          <w:rFonts w:ascii="Arial" w:hAnsi="Arial" w:cs="Arial"/>
          <w:color w:val="000000" w:themeColor="text1"/>
        </w:rPr>
      </w:pPr>
      <w:r w:rsidRPr="00062BDC">
        <w:rPr>
          <w:rFonts w:ascii="Arial" w:hAnsi="Arial" w:cs="Arial"/>
          <w:color w:val="000000" w:themeColor="text1"/>
        </w:rPr>
        <w:lastRenderedPageBreak/>
        <w:t xml:space="preserve">Question 2: Are you a citizen of another country or a dual citizen, if ‘yes’ please indicate the countries that you hold citizenship with? </w:t>
      </w:r>
    </w:p>
    <w:p w14:paraId="42425E44" w14:textId="276AA7C2" w:rsidR="00885DF0" w:rsidRPr="00D24DAB" w:rsidRDefault="00885DF0" w:rsidP="002210EE">
      <w:pPr>
        <w:ind w:left="567"/>
        <w:jc w:val="both"/>
        <w:rPr>
          <w:rFonts w:ascii="Arial" w:hAnsi="Arial" w:cs="Arial"/>
          <w:bCs/>
          <w:szCs w:val="20"/>
        </w:rPr>
      </w:pPr>
      <w:r>
        <w:rPr>
          <w:rFonts w:ascii="Arial" w:hAnsi="Arial" w:cs="Arial"/>
        </w:rPr>
        <w:t>If the answer to Question 2 is Yes for the preferred appointee, who is a citizen from a Sanctioned country (</w:t>
      </w:r>
      <w:r w:rsidRPr="00EC4C0F">
        <w:rPr>
          <w:rFonts w:ascii="Arial" w:hAnsi="Arial" w:cs="Arial"/>
          <w:i/>
          <w:iCs/>
        </w:rPr>
        <w:t>Please review the list of sanctioned countries via</w:t>
      </w:r>
      <w:r w:rsidR="00417A06">
        <w:rPr>
          <w:rFonts w:ascii="Arial" w:hAnsi="Arial" w:cs="Arial"/>
          <w:i/>
          <w:iCs/>
        </w:rPr>
        <w:t xml:space="preserve"> </w:t>
      </w:r>
      <w:hyperlink r:id="rId18" w:tgtFrame="_blank" w:tooltip="https://www.griffith.edu.au/links/staff/039" w:history="1">
        <w:r w:rsidRPr="00EC4C0F">
          <w:rPr>
            <w:rStyle w:val="Hyperlink"/>
            <w:rFonts w:ascii="Arial" w:hAnsi="Arial" w:cs="Arial"/>
            <w:i/>
            <w:iCs/>
          </w:rPr>
          <w:t>Department of Foreign Affairs and Trade - Sanctions regimes</w:t>
        </w:r>
      </w:hyperlink>
      <w:r w:rsidRPr="00EC4C0F">
        <w:rPr>
          <w:rFonts w:ascii="Arial" w:hAnsi="Arial" w:cs="Arial"/>
          <w:i/>
          <w:iCs/>
        </w:rPr>
        <w:t>.)</w:t>
      </w:r>
      <w:r>
        <w:rPr>
          <w:rFonts w:ascii="Arial" w:hAnsi="Arial" w:cs="Arial"/>
        </w:rPr>
        <w:t xml:space="preserve">, </w:t>
      </w:r>
      <w:r w:rsidRPr="00EC4C0F">
        <w:rPr>
          <w:rFonts w:ascii="Arial" w:hAnsi="Arial" w:cs="Arial"/>
        </w:rPr>
        <w:t xml:space="preserve">the Supervisor/Manager who has requested the appointment </w:t>
      </w:r>
      <w:r>
        <w:rPr>
          <w:rFonts w:ascii="Arial" w:hAnsi="Arial" w:cs="Arial"/>
        </w:rPr>
        <w:t>will</w:t>
      </w:r>
      <w:r w:rsidRPr="00EC4C0F">
        <w:rPr>
          <w:rFonts w:ascii="Arial" w:hAnsi="Arial" w:cs="Arial"/>
        </w:rPr>
        <w:t xml:space="preserve"> complete the IECT questionnaire detailing the nature of the appointment and confirming that they have searched the DFAT Consolidated Lis</w:t>
      </w:r>
      <w:r>
        <w:rPr>
          <w:rFonts w:ascii="Arial" w:hAnsi="Arial" w:cs="Arial"/>
        </w:rPr>
        <w:t>t</w:t>
      </w:r>
      <w:r w:rsidRPr="00EC4C0F">
        <w:rPr>
          <w:rFonts w:ascii="Arial" w:hAnsi="Arial" w:cs="Arial"/>
        </w:rPr>
        <w:t xml:space="preserve">. </w:t>
      </w:r>
      <w:r w:rsidRPr="00EC4C0F">
        <w:rPr>
          <w:rFonts w:ascii="Arial" w:hAnsi="Arial" w:cs="Arial"/>
          <w:szCs w:val="20"/>
        </w:rPr>
        <w:t>If the applicant and/or affiliated Institutions or places of previous employment are listed the appointment will not proceed.</w:t>
      </w:r>
      <w:r w:rsidRPr="00D817A1">
        <w:t xml:space="preserve"> </w:t>
      </w:r>
    </w:p>
    <w:p w14:paraId="37F36ADC" w14:textId="2405B166" w:rsidR="00DB53FB" w:rsidRDefault="00997BF8" w:rsidP="003C6DF1">
      <w:pPr>
        <w:pStyle w:val="Heading3"/>
        <w:numPr>
          <w:ilvl w:val="1"/>
          <w:numId w:val="38"/>
        </w:numPr>
        <w:ind w:left="1015" w:hanging="448"/>
      </w:pPr>
      <w:bookmarkStart w:id="13" w:name="_3.2_&lt;Insert_sub-heading&gt;"/>
      <w:bookmarkStart w:id="14" w:name="_New_Direct_Appointments,"/>
      <w:bookmarkEnd w:id="13"/>
      <w:bookmarkEnd w:id="14"/>
      <w:r>
        <w:t xml:space="preserve">New Direct Appointments, Secondments/Secondment Extensions, Unpaid Appointments </w:t>
      </w:r>
    </w:p>
    <w:p w14:paraId="6DE5CECA" w14:textId="484724BA" w:rsidR="00885DF0" w:rsidRPr="008D1836" w:rsidRDefault="00885DF0" w:rsidP="002210EE">
      <w:pPr>
        <w:ind w:left="567"/>
        <w:jc w:val="both"/>
        <w:rPr>
          <w:rFonts w:ascii="Arial" w:hAnsi="Arial" w:cs="Arial"/>
          <w:szCs w:val="20"/>
        </w:rPr>
      </w:pPr>
      <w:r w:rsidRPr="008D1836">
        <w:rPr>
          <w:rFonts w:ascii="Arial" w:hAnsi="Arial" w:cs="Arial"/>
          <w:szCs w:val="20"/>
        </w:rPr>
        <w:t>A Manager/Supervisor raises a ‘direct appointment’ request with the Talent Acquisition Team via SmartRecruiter for a candidate that they have pre-selected</w:t>
      </w:r>
      <w:r w:rsidRPr="008D1836">
        <w:rPr>
          <w:rStyle w:val="CommentReference"/>
          <w:rFonts w:ascii="Arial" w:eastAsia="Times New Roman" w:hAnsi="Arial" w:cs="Arial"/>
          <w:sz w:val="20"/>
          <w:szCs w:val="20"/>
        </w:rPr>
        <w:t xml:space="preserve">. </w:t>
      </w:r>
      <w:r w:rsidRPr="008D1836">
        <w:rPr>
          <w:rFonts w:ascii="Arial" w:hAnsi="Arial" w:cs="Arial"/>
          <w:szCs w:val="20"/>
        </w:rPr>
        <w:t>As a part of the job details page in Smart Recruiter the Manager/Supervisor is asked the following questions about the candidate which they must complete:</w:t>
      </w:r>
    </w:p>
    <w:p w14:paraId="243B125F" w14:textId="77777777" w:rsidR="00885DF0" w:rsidRPr="00511820" w:rsidRDefault="00885DF0" w:rsidP="00417A06">
      <w:pPr>
        <w:pStyle w:val="NormalWhite"/>
        <w:numPr>
          <w:ilvl w:val="0"/>
          <w:numId w:val="43"/>
        </w:numPr>
        <w:spacing w:before="80" w:after="80"/>
        <w:ind w:left="1434" w:hanging="357"/>
        <w:rPr>
          <w:rFonts w:ascii="Arial" w:hAnsi="Arial" w:cs="Arial"/>
          <w:color w:val="000000" w:themeColor="text1"/>
        </w:rPr>
      </w:pPr>
      <w:r w:rsidRPr="00511820">
        <w:rPr>
          <w:rFonts w:ascii="Arial" w:hAnsi="Arial" w:cs="Arial"/>
          <w:color w:val="000000" w:themeColor="text1"/>
        </w:rPr>
        <w:t>Question 1: Is the person an Australian Citizen? Answer options: YES or NO</w:t>
      </w:r>
    </w:p>
    <w:p w14:paraId="72B01318" w14:textId="77777777" w:rsidR="00885DF0" w:rsidRPr="00511820" w:rsidRDefault="00885DF0" w:rsidP="00417A06">
      <w:pPr>
        <w:pStyle w:val="NormalWhite"/>
        <w:numPr>
          <w:ilvl w:val="0"/>
          <w:numId w:val="43"/>
        </w:numPr>
        <w:spacing w:before="80" w:after="80"/>
        <w:ind w:left="1434" w:hanging="357"/>
        <w:rPr>
          <w:rFonts w:ascii="Arial" w:hAnsi="Arial" w:cs="Arial"/>
          <w:color w:val="000000" w:themeColor="text1"/>
        </w:rPr>
      </w:pPr>
      <w:r w:rsidRPr="00511820">
        <w:rPr>
          <w:rFonts w:ascii="Arial" w:hAnsi="Arial" w:cs="Arial"/>
          <w:color w:val="000000" w:themeColor="text1"/>
        </w:rPr>
        <w:t>Question 2: Is the appointee a citizen of another country or a dual citizen, if ‘yes’ please indicate the country (s) where the citizenship is held? Answer options: YES or NO</w:t>
      </w:r>
    </w:p>
    <w:p w14:paraId="67D96C96" w14:textId="399BC94D" w:rsidR="00885DF0" w:rsidRPr="00511820" w:rsidRDefault="00885DF0" w:rsidP="00417A06">
      <w:pPr>
        <w:pStyle w:val="ListParagraph"/>
        <w:numPr>
          <w:ilvl w:val="0"/>
          <w:numId w:val="43"/>
        </w:numPr>
        <w:spacing w:before="80" w:after="80"/>
        <w:ind w:left="1434" w:hanging="357"/>
        <w:rPr>
          <w:rFonts w:ascii="Arial" w:hAnsi="Arial" w:cs="Arial"/>
          <w:szCs w:val="20"/>
        </w:rPr>
      </w:pPr>
      <w:r w:rsidRPr="00511820">
        <w:rPr>
          <w:rFonts w:ascii="Arial" w:hAnsi="Arial" w:cs="Arial"/>
          <w:szCs w:val="20"/>
        </w:rPr>
        <w:t>Question 3: Is the person a citizen or resident from a country that may be subject to Sanctions? Answer options: YES or NO (</w:t>
      </w:r>
      <w:r w:rsidRPr="00511820">
        <w:rPr>
          <w:rStyle w:val="Strong"/>
          <w:rFonts w:ascii="Arial" w:hAnsi="Arial" w:cs="Arial"/>
          <w:i/>
          <w:iCs/>
          <w:szCs w:val="20"/>
        </w:rPr>
        <w:t>Smart tip</w:t>
      </w:r>
      <w:r w:rsidRPr="00511820">
        <w:rPr>
          <w:rFonts w:ascii="Arial" w:hAnsi="Arial" w:cs="Arial"/>
          <w:i/>
          <w:iCs/>
          <w:szCs w:val="20"/>
        </w:rPr>
        <w:t>: ‘Please review the list of sanctioned countries via</w:t>
      </w:r>
      <w:r w:rsidRPr="00511820">
        <w:rPr>
          <w:rStyle w:val="Strong"/>
          <w:rFonts w:ascii="Arial" w:hAnsi="Arial" w:cs="Arial"/>
          <w:i/>
          <w:iCs/>
          <w:szCs w:val="20"/>
        </w:rPr>
        <w:t xml:space="preserve"> </w:t>
      </w:r>
      <w:hyperlink r:id="rId19" w:tgtFrame="_blank" w:tooltip="https://www.griffith.edu.au/links/staff/039" w:history="1">
        <w:r w:rsidRPr="00511820">
          <w:rPr>
            <w:rStyle w:val="Hyperlink"/>
            <w:rFonts w:ascii="Arial" w:hAnsi="Arial" w:cs="Arial"/>
            <w:i/>
            <w:iCs/>
            <w:szCs w:val="20"/>
          </w:rPr>
          <w:t>Sanctions regimes</w:t>
        </w:r>
      </w:hyperlink>
      <w:r w:rsidRPr="00511820">
        <w:rPr>
          <w:rFonts w:ascii="Arial" w:hAnsi="Arial" w:cs="Arial"/>
          <w:i/>
          <w:iCs/>
          <w:szCs w:val="20"/>
        </w:rPr>
        <w:t>).</w:t>
      </w:r>
    </w:p>
    <w:p w14:paraId="1B27B3DA" w14:textId="77777777" w:rsidR="00885DF0" w:rsidRPr="00511820" w:rsidRDefault="00885DF0" w:rsidP="00417A06">
      <w:pPr>
        <w:pStyle w:val="NormalWhite"/>
        <w:numPr>
          <w:ilvl w:val="0"/>
          <w:numId w:val="43"/>
        </w:numPr>
        <w:spacing w:before="80" w:after="80"/>
        <w:ind w:left="1434" w:hanging="357"/>
        <w:rPr>
          <w:rFonts w:ascii="Arial" w:hAnsi="Arial" w:cs="Arial"/>
          <w:color w:val="000000" w:themeColor="text1"/>
        </w:rPr>
      </w:pPr>
      <w:r w:rsidRPr="00511820">
        <w:rPr>
          <w:rFonts w:ascii="Arial" w:hAnsi="Arial" w:cs="Arial"/>
          <w:color w:val="000000" w:themeColor="text1"/>
        </w:rPr>
        <w:t>Question 4: Has the candidate spent considerable time (over 12 months) in a foreign country in the past 10 years? Answer options: YES or NO</w:t>
      </w:r>
    </w:p>
    <w:p w14:paraId="5D2B6140" w14:textId="77777777" w:rsidR="00885DF0" w:rsidRPr="00511820" w:rsidRDefault="00885DF0" w:rsidP="00417A06">
      <w:pPr>
        <w:pStyle w:val="NormalWhite"/>
        <w:numPr>
          <w:ilvl w:val="0"/>
          <w:numId w:val="43"/>
        </w:numPr>
        <w:spacing w:before="80" w:after="80"/>
        <w:ind w:left="1434" w:hanging="357"/>
        <w:rPr>
          <w:rFonts w:ascii="Arial" w:hAnsi="Arial" w:cs="Arial"/>
          <w:color w:val="000000" w:themeColor="text1"/>
        </w:rPr>
      </w:pPr>
      <w:r w:rsidRPr="00511820">
        <w:rPr>
          <w:rFonts w:ascii="Arial" w:hAnsi="Arial" w:cs="Arial"/>
          <w:color w:val="000000" w:themeColor="text1"/>
        </w:rPr>
        <w:t>Question 5: Are they currently employed by a Foreign Institution? Answer options: YES or NO</w:t>
      </w:r>
    </w:p>
    <w:p w14:paraId="5AC50540" w14:textId="77777777" w:rsidR="002E7BC0" w:rsidRDefault="00885DF0" w:rsidP="00E80C47">
      <w:pPr>
        <w:ind w:left="567"/>
        <w:jc w:val="both"/>
        <w:rPr>
          <w:rFonts w:ascii="Arial" w:hAnsi="Arial" w:cs="Arial"/>
          <w:szCs w:val="20"/>
        </w:rPr>
      </w:pPr>
      <w:r w:rsidRPr="008D1836">
        <w:rPr>
          <w:rFonts w:ascii="Arial" w:hAnsi="Arial" w:cs="Arial"/>
          <w:szCs w:val="20"/>
        </w:rPr>
        <w:t>After completing these five questions the Manager/Supervisor is advised, if they answer NO to question 1 above, or YES to any question from 2-5 above, they are required to complete the IECT form and attach a copy of the completed IECT form with agreed safeguards and risk mitigations as per Question 6 below:</w:t>
      </w:r>
    </w:p>
    <w:p w14:paraId="5410F55F" w14:textId="360AE376" w:rsidR="00885DF0" w:rsidRPr="00AB161A" w:rsidRDefault="00885DF0" w:rsidP="00AB161A">
      <w:pPr>
        <w:pStyle w:val="ListParagraph"/>
        <w:numPr>
          <w:ilvl w:val="0"/>
          <w:numId w:val="44"/>
        </w:numPr>
        <w:spacing w:before="80" w:after="80"/>
        <w:ind w:left="1434" w:hanging="357"/>
        <w:jc w:val="both"/>
        <w:rPr>
          <w:rFonts w:ascii="Arial" w:hAnsi="Arial" w:cs="Arial"/>
          <w:szCs w:val="20"/>
        </w:rPr>
      </w:pPr>
      <w:r w:rsidRPr="00AB161A">
        <w:rPr>
          <w:rFonts w:ascii="Arial" w:hAnsi="Arial" w:cs="Arial"/>
          <w:szCs w:val="20"/>
        </w:rPr>
        <w:t>Question 6: A copy of the completed IECT form with agreed safeguards and risk mitigation is attached: Answer options: 'YES’ or ‘N/A – The candidate is an Australian Citizen and has answered NO to the four preceding questions.‘ (</w:t>
      </w:r>
      <w:r w:rsidRPr="00AB161A">
        <w:rPr>
          <w:rStyle w:val="Strong"/>
          <w:rFonts w:ascii="Arial" w:hAnsi="Arial" w:cs="Arial"/>
          <w:szCs w:val="20"/>
        </w:rPr>
        <w:t>Smart tip:</w:t>
      </w:r>
      <w:r w:rsidRPr="00AB161A">
        <w:rPr>
          <w:rFonts w:ascii="Arial" w:hAnsi="Arial" w:cs="Arial"/>
          <w:szCs w:val="20"/>
        </w:rPr>
        <w:t xml:space="preserve"> </w:t>
      </w:r>
      <w:r w:rsidRPr="00AB161A">
        <w:rPr>
          <w:rFonts w:ascii="Arial" w:hAnsi="Arial" w:cs="Arial"/>
          <w:i/>
          <w:iCs/>
          <w:szCs w:val="20"/>
        </w:rPr>
        <w:t xml:space="preserve">‘If the candidate is not an Australian Citizen or has answered YES to any of the four preceding questions, you are required to complete the </w:t>
      </w:r>
      <w:hyperlink r:id="rId20" w:tgtFrame="_blank" w:tooltip="https://www.griffith.edu.au/links/staff/097" w:history="1">
        <w:r w:rsidRPr="00AB161A">
          <w:rPr>
            <w:rStyle w:val="Hyperlink"/>
            <w:rFonts w:ascii="Arial" w:hAnsi="Arial" w:cs="Arial"/>
            <w:i/>
            <w:iCs/>
            <w:szCs w:val="20"/>
          </w:rPr>
          <w:t>International Engagement Checking Tool</w:t>
        </w:r>
      </w:hyperlink>
      <w:r w:rsidRPr="00AB161A">
        <w:rPr>
          <w:rFonts w:ascii="Arial" w:hAnsi="Arial" w:cs="Arial"/>
          <w:i/>
          <w:iCs/>
          <w:szCs w:val="20"/>
        </w:rPr>
        <w:t>. Further information can be found on the</w:t>
      </w:r>
      <w:r w:rsidRPr="00AB161A">
        <w:rPr>
          <w:rStyle w:val="Strong"/>
          <w:rFonts w:ascii="Arial" w:hAnsi="Arial" w:cs="Arial"/>
          <w:i/>
          <w:iCs/>
          <w:szCs w:val="20"/>
        </w:rPr>
        <w:t> </w:t>
      </w:r>
      <w:hyperlink r:id="rId21" w:tgtFrame="_blank" w:tooltip="https://www.griffith.edu.au/links/staff/098" w:history="1">
        <w:r w:rsidRPr="00AB161A">
          <w:rPr>
            <w:rStyle w:val="Hyperlink"/>
            <w:rFonts w:ascii="Arial" w:hAnsi="Arial" w:cs="Arial"/>
            <w:i/>
            <w:iCs/>
            <w:szCs w:val="20"/>
          </w:rPr>
          <w:t>Secure Engagement with International Parties Hub.</w:t>
        </w:r>
      </w:hyperlink>
      <w:r w:rsidRPr="00AB161A">
        <w:rPr>
          <w:rFonts w:ascii="Arial" w:hAnsi="Arial" w:cs="Arial"/>
          <w:i/>
          <w:iCs/>
          <w:szCs w:val="20"/>
        </w:rPr>
        <w:t xml:space="preserve"> Contact the Export Control and Security Manager with questions regarding the tool.’) </w:t>
      </w:r>
    </w:p>
    <w:p w14:paraId="4B18E159" w14:textId="77777777" w:rsidR="00885DF0" w:rsidRPr="008D1836" w:rsidRDefault="00885DF0" w:rsidP="00E80C47">
      <w:pPr>
        <w:ind w:left="567"/>
        <w:jc w:val="both"/>
        <w:rPr>
          <w:rFonts w:ascii="Arial" w:hAnsi="Arial" w:cs="Arial"/>
          <w:szCs w:val="20"/>
        </w:rPr>
      </w:pPr>
      <w:r w:rsidRPr="008D1836">
        <w:rPr>
          <w:rFonts w:ascii="Arial" w:hAnsi="Arial" w:cs="Arial"/>
          <w:szCs w:val="20"/>
        </w:rPr>
        <w:t>Where the answers indicate that the IECT needs to be completed, the Manager/Supervisor must not proceed with submitting the appointment request to the Talent Acquisition team until they have completed the IECT assessment and received confirmation from the Office for Research. Please refer to section 2.4 for further instructions in relation to completion of the IECT.</w:t>
      </w:r>
    </w:p>
    <w:p w14:paraId="1489F9C3" w14:textId="77777777" w:rsidR="00885DF0" w:rsidRPr="004F2512" w:rsidRDefault="00885DF0" w:rsidP="00E80C47">
      <w:pPr>
        <w:ind w:left="567"/>
        <w:jc w:val="both"/>
        <w:rPr>
          <w:rFonts w:ascii="Arial" w:hAnsi="Arial" w:cs="Arial"/>
          <w:b/>
          <w:bCs/>
          <w:szCs w:val="20"/>
        </w:rPr>
      </w:pPr>
      <w:r>
        <w:rPr>
          <w:rFonts w:ascii="Arial" w:hAnsi="Arial" w:cs="Arial"/>
          <w:szCs w:val="20"/>
        </w:rPr>
        <w:t xml:space="preserve">The Talent Acquisition team will not progress with the appointment unless the evidence of this has been attached to the request. </w:t>
      </w:r>
    </w:p>
    <w:p w14:paraId="732942AC" w14:textId="1A7671C9" w:rsidR="00DB53FB" w:rsidRDefault="00997BF8" w:rsidP="003C6DF1">
      <w:pPr>
        <w:pStyle w:val="Heading3"/>
        <w:numPr>
          <w:ilvl w:val="1"/>
          <w:numId w:val="38"/>
        </w:numPr>
        <w:ind w:left="1015" w:hanging="448"/>
      </w:pPr>
      <w:bookmarkStart w:id="15" w:name="_3.3_&lt;Insert_sub-heading&gt;"/>
      <w:bookmarkStart w:id="16" w:name="_Casual_(Professional_and"/>
      <w:bookmarkEnd w:id="15"/>
      <w:bookmarkEnd w:id="16"/>
      <w:r>
        <w:t xml:space="preserve">Casual (Professional and Academic) and fixed Term appointment extensions </w:t>
      </w:r>
    </w:p>
    <w:p w14:paraId="35B8A758" w14:textId="541F04FE" w:rsidR="00885DF0" w:rsidRDefault="00885DF0" w:rsidP="003C6DF1">
      <w:pPr>
        <w:ind w:left="567"/>
        <w:jc w:val="both"/>
        <w:rPr>
          <w:rFonts w:ascii="Arial" w:hAnsi="Arial" w:cs="Arial"/>
          <w:szCs w:val="20"/>
        </w:rPr>
      </w:pPr>
      <w:r w:rsidRPr="009063C8">
        <w:rPr>
          <w:rFonts w:ascii="Arial" w:hAnsi="Arial" w:cs="Arial"/>
          <w:szCs w:val="20"/>
        </w:rPr>
        <w:t>The Manager/Supervisor processes their request via the Peoplesoft payroll platform where they are asked whether the person is a citizen or resident from a country that may be subject to sanctions.</w:t>
      </w:r>
    </w:p>
    <w:p w14:paraId="07F8BE07" w14:textId="77777777" w:rsidR="00885DF0" w:rsidRDefault="00885DF0" w:rsidP="003C6DF1">
      <w:pPr>
        <w:ind w:left="567"/>
        <w:jc w:val="both"/>
        <w:rPr>
          <w:rFonts w:ascii="Arial" w:hAnsi="Arial" w:cs="Arial"/>
        </w:rPr>
      </w:pPr>
      <w:r>
        <w:rPr>
          <w:rFonts w:ascii="Arial" w:hAnsi="Arial" w:cs="Arial"/>
          <w:szCs w:val="20"/>
        </w:rPr>
        <w:t xml:space="preserve">If the answer is YES, the Manager/Supervisor </w:t>
      </w:r>
      <w:r w:rsidRPr="009063C8">
        <w:rPr>
          <w:rFonts w:ascii="Arial" w:hAnsi="Arial" w:cs="Arial"/>
          <w:szCs w:val="20"/>
        </w:rPr>
        <w:t xml:space="preserve">is directed to complete the IECT </w:t>
      </w:r>
      <w:r>
        <w:rPr>
          <w:rFonts w:ascii="Arial" w:hAnsi="Arial" w:cs="Arial"/>
          <w:szCs w:val="20"/>
        </w:rPr>
        <w:t xml:space="preserve">before progressing with submission of </w:t>
      </w:r>
      <w:r w:rsidRPr="009063C8">
        <w:rPr>
          <w:rFonts w:ascii="Arial" w:hAnsi="Arial" w:cs="Arial"/>
          <w:szCs w:val="20"/>
        </w:rPr>
        <w:t>the casual or fixed term appointment extension in PeopleSoft</w:t>
      </w:r>
      <w:r>
        <w:rPr>
          <w:rFonts w:ascii="Arial" w:hAnsi="Arial" w:cs="Arial"/>
          <w:szCs w:val="20"/>
        </w:rPr>
        <w:t xml:space="preserve">. The Manager/Supervisor will </w:t>
      </w:r>
      <w:r>
        <w:rPr>
          <w:rFonts w:ascii="Arial" w:hAnsi="Arial" w:cs="Arial"/>
          <w:szCs w:val="20"/>
        </w:rPr>
        <w:lastRenderedPageBreak/>
        <w:t xml:space="preserve">confirm that they have checked the DFAT Consolidated List. </w:t>
      </w:r>
      <w:r w:rsidRPr="00EC4C0F">
        <w:rPr>
          <w:rFonts w:ascii="Arial" w:hAnsi="Arial" w:cs="Arial"/>
          <w:szCs w:val="20"/>
        </w:rPr>
        <w:t xml:space="preserve">If the applicant and/or affiliated Institutions or places of previous employment </w:t>
      </w:r>
      <w:r>
        <w:rPr>
          <w:rFonts w:ascii="Arial" w:hAnsi="Arial" w:cs="Arial"/>
          <w:szCs w:val="20"/>
        </w:rPr>
        <w:t>are</w:t>
      </w:r>
      <w:r w:rsidRPr="00EC4C0F">
        <w:rPr>
          <w:rFonts w:ascii="Arial" w:hAnsi="Arial" w:cs="Arial"/>
          <w:szCs w:val="20"/>
        </w:rPr>
        <w:t xml:space="preserve"> </w:t>
      </w:r>
      <w:r>
        <w:rPr>
          <w:rFonts w:ascii="Arial" w:hAnsi="Arial" w:cs="Arial"/>
          <w:szCs w:val="20"/>
        </w:rPr>
        <w:t>included</w:t>
      </w:r>
      <w:r w:rsidRPr="00EC4C0F">
        <w:rPr>
          <w:rFonts w:ascii="Arial" w:hAnsi="Arial" w:cs="Arial"/>
          <w:szCs w:val="20"/>
        </w:rPr>
        <w:t xml:space="preserve"> </w:t>
      </w:r>
      <w:r>
        <w:rPr>
          <w:rFonts w:ascii="Arial" w:hAnsi="Arial" w:cs="Arial"/>
          <w:szCs w:val="20"/>
        </w:rPr>
        <w:t xml:space="preserve">in the Consolidated List, the </w:t>
      </w:r>
      <w:r w:rsidRPr="00EC4C0F">
        <w:rPr>
          <w:rFonts w:ascii="Arial" w:hAnsi="Arial" w:cs="Arial"/>
          <w:szCs w:val="20"/>
        </w:rPr>
        <w:t>appointment will not proceed.</w:t>
      </w:r>
    </w:p>
    <w:p w14:paraId="3642939A" w14:textId="6490B5A4" w:rsidR="002E7BC0" w:rsidRPr="00E31597" w:rsidRDefault="002E7BC0" w:rsidP="00202D4B">
      <w:pPr>
        <w:pStyle w:val="Heading3"/>
        <w:numPr>
          <w:ilvl w:val="1"/>
          <w:numId w:val="38"/>
        </w:numPr>
        <w:ind w:left="1015" w:hanging="448"/>
      </w:pPr>
      <w:bookmarkStart w:id="17" w:name="_Export_Control_and"/>
      <w:bookmarkStart w:id="18" w:name="_Ref20320710"/>
      <w:bookmarkEnd w:id="17"/>
      <w:r w:rsidRPr="00E31597">
        <w:t xml:space="preserve">Export Control and Security Manager review process for the IECT form </w:t>
      </w:r>
    </w:p>
    <w:p w14:paraId="79F0A81A" w14:textId="6A6EC32D" w:rsidR="002E7BC0" w:rsidRPr="002E7BC0" w:rsidRDefault="002E7BC0" w:rsidP="00202D4B">
      <w:pPr>
        <w:ind w:left="567"/>
        <w:jc w:val="both"/>
        <w:rPr>
          <w:rFonts w:ascii="Copernicus Medium" w:hAnsi="Copernicus Medium" w:cs="Arial"/>
          <w:b/>
          <w:bCs/>
          <w:color w:val="E30918"/>
          <w:sz w:val="24"/>
          <w:szCs w:val="24"/>
          <w:shd w:val="clear" w:color="auto" w:fill="FFFFFF"/>
        </w:rPr>
      </w:pPr>
      <w:r w:rsidRPr="002E7BC0">
        <w:rPr>
          <w:rFonts w:ascii="Arial" w:hAnsi="Arial" w:cs="Arial"/>
        </w:rPr>
        <w:t>The completed IECT questionnaire is directed to the Export Control and Security Manager. If the appointment is research related or includes activities connected to dual-use technology controlled by the Defence Export Controls further checks and assessment is required (details in the IECT form).</w:t>
      </w:r>
    </w:p>
    <w:p w14:paraId="206DE75B" w14:textId="77777777" w:rsidR="002E7BC0" w:rsidRPr="000B568F" w:rsidRDefault="002E7BC0" w:rsidP="00202D4B">
      <w:pPr>
        <w:ind w:left="567"/>
        <w:jc w:val="both"/>
        <w:rPr>
          <w:rFonts w:ascii="Arial" w:hAnsi="Arial" w:cs="Arial"/>
        </w:rPr>
      </w:pPr>
      <w:r w:rsidRPr="000B568F">
        <w:rPr>
          <w:rFonts w:ascii="Arial" w:hAnsi="Arial" w:cs="Arial"/>
        </w:rPr>
        <w:t>If it is a research related appointment</w:t>
      </w:r>
      <w:r>
        <w:rPr>
          <w:rFonts w:ascii="Arial" w:hAnsi="Arial" w:cs="Arial"/>
        </w:rPr>
        <w:t xml:space="preserve"> the </w:t>
      </w:r>
      <w:r w:rsidRPr="000B568F">
        <w:rPr>
          <w:rFonts w:ascii="Arial" w:hAnsi="Arial" w:cs="Arial"/>
        </w:rPr>
        <w:t xml:space="preserve">Export Control and Security Manager will contact the Manager/Supervisor to request further detail of the research activity and identify keywords suitable for conducting an assessment of the activities, technology and training proposed by searching the </w:t>
      </w:r>
      <w:hyperlink r:id="rId22" w:history="1">
        <w:r w:rsidRPr="000B568F">
          <w:rPr>
            <w:rFonts w:ascii="Arial" w:hAnsi="Arial" w:cs="Arial"/>
          </w:rPr>
          <w:t xml:space="preserve">Defence and Strategic Goods List (DSGL). </w:t>
        </w:r>
      </w:hyperlink>
    </w:p>
    <w:p w14:paraId="335155EA" w14:textId="77777777" w:rsidR="002E7BC0" w:rsidRPr="000B568F" w:rsidRDefault="002E7BC0" w:rsidP="00202D4B">
      <w:pPr>
        <w:ind w:left="567"/>
        <w:jc w:val="both"/>
        <w:rPr>
          <w:rFonts w:ascii="Arial" w:hAnsi="Arial" w:cs="Arial"/>
        </w:rPr>
      </w:pPr>
      <w:r w:rsidRPr="000B568F">
        <w:rPr>
          <w:rFonts w:ascii="Arial" w:hAnsi="Arial" w:cs="Arial"/>
        </w:rPr>
        <w:t xml:space="preserve">If the Export Control and Security Manager assesses that the research related appointment may be medium or high risk in relation to sanctions compliance the assessment is initially referred to the Group Dean Research and the Supervisor/Manager for further review. </w:t>
      </w:r>
    </w:p>
    <w:p w14:paraId="5259D344" w14:textId="77777777" w:rsidR="002E7BC0" w:rsidRPr="00DD43AB" w:rsidRDefault="002E7BC0" w:rsidP="00985174">
      <w:pPr>
        <w:pStyle w:val="NormalWhite"/>
        <w:numPr>
          <w:ilvl w:val="0"/>
          <w:numId w:val="45"/>
        </w:numPr>
        <w:spacing w:before="80" w:after="80"/>
        <w:ind w:left="1434" w:hanging="357"/>
        <w:rPr>
          <w:rFonts w:ascii="Arial" w:hAnsi="Arial" w:cs="Arial"/>
          <w:color w:val="000000" w:themeColor="text1"/>
          <w:szCs w:val="20"/>
        </w:rPr>
      </w:pPr>
      <w:r w:rsidRPr="00DD43AB">
        <w:rPr>
          <w:rFonts w:ascii="Arial" w:hAnsi="Arial" w:cs="Arial"/>
          <w:color w:val="000000" w:themeColor="text1"/>
          <w:szCs w:val="20"/>
        </w:rPr>
        <w:t xml:space="preserve">The Group Dean (Research) in consultation with the Supervisor/Manager can sign off and recommend to the Talent Acquisition Team to proceed with the recruitment process, or, </w:t>
      </w:r>
    </w:p>
    <w:p w14:paraId="3E6105B6" w14:textId="0C396BE2" w:rsidR="00B264BF" w:rsidRPr="00DD43AB" w:rsidRDefault="002E7BC0" w:rsidP="00985174">
      <w:pPr>
        <w:pStyle w:val="NormalWhite"/>
        <w:numPr>
          <w:ilvl w:val="0"/>
          <w:numId w:val="45"/>
        </w:numPr>
        <w:spacing w:before="80" w:after="80"/>
        <w:ind w:left="1434" w:hanging="357"/>
        <w:rPr>
          <w:rFonts w:ascii="Arial" w:hAnsi="Arial" w:cs="Arial"/>
          <w:color w:val="000000" w:themeColor="text1"/>
          <w:szCs w:val="20"/>
        </w:rPr>
      </w:pPr>
      <w:r w:rsidRPr="00DD43AB">
        <w:rPr>
          <w:rFonts w:ascii="Arial" w:hAnsi="Arial" w:cs="Arial"/>
          <w:color w:val="000000" w:themeColor="text1"/>
          <w:szCs w:val="20"/>
        </w:rPr>
        <w:t>The Group Dean (Research) may at their discretion elect to form a panel of experts to assess and recommend approval or rejection of the proposed appointment/offer of employment to the Director, HR through the Talent Acquisition Team.</w:t>
      </w:r>
    </w:p>
    <w:p w14:paraId="29D75CE1" w14:textId="4AC06AE2" w:rsidR="00B54CE9" w:rsidRPr="00DA348D" w:rsidRDefault="00B54CE9" w:rsidP="00E235C1">
      <w:pPr>
        <w:pStyle w:val="Heading2"/>
        <w:ind w:left="426" w:hanging="426"/>
      </w:pPr>
      <w:bookmarkStart w:id="19" w:name="_Ref20320732"/>
      <w:r>
        <w:t>4</w:t>
      </w:r>
      <w:r w:rsidRPr="00DA348D">
        <w:t>.0 Definitions</w:t>
      </w:r>
      <w:bookmarkEnd w:id="19"/>
    </w:p>
    <w:p w14:paraId="494D9EE8" w14:textId="49296766" w:rsidR="0050762E" w:rsidRPr="00844CAE" w:rsidRDefault="0050762E" w:rsidP="00985174">
      <w:pPr>
        <w:tabs>
          <w:tab w:val="center" w:pos="4153"/>
          <w:tab w:val="right" w:pos="8306"/>
        </w:tabs>
        <w:rPr>
          <w:rFonts w:ascii="Arial" w:hAnsi="Arial" w:cs="Arial"/>
          <w:bCs/>
          <w:szCs w:val="20"/>
          <w:lang w:eastAsia="en-US"/>
        </w:rPr>
      </w:pPr>
      <w:r w:rsidRPr="003B1E39">
        <w:rPr>
          <w:rFonts w:ascii="Arial" w:hAnsi="Arial" w:cs="Arial"/>
          <w:b/>
          <w:szCs w:val="20"/>
          <w:lang w:eastAsia="en-US"/>
        </w:rPr>
        <w:t>Academic Group</w:t>
      </w:r>
      <w:r w:rsidRPr="00844CAE">
        <w:rPr>
          <w:rFonts w:ascii="Arial" w:hAnsi="Arial" w:cs="Arial"/>
          <w:bCs/>
          <w:szCs w:val="20"/>
          <w:lang w:eastAsia="en-US"/>
        </w:rPr>
        <w:t xml:space="preserve"> means the highest level of academic organisational unit of the University as designated by the University from time to time, including each of the Offices of the Pro Vice Chancellor of: </w:t>
      </w:r>
    </w:p>
    <w:p w14:paraId="41D5F5BC" w14:textId="77777777" w:rsidR="0050762E" w:rsidRPr="00831894" w:rsidRDefault="0050762E" w:rsidP="00985174">
      <w:pPr>
        <w:pStyle w:val="NormalWhite"/>
        <w:numPr>
          <w:ilvl w:val="0"/>
          <w:numId w:val="42"/>
        </w:numPr>
        <w:spacing w:before="80" w:after="80"/>
        <w:ind w:left="924" w:hanging="357"/>
        <w:rPr>
          <w:rFonts w:ascii="Arial" w:hAnsi="Arial" w:cs="Arial"/>
          <w:color w:val="000000" w:themeColor="text1"/>
          <w:szCs w:val="20"/>
        </w:rPr>
      </w:pPr>
      <w:r w:rsidRPr="00831894">
        <w:rPr>
          <w:rFonts w:ascii="Arial" w:hAnsi="Arial" w:cs="Arial"/>
          <w:color w:val="000000" w:themeColor="text1"/>
          <w:szCs w:val="20"/>
        </w:rPr>
        <w:t xml:space="preserve">Arts, Education and </w:t>
      </w:r>
      <w:proofErr w:type="gramStart"/>
      <w:r w:rsidRPr="00831894">
        <w:rPr>
          <w:rFonts w:ascii="Arial" w:hAnsi="Arial" w:cs="Arial"/>
          <w:color w:val="000000" w:themeColor="text1"/>
          <w:szCs w:val="20"/>
        </w:rPr>
        <w:t>Law;</w:t>
      </w:r>
      <w:proofErr w:type="gramEnd"/>
    </w:p>
    <w:p w14:paraId="484103C4" w14:textId="77777777" w:rsidR="0050762E" w:rsidRPr="00831894" w:rsidRDefault="0050762E" w:rsidP="00985174">
      <w:pPr>
        <w:pStyle w:val="NormalWhite"/>
        <w:numPr>
          <w:ilvl w:val="0"/>
          <w:numId w:val="42"/>
        </w:numPr>
        <w:spacing w:before="80" w:after="80"/>
        <w:ind w:left="924" w:hanging="357"/>
        <w:rPr>
          <w:rFonts w:ascii="Arial" w:hAnsi="Arial" w:cs="Arial"/>
          <w:color w:val="000000" w:themeColor="text1"/>
          <w:szCs w:val="20"/>
        </w:rPr>
      </w:pPr>
      <w:r w:rsidRPr="00831894">
        <w:rPr>
          <w:rFonts w:ascii="Arial" w:hAnsi="Arial" w:cs="Arial"/>
          <w:color w:val="000000" w:themeColor="text1"/>
          <w:szCs w:val="20"/>
        </w:rPr>
        <w:t xml:space="preserve">Griffith Business </w:t>
      </w:r>
      <w:proofErr w:type="gramStart"/>
      <w:r w:rsidRPr="00831894">
        <w:rPr>
          <w:rFonts w:ascii="Arial" w:hAnsi="Arial" w:cs="Arial"/>
          <w:color w:val="000000" w:themeColor="text1"/>
          <w:szCs w:val="20"/>
        </w:rPr>
        <w:t>School;</w:t>
      </w:r>
      <w:proofErr w:type="gramEnd"/>
    </w:p>
    <w:p w14:paraId="013A4136" w14:textId="77777777" w:rsidR="0050762E" w:rsidRPr="00831894" w:rsidRDefault="0050762E" w:rsidP="00985174">
      <w:pPr>
        <w:pStyle w:val="NormalWhite"/>
        <w:numPr>
          <w:ilvl w:val="0"/>
          <w:numId w:val="42"/>
        </w:numPr>
        <w:spacing w:before="80" w:after="80"/>
        <w:ind w:left="924" w:hanging="357"/>
        <w:rPr>
          <w:rFonts w:ascii="Arial" w:hAnsi="Arial" w:cs="Arial"/>
          <w:color w:val="000000" w:themeColor="text1"/>
          <w:szCs w:val="20"/>
        </w:rPr>
      </w:pPr>
      <w:r w:rsidRPr="00831894">
        <w:rPr>
          <w:rFonts w:ascii="Arial" w:hAnsi="Arial" w:cs="Arial"/>
          <w:color w:val="000000" w:themeColor="text1"/>
          <w:szCs w:val="20"/>
        </w:rPr>
        <w:t>Griffith Health; and</w:t>
      </w:r>
    </w:p>
    <w:p w14:paraId="32E46147" w14:textId="77777777" w:rsidR="0050762E" w:rsidRPr="00831894" w:rsidRDefault="0050762E" w:rsidP="00985174">
      <w:pPr>
        <w:pStyle w:val="NormalWhite"/>
        <w:numPr>
          <w:ilvl w:val="0"/>
          <w:numId w:val="42"/>
        </w:numPr>
        <w:spacing w:before="80" w:after="80"/>
        <w:ind w:left="924" w:hanging="357"/>
        <w:rPr>
          <w:rFonts w:ascii="Arial" w:hAnsi="Arial" w:cs="Arial"/>
          <w:color w:val="000000" w:themeColor="text1"/>
          <w:szCs w:val="20"/>
        </w:rPr>
      </w:pPr>
      <w:r w:rsidRPr="00831894">
        <w:rPr>
          <w:rFonts w:ascii="Arial" w:hAnsi="Arial" w:cs="Arial"/>
          <w:color w:val="000000" w:themeColor="text1"/>
          <w:szCs w:val="20"/>
        </w:rPr>
        <w:t>Griffith Sciences. Applicants affiliated with the Institute for Glycomics (under the Deputy Vice Chancellor (Research) portfolio) are assessed as part of Griffith Sciences.</w:t>
      </w:r>
    </w:p>
    <w:p w14:paraId="0756BDCF" w14:textId="77777777" w:rsidR="0050762E" w:rsidRPr="00844CAE" w:rsidRDefault="0050762E" w:rsidP="0050762E">
      <w:pPr>
        <w:tabs>
          <w:tab w:val="center" w:pos="4153"/>
          <w:tab w:val="right" w:pos="8306"/>
        </w:tabs>
        <w:rPr>
          <w:rFonts w:ascii="Arial" w:hAnsi="Arial" w:cs="Arial"/>
          <w:bCs/>
          <w:szCs w:val="20"/>
        </w:rPr>
      </w:pPr>
      <w:r w:rsidRPr="00B20409">
        <w:rPr>
          <w:rFonts w:ascii="Arial" w:hAnsi="Arial" w:cs="Arial"/>
          <w:b/>
          <w:szCs w:val="20"/>
          <w:lang w:eastAsia="en-US"/>
        </w:rPr>
        <w:t>Australian Sanctions</w:t>
      </w:r>
      <w:r w:rsidRPr="00844CAE">
        <w:rPr>
          <w:rFonts w:ascii="Arial" w:hAnsi="Arial" w:cs="Arial"/>
          <w:bCs/>
          <w:szCs w:val="20"/>
          <w:lang w:eastAsia="en-US"/>
        </w:rPr>
        <w:t xml:space="preserve"> means </w:t>
      </w:r>
      <w:r w:rsidRPr="00844CAE">
        <w:rPr>
          <w:rFonts w:ascii="Arial" w:hAnsi="Arial" w:cs="Arial"/>
          <w:bCs/>
          <w:i/>
          <w:szCs w:val="20"/>
        </w:rPr>
        <w:t>Autonomous Sanctions Act 2011</w:t>
      </w:r>
      <w:r w:rsidRPr="00844CAE">
        <w:rPr>
          <w:rFonts w:ascii="Arial" w:hAnsi="Arial" w:cs="Arial"/>
          <w:bCs/>
          <w:szCs w:val="20"/>
        </w:rPr>
        <w:t xml:space="preserve">, the </w:t>
      </w:r>
      <w:r w:rsidRPr="00844CAE">
        <w:rPr>
          <w:rFonts w:ascii="Arial" w:hAnsi="Arial" w:cs="Arial"/>
          <w:bCs/>
          <w:i/>
          <w:szCs w:val="20"/>
        </w:rPr>
        <w:t>Defence Trade Controls Act 2012</w:t>
      </w:r>
      <w:r w:rsidRPr="00844CAE">
        <w:rPr>
          <w:rFonts w:ascii="Arial" w:hAnsi="Arial" w:cs="Arial"/>
          <w:bCs/>
          <w:szCs w:val="20"/>
        </w:rPr>
        <w:t xml:space="preserve">, the </w:t>
      </w:r>
      <w:r w:rsidRPr="00844CAE">
        <w:rPr>
          <w:rFonts w:ascii="Arial" w:hAnsi="Arial" w:cs="Arial"/>
          <w:bCs/>
          <w:i/>
          <w:szCs w:val="20"/>
        </w:rPr>
        <w:t>United Nations Act 1945</w:t>
      </w:r>
      <w:r w:rsidRPr="00844CAE">
        <w:rPr>
          <w:rFonts w:ascii="Arial" w:hAnsi="Arial" w:cs="Arial"/>
          <w:bCs/>
          <w:szCs w:val="20"/>
        </w:rPr>
        <w:t xml:space="preserve"> or the </w:t>
      </w:r>
      <w:r w:rsidRPr="00844CAE">
        <w:rPr>
          <w:rFonts w:ascii="Arial" w:hAnsi="Arial" w:cs="Arial"/>
          <w:bCs/>
          <w:i/>
          <w:szCs w:val="20"/>
        </w:rPr>
        <w:t>Weapons of Mass Destruction (Prevention of Proliferation) Act 1995</w:t>
      </w:r>
      <w:r w:rsidRPr="00844CAE">
        <w:rPr>
          <w:rFonts w:ascii="Arial" w:hAnsi="Arial" w:cs="Arial"/>
          <w:bCs/>
          <w:szCs w:val="20"/>
        </w:rPr>
        <w:t xml:space="preserve"> and any other sanctions from time to time in force in accordance with the laws of the Commonwealth of Australia (“Australian Sanctions”).</w:t>
      </w:r>
    </w:p>
    <w:p w14:paraId="25BC51DE" w14:textId="77777777" w:rsidR="0050762E" w:rsidRPr="00844CAE" w:rsidRDefault="0050762E" w:rsidP="0050762E">
      <w:pPr>
        <w:rPr>
          <w:rFonts w:ascii="Arial" w:hAnsi="Arial" w:cs="Arial"/>
          <w:bCs/>
          <w:szCs w:val="20"/>
        </w:rPr>
      </w:pPr>
      <w:r w:rsidRPr="00B20409">
        <w:rPr>
          <w:rFonts w:ascii="Arial" w:hAnsi="Arial" w:cs="Arial"/>
          <w:b/>
          <w:szCs w:val="20"/>
        </w:rPr>
        <w:t xml:space="preserve">Element </w:t>
      </w:r>
      <w:r w:rsidRPr="00844CAE">
        <w:rPr>
          <w:rFonts w:ascii="Arial" w:hAnsi="Arial" w:cs="Arial"/>
          <w:bCs/>
          <w:szCs w:val="20"/>
        </w:rPr>
        <w:t>means any school, faculty, or department within an Academic Group and includes all Griffith University Research Centres (as defined in Section 2.0 of the University’s Research Centres and Institutes Policy) and colleges, and any Administrative Office within an Administrative Division.</w:t>
      </w:r>
    </w:p>
    <w:bookmarkEnd w:id="18"/>
    <w:p w14:paraId="57188A35" w14:textId="47285E8C" w:rsidR="007D65B8" w:rsidRPr="00102B8A" w:rsidRDefault="007D65B8" w:rsidP="00BA6219">
      <w:pPr>
        <w:rPr>
          <w:rFonts w:ascii="Arial" w:hAnsi="Arial" w:cs="Arial"/>
        </w:rPr>
        <w:sectPr w:rsidR="007D65B8" w:rsidRPr="00102B8A" w:rsidSect="007C1483">
          <w:headerReference w:type="default" r:id="rId23"/>
          <w:footerReference w:type="default" r:id="rId24"/>
          <w:headerReference w:type="first" r:id="rId25"/>
          <w:footerReference w:type="first" r:id="rId26"/>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p w14:paraId="63A19D69" w14:textId="77777777" w:rsidR="0095399A" w:rsidRPr="00102B8A" w:rsidRDefault="0095399A" w:rsidP="00360D42">
            <w:pPr>
              <w:spacing w:before="120" w:after="120"/>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360D42">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000B2888">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360D42">
            <w:pPr>
              <w:spacing w:before="120" w:after="120"/>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452346AD" w:rsidR="0095399A" w:rsidRPr="00102B8A" w:rsidRDefault="00BF0470" w:rsidP="00360D42">
            <w:pPr>
              <w:spacing w:before="120" w:after="120"/>
              <w:rPr>
                <w:rFonts w:ascii="Arial" w:hAnsi="Arial" w:cs="Arial"/>
                <w:szCs w:val="20"/>
              </w:rPr>
            </w:pPr>
            <w:r>
              <w:rPr>
                <w:rFonts w:ascii="Arial" w:hAnsi="Arial" w:cs="Arial"/>
                <w:szCs w:val="20"/>
              </w:rPr>
              <w:t>Managing Assessment of University Appointments: Sanctions and Export Controls Compliance</w:t>
            </w:r>
          </w:p>
        </w:tc>
      </w:tr>
      <w:tr w:rsidR="0095399A" w14:paraId="7EB2AB77" w14:textId="77777777" w:rsidTr="000B2888">
        <w:tc>
          <w:tcPr>
            <w:tcW w:w="1222" w:type="pct"/>
            <w:tcBorders>
              <w:top w:val="nil"/>
              <w:left w:val="nil"/>
              <w:bottom w:val="nil"/>
              <w:right w:val="nil"/>
            </w:tcBorders>
            <w:shd w:val="clear" w:color="auto" w:fill="auto"/>
          </w:tcPr>
          <w:p w14:paraId="41120DE0" w14:textId="77777777" w:rsidR="0095399A" w:rsidRPr="00102B8A" w:rsidRDefault="0095399A" w:rsidP="00360D42">
            <w:pPr>
              <w:spacing w:before="120" w:after="120"/>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3C60C4D1" w:rsidR="0095399A" w:rsidRPr="00102B8A" w:rsidRDefault="0095399A" w:rsidP="00360D42">
            <w:pPr>
              <w:spacing w:before="120" w:after="120"/>
              <w:rPr>
                <w:rFonts w:ascii="Arial" w:hAnsi="Arial" w:cs="Arial"/>
                <w:szCs w:val="20"/>
              </w:rPr>
            </w:pPr>
            <w:r w:rsidRPr="00102B8A">
              <w:rPr>
                <w:rFonts w:ascii="Arial" w:hAnsi="Arial" w:cs="Arial"/>
                <w:szCs w:val="20"/>
              </w:rPr>
              <w:t>20</w:t>
            </w:r>
            <w:r w:rsidR="00320C55">
              <w:rPr>
                <w:rFonts w:ascii="Arial" w:hAnsi="Arial" w:cs="Arial"/>
                <w:szCs w:val="20"/>
              </w:rPr>
              <w:t>2</w:t>
            </w:r>
            <w:r w:rsidR="00BF0470">
              <w:rPr>
                <w:rFonts w:ascii="Arial" w:hAnsi="Arial" w:cs="Arial"/>
                <w:szCs w:val="20"/>
              </w:rPr>
              <w:t>3</w:t>
            </w:r>
            <w:r w:rsidRPr="00102B8A">
              <w:rPr>
                <w:rFonts w:ascii="Arial" w:hAnsi="Arial" w:cs="Arial"/>
                <w:szCs w:val="20"/>
              </w:rPr>
              <w:t>/</w:t>
            </w:r>
            <w:r w:rsidR="00BF0470">
              <w:rPr>
                <w:rFonts w:ascii="Arial" w:hAnsi="Arial" w:cs="Arial"/>
                <w:szCs w:val="20"/>
              </w:rPr>
              <w:t>0001037</w:t>
            </w:r>
          </w:p>
        </w:tc>
      </w:tr>
      <w:tr w:rsidR="0095399A" w14:paraId="43C59C5D" w14:textId="77777777" w:rsidTr="000B2888">
        <w:tc>
          <w:tcPr>
            <w:tcW w:w="1222" w:type="pct"/>
            <w:tcBorders>
              <w:top w:val="nil"/>
              <w:left w:val="nil"/>
              <w:bottom w:val="nil"/>
              <w:right w:val="nil"/>
            </w:tcBorders>
            <w:shd w:val="clear" w:color="auto" w:fill="E6E7E8"/>
          </w:tcPr>
          <w:p w14:paraId="2768F0B0" w14:textId="77777777" w:rsidR="0095399A" w:rsidRPr="00102B8A" w:rsidRDefault="0095399A" w:rsidP="00360D42">
            <w:pPr>
              <w:spacing w:before="120" w:after="120"/>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1ACD8C50" w:rsidR="0095399A" w:rsidRPr="00102B8A" w:rsidRDefault="00BF0470" w:rsidP="00360D42">
            <w:pPr>
              <w:spacing w:before="120" w:after="120"/>
              <w:rPr>
                <w:rFonts w:ascii="Arial" w:hAnsi="Arial" w:cs="Arial"/>
                <w:szCs w:val="20"/>
              </w:rPr>
            </w:pPr>
            <w:r w:rsidRPr="00494812">
              <w:rPr>
                <w:rFonts w:ascii="Arial" w:hAnsi="Arial" w:cs="Arial"/>
                <w:szCs w:val="20"/>
              </w:rPr>
              <w:t xml:space="preserve">This document sets out the procedure for managing </w:t>
            </w:r>
            <w:r>
              <w:rPr>
                <w:rFonts w:ascii="Arial" w:hAnsi="Arial" w:cs="Arial"/>
                <w:szCs w:val="20"/>
              </w:rPr>
              <w:t xml:space="preserve">the appointment of Griffith Staff, including casuals and non-paid staff, </w:t>
            </w:r>
            <w:r w:rsidRPr="00494812">
              <w:rPr>
                <w:rFonts w:ascii="Arial" w:hAnsi="Arial" w:cs="Arial"/>
                <w:szCs w:val="20"/>
              </w:rPr>
              <w:t>to ensure that</w:t>
            </w:r>
            <w:r>
              <w:rPr>
                <w:rFonts w:ascii="Arial" w:hAnsi="Arial" w:cs="Arial"/>
                <w:szCs w:val="20"/>
              </w:rPr>
              <w:t xml:space="preserve"> any new staff appointments</w:t>
            </w:r>
            <w:r w:rsidRPr="00494812">
              <w:rPr>
                <w:rFonts w:ascii="Arial" w:hAnsi="Arial" w:cs="Arial"/>
                <w:szCs w:val="20"/>
              </w:rPr>
              <w:t xml:space="preserve"> do not contravene or breach the legislative framework underpinning Australia's system of export controls and sanctions.</w:t>
            </w:r>
          </w:p>
        </w:tc>
      </w:tr>
      <w:tr w:rsidR="0095399A" w14:paraId="222189D1" w14:textId="77777777" w:rsidTr="000B2888">
        <w:tc>
          <w:tcPr>
            <w:tcW w:w="1222" w:type="pct"/>
            <w:tcBorders>
              <w:top w:val="nil"/>
              <w:left w:val="nil"/>
              <w:bottom w:val="nil"/>
              <w:right w:val="nil"/>
            </w:tcBorders>
            <w:shd w:val="clear" w:color="auto" w:fill="auto"/>
          </w:tcPr>
          <w:p w14:paraId="0F0C7986" w14:textId="77777777" w:rsidR="0095399A" w:rsidRPr="00102B8A" w:rsidRDefault="0095399A" w:rsidP="00360D42">
            <w:pPr>
              <w:spacing w:before="120" w:after="120"/>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4BDB8B35" w:rsidR="0095399A" w:rsidRPr="00102B8A" w:rsidRDefault="0095399A" w:rsidP="00360D42">
            <w:pPr>
              <w:spacing w:before="120" w:after="120"/>
              <w:rPr>
                <w:rFonts w:ascii="Arial" w:hAnsi="Arial" w:cs="Arial"/>
                <w:szCs w:val="20"/>
              </w:rPr>
            </w:pPr>
            <w:r w:rsidRPr="00102B8A">
              <w:rPr>
                <w:rFonts w:ascii="Arial" w:hAnsi="Arial" w:cs="Arial"/>
                <w:szCs w:val="20"/>
              </w:rPr>
              <w:t>Staff</w:t>
            </w:r>
          </w:p>
        </w:tc>
      </w:tr>
      <w:tr w:rsidR="0095399A" w14:paraId="28125B28" w14:textId="77777777" w:rsidTr="000B2888">
        <w:tc>
          <w:tcPr>
            <w:tcW w:w="1222" w:type="pct"/>
            <w:tcBorders>
              <w:top w:val="nil"/>
              <w:left w:val="nil"/>
              <w:bottom w:val="nil"/>
              <w:right w:val="nil"/>
            </w:tcBorders>
            <w:shd w:val="clear" w:color="auto" w:fill="E6E7E8"/>
          </w:tcPr>
          <w:p w14:paraId="7BB0D257" w14:textId="77777777" w:rsidR="0095399A" w:rsidRPr="00102B8A" w:rsidRDefault="0095399A" w:rsidP="00360D42">
            <w:pPr>
              <w:spacing w:before="120" w:after="120"/>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3169DBAC" w:rsidR="0095399A" w:rsidRPr="00102B8A" w:rsidRDefault="009E7471" w:rsidP="00360D42">
            <w:pPr>
              <w:spacing w:before="120" w:after="120"/>
              <w:rPr>
                <w:rFonts w:ascii="Arial" w:hAnsi="Arial" w:cs="Arial"/>
                <w:szCs w:val="20"/>
              </w:rPr>
            </w:pPr>
            <w:r w:rsidRPr="00102B8A">
              <w:rPr>
                <w:rFonts w:ascii="Arial" w:hAnsi="Arial" w:cs="Arial"/>
                <w:szCs w:val="20"/>
              </w:rPr>
              <w:t>Operational</w:t>
            </w:r>
          </w:p>
        </w:tc>
      </w:tr>
      <w:tr w:rsidR="0095399A" w14:paraId="6804AE71" w14:textId="77777777" w:rsidTr="000B2888">
        <w:tc>
          <w:tcPr>
            <w:tcW w:w="1222" w:type="pct"/>
            <w:tcBorders>
              <w:top w:val="nil"/>
              <w:left w:val="nil"/>
              <w:bottom w:val="nil"/>
              <w:right w:val="nil"/>
            </w:tcBorders>
            <w:shd w:val="clear" w:color="auto" w:fill="auto"/>
          </w:tcPr>
          <w:p w14:paraId="633FDD1A" w14:textId="77777777" w:rsidR="0095399A" w:rsidRPr="00102B8A" w:rsidRDefault="0095399A" w:rsidP="00360D42">
            <w:pPr>
              <w:spacing w:before="120" w:after="120"/>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1AC46E3D" w:rsidR="00BD32B2" w:rsidRPr="00BF0470" w:rsidRDefault="00EC1778" w:rsidP="00BF0470">
            <w:pPr>
              <w:spacing w:before="120" w:after="120"/>
              <w:rPr>
                <w:rFonts w:ascii="Arial" w:hAnsi="Arial" w:cs="Arial"/>
                <w:szCs w:val="20"/>
              </w:rPr>
            </w:pPr>
            <w:r w:rsidRPr="00BF0470">
              <w:rPr>
                <w:rFonts w:ascii="Arial" w:hAnsi="Arial" w:cs="Arial"/>
                <w:szCs w:val="20"/>
              </w:rPr>
              <w:t>Staff</w:t>
            </w:r>
          </w:p>
        </w:tc>
      </w:tr>
      <w:tr w:rsidR="0095399A" w14:paraId="50471DC5" w14:textId="77777777" w:rsidTr="000B2888">
        <w:tc>
          <w:tcPr>
            <w:tcW w:w="1222" w:type="pct"/>
            <w:tcBorders>
              <w:top w:val="nil"/>
              <w:left w:val="nil"/>
              <w:bottom w:val="nil"/>
              <w:right w:val="nil"/>
            </w:tcBorders>
            <w:shd w:val="clear" w:color="auto" w:fill="E6E7E8"/>
          </w:tcPr>
          <w:p w14:paraId="711213AC" w14:textId="548A63F3" w:rsidR="00BD32B2" w:rsidRDefault="00BD32B2" w:rsidP="00360D42">
            <w:pPr>
              <w:spacing w:before="120" w:after="120"/>
              <w:rPr>
                <w:rFonts w:ascii="Arial" w:hAnsi="Arial" w:cs="Arial"/>
                <w:szCs w:val="20"/>
              </w:rPr>
            </w:pPr>
            <w:r>
              <w:rPr>
                <w:rFonts w:ascii="Arial" w:hAnsi="Arial" w:cs="Arial"/>
                <w:szCs w:val="20"/>
              </w:rPr>
              <w:t>Approval date</w:t>
            </w:r>
          </w:p>
          <w:p w14:paraId="16A50CAE" w14:textId="5C293AF7" w:rsidR="00BD32B2" w:rsidRPr="00102B8A" w:rsidRDefault="0095399A" w:rsidP="00360D42">
            <w:pPr>
              <w:spacing w:before="120" w:after="120"/>
              <w:rPr>
                <w:rFonts w:ascii="Arial" w:hAnsi="Arial" w:cs="Arial"/>
                <w:szCs w:val="20"/>
              </w:rPr>
            </w:pPr>
            <w:r w:rsidRPr="00102B8A">
              <w:rPr>
                <w:rFonts w:ascii="Arial" w:hAnsi="Arial" w:cs="Arial"/>
                <w:szCs w:val="20"/>
              </w:rPr>
              <w:t>Effective date</w:t>
            </w:r>
          </w:p>
        </w:tc>
        <w:tc>
          <w:tcPr>
            <w:tcW w:w="3778" w:type="pct"/>
            <w:tcBorders>
              <w:top w:val="nil"/>
              <w:left w:val="nil"/>
              <w:bottom w:val="nil"/>
              <w:right w:val="nil"/>
            </w:tcBorders>
            <w:shd w:val="clear" w:color="auto" w:fill="E6E7E8"/>
          </w:tcPr>
          <w:p w14:paraId="0D9C42FA" w14:textId="4D097109" w:rsidR="00BD32B2" w:rsidRDefault="00BF0470" w:rsidP="00360D42">
            <w:pPr>
              <w:spacing w:before="120" w:after="120"/>
              <w:rPr>
                <w:rFonts w:ascii="Arial" w:hAnsi="Arial" w:cs="Arial"/>
                <w:szCs w:val="20"/>
              </w:rPr>
            </w:pPr>
            <w:r>
              <w:rPr>
                <w:rFonts w:ascii="Arial" w:hAnsi="Arial" w:cs="Arial"/>
                <w:szCs w:val="20"/>
              </w:rPr>
              <w:t>14 August 2023</w:t>
            </w:r>
          </w:p>
          <w:p w14:paraId="54E42AB4" w14:textId="2AEEFCC8" w:rsidR="0095399A" w:rsidRPr="00102B8A" w:rsidRDefault="00BF0470" w:rsidP="00360D42">
            <w:pPr>
              <w:spacing w:before="120" w:after="120"/>
              <w:rPr>
                <w:rFonts w:ascii="Arial" w:hAnsi="Arial" w:cs="Arial"/>
                <w:szCs w:val="20"/>
              </w:rPr>
            </w:pPr>
            <w:r>
              <w:rPr>
                <w:rFonts w:ascii="Arial" w:hAnsi="Arial" w:cs="Arial"/>
                <w:szCs w:val="20"/>
              </w:rPr>
              <w:t xml:space="preserve">14 August 2023 </w:t>
            </w:r>
          </w:p>
        </w:tc>
      </w:tr>
      <w:tr w:rsidR="0095399A" w14:paraId="2BC374DF" w14:textId="77777777" w:rsidTr="000B2888">
        <w:tc>
          <w:tcPr>
            <w:tcW w:w="1222" w:type="pct"/>
            <w:tcBorders>
              <w:top w:val="nil"/>
              <w:left w:val="nil"/>
              <w:bottom w:val="nil"/>
              <w:right w:val="nil"/>
            </w:tcBorders>
            <w:shd w:val="clear" w:color="auto" w:fill="auto"/>
          </w:tcPr>
          <w:p w14:paraId="534DFB5D" w14:textId="77777777" w:rsidR="0095399A" w:rsidRPr="00102B8A" w:rsidRDefault="0095399A" w:rsidP="00360D42">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4F3D4CE4" w:rsidR="0095399A" w:rsidRPr="00102B8A" w:rsidRDefault="00BF0470" w:rsidP="00360D42">
            <w:pPr>
              <w:spacing w:before="120" w:after="120"/>
              <w:rPr>
                <w:rFonts w:ascii="Arial" w:hAnsi="Arial" w:cs="Arial"/>
                <w:szCs w:val="20"/>
              </w:rPr>
            </w:pPr>
            <w:r>
              <w:rPr>
                <w:rFonts w:ascii="Arial" w:hAnsi="Arial" w:cs="Arial"/>
                <w:szCs w:val="20"/>
              </w:rPr>
              <w:t>April 2026</w:t>
            </w:r>
          </w:p>
        </w:tc>
      </w:tr>
      <w:tr w:rsidR="0095399A" w14:paraId="7B757065" w14:textId="77777777" w:rsidTr="000B2888">
        <w:tc>
          <w:tcPr>
            <w:tcW w:w="1222" w:type="pct"/>
            <w:tcBorders>
              <w:top w:val="nil"/>
              <w:left w:val="nil"/>
              <w:bottom w:val="nil"/>
              <w:right w:val="nil"/>
            </w:tcBorders>
            <w:shd w:val="clear" w:color="auto" w:fill="E6E7E8"/>
          </w:tcPr>
          <w:p w14:paraId="04674916" w14:textId="77777777" w:rsidR="0095399A" w:rsidRPr="00102B8A" w:rsidRDefault="0095399A" w:rsidP="00360D42">
            <w:pPr>
              <w:spacing w:before="120" w:after="120"/>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1311C693" w:rsidR="0095399A" w:rsidRPr="00102B8A" w:rsidRDefault="00BF0470" w:rsidP="00360D42">
            <w:pPr>
              <w:spacing w:before="120" w:after="120"/>
              <w:rPr>
                <w:rFonts w:ascii="Arial" w:hAnsi="Arial" w:cs="Arial"/>
                <w:szCs w:val="20"/>
              </w:rPr>
            </w:pPr>
            <w:r>
              <w:rPr>
                <w:rFonts w:ascii="Arial" w:hAnsi="Arial" w:cs="Arial"/>
                <w:szCs w:val="20"/>
              </w:rPr>
              <w:t>Deputy Director, Research Strategy, Systems and Policy</w:t>
            </w:r>
          </w:p>
        </w:tc>
      </w:tr>
      <w:tr w:rsidR="0095399A" w14:paraId="16E54E7F" w14:textId="77777777" w:rsidTr="000B2888">
        <w:tc>
          <w:tcPr>
            <w:tcW w:w="1222" w:type="pct"/>
            <w:tcBorders>
              <w:top w:val="nil"/>
              <w:left w:val="nil"/>
              <w:bottom w:val="nil"/>
              <w:right w:val="nil"/>
            </w:tcBorders>
            <w:shd w:val="clear" w:color="auto" w:fill="auto"/>
          </w:tcPr>
          <w:p w14:paraId="6365C1E2" w14:textId="77777777" w:rsidR="0095399A" w:rsidRPr="00102B8A" w:rsidRDefault="0095399A" w:rsidP="00360D42">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4334432B" w:rsidR="00DB0A25" w:rsidRPr="00102B8A" w:rsidRDefault="00BF0470" w:rsidP="00F56268">
            <w:pPr>
              <w:spacing w:before="120" w:after="120"/>
              <w:rPr>
                <w:rFonts w:ascii="Arial" w:hAnsi="Arial" w:cs="Arial"/>
                <w:szCs w:val="20"/>
              </w:rPr>
            </w:pPr>
            <w:r>
              <w:rPr>
                <w:rFonts w:ascii="Arial" w:hAnsi="Arial" w:cs="Arial"/>
                <w:szCs w:val="20"/>
              </w:rPr>
              <w:t>Director, Human Resources</w:t>
            </w:r>
          </w:p>
        </w:tc>
      </w:tr>
    </w:tbl>
    <w:p w14:paraId="59A619DC" w14:textId="77E85467" w:rsidR="00773482" w:rsidRDefault="00773482" w:rsidP="00B34AA7">
      <w:pPr>
        <w:rPr>
          <w:rFonts w:ascii="Foundry Sterling Book" w:hAnsi="Foundry Sterling Book"/>
          <w:color w:val="000000" w:themeColor="text1"/>
          <w:szCs w:val="20"/>
        </w:rPr>
      </w:pPr>
    </w:p>
    <w:p w14:paraId="26FAEDB4" w14:textId="77777777" w:rsidR="00773482" w:rsidRDefault="00773482">
      <w:pPr>
        <w:spacing w:after="0" w:line="240" w:lineRule="auto"/>
        <w:rPr>
          <w:rFonts w:ascii="Foundry Sterling Book" w:hAnsi="Foundry Sterling Book"/>
          <w:color w:val="000000" w:themeColor="text1"/>
          <w:szCs w:val="20"/>
        </w:rPr>
      </w:pPr>
      <w:r>
        <w:rPr>
          <w:rFonts w:ascii="Foundry Sterling Book" w:hAnsi="Foundry Sterling Book"/>
          <w:color w:val="000000" w:themeColor="text1"/>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77777777" w:rsidR="005E494F" w:rsidRPr="00102B8A" w:rsidRDefault="005E494F" w:rsidP="00360D42">
            <w:pPr>
              <w:spacing w:before="120" w:after="120"/>
              <w:rPr>
                <w:rFonts w:ascii="Arial" w:hAnsi="Arial" w:cs="Arial"/>
                <w:b/>
                <w:bCs/>
                <w:sz w:val="24"/>
                <w:szCs w:val="24"/>
              </w:rPr>
            </w:pPr>
            <w:r w:rsidRPr="00102B8A">
              <w:rPr>
                <w:rFonts w:ascii="Arial" w:hAnsi="Arial" w:cs="Arial"/>
                <w:b/>
                <w:bCs/>
                <w:caps/>
                <w:color w:val="E30918"/>
                <w:sz w:val="24"/>
                <w:szCs w:val="24"/>
              </w:rPr>
              <w:lastRenderedPageBreak/>
              <w:t>RELATED POLICY DOCUMENTS AND supporting documents</w:t>
            </w:r>
          </w:p>
        </w:tc>
      </w:tr>
      <w:tr w:rsidR="005E494F" w14:paraId="1C7EADDE" w14:textId="77777777" w:rsidTr="000B2888">
        <w:tc>
          <w:tcPr>
            <w:tcW w:w="1222" w:type="pct"/>
            <w:tcBorders>
              <w:top w:val="single" w:sz="8" w:space="0" w:color="E30918"/>
            </w:tcBorders>
            <w:shd w:val="clear" w:color="auto" w:fill="E6E7E8"/>
          </w:tcPr>
          <w:p w14:paraId="2B75BBE8" w14:textId="77777777" w:rsidR="005E494F" w:rsidRPr="00102B8A" w:rsidRDefault="005E494F" w:rsidP="00360D42">
            <w:pPr>
              <w:spacing w:before="120" w:after="120"/>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tcBorders>
            <w:shd w:val="clear" w:color="auto" w:fill="E6E7E8"/>
          </w:tcPr>
          <w:p w14:paraId="487C9FA1" w14:textId="7C36E391" w:rsidR="00BF0470" w:rsidRDefault="009A546C" w:rsidP="00454994">
            <w:pPr>
              <w:spacing w:before="80" w:after="80"/>
              <w:rPr>
                <w:rStyle w:val="Hyperlink"/>
                <w:rFonts w:ascii="Arial" w:hAnsi="Arial" w:cs="Arial"/>
                <w:i/>
                <w:iCs/>
                <w:color w:val="auto"/>
                <w:u w:val="none"/>
              </w:rPr>
            </w:pPr>
            <w:hyperlink r:id="rId27" w:history="1">
              <w:r w:rsidR="00BF0470" w:rsidRPr="003C11D1">
                <w:rPr>
                  <w:rStyle w:val="Hyperlink"/>
                  <w:rFonts w:ascii="Arial" w:hAnsi="Arial" w:cs="Arial"/>
                </w:rPr>
                <w:t>Autonomous Sanctions Act 2011</w:t>
              </w:r>
            </w:hyperlink>
            <w:r w:rsidR="00BF0470">
              <w:rPr>
                <w:rFonts w:ascii="Arial" w:hAnsi="Arial" w:cs="Arial"/>
              </w:rPr>
              <w:t xml:space="preserve"> </w:t>
            </w:r>
          </w:p>
          <w:p w14:paraId="5927263D" w14:textId="15C2A165" w:rsidR="00BF0470" w:rsidRPr="00E705F9" w:rsidRDefault="009A546C" w:rsidP="00454994">
            <w:pPr>
              <w:spacing w:before="80" w:after="80"/>
              <w:rPr>
                <w:rFonts w:ascii="Arial" w:hAnsi="Arial" w:cs="Arial"/>
              </w:rPr>
            </w:pPr>
            <w:hyperlink r:id="rId28" w:history="1">
              <w:r w:rsidR="00BF0470" w:rsidRPr="00E27BCC">
                <w:rPr>
                  <w:rStyle w:val="Hyperlink"/>
                  <w:rFonts w:ascii="Arial" w:hAnsi="Arial" w:cs="Arial"/>
                </w:rPr>
                <w:t>Defence and Strategic Goods List</w:t>
              </w:r>
            </w:hyperlink>
            <w:r w:rsidR="00BF0470">
              <w:rPr>
                <w:rFonts w:ascii="Arial" w:hAnsi="Arial" w:cs="Arial"/>
              </w:rPr>
              <w:t xml:space="preserve"> </w:t>
            </w:r>
          </w:p>
          <w:p w14:paraId="4DF2D836" w14:textId="7160484D" w:rsidR="00BF0470" w:rsidRPr="00E705F9" w:rsidRDefault="009A546C" w:rsidP="00454994">
            <w:pPr>
              <w:spacing w:before="80" w:after="80"/>
              <w:rPr>
                <w:rFonts w:ascii="Arial" w:hAnsi="Arial" w:cs="Arial"/>
              </w:rPr>
            </w:pPr>
            <w:hyperlink r:id="rId29" w:history="1">
              <w:r w:rsidR="00BF0470" w:rsidRPr="006B7588">
                <w:rPr>
                  <w:rStyle w:val="Hyperlink"/>
                  <w:rFonts w:ascii="Arial" w:hAnsi="Arial" w:cs="Arial"/>
                </w:rPr>
                <w:t>Defence Trade Controls Act 2012</w:t>
              </w:r>
            </w:hyperlink>
            <w:r w:rsidR="00BF0470">
              <w:rPr>
                <w:rFonts w:ascii="Arial" w:hAnsi="Arial" w:cs="Arial"/>
              </w:rPr>
              <w:t xml:space="preserve"> </w:t>
            </w:r>
          </w:p>
          <w:p w14:paraId="785D7897" w14:textId="28934DD7" w:rsidR="00BF0470" w:rsidRPr="00E705F9" w:rsidRDefault="009A546C" w:rsidP="00454994">
            <w:pPr>
              <w:spacing w:before="80" w:after="80"/>
              <w:rPr>
                <w:rFonts w:ascii="Arial" w:hAnsi="Arial" w:cs="Arial"/>
              </w:rPr>
            </w:pPr>
            <w:hyperlink r:id="rId30" w:history="1">
              <w:r w:rsidR="00BF0470" w:rsidRPr="00A50ABB">
                <w:rPr>
                  <w:rStyle w:val="Hyperlink"/>
                  <w:rFonts w:ascii="Arial" w:hAnsi="Arial" w:cs="Arial"/>
                </w:rPr>
                <w:t>United Nations Act 1945</w:t>
              </w:r>
            </w:hyperlink>
          </w:p>
          <w:p w14:paraId="34E8250E" w14:textId="32F6357F" w:rsidR="00BF0470" w:rsidRPr="00E705F9" w:rsidRDefault="009A546C" w:rsidP="00454994">
            <w:pPr>
              <w:spacing w:before="80" w:after="80"/>
              <w:rPr>
                <w:rFonts w:ascii="Arial" w:hAnsi="Arial" w:cs="Arial"/>
              </w:rPr>
            </w:pPr>
            <w:hyperlink r:id="rId31" w:history="1">
              <w:r w:rsidR="00BF0470" w:rsidRPr="00A50ABB">
                <w:rPr>
                  <w:rStyle w:val="Hyperlink"/>
                  <w:rFonts w:ascii="Arial" w:hAnsi="Arial" w:cs="Arial"/>
                </w:rPr>
                <w:t>Weapons of Mass Destruction Act 1995</w:t>
              </w:r>
            </w:hyperlink>
            <w:r w:rsidR="00BF0470">
              <w:rPr>
                <w:rFonts w:ascii="Arial" w:hAnsi="Arial" w:cs="Arial"/>
              </w:rPr>
              <w:t xml:space="preserve"> </w:t>
            </w:r>
          </w:p>
          <w:p w14:paraId="48E248A7" w14:textId="68249792" w:rsidR="00BF0470" w:rsidRPr="00E705F9" w:rsidRDefault="009A546C" w:rsidP="00454994">
            <w:pPr>
              <w:spacing w:before="80" w:after="80"/>
              <w:rPr>
                <w:rFonts w:ascii="Arial" w:hAnsi="Arial" w:cs="Arial"/>
              </w:rPr>
            </w:pPr>
            <w:hyperlink r:id="rId32" w:history="1">
              <w:r w:rsidR="00BF0470" w:rsidRPr="00C0155F">
                <w:rPr>
                  <w:rStyle w:val="Hyperlink"/>
                  <w:rFonts w:ascii="Arial" w:hAnsi="Arial" w:cs="Arial"/>
                </w:rPr>
                <w:t>Consolidated List</w:t>
              </w:r>
            </w:hyperlink>
          </w:p>
          <w:p w14:paraId="5EB68E51" w14:textId="48CB417C" w:rsidR="005E494F" w:rsidRPr="00102B8A" w:rsidRDefault="009A546C" w:rsidP="00454994">
            <w:pPr>
              <w:spacing w:before="80" w:after="80"/>
              <w:rPr>
                <w:rFonts w:ascii="Arial" w:hAnsi="Arial" w:cs="Arial"/>
              </w:rPr>
            </w:pPr>
            <w:hyperlink r:id="rId33" w:history="1">
              <w:r w:rsidR="001337E9" w:rsidRPr="001337E9">
                <w:rPr>
                  <w:rStyle w:val="Hyperlink"/>
                  <w:rFonts w:ascii="Arial" w:hAnsi="Arial" w:cs="Arial"/>
                </w:rPr>
                <w:t>List of Critical Technologies in the National Interest</w:t>
              </w:r>
            </w:hyperlink>
            <w:r w:rsidR="001337E9" w:rsidRPr="001337E9">
              <w:rPr>
                <w:rFonts w:ascii="Arial" w:hAnsi="Arial" w:cs="Arial"/>
              </w:rPr>
              <w:t xml:space="preserve"> </w:t>
            </w:r>
          </w:p>
        </w:tc>
      </w:tr>
      <w:tr w:rsidR="005E494F" w14:paraId="6B9273E8" w14:textId="77777777" w:rsidTr="000B2888">
        <w:tc>
          <w:tcPr>
            <w:tcW w:w="1222" w:type="pct"/>
            <w:shd w:val="clear" w:color="auto" w:fill="auto"/>
          </w:tcPr>
          <w:p w14:paraId="42E0DB77" w14:textId="77777777" w:rsidR="005E494F" w:rsidRPr="00102B8A" w:rsidRDefault="005E494F" w:rsidP="00360D42">
            <w:pPr>
              <w:spacing w:before="120" w:after="120"/>
              <w:rPr>
                <w:rFonts w:ascii="Arial" w:hAnsi="Arial" w:cs="Arial"/>
                <w:szCs w:val="20"/>
              </w:rPr>
            </w:pPr>
            <w:r w:rsidRPr="00102B8A">
              <w:rPr>
                <w:rFonts w:ascii="Arial" w:hAnsi="Arial" w:cs="Arial"/>
                <w:szCs w:val="20"/>
              </w:rPr>
              <w:t>Policy</w:t>
            </w:r>
          </w:p>
        </w:tc>
        <w:tc>
          <w:tcPr>
            <w:tcW w:w="3778" w:type="pct"/>
            <w:shd w:val="clear" w:color="auto" w:fill="auto"/>
          </w:tcPr>
          <w:p w14:paraId="6BC48F03" w14:textId="6727AC20" w:rsidR="00D044A0" w:rsidRPr="00D044A0" w:rsidRDefault="009A546C" w:rsidP="00454994">
            <w:pPr>
              <w:spacing w:before="80" w:after="80"/>
              <w:rPr>
                <w:rFonts w:ascii="Arial" w:hAnsi="Arial" w:cs="Arial"/>
              </w:rPr>
            </w:pPr>
            <w:hyperlink r:id="rId34" w:history="1">
              <w:r w:rsidR="00203FA2" w:rsidRPr="00922BE8">
                <w:rPr>
                  <w:rStyle w:val="Hyperlink"/>
                  <w:rFonts w:ascii="Arial" w:hAnsi="Arial" w:cs="Arial"/>
                </w:rPr>
                <w:t xml:space="preserve">The </w:t>
              </w:r>
              <w:r w:rsidR="00D044A0" w:rsidRPr="00922BE8">
                <w:rPr>
                  <w:rStyle w:val="Hyperlink"/>
                  <w:rFonts w:ascii="Arial" w:hAnsi="Arial" w:cs="Arial"/>
                </w:rPr>
                <w:t>Responsible Conduct of Research</w:t>
              </w:r>
            </w:hyperlink>
            <w:r w:rsidR="00D044A0" w:rsidRPr="00D044A0">
              <w:rPr>
                <w:rFonts w:ascii="Arial" w:hAnsi="Arial" w:cs="Arial"/>
              </w:rPr>
              <w:t xml:space="preserve"> </w:t>
            </w:r>
          </w:p>
          <w:p w14:paraId="47503873" w14:textId="6F182C5E" w:rsidR="005E494F" w:rsidRPr="00CC6CA3" w:rsidRDefault="009A546C" w:rsidP="00454994">
            <w:pPr>
              <w:spacing w:before="80" w:after="80"/>
              <w:rPr>
                <w:rFonts w:ascii="Arial" w:hAnsi="Arial" w:cs="Arial"/>
                <w:color w:val="E30918"/>
                <w:szCs w:val="20"/>
              </w:rPr>
            </w:pPr>
            <w:hyperlink r:id="rId35" w:history="1">
              <w:r w:rsidR="00D044A0" w:rsidRPr="002641F9">
                <w:rPr>
                  <w:rStyle w:val="Hyperlink"/>
                  <w:rFonts w:ascii="Arial" w:hAnsi="Arial" w:cs="Arial"/>
                  <w:szCs w:val="20"/>
                </w:rPr>
                <w:t>Code of Conduct</w:t>
              </w:r>
            </w:hyperlink>
            <w:r w:rsidR="00D044A0" w:rsidRPr="00CC6CA3">
              <w:rPr>
                <w:rFonts w:ascii="Arial" w:hAnsi="Arial" w:cs="Arial"/>
                <w:szCs w:val="20"/>
              </w:rPr>
              <w:t xml:space="preserve"> </w:t>
            </w:r>
          </w:p>
        </w:tc>
      </w:tr>
      <w:tr w:rsidR="005E494F" w14:paraId="2BF6E089" w14:textId="77777777" w:rsidTr="000B2888">
        <w:tc>
          <w:tcPr>
            <w:tcW w:w="1222" w:type="pct"/>
            <w:shd w:val="clear" w:color="auto" w:fill="E6E7E8"/>
          </w:tcPr>
          <w:p w14:paraId="6C758D34" w14:textId="77777777" w:rsidR="005E494F" w:rsidRPr="00102B8A" w:rsidRDefault="005E494F" w:rsidP="00360D42">
            <w:pPr>
              <w:spacing w:before="120" w:after="120"/>
              <w:rPr>
                <w:rFonts w:ascii="Arial" w:hAnsi="Arial" w:cs="Arial"/>
                <w:szCs w:val="20"/>
              </w:rPr>
            </w:pPr>
            <w:r w:rsidRPr="00102B8A">
              <w:rPr>
                <w:rFonts w:ascii="Arial" w:hAnsi="Arial" w:cs="Arial"/>
                <w:szCs w:val="20"/>
              </w:rPr>
              <w:t>Procedures</w:t>
            </w:r>
          </w:p>
        </w:tc>
        <w:tc>
          <w:tcPr>
            <w:tcW w:w="3778" w:type="pct"/>
            <w:shd w:val="clear" w:color="auto" w:fill="E6E7E8"/>
          </w:tcPr>
          <w:p w14:paraId="74B702E4" w14:textId="588C670F" w:rsidR="005E494F" w:rsidRPr="00102B8A" w:rsidRDefault="005E494F" w:rsidP="00360D42">
            <w:pPr>
              <w:spacing w:before="120" w:after="120"/>
              <w:rPr>
                <w:rFonts w:ascii="Arial" w:hAnsi="Arial" w:cs="Arial"/>
                <w:szCs w:val="20"/>
              </w:rPr>
            </w:pPr>
            <w:r w:rsidRPr="00102B8A">
              <w:rPr>
                <w:rFonts w:ascii="Arial" w:hAnsi="Arial" w:cs="Arial"/>
              </w:rPr>
              <w:t>N/A</w:t>
            </w:r>
          </w:p>
        </w:tc>
      </w:tr>
      <w:tr w:rsidR="005E494F" w14:paraId="62E9927B" w14:textId="77777777" w:rsidTr="000B2888">
        <w:tc>
          <w:tcPr>
            <w:tcW w:w="1222" w:type="pct"/>
            <w:shd w:val="clear" w:color="auto" w:fill="auto"/>
          </w:tcPr>
          <w:p w14:paraId="3910BD6A" w14:textId="77777777" w:rsidR="005E494F" w:rsidRPr="00102B8A" w:rsidRDefault="005E494F" w:rsidP="00360D42">
            <w:pPr>
              <w:spacing w:before="120" w:after="120"/>
              <w:rPr>
                <w:rFonts w:ascii="Arial" w:hAnsi="Arial" w:cs="Arial"/>
                <w:szCs w:val="20"/>
              </w:rPr>
            </w:pPr>
            <w:r w:rsidRPr="00102B8A">
              <w:rPr>
                <w:rFonts w:ascii="Arial" w:hAnsi="Arial" w:cs="Arial"/>
                <w:szCs w:val="20"/>
              </w:rPr>
              <w:t>Local protocols</w:t>
            </w:r>
          </w:p>
        </w:tc>
        <w:tc>
          <w:tcPr>
            <w:tcW w:w="3778" w:type="pct"/>
            <w:shd w:val="clear" w:color="auto" w:fill="auto"/>
          </w:tcPr>
          <w:p w14:paraId="523F5696" w14:textId="0185ED1C" w:rsidR="005E494F" w:rsidRPr="00102B8A" w:rsidRDefault="009A546C" w:rsidP="00360D42">
            <w:pPr>
              <w:spacing w:before="120" w:after="120"/>
              <w:rPr>
                <w:rFonts w:ascii="Arial" w:hAnsi="Arial" w:cs="Arial"/>
                <w:szCs w:val="20"/>
              </w:rPr>
            </w:pPr>
            <w:hyperlink r:id="rId36" w:history="1">
              <w:r w:rsidR="003D1CD3" w:rsidRPr="003D1CD3">
                <w:rPr>
                  <w:rStyle w:val="Hyperlink"/>
                  <w:rFonts w:ascii="Arial" w:hAnsi="Arial" w:cs="Arial"/>
                  <w:szCs w:val="20"/>
                </w:rPr>
                <w:t>Secure Engagement with International Parties Hub</w:t>
              </w:r>
            </w:hyperlink>
          </w:p>
        </w:tc>
      </w:tr>
      <w:tr w:rsidR="005E494F" w14:paraId="5DB71FAA" w14:textId="77777777" w:rsidTr="000B2888">
        <w:tc>
          <w:tcPr>
            <w:tcW w:w="1222" w:type="pct"/>
            <w:shd w:val="clear" w:color="auto" w:fill="E6E7E8"/>
          </w:tcPr>
          <w:p w14:paraId="35A5584B" w14:textId="77777777" w:rsidR="005E494F" w:rsidRPr="00102B8A" w:rsidRDefault="005E494F" w:rsidP="00360D42">
            <w:pPr>
              <w:spacing w:before="120" w:after="120"/>
              <w:rPr>
                <w:rFonts w:ascii="Arial" w:hAnsi="Arial" w:cs="Arial"/>
                <w:szCs w:val="20"/>
              </w:rPr>
            </w:pPr>
            <w:r w:rsidRPr="00102B8A">
              <w:rPr>
                <w:rFonts w:ascii="Arial" w:hAnsi="Arial" w:cs="Arial"/>
                <w:szCs w:val="20"/>
              </w:rPr>
              <w:t>Forms</w:t>
            </w:r>
          </w:p>
        </w:tc>
        <w:tc>
          <w:tcPr>
            <w:tcW w:w="3778" w:type="pct"/>
            <w:shd w:val="clear" w:color="auto" w:fill="E6E7E8"/>
          </w:tcPr>
          <w:p w14:paraId="23390665" w14:textId="225E89E8" w:rsidR="005E494F" w:rsidRPr="00102B8A" w:rsidRDefault="009A546C" w:rsidP="00360D42">
            <w:pPr>
              <w:spacing w:before="120" w:after="120"/>
              <w:rPr>
                <w:rFonts w:ascii="Arial" w:hAnsi="Arial" w:cs="Arial"/>
                <w:szCs w:val="20"/>
              </w:rPr>
            </w:pPr>
            <w:hyperlink r:id="rId37" w:history="1">
              <w:r w:rsidR="00D044A0" w:rsidRPr="008B6D78">
                <w:rPr>
                  <w:rStyle w:val="Hyperlink"/>
                  <w:rFonts w:ascii="Arial" w:hAnsi="Arial" w:cs="Arial"/>
                  <w:szCs w:val="20"/>
                </w:rPr>
                <w:t xml:space="preserve">International Engagement Checking Tool </w:t>
              </w:r>
            </w:hyperlink>
            <w:r w:rsidR="00D044A0">
              <w:rPr>
                <w:rFonts w:ascii="Arial" w:hAnsi="Arial" w:cs="Arial"/>
                <w:szCs w:val="20"/>
              </w:rPr>
              <w:t xml:space="preserve"> </w:t>
            </w:r>
          </w:p>
        </w:tc>
      </w:tr>
    </w:tbl>
    <w:p w14:paraId="680A8379" w14:textId="260D4250" w:rsidR="00DA3C93" w:rsidRDefault="00DA3C93" w:rsidP="00DA3C93">
      <w:pPr>
        <w:tabs>
          <w:tab w:val="left" w:pos="8550"/>
        </w:tabs>
        <w:rPr>
          <w:rFonts w:ascii="Foundry Sterling Book" w:hAnsi="Foundry Sterling Book"/>
          <w:szCs w:val="20"/>
        </w:rPr>
      </w:pPr>
      <w:r>
        <w:rPr>
          <w:rFonts w:ascii="Foundry Sterling Book" w:hAnsi="Foundry Sterling Book"/>
          <w:szCs w:val="20"/>
        </w:rPr>
        <w:tab/>
      </w:r>
    </w:p>
    <w:p w14:paraId="65B5B57A" w14:textId="06FFEEED" w:rsidR="00814590" w:rsidRDefault="00814590" w:rsidP="00DA3C93">
      <w:pPr>
        <w:tabs>
          <w:tab w:val="left" w:pos="8550"/>
        </w:tabs>
        <w:rPr>
          <w:rFonts w:ascii="Foundry Sterling Book" w:hAnsi="Foundry Sterling Book"/>
          <w:szCs w:val="20"/>
        </w:rPr>
      </w:pPr>
    </w:p>
    <w:p w14:paraId="237DB944" w14:textId="0E149F0A" w:rsidR="00814590" w:rsidRPr="00DA3C93" w:rsidRDefault="00814590" w:rsidP="00DA3C93">
      <w:pPr>
        <w:tabs>
          <w:tab w:val="left" w:pos="8550"/>
        </w:tabs>
        <w:rPr>
          <w:rFonts w:ascii="Foundry Sterling Book" w:hAnsi="Foundry Sterling Book"/>
          <w:szCs w:val="20"/>
        </w:rPr>
      </w:pPr>
    </w:p>
    <w:sectPr w:rsidR="00814590" w:rsidRPr="00DA3C93"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C61B" w14:textId="77777777" w:rsidR="00BE5249" w:rsidRDefault="00BE5249" w:rsidP="00F45E9C">
      <w:r>
        <w:separator/>
      </w:r>
    </w:p>
  </w:endnote>
  <w:endnote w:type="continuationSeparator" w:id="0">
    <w:p w14:paraId="642516A6" w14:textId="77777777" w:rsidR="00BE5249" w:rsidRDefault="00BE5249" w:rsidP="00F45E9C">
      <w:r>
        <w:continuationSeparator/>
      </w:r>
    </w:p>
  </w:endnote>
  <w:endnote w:type="continuationNotice" w:id="1">
    <w:p w14:paraId="7E0FB17D" w14:textId="77777777" w:rsidR="00BE5249" w:rsidRDefault="00BE5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ourier New"/>
    <w:charset w:val="00"/>
    <w:family w:val="auto"/>
    <w:pitch w:val="variable"/>
    <w:sig w:usb0="00000003" w:usb1="00000000" w:usb2="00000000" w:usb3="00000000" w:csb0="00000001" w:csb1="00000000"/>
  </w:font>
  <w:font w:name="Copernicus Medium">
    <w:altName w:val="Calibri"/>
    <w:charset w:val="00"/>
    <w:family w:val="auto"/>
    <w:pitch w:val="variable"/>
    <w:sig w:usb0="8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04B3F0BA" w:rsidR="007C1483" w:rsidRDefault="00997BF8"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Managing Assessment of University Appointments: Sanctions and Export Controls Compliance</w:t>
        </w:r>
        <w:r w:rsidR="007C1483" w:rsidRPr="00102B8A">
          <w:rPr>
            <w:rFonts w:asciiTheme="minorHAnsi" w:hAnsiTheme="minorHAnsi" w:cstheme="minorHAnsi"/>
            <w:color w:val="70787B"/>
            <w:sz w:val="15"/>
            <w:szCs w:val="15"/>
          </w:rPr>
          <w:t xml:space="preserve"> | </w:t>
        </w:r>
        <w:r w:rsidR="00F76B57">
          <w:rPr>
            <w:rFonts w:asciiTheme="minorHAnsi" w:hAnsiTheme="minorHAnsi" w:cstheme="minorHAnsi"/>
            <w:color w:val="70787B"/>
            <w:sz w:val="15"/>
            <w:szCs w:val="15"/>
          </w:rPr>
          <w:t>August</w:t>
        </w:r>
        <w:r w:rsidR="007C1483"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p>
      <w:p w14:paraId="5A1560DF" w14:textId="310F20D4"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BF0470" w:rsidRPr="00BF0470">
          <w:rPr>
            <w:rFonts w:asciiTheme="minorHAnsi" w:hAnsiTheme="minorHAnsi" w:cstheme="minorHAnsi"/>
            <w:color w:val="70787B"/>
            <w:sz w:val="15"/>
            <w:szCs w:val="15"/>
          </w:rPr>
          <w:t>2023</w:t>
        </w:r>
        <w:r w:rsidRPr="00BF0470">
          <w:rPr>
            <w:rFonts w:asciiTheme="minorHAnsi" w:hAnsiTheme="minorHAnsi" w:cstheme="minorHAnsi"/>
            <w:color w:val="70787B"/>
            <w:sz w:val="15"/>
            <w:szCs w:val="15"/>
          </w:rPr>
          <w:t>/</w:t>
        </w:r>
        <w:r w:rsidR="00BF0470">
          <w:rPr>
            <w:rFonts w:asciiTheme="minorHAnsi" w:hAnsiTheme="minorHAnsi" w:cstheme="minorHAnsi"/>
            <w:color w:val="70787B"/>
            <w:sz w:val="15"/>
            <w:szCs w:val="15"/>
          </w:rPr>
          <w:t>0001037</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5A46B101"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8331EE9" id="Group 8" o:spid="_x0000_s1026" style="position:absolute;margin-left:0;margin-top:-218.95pt;width:280.7pt;height:280.65pt;z-index:25166540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EF442E">
      <w:rPr>
        <w:rFonts w:asciiTheme="minorHAnsi" w:hAnsiTheme="minorHAnsi" w:cstheme="minorHAnsi"/>
        <w:color w:val="70787B"/>
        <w:sz w:val="15"/>
        <w:szCs w:val="15"/>
      </w:rPr>
      <w:t>Managing Assessment of University Appointments: Sanctions and Export Controls Compliance</w:t>
    </w:r>
    <w:r w:rsidRPr="00102B8A">
      <w:rPr>
        <w:rFonts w:asciiTheme="minorHAnsi" w:hAnsiTheme="minorHAnsi" w:cstheme="minorHAnsi"/>
        <w:color w:val="70787B"/>
        <w:sz w:val="15"/>
        <w:szCs w:val="15"/>
      </w:rPr>
      <w:t xml:space="preserve"> | </w:t>
    </w:r>
    <w:r w:rsidR="00F76B57">
      <w:rPr>
        <w:rFonts w:asciiTheme="minorHAnsi" w:hAnsiTheme="minorHAnsi" w:cstheme="minorHAnsi"/>
        <w:color w:val="70787B"/>
        <w:sz w:val="15"/>
        <w:szCs w:val="15"/>
      </w:rPr>
      <w:t>August</w:t>
    </w:r>
    <w:r w:rsidRPr="00102B8A">
      <w:rPr>
        <w:rFonts w:asciiTheme="minorHAnsi" w:hAnsiTheme="minorHAnsi" w:cstheme="minorHAnsi"/>
        <w:color w:val="70787B"/>
        <w:sz w:val="15"/>
        <w:szCs w:val="15"/>
      </w:rPr>
      <w:t xml:space="preserve"> 20</w:t>
    </w:r>
    <w:r w:rsidR="002E7BC0">
      <w:rPr>
        <w:rFonts w:asciiTheme="minorHAnsi" w:hAnsiTheme="minorHAnsi" w:cstheme="minorHAnsi"/>
        <w:color w:val="70787B"/>
        <w:sz w:val="15"/>
        <w:szCs w:val="15"/>
      </w:rPr>
      <w:t>23</w:t>
    </w:r>
  </w:p>
  <w:p w14:paraId="0F431CCB" w14:textId="76DFA01D"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2E7BC0" w:rsidRPr="002E7BC0">
      <w:rPr>
        <w:rFonts w:asciiTheme="minorHAnsi" w:hAnsiTheme="minorHAnsi" w:cstheme="minorHAnsi"/>
        <w:color w:val="70787B"/>
        <w:sz w:val="15"/>
        <w:szCs w:val="15"/>
      </w:rPr>
      <w:t>2023</w:t>
    </w:r>
    <w:r w:rsidRPr="002E7BC0">
      <w:rPr>
        <w:rFonts w:asciiTheme="minorHAnsi" w:hAnsiTheme="minorHAnsi" w:cstheme="minorHAnsi"/>
        <w:color w:val="70787B"/>
        <w:sz w:val="15"/>
        <w:szCs w:val="15"/>
      </w:rPr>
      <w:t>/</w:t>
    </w:r>
    <w:r w:rsidR="002E7BC0">
      <w:rPr>
        <w:rFonts w:asciiTheme="minorHAnsi" w:hAnsiTheme="minorHAnsi" w:cstheme="minorHAnsi"/>
        <w:color w:val="70787B"/>
        <w:sz w:val="15"/>
        <w:szCs w:val="15"/>
      </w:rPr>
      <w:t>0001037</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F63" w14:textId="77777777" w:rsidR="00BE5249" w:rsidRDefault="00BE5249" w:rsidP="00F45E9C">
      <w:r>
        <w:separator/>
      </w:r>
    </w:p>
  </w:footnote>
  <w:footnote w:type="continuationSeparator" w:id="0">
    <w:p w14:paraId="417211F0" w14:textId="77777777" w:rsidR="00BE5249" w:rsidRDefault="00BE5249" w:rsidP="00F45E9C">
      <w:r>
        <w:continuationSeparator/>
      </w:r>
    </w:p>
  </w:footnote>
  <w:footnote w:type="continuationNotice" w:id="1">
    <w:p w14:paraId="039B7C54" w14:textId="77777777" w:rsidR="00BE5249" w:rsidRDefault="00BE5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A6D6A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fillcolor="#d8d8d8 [2732]" stroked="f" strokeweight="1pt"/>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56"/>
    <w:multiLevelType w:val="multilevel"/>
    <w:tmpl w:val="1A28EE10"/>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71152"/>
    <w:multiLevelType w:val="hybridMultilevel"/>
    <w:tmpl w:val="581A6C8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F521F"/>
    <w:multiLevelType w:val="hybridMultilevel"/>
    <w:tmpl w:val="4DECC296"/>
    <w:lvl w:ilvl="0" w:tplc="FFFFFFFF">
      <w:start w:val="1"/>
      <w:numFmt w:val="lowerLetter"/>
      <w:lvlText w:val="%1)"/>
      <w:lvlJc w:val="left"/>
      <w:pPr>
        <w:ind w:left="1789" w:hanging="360"/>
      </w:pPr>
    </w:lvl>
    <w:lvl w:ilvl="1" w:tplc="D616AE44">
      <w:start w:val="1"/>
      <w:numFmt w:val="lowerLetter"/>
      <w:lvlText w:val="%2)"/>
      <w:lvlJc w:val="left"/>
      <w:pPr>
        <w:ind w:left="2509" w:hanging="360"/>
      </w:pPr>
      <w:rPr>
        <w:rFonts w:hint="default"/>
      </w:rPr>
    </w:lvl>
    <w:lvl w:ilvl="2" w:tplc="48241ABA">
      <w:start w:val="1"/>
      <w:numFmt w:val="lowerRoman"/>
      <w:lvlText w:val="(%3)"/>
      <w:lvlJc w:val="left"/>
      <w:pPr>
        <w:ind w:left="3769" w:hanging="720"/>
      </w:pPr>
      <w:rPr>
        <w:rFonts w:hint="default"/>
      </w:rPr>
    </w:lvl>
    <w:lvl w:ilvl="3" w:tplc="AC42EA52">
      <w:start w:val="6"/>
      <w:numFmt w:val="bullet"/>
      <w:lvlText w:val="-"/>
      <w:lvlJc w:val="left"/>
      <w:pPr>
        <w:ind w:left="3949" w:hanging="360"/>
      </w:pPr>
      <w:rPr>
        <w:rFonts w:ascii="Calibri" w:eastAsia="Times New Roman" w:hAnsi="Calibri" w:cs="Calibri" w:hint="default"/>
        <w:b w:val="0"/>
      </w:r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C30A5"/>
    <w:multiLevelType w:val="hybridMultilevel"/>
    <w:tmpl w:val="4238E1B6"/>
    <w:lvl w:ilvl="0" w:tplc="FFFFFFFF">
      <w:start w:val="1"/>
      <w:numFmt w:val="decimal"/>
      <w:lvlText w:val="%1)"/>
      <w:lvlJc w:val="left"/>
      <w:pPr>
        <w:ind w:left="785"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3862EF"/>
    <w:multiLevelType w:val="hybridMultilevel"/>
    <w:tmpl w:val="90B288CE"/>
    <w:lvl w:ilvl="0" w:tplc="BEA4178E">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AB4C31"/>
    <w:multiLevelType w:val="multilevel"/>
    <w:tmpl w:val="94108F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7E71DFC"/>
    <w:multiLevelType w:val="hybridMultilevel"/>
    <w:tmpl w:val="B3BE05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F9126B9"/>
    <w:multiLevelType w:val="hybridMultilevel"/>
    <w:tmpl w:val="B3BE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1D4E64"/>
    <w:multiLevelType w:val="hybridMultilevel"/>
    <w:tmpl w:val="398E549A"/>
    <w:lvl w:ilvl="0" w:tplc="BEA4178E">
      <w:start w:val="1"/>
      <w:numFmt w:val="bullet"/>
      <w:lvlText w:val=""/>
      <w:lvlJc w:val="left"/>
      <w:pPr>
        <w:ind w:left="1797" w:hanging="360"/>
      </w:pPr>
      <w:rPr>
        <w:rFonts w:ascii="Wingdings" w:hAnsi="Wingdings" w:hint="default"/>
        <w:color w:val="E30918"/>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9"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570C01"/>
    <w:multiLevelType w:val="multilevel"/>
    <w:tmpl w:val="0D84F7B6"/>
    <w:lvl w:ilvl="0">
      <w:start w:val="1"/>
      <w:numFmt w:val="decimal"/>
      <w:lvlText w:val="%1."/>
      <w:lvlJc w:val="left"/>
      <w:pPr>
        <w:ind w:left="720" w:hanging="360"/>
      </w:p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5"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98090B"/>
    <w:multiLevelType w:val="hybridMultilevel"/>
    <w:tmpl w:val="B68464C6"/>
    <w:lvl w:ilvl="0" w:tplc="FFFFFFFF">
      <w:start w:val="1"/>
      <w:numFmt w:val="lowerLetter"/>
      <w:lvlText w:val="%1)"/>
      <w:lvlJc w:val="left"/>
      <w:pPr>
        <w:ind w:left="1789" w:hanging="360"/>
      </w:pPr>
    </w:lvl>
    <w:lvl w:ilvl="1" w:tplc="0C090017">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0"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3"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24665245">
    <w:abstractNumId w:val="11"/>
  </w:num>
  <w:num w:numId="2" w16cid:durableId="1356884722">
    <w:abstractNumId w:val="6"/>
  </w:num>
  <w:num w:numId="3" w16cid:durableId="963924115">
    <w:abstractNumId w:val="21"/>
  </w:num>
  <w:num w:numId="4" w16cid:durableId="1335916063">
    <w:abstractNumId w:val="43"/>
  </w:num>
  <w:num w:numId="5" w16cid:durableId="1810436822">
    <w:abstractNumId w:val="27"/>
  </w:num>
  <w:num w:numId="6" w16cid:durableId="683478696">
    <w:abstractNumId w:val="25"/>
  </w:num>
  <w:num w:numId="7" w16cid:durableId="1981614091">
    <w:abstractNumId w:val="29"/>
  </w:num>
  <w:num w:numId="8" w16cid:durableId="641008253">
    <w:abstractNumId w:val="10"/>
  </w:num>
  <w:num w:numId="9" w16cid:durableId="1889105404">
    <w:abstractNumId w:val="16"/>
  </w:num>
  <w:num w:numId="10" w16cid:durableId="1564367660">
    <w:abstractNumId w:val="33"/>
  </w:num>
  <w:num w:numId="11" w16cid:durableId="22367280">
    <w:abstractNumId w:val="20"/>
  </w:num>
  <w:num w:numId="12" w16cid:durableId="919557222">
    <w:abstractNumId w:val="30"/>
  </w:num>
  <w:num w:numId="13" w16cid:durableId="272058040">
    <w:abstractNumId w:val="8"/>
  </w:num>
  <w:num w:numId="14" w16cid:durableId="144248232">
    <w:abstractNumId w:val="31"/>
  </w:num>
  <w:num w:numId="15" w16cid:durableId="1628924865">
    <w:abstractNumId w:val="4"/>
  </w:num>
  <w:num w:numId="16" w16cid:durableId="241841547">
    <w:abstractNumId w:val="37"/>
  </w:num>
  <w:num w:numId="17" w16cid:durableId="457987901">
    <w:abstractNumId w:val="38"/>
  </w:num>
  <w:num w:numId="18" w16cid:durableId="1302342762">
    <w:abstractNumId w:val="22"/>
  </w:num>
  <w:num w:numId="19" w16cid:durableId="1675763254">
    <w:abstractNumId w:val="35"/>
  </w:num>
  <w:num w:numId="20" w16cid:durableId="460880766">
    <w:abstractNumId w:val="44"/>
  </w:num>
  <w:num w:numId="21" w16cid:durableId="1848398538">
    <w:abstractNumId w:val="1"/>
  </w:num>
  <w:num w:numId="22" w16cid:durableId="1450515083">
    <w:abstractNumId w:val="14"/>
  </w:num>
  <w:num w:numId="23" w16cid:durableId="2118210133">
    <w:abstractNumId w:val="2"/>
  </w:num>
  <w:num w:numId="24" w16cid:durableId="1489251118">
    <w:abstractNumId w:val="42"/>
  </w:num>
  <w:num w:numId="25" w16cid:durableId="558132945">
    <w:abstractNumId w:val="15"/>
  </w:num>
  <w:num w:numId="26" w16cid:durableId="430053258">
    <w:abstractNumId w:val="19"/>
  </w:num>
  <w:num w:numId="27" w16cid:durableId="962661681">
    <w:abstractNumId w:val="3"/>
  </w:num>
  <w:num w:numId="28" w16cid:durableId="1203441116">
    <w:abstractNumId w:val="17"/>
  </w:num>
  <w:num w:numId="29" w16cid:durableId="1599558792">
    <w:abstractNumId w:val="9"/>
  </w:num>
  <w:num w:numId="30" w16cid:durableId="1860241181">
    <w:abstractNumId w:val="40"/>
  </w:num>
  <w:num w:numId="31" w16cid:durableId="235864345">
    <w:abstractNumId w:val="13"/>
  </w:num>
  <w:num w:numId="32" w16cid:durableId="1308703486">
    <w:abstractNumId w:val="34"/>
  </w:num>
  <w:num w:numId="33" w16cid:durableId="1463646192">
    <w:abstractNumId w:val="41"/>
  </w:num>
  <w:num w:numId="34" w16cid:durableId="1565605057">
    <w:abstractNumId w:val="32"/>
  </w:num>
  <w:num w:numId="35" w16cid:durableId="489489358">
    <w:abstractNumId w:val="36"/>
  </w:num>
  <w:num w:numId="36" w16cid:durableId="1172990210">
    <w:abstractNumId w:val="39"/>
  </w:num>
  <w:num w:numId="37" w16cid:durableId="278463323">
    <w:abstractNumId w:val="7"/>
  </w:num>
  <w:num w:numId="38" w16cid:durableId="751122555">
    <w:abstractNumId w:val="0"/>
  </w:num>
  <w:num w:numId="39" w16cid:durableId="996375461">
    <w:abstractNumId w:val="23"/>
  </w:num>
  <w:num w:numId="40" w16cid:durableId="1279413683">
    <w:abstractNumId w:val="12"/>
  </w:num>
  <w:num w:numId="41" w16cid:durableId="409277616">
    <w:abstractNumId w:val="26"/>
  </w:num>
  <w:num w:numId="42" w16cid:durableId="1267880837">
    <w:abstractNumId w:val="5"/>
  </w:num>
  <w:num w:numId="43" w16cid:durableId="139886565">
    <w:abstractNumId w:val="28"/>
  </w:num>
  <w:num w:numId="44" w16cid:durableId="2115400589">
    <w:abstractNumId w:val="18"/>
  </w:num>
  <w:num w:numId="45" w16cid:durableId="3373884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2BDC"/>
    <w:rsid w:val="00063FCF"/>
    <w:rsid w:val="000674C0"/>
    <w:rsid w:val="000849AD"/>
    <w:rsid w:val="00087697"/>
    <w:rsid w:val="0009125F"/>
    <w:rsid w:val="000B2888"/>
    <w:rsid w:val="000B3767"/>
    <w:rsid w:val="000B43C9"/>
    <w:rsid w:val="000B7D0C"/>
    <w:rsid w:val="000C2C05"/>
    <w:rsid w:val="000D5843"/>
    <w:rsid w:val="000E2A8A"/>
    <w:rsid w:val="000E4CBE"/>
    <w:rsid w:val="000E51B4"/>
    <w:rsid w:val="000E5D52"/>
    <w:rsid w:val="000E5D83"/>
    <w:rsid w:val="000E6B26"/>
    <w:rsid w:val="00102763"/>
    <w:rsid w:val="00102B8A"/>
    <w:rsid w:val="00102D19"/>
    <w:rsid w:val="00102F7E"/>
    <w:rsid w:val="00104000"/>
    <w:rsid w:val="00105063"/>
    <w:rsid w:val="0010768E"/>
    <w:rsid w:val="00122CF0"/>
    <w:rsid w:val="001254E2"/>
    <w:rsid w:val="0013141E"/>
    <w:rsid w:val="001337E9"/>
    <w:rsid w:val="00147A35"/>
    <w:rsid w:val="00147B11"/>
    <w:rsid w:val="0015279A"/>
    <w:rsid w:val="00152D7D"/>
    <w:rsid w:val="001537D5"/>
    <w:rsid w:val="00162972"/>
    <w:rsid w:val="00167117"/>
    <w:rsid w:val="001735D3"/>
    <w:rsid w:val="0017412E"/>
    <w:rsid w:val="00180673"/>
    <w:rsid w:val="00180A28"/>
    <w:rsid w:val="00181BF5"/>
    <w:rsid w:val="00187159"/>
    <w:rsid w:val="0019292F"/>
    <w:rsid w:val="00192ACD"/>
    <w:rsid w:val="001A138A"/>
    <w:rsid w:val="001A1ABF"/>
    <w:rsid w:val="001D0DB6"/>
    <w:rsid w:val="001D2660"/>
    <w:rsid w:val="001E6438"/>
    <w:rsid w:val="001F5E2B"/>
    <w:rsid w:val="002015FA"/>
    <w:rsid w:val="00202D4B"/>
    <w:rsid w:val="00203FA2"/>
    <w:rsid w:val="002043F8"/>
    <w:rsid w:val="002210EE"/>
    <w:rsid w:val="002301BB"/>
    <w:rsid w:val="00231CF0"/>
    <w:rsid w:val="00233068"/>
    <w:rsid w:val="0024475D"/>
    <w:rsid w:val="00246CB4"/>
    <w:rsid w:val="002641F9"/>
    <w:rsid w:val="00272168"/>
    <w:rsid w:val="00272A33"/>
    <w:rsid w:val="0027526D"/>
    <w:rsid w:val="002848DA"/>
    <w:rsid w:val="00284D80"/>
    <w:rsid w:val="002A18EC"/>
    <w:rsid w:val="002A1DE8"/>
    <w:rsid w:val="002A78A0"/>
    <w:rsid w:val="002B02ED"/>
    <w:rsid w:val="002B100C"/>
    <w:rsid w:val="002B432B"/>
    <w:rsid w:val="002B5AE6"/>
    <w:rsid w:val="002C4450"/>
    <w:rsid w:val="002E14B8"/>
    <w:rsid w:val="002E285B"/>
    <w:rsid w:val="002E4FA8"/>
    <w:rsid w:val="002E7BC0"/>
    <w:rsid w:val="002F13EA"/>
    <w:rsid w:val="002F5132"/>
    <w:rsid w:val="002F52A9"/>
    <w:rsid w:val="002F6138"/>
    <w:rsid w:val="003045F8"/>
    <w:rsid w:val="00305299"/>
    <w:rsid w:val="00305C35"/>
    <w:rsid w:val="00311F29"/>
    <w:rsid w:val="00320C55"/>
    <w:rsid w:val="00322FF9"/>
    <w:rsid w:val="00323214"/>
    <w:rsid w:val="00332215"/>
    <w:rsid w:val="00332EC1"/>
    <w:rsid w:val="00333B53"/>
    <w:rsid w:val="00350CB0"/>
    <w:rsid w:val="003624A6"/>
    <w:rsid w:val="0037658D"/>
    <w:rsid w:val="00376FB2"/>
    <w:rsid w:val="00382F39"/>
    <w:rsid w:val="0038519F"/>
    <w:rsid w:val="003873FF"/>
    <w:rsid w:val="00394AC0"/>
    <w:rsid w:val="003B0C9A"/>
    <w:rsid w:val="003B1D32"/>
    <w:rsid w:val="003C11D1"/>
    <w:rsid w:val="003C20B4"/>
    <w:rsid w:val="003C4CA3"/>
    <w:rsid w:val="003C6DF1"/>
    <w:rsid w:val="003D0FE4"/>
    <w:rsid w:val="003D1CD3"/>
    <w:rsid w:val="003D418D"/>
    <w:rsid w:val="003D51F2"/>
    <w:rsid w:val="003D5267"/>
    <w:rsid w:val="003E0B6D"/>
    <w:rsid w:val="003E1E69"/>
    <w:rsid w:val="003E5024"/>
    <w:rsid w:val="003E514B"/>
    <w:rsid w:val="003F32AF"/>
    <w:rsid w:val="003F67AC"/>
    <w:rsid w:val="004127D7"/>
    <w:rsid w:val="004144E6"/>
    <w:rsid w:val="00417A06"/>
    <w:rsid w:val="004251EE"/>
    <w:rsid w:val="00441014"/>
    <w:rsid w:val="004430BB"/>
    <w:rsid w:val="00443ADF"/>
    <w:rsid w:val="00452F4C"/>
    <w:rsid w:val="00454994"/>
    <w:rsid w:val="004617E4"/>
    <w:rsid w:val="00466B7E"/>
    <w:rsid w:val="00470DC3"/>
    <w:rsid w:val="004723ED"/>
    <w:rsid w:val="00473800"/>
    <w:rsid w:val="0049225D"/>
    <w:rsid w:val="004B38E1"/>
    <w:rsid w:val="004B6412"/>
    <w:rsid w:val="004B67EB"/>
    <w:rsid w:val="004B767C"/>
    <w:rsid w:val="004C49E3"/>
    <w:rsid w:val="004C4D2A"/>
    <w:rsid w:val="004C77E1"/>
    <w:rsid w:val="004D2859"/>
    <w:rsid w:val="004D2BE0"/>
    <w:rsid w:val="004D7998"/>
    <w:rsid w:val="004E17AF"/>
    <w:rsid w:val="004E2E48"/>
    <w:rsid w:val="004E50B9"/>
    <w:rsid w:val="004F01DA"/>
    <w:rsid w:val="004F3E9A"/>
    <w:rsid w:val="00503A3B"/>
    <w:rsid w:val="0050415F"/>
    <w:rsid w:val="00504E01"/>
    <w:rsid w:val="0050762E"/>
    <w:rsid w:val="005104A1"/>
    <w:rsid w:val="00511137"/>
    <w:rsid w:val="00511820"/>
    <w:rsid w:val="00525C75"/>
    <w:rsid w:val="005279AC"/>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95729"/>
    <w:rsid w:val="005A03C1"/>
    <w:rsid w:val="005A09EF"/>
    <w:rsid w:val="005A612B"/>
    <w:rsid w:val="005A7A34"/>
    <w:rsid w:val="005B3CB1"/>
    <w:rsid w:val="005B5914"/>
    <w:rsid w:val="005B5C34"/>
    <w:rsid w:val="005C75D4"/>
    <w:rsid w:val="005E1E03"/>
    <w:rsid w:val="005E4006"/>
    <w:rsid w:val="005E494F"/>
    <w:rsid w:val="005F7A38"/>
    <w:rsid w:val="00623A68"/>
    <w:rsid w:val="00634387"/>
    <w:rsid w:val="0064557D"/>
    <w:rsid w:val="006464BB"/>
    <w:rsid w:val="00647006"/>
    <w:rsid w:val="00650F00"/>
    <w:rsid w:val="0065542A"/>
    <w:rsid w:val="00660DC4"/>
    <w:rsid w:val="00661D55"/>
    <w:rsid w:val="006626D7"/>
    <w:rsid w:val="00662A4D"/>
    <w:rsid w:val="006640BF"/>
    <w:rsid w:val="006664D5"/>
    <w:rsid w:val="00667F87"/>
    <w:rsid w:val="00674AC7"/>
    <w:rsid w:val="00675E94"/>
    <w:rsid w:val="00686AED"/>
    <w:rsid w:val="0069439E"/>
    <w:rsid w:val="0069453A"/>
    <w:rsid w:val="00696054"/>
    <w:rsid w:val="006A2939"/>
    <w:rsid w:val="006A4F70"/>
    <w:rsid w:val="006B31ED"/>
    <w:rsid w:val="006B7588"/>
    <w:rsid w:val="006C182A"/>
    <w:rsid w:val="006C2418"/>
    <w:rsid w:val="006D1A97"/>
    <w:rsid w:val="006D2A66"/>
    <w:rsid w:val="006D4D5D"/>
    <w:rsid w:val="006F246A"/>
    <w:rsid w:val="00701F3E"/>
    <w:rsid w:val="00702795"/>
    <w:rsid w:val="00704A2C"/>
    <w:rsid w:val="00707E82"/>
    <w:rsid w:val="0071121B"/>
    <w:rsid w:val="0072491E"/>
    <w:rsid w:val="007423BF"/>
    <w:rsid w:val="00742899"/>
    <w:rsid w:val="0075505C"/>
    <w:rsid w:val="0075730D"/>
    <w:rsid w:val="007706AB"/>
    <w:rsid w:val="00771F35"/>
    <w:rsid w:val="00773482"/>
    <w:rsid w:val="00773B30"/>
    <w:rsid w:val="00776C5D"/>
    <w:rsid w:val="0078241D"/>
    <w:rsid w:val="00784315"/>
    <w:rsid w:val="007866BC"/>
    <w:rsid w:val="00786A73"/>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1A33"/>
    <w:rsid w:val="007D2C38"/>
    <w:rsid w:val="007D2CF5"/>
    <w:rsid w:val="007D65B8"/>
    <w:rsid w:val="007F1C81"/>
    <w:rsid w:val="007F2B02"/>
    <w:rsid w:val="008013F7"/>
    <w:rsid w:val="00807345"/>
    <w:rsid w:val="008075B2"/>
    <w:rsid w:val="00813D87"/>
    <w:rsid w:val="00814590"/>
    <w:rsid w:val="0081659D"/>
    <w:rsid w:val="00823301"/>
    <w:rsid w:val="00825110"/>
    <w:rsid w:val="008267C5"/>
    <w:rsid w:val="008268D7"/>
    <w:rsid w:val="00831703"/>
    <w:rsid w:val="00831894"/>
    <w:rsid w:val="00832FAF"/>
    <w:rsid w:val="008342CC"/>
    <w:rsid w:val="00834839"/>
    <w:rsid w:val="00834B4B"/>
    <w:rsid w:val="00843997"/>
    <w:rsid w:val="0084695A"/>
    <w:rsid w:val="008542C4"/>
    <w:rsid w:val="00854ED8"/>
    <w:rsid w:val="0086273D"/>
    <w:rsid w:val="00863385"/>
    <w:rsid w:val="00871013"/>
    <w:rsid w:val="008752F2"/>
    <w:rsid w:val="008805DD"/>
    <w:rsid w:val="0088405A"/>
    <w:rsid w:val="00885DF0"/>
    <w:rsid w:val="0089398C"/>
    <w:rsid w:val="008A54D4"/>
    <w:rsid w:val="008B6D78"/>
    <w:rsid w:val="008D030A"/>
    <w:rsid w:val="008D1E3C"/>
    <w:rsid w:val="008E1D32"/>
    <w:rsid w:val="008E4171"/>
    <w:rsid w:val="008E4C9F"/>
    <w:rsid w:val="008E5D69"/>
    <w:rsid w:val="008F5D03"/>
    <w:rsid w:val="00911012"/>
    <w:rsid w:val="00911B41"/>
    <w:rsid w:val="0091205A"/>
    <w:rsid w:val="00921567"/>
    <w:rsid w:val="00922BE8"/>
    <w:rsid w:val="009252DB"/>
    <w:rsid w:val="00925E0C"/>
    <w:rsid w:val="0092637C"/>
    <w:rsid w:val="00926581"/>
    <w:rsid w:val="00933D23"/>
    <w:rsid w:val="00936140"/>
    <w:rsid w:val="009459B4"/>
    <w:rsid w:val="00945B70"/>
    <w:rsid w:val="00946B2D"/>
    <w:rsid w:val="00947F35"/>
    <w:rsid w:val="00950014"/>
    <w:rsid w:val="0095399A"/>
    <w:rsid w:val="00954F24"/>
    <w:rsid w:val="00955089"/>
    <w:rsid w:val="009648C3"/>
    <w:rsid w:val="0097437D"/>
    <w:rsid w:val="00974E55"/>
    <w:rsid w:val="00980F8E"/>
    <w:rsid w:val="00985174"/>
    <w:rsid w:val="0098690D"/>
    <w:rsid w:val="0098747B"/>
    <w:rsid w:val="00987959"/>
    <w:rsid w:val="0099187B"/>
    <w:rsid w:val="00997BF8"/>
    <w:rsid w:val="00997D62"/>
    <w:rsid w:val="00997DEA"/>
    <w:rsid w:val="009A546C"/>
    <w:rsid w:val="009A6028"/>
    <w:rsid w:val="009B3179"/>
    <w:rsid w:val="009B7685"/>
    <w:rsid w:val="009C1955"/>
    <w:rsid w:val="009C3D6A"/>
    <w:rsid w:val="009E2F2F"/>
    <w:rsid w:val="009E7471"/>
    <w:rsid w:val="009F15CB"/>
    <w:rsid w:val="009F1BD8"/>
    <w:rsid w:val="009F313A"/>
    <w:rsid w:val="00A04082"/>
    <w:rsid w:val="00A04430"/>
    <w:rsid w:val="00A06C38"/>
    <w:rsid w:val="00A127BD"/>
    <w:rsid w:val="00A24E55"/>
    <w:rsid w:val="00A25AA1"/>
    <w:rsid w:val="00A36943"/>
    <w:rsid w:val="00A50ABB"/>
    <w:rsid w:val="00A50ED4"/>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95F56"/>
    <w:rsid w:val="00A961AC"/>
    <w:rsid w:val="00AA227D"/>
    <w:rsid w:val="00AA4460"/>
    <w:rsid w:val="00AB161A"/>
    <w:rsid w:val="00AB2B29"/>
    <w:rsid w:val="00AB30DD"/>
    <w:rsid w:val="00AC25B5"/>
    <w:rsid w:val="00AD1316"/>
    <w:rsid w:val="00AD6696"/>
    <w:rsid w:val="00AE4EA8"/>
    <w:rsid w:val="00AE51FB"/>
    <w:rsid w:val="00AF3B1E"/>
    <w:rsid w:val="00AF4034"/>
    <w:rsid w:val="00AF56C6"/>
    <w:rsid w:val="00AF5BF6"/>
    <w:rsid w:val="00B01299"/>
    <w:rsid w:val="00B0284B"/>
    <w:rsid w:val="00B02B70"/>
    <w:rsid w:val="00B03A41"/>
    <w:rsid w:val="00B04BAA"/>
    <w:rsid w:val="00B15D0B"/>
    <w:rsid w:val="00B264BF"/>
    <w:rsid w:val="00B26C9A"/>
    <w:rsid w:val="00B34AA7"/>
    <w:rsid w:val="00B43C60"/>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5249"/>
    <w:rsid w:val="00BE5645"/>
    <w:rsid w:val="00BE610A"/>
    <w:rsid w:val="00BF0470"/>
    <w:rsid w:val="00BF3090"/>
    <w:rsid w:val="00C0155F"/>
    <w:rsid w:val="00C15C5C"/>
    <w:rsid w:val="00C16500"/>
    <w:rsid w:val="00C31ECA"/>
    <w:rsid w:val="00C33CC5"/>
    <w:rsid w:val="00C40554"/>
    <w:rsid w:val="00C43588"/>
    <w:rsid w:val="00C54F67"/>
    <w:rsid w:val="00C5755D"/>
    <w:rsid w:val="00C61357"/>
    <w:rsid w:val="00C644BC"/>
    <w:rsid w:val="00C655EF"/>
    <w:rsid w:val="00C74762"/>
    <w:rsid w:val="00C74FCB"/>
    <w:rsid w:val="00C80B51"/>
    <w:rsid w:val="00C80F2E"/>
    <w:rsid w:val="00C91165"/>
    <w:rsid w:val="00C97251"/>
    <w:rsid w:val="00C97759"/>
    <w:rsid w:val="00CA7E35"/>
    <w:rsid w:val="00CC43B2"/>
    <w:rsid w:val="00CC69B4"/>
    <w:rsid w:val="00CC6CA3"/>
    <w:rsid w:val="00CD4C02"/>
    <w:rsid w:val="00CD4DCE"/>
    <w:rsid w:val="00CD6D22"/>
    <w:rsid w:val="00CE0A50"/>
    <w:rsid w:val="00CE4484"/>
    <w:rsid w:val="00CF2EBA"/>
    <w:rsid w:val="00CF6D79"/>
    <w:rsid w:val="00CF7F1B"/>
    <w:rsid w:val="00D044A0"/>
    <w:rsid w:val="00D14EF0"/>
    <w:rsid w:val="00D1605A"/>
    <w:rsid w:val="00D20DE3"/>
    <w:rsid w:val="00D22A18"/>
    <w:rsid w:val="00D31975"/>
    <w:rsid w:val="00D33E0C"/>
    <w:rsid w:val="00D35A2C"/>
    <w:rsid w:val="00D41A10"/>
    <w:rsid w:val="00D429B3"/>
    <w:rsid w:val="00D44766"/>
    <w:rsid w:val="00D5114B"/>
    <w:rsid w:val="00D66192"/>
    <w:rsid w:val="00D66ECF"/>
    <w:rsid w:val="00D67F1F"/>
    <w:rsid w:val="00D77C9B"/>
    <w:rsid w:val="00D82D67"/>
    <w:rsid w:val="00D8453B"/>
    <w:rsid w:val="00D855AA"/>
    <w:rsid w:val="00D86597"/>
    <w:rsid w:val="00D94F19"/>
    <w:rsid w:val="00D95767"/>
    <w:rsid w:val="00DA348D"/>
    <w:rsid w:val="00DA3C93"/>
    <w:rsid w:val="00DB0A25"/>
    <w:rsid w:val="00DB1706"/>
    <w:rsid w:val="00DB46CC"/>
    <w:rsid w:val="00DB53FB"/>
    <w:rsid w:val="00DC4670"/>
    <w:rsid w:val="00DD43AB"/>
    <w:rsid w:val="00DD657E"/>
    <w:rsid w:val="00DD6A23"/>
    <w:rsid w:val="00DD7190"/>
    <w:rsid w:val="00DD72B2"/>
    <w:rsid w:val="00DE207C"/>
    <w:rsid w:val="00DE745A"/>
    <w:rsid w:val="00DF173D"/>
    <w:rsid w:val="00E00AD2"/>
    <w:rsid w:val="00E02A2F"/>
    <w:rsid w:val="00E136B5"/>
    <w:rsid w:val="00E14ADF"/>
    <w:rsid w:val="00E17726"/>
    <w:rsid w:val="00E225C6"/>
    <w:rsid w:val="00E235C1"/>
    <w:rsid w:val="00E24F76"/>
    <w:rsid w:val="00E27BCC"/>
    <w:rsid w:val="00E31597"/>
    <w:rsid w:val="00E3370E"/>
    <w:rsid w:val="00E33EAB"/>
    <w:rsid w:val="00E40115"/>
    <w:rsid w:val="00E40567"/>
    <w:rsid w:val="00E406BB"/>
    <w:rsid w:val="00E4546F"/>
    <w:rsid w:val="00E5631A"/>
    <w:rsid w:val="00E5772B"/>
    <w:rsid w:val="00E61154"/>
    <w:rsid w:val="00E80C47"/>
    <w:rsid w:val="00E80EBF"/>
    <w:rsid w:val="00E83148"/>
    <w:rsid w:val="00E870F4"/>
    <w:rsid w:val="00E87734"/>
    <w:rsid w:val="00EA6390"/>
    <w:rsid w:val="00EA6454"/>
    <w:rsid w:val="00EA794F"/>
    <w:rsid w:val="00EB04C1"/>
    <w:rsid w:val="00EB67EB"/>
    <w:rsid w:val="00EB6AE9"/>
    <w:rsid w:val="00EB789F"/>
    <w:rsid w:val="00EC0BCC"/>
    <w:rsid w:val="00EC1778"/>
    <w:rsid w:val="00ED12B6"/>
    <w:rsid w:val="00EE02E1"/>
    <w:rsid w:val="00EE421A"/>
    <w:rsid w:val="00EF083E"/>
    <w:rsid w:val="00EF0FC1"/>
    <w:rsid w:val="00EF2D1C"/>
    <w:rsid w:val="00EF391B"/>
    <w:rsid w:val="00EF442E"/>
    <w:rsid w:val="00F014A2"/>
    <w:rsid w:val="00F02DBB"/>
    <w:rsid w:val="00F035C0"/>
    <w:rsid w:val="00F3151F"/>
    <w:rsid w:val="00F32BFD"/>
    <w:rsid w:val="00F41226"/>
    <w:rsid w:val="00F45E9C"/>
    <w:rsid w:val="00F471E2"/>
    <w:rsid w:val="00F56268"/>
    <w:rsid w:val="00F65E11"/>
    <w:rsid w:val="00F673C0"/>
    <w:rsid w:val="00F7147F"/>
    <w:rsid w:val="00F71CBA"/>
    <w:rsid w:val="00F76B57"/>
    <w:rsid w:val="00F86E95"/>
    <w:rsid w:val="00F92F84"/>
    <w:rsid w:val="00F97A5A"/>
    <w:rsid w:val="00FA1219"/>
    <w:rsid w:val="00FA64E1"/>
    <w:rsid w:val="00FB01BB"/>
    <w:rsid w:val="00FB0914"/>
    <w:rsid w:val="00FB353A"/>
    <w:rsid w:val="00FB60AE"/>
    <w:rsid w:val="00FB6309"/>
    <w:rsid w:val="00FB6B57"/>
    <w:rsid w:val="00FC25DD"/>
    <w:rsid w:val="00FC4EBB"/>
    <w:rsid w:val="00FD4F36"/>
    <w:rsid w:val="00FD540F"/>
    <w:rsid w:val="00FE0943"/>
    <w:rsid w:val="00FE28CF"/>
    <w:rsid w:val="00FE505D"/>
    <w:rsid w:val="00FF21E3"/>
    <w:rsid w:val="00FF5957"/>
    <w:rsid w:val="00FF5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semiHidden/>
    <w:rsid w:val="00885DF0"/>
    <w:rPr>
      <w:sz w:val="16"/>
      <w:szCs w:val="16"/>
    </w:rPr>
  </w:style>
  <w:style w:type="paragraph" w:styleId="Revision">
    <w:name w:val="Revision"/>
    <w:hidden/>
    <w:uiPriority w:val="99"/>
    <w:semiHidden/>
    <w:rsid w:val="00B01299"/>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t.gov.au/international-relations/security/sanctions/consolidated-list" TargetMode="External"/><Relationship Id="rId18" Type="http://schemas.openxmlformats.org/officeDocument/2006/relationships/hyperlink" Target="https://www.griffith.edu.au/links/staff/039"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riffith.edu.au/links/staff/098" TargetMode="External"/><Relationship Id="rId34" Type="http://schemas.openxmlformats.org/officeDocument/2006/relationships/hyperlink" Target="https://sharepointpubstor.blob.core.windows.net/policylibrary-prod/The%20Responsible%20Conduct%20of%20Research.pdf" TargetMode="External"/><Relationship Id="rId7" Type="http://schemas.openxmlformats.org/officeDocument/2006/relationships/settings" Target="settings.xml"/><Relationship Id="rId12" Type="http://schemas.openxmlformats.org/officeDocument/2006/relationships/hyperlink" Target="https://www.defence.gov.au/business-industry/export/controls/compliance/approach" TargetMode="External"/><Relationship Id="rId17" Type="http://schemas.openxmlformats.org/officeDocument/2006/relationships/hyperlink" Target="https://griffitheduau.sharepoint.com/sites/CFI-HUB/SitePages/International-Engagement-Checking-Tool.aspx" TargetMode="External"/><Relationship Id="rId25" Type="http://schemas.openxmlformats.org/officeDocument/2006/relationships/header" Target="header2.xml"/><Relationship Id="rId33" Type="http://schemas.openxmlformats.org/officeDocument/2006/relationships/hyperlink" Target="https://www.industry.gov.au/publications/list-critical-technologies-national-intere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iffith.edu.au/research/research-services/research-policy-performance/export-trade-controls" TargetMode="External"/><Relationship Id="rId20" Type="http://schemas.openxmlformats.org/officeDocument/2006/relationships/hyperlink" Target="https://www.griffith.edu.au/links/staff/097" TargetMode="External"/><Relationship Id="rId29" Type="http://schemas.openxmlformats.org/officeDocument/2006/relationships/hyperlink" Target="https://www.legislation.gov.au/Details/C2018C003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international-relations/security/sanctions/sanctions-regimes" TargetMode="External"/><Relationship Id="rId24" Type="http://schemas.openxmlformats.org/officeDocument/2006/relationships/footer" Target="footer1.xml"/><Relationship Id="rId32" Type="http://schemas.openxmlformats.org/officeDocument/2006/relationships/hyperlink" Target="https://www.dfat.gov.au/international-relations/security/sanctions/consolidated-list" TargetMode="External"/><Relationship Id="rId37" Type="http://schemas.openxmlformats.org/officeDocument/2006/relationships/hyperlink" Target="https://griffitheduau.sharepoint.com/sites/CFI-HUB/SitePages/International-Engagement-Checking-Tool.aspx" TargetMode="External"/><Relationship Id="rId5" Type="http://schemas.openxmlformats.org/officeDocument/2006/relationships/numbering" Target="numbering.xml"/><Relationship Id="rId15" Type="http://schemas.openxmlformats.org/officeDocument/2006/relationships/hyperlink" Target="https://www.dfat.gov.au/international-relations/security/sanctions/consolidated-list" TargetMode="External"/><Relationship Id="rId23" Type="http://schemas.openxmlformats.org/officeDocument/2006/relationships/header" Target="header1.xml"/><Relationship Id="rId28" Type="http://schemas.openxmlformats.org/officeDocument/2006/relationships/hyperlink" Target="https://www.defence.gov.au/business-industry/export/controls/export-controls/defence-strategic-goods-list" TargetMode="External"/><Relationship Id="rId36" Type="http://schemas.openxmlformats.org/officeDocument/2006/relationships/hyperlink" Target="https://griffitheduau.sharepoint.com/sites/CFI-HUB" TargetMode="External"/><Relationship Id="rId10" Type="http://schemas.openxmlformats.org/officeDocument/2006/relationships/endnotes" Target="endnotes.xml"/><Relationship Id="rId19" Type="http://schemas.openxmlformats.org/officeDocument/2006/relationships/hyperlink" Target="https://www.griffith.edu.au/links/staff/039" TargetMode="External"/><Relationship Id="rId31" Type="http://schemas.openxmlformats.org/officeDocument/2006/relationships/hyperlink" Target="https://www.legislation.gov.au/Details/C2016C010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iffitheduau.sharepoint.com/sites/CFI-HUB/SitePages/International-Engagement-Checking-Tool.aspx" TargetMode="External"/><Relationship Id="rId22" Type="http://schemas.openxmlformats.org/officeDocument/2006/relationships/hyperlink" Target="https://www.defence.gov.au/business-industry/export/controls/assess-apply/self-assessment-tool" TargetMode="External"/><Relationship Id="rId27" Type="http://schemas.openxmlformats.org/officeDocument/2006/relationships/hyperlink" Target="https://www.legislation.gov.au/Details/C2021C00581" TargetMode="External"/><Relationship Id="rId30" Type="http://schemas.openxmlformats.org/officeDocument/2006/relationships/hyperlink" Target="https://www.legislation.gov.au/Details/C2016C00742" TargetMode="External"/><Relationship Id="rId35" Type="http://schemas.openxmlformats.org/officeDocument/2006/relationships/hyperlink" Target="https://sharepointpubstor.blob.core.windows.net/policylibrary-prod/Code%20of%20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0" ma:contentTypeDescription="Create a new document." ma:contentTypeScope="" ma:versionID="67bfab1a9b7b7e4550658a12f1dea72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209d531275abba0b60d2b5d9833b9f80"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162</Value>
      <Value>77</Value>
    </TaxCatchAll>
    <PublishOn xmlns="2f261a70-825f-4a37-b7b5-f6ecc2f4c5fa">2023-09-21T04:43:37+00:00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document sets out the procedure for managing the appointment of Griffith Staff, including casuals and non-paid staff, to ensure that any new staff appointments do not contravene or breach the legislative framework underpinning Australia's system of export controls and sanctions.</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21/09/2023 - the Chief of Staff advised (via email) that Council approved the new Procedure (2023/0001037) and that the Vice Chancellor delegated the new Procedure to the Director, Human Resources as the Approving Authority as per Academic Committee's (03/2023 meeting 20 July) endorsement.</doccomments>
    <datedeclared xmlns="2f261a70-825f-4a37-b7b5-f6ecc2f4c5fa">2023-08-13T14:00:00+00:00</datedeclared>
    <PrivatePolicy xmlns="2f261a70-825f-4a37-b7b5-f6ecc2f4c5fa">false</PrivatePolicy>
    <policyadvisor xmlns="2f261a70-825f-4a37-b7b5-f6ecc2f4c5fa">
      <UserInfo>
        <DisplayName>Claudia Arango</DisplayName>
        <AccountId>117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2D9E3140-B7B5-4A20-9194-B44F961F66FE}"/>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Assessment of University Appointments Sanctions and Export Controls Compliance Procedure</dc:title>
  <dc:subject/>
  <dc:creator>Rebecca Voisey</dc:creator>
  <cp:keywords/>
  <dc:description/>
  <cp:lastModifiedBy>Donna Kalaentzis</cp:lastModifiedBy>
  <cp:revision>2</cp:revision>
  <cp:lastPrinted>2023-07-12T06:45:00Z</cp:lastPrinted>
  <dcterms:created xsi:type="dcterms:W3CDTF">2023-09-21T04:19:00Z</dcterms:created>
  <dcterms:modified xsi:type="dcterms:W3CDTF">2023-09-21T04:19:00Z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
  </property>
  <property fmtid="{D5CDD505-2E9C-101B-9397-08002B2CF9AE}" pid="13" name="policycategory">
    <vt:lpwstr/>
  </property>
  <property fmtid="{D5CDD505-2E9C-101B-9397-08002B2CF9AE}" pid="14" name="officearea">
    <vt:lpwstr>162;#GGRS|9998683f-6a66-407c-9d64-f95cccd304fa</vt:lpwstr>
  </property>
  <property fmtid="{D5CDD505-2E9C-101B-9397-08002B2CF9AE}" pid="15" name="Managed_Testing_Field">
    <vt:lpwstr/>
  </property>
  <property fmtid="{D5CDD505-2E9C-101B-9397-08002B2CF9AE}" pid="16" name="policy-category">
    <vt:lpwstr>522;#Staff|3e9f4474-6295-47f7-a166-0065c4fb1613</vt:lpwstr>
  </property>
  <property fmtid="{D5CDD505-2E9C-101B-9397-08002B2CF9AE}" pid="17" name="glossaryterms">
    <vt:lpwstr/>
  </property>
  <property fmtid="{D5CDD505-2E9C-101B-9397-08002B2CF9AE}" pid="18" name="policyaudience">
    <vt:lpwstr>77;#Staff|45ee306d-49ae-43fa-a3ef-02f70754fd2d</vt:lpwstr>
  </property>
  <property fmtid="{D5CDD505-2E9C-101B-9397-08002B2CF9AE}" pid="19" name="policyreview">
    <vt:lpwstr>242;#2026|0e39d474-4c22-40b4-8b37-f0e7c9e0e124</vt:lpwstr>
  </property>
</Properties>
</file>