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6B3C" w14:textId="64013579" w:rsidR="007F2B02" w:rsidRPr="00DD4C24" w:rsidRDefault="0016173F" w:rsidP="00DD4C24">
      <w:pPr>
        <w:pStyle w:val="ContentsHeading1"/>
        <w:pBdr>
          <w:bottom w:val="none" w:sz="0" w:space="0" w:color="auto"/>
        </w:pBdr>
        <w:spacing w:before="120" w:after="120"/>
        <w:rPr>
          <w:rFonts w:ascii="Arial" w:hAnsi="Arial" w:cs="Arial"/>
          <w:sz w:val="48"/>
          <w:szCs w:val="48"/>
        </w:rPr>
      </w:pPr>
      <w:bookmarkStart w:id="0" w:name="_Ref20321537"/>
      <w:r w:rsidRPr="00DD4C24">
        <w:rPr>
          <w:rFonts w:ascii="Arial" w:hAnsi="Arial" w:cs="Arial"/>
          <w:sz w:val="48"/>
          <w:szCs w:val="48"/>
        </w:rPr>
        <w:t xml:space="preserve">Managing Assessment of HDR </w:t>
      </w:r>
      <w:r w:rsidR="00DD4C24" w:rsidRPr="00DD4C24">
        <w:rPr>
          <w:rFonts w:ascii="Arial" w:hAnsi="Arial" w:cs="Arial"/>
          <w:sz w:val="48"/>
          <w:szCs w:val="48"/>
        </w:rPr>
        <w:br/>
      </w:r>
      <w:r w:rsidRPr="00DD4C24">
        <w:rPr>
          <w:rFonts w:ascii="Arial" w:hAnsi="Arial" w:cs="Arial"/>
          <w:sz w:val="48"/>
          <w:szCs w:val="48"/>
        </w:rPr>
        <w:t>Applicants:</w:t>
      </w:r>
      <w:r w:rsidR="00DD4C24" w:rsidRPr="00DD4C24">
        <w:rPr>
          <w:rFonts w:ascii="Arial" w:hAnsi="Arial" w:cs="Arial"/>
          <w:sz w:val="48"/>
          <w:szCs w:val="48"/>
        </w:rPr>
        <w:t xml:space="preserve">  </w:t>
      </w:r>
      <w:r w:rsidRPr="00DD4C24">
        <w:rPr>
          <w:rFonts w:ascii="Arial" w:hAnsi="Arial" w:cs="Arial"/>
          <w:sz w:val="48"/>
          <w:szCs w:val="48"/>
        </w:rPr>
        <w:t xml:space="preserve">Sanctions and Export </w:t>
      </w:r>
      <w:r w:rsidR="00DD4C24" w:rsidRPr="00DD4C24">
        <w:rPr>
          <w:rFonts w:ascii="Arial" w:hAnsi="Arial" w:cs="Arial"/>
          <w:sz w:val="48"/>
          <w:szCs w:val="48"/>
        </w:rPr>
        <w:br/>
      </w:r>
      <w:r w:rsidRPr="00DD4C24">
        <w:rPr>
          <w:rFonts w:ascii="Arial" w:hAnsi="Arial" w:cs="Arial"/>
          <w:sz w:val="48"/>
          <w:szCs w:val="48"/>
        </w:rPr>
        <w:t>Controls Compliance</w:t>
      </w:r>
      <w:bookmarkStart w:id="1" w:name="_Ref20411738"/>
      <w:bookmarkStart w:id="2" w:name="_Ref20411785"/>
    </w:p>
    <w:p w14:paraId="757C4A4A" w14:textId="05A681B3" w:rsidR="00997DEA" w:rsidRPr="00DD4C24" w:rsidRDefault="00997DEA" w:rsidP="00DD4C24">
      <w:pPr>
        <w:spacing w:after="0" w:line="240" w:lineRule="auto"/>
        <w:rPr>
          <w:rFonts w:ascii="Arial" w:hAnsi="Arial" w:cs="Arial"/>
          <w:color w:val="E30918"/>
          <w:sz w:val="24"/>
          <w:szCs w:val="24"/>
          <w:shd w:val="clear" w:color="auto" w:fill="FFFFFF"/>
        </w:rPr>
      </w:pPr>
      <w:r w:rsidRPr="00DD4C24">
        <w:rPr>
          <w:rFonts w:ascii="Arial" w:hAnsi="Arial" w:cs="Arial"/>
          <w:color w:val="E30918"/>
          <w:sz w:val="24"/>
          <w:szCs w:val="24"/>
          <w:shd w:val="clear" w:color="auto" w:fill="FFFFFF"/>
        </w:rPr>
        <w:fldChar w:fldCharType="begin"/>
      </w:r>
      <w:r w:rsidRPr="00DD4C24">
        <w:rPr>
          <w:rFonts w:ascii="Arial" w:hAnsi="Arial" w:cs="Arial"/>
          <w:color w:val="E30918"/>
          <w:sz w:val="24"/>
          <w:szCs w:val="24"/>
          <w:shd w:val="clear" w:color="auto" w:fill="FFFFFF"/>
        </w:rPr>
        <w:instrText xml:space="preserve"> REF _Ref20480964 \h  \* MERGEFORMAT </w:instrText>
      </w:r>
      <w:r w:rsidRPr="00DD4C24">
        <w:rPr>
          <w:rFonts w:ascii="Arial" w:hAnsi="Arial" w:cs="Arial"/>
          <w:color w:val="E30918"/>
          <w:sz w:val="24"/>
          <w:szCs w:val="24"/>
          <w:shd w:val="clear" w:color="auto" w:fill="FFFFFF"/>
        </w:rPr>
      </w:r>
      <w:r w:rsidRPr="00DD4C24">
        <w:rPr>
          <w:rFonts w:ascii="Arial" w:hAnsi="Arial" w:cs="Arial"/>
          <w:color w:val="E30918"/>
          <w:sz w:val="24"/>
          <w:szCs w:val="24"/>
          <w:shd w:val="clear" w:color="auto" w:fill="FFFFFF"/>
        </w:rPr>
        <w:fldChar w:fldCharType="separate"/>
      </w:r>
      <w:r w:rsidR="000B2197" w:rsidRPr="00DD4C24">
        <w:rPr>
          <w:rFonts w:ascii="Arial" w:hAnsi="Arial" w:cs="Arial"/>
          <w:color w:val="E30918"/>
          <w:sz w:val="24"/>
          <w:szCs w:val="24"/>
          <w:shd w:val="clear" w:color="auto" w:fill="FFFFFF"/>
        </w:rPr>
        <w:t>1.0 Purpose</w:t>
      </w:r>
      <w:r w:rsidRPr="00DD4C24">
        <w:rPr>
          <w:rFonts w:ascii="Arial" w:hAnsi="Arial" w:cs="Arial"/>
          <w:color w:val="E30918"/>
          <w:sz w:val="24"/>
          <w:szCs w:val="24"/>
          <w:shd w:val="clear" w:color="auto" w:fill="FFFFFF"/>
        </w:rPr>
        <w:fldChar w:fldCharType="end"/>
      </w:r>
    </w:p>
    <w:p w14:paraId="1370E53A" w14:textId="0EF1AF8F" w:rsidR="00997DEA" w:rsidRPr="00DD4C24" w:rsidRDefault="00997DEA" w:rsidP="00DD4C24">
      <w:pPr>
        <w:spacing w:after="0" w:line="240" w:lineRule="auto"/>
        <w:rPr>
          <w:rFonts w:ascii="Arial" w:hAnsi="Arial" w:cs="Arial"/>
          <w:color w:val="E30918"/>
          <w:sz w:val="24"/>
          <w:szCs w:val="24"/>
          <w:shd w:val="clear" w:color="auto" w:fill="FFFFFF"/>
        </w:rPr>
      </w:pPr>
      <w:r w:rsidRPr="00DD4C24">
        <w:rPr>
          <w:rFonts w:ascii="Arial" w:hAnsi="Arial" w:cs="Arial"/>
          <w:color w:val="E30918"/>
          <w:sz w:val="24"/>
          <w:szCs w:val="24"/>
          <w:shd w:val="clear" w:color="auto" w:fill="FFFFFF"/>
        </w:rPr>
        <w:fldChar w:fldCharType="begin"/>
      </w:r>
      <w:r w:rsidRPr="00DD4C24">
        <w:rPr>
          <w:rFonts w:ascii="Arial" w:hAnsi="Arial" w:cs="Arial"/>
          <w:color w:val="E30918"/>
          <w:sz w:val="24"/>
          <w:szCs w:val="24"/>
          <w:shd w:val="clear" w:color="auto" w:fill="FFFFFF"/>
        </w:rPr>
        <w:instrText xml:space="preserve"> REF _Ref20480989 \h  \* MERGEFORMAT </w:instrText>
      </w:r>
      <w:r w:rsidRPr="00DD4C24">
        <w:rPr>
          <w:rFonts w:ascii="Arial" w:hAnsi="Arial" w:cs="Arial"/>
          <w:color w:val="E30918"/>
          <w:sz w:val="24"/>
          <w:szCs w:val="24"/>
          <w:shd w:val="clear" w:color="auto" w:fill="FFFFFF"/>
        </w:rPr>
      </w:r>
      <w:r w:rsidRPr="00DD4C24">
        <w:rPr>
          <w:rFonts w:ascii="Arial" w:hAnsi="Arial" w:cs="Arial"/>
          <w:color w:val="E30918"/>
          <w:sz w:val="24"/>
          <w:szCs w:val="24"/>
          <w:shd w:val="clear" w:color="auto" w:fill="FFFFFF"/>
        </w:rPr>
        <w:fldChar w:fldCharType="separate"/>
      </w:r>
      <w:r w:rsidR="000B2197" w:rsidRPr="00DD4C24">
        <w:rPr>
          <w:rFonts w:ascii="Arial" w:hAnsi="Arial" w:cs="Arial"/>
          <w:color w:val="E30918"/>
          <w:sz w:val="24"/>
          <w:szCs w:val="24"/>
        </w:rPr>
        <w:t>2.0 Scope</w:t>
      </w:r>
      <w:r w:rsidRPr="00DD4C24">
        <w:rPr>
          <w:rFonts w:ascii="Arial" w:hAnsi="Arial" w:cs="Arial"/>
          <w:color w:val="E30918"/>
          <w:sz w:val="24"/>
          <w:szCs w:val="24"/>
          <w:shd w:val="clear" w:color="auto" w:fill="FFFFFF"/>
        </w:rPr>
        <w:fldChar w:fldCharType="end"/>
      </w:r>
    </w:p>
    <w:p w14:paraId="50B92993" w14:textId="3855CD5C" w:rsidR="00997DEA" w:rsidRPr="00DD4C24" w:rsidRDefault="00997DEA" w:rsidP="00DD4C24">
      <w:pPr>
        <w:spacing w:after="0" w:line="240" w:lineRule="auto"/>
        <w:rPr>
          <w:rFonts w:ascii="Arial" w:hAnsi="Arial" w:cs="Arial"/>
          <w:color w:val="E30918"/>
          <w:sz w:val="24"/>
          <w:szCs w:val="24"/>
          <w:shd w:val="clear" w:color="auto" w:fill="FFFFFF"/>
        </w:rPr>
      </w:pPr>
      <w:r w:rsidRPr="00DD4C24">
        <w:rPr>
          <w:rFonts w:ascii="Arial" w:hAnsi="Arial" w:cs="Arial"/>
          <w:color w:val="E30918"/>
          <w:sz w:val="24"/>
          <w:szCs w:val="24"/>
          <w:shd w:val="clear" w:color="auto" w:fill="FFFFFF"/>
        </w:rPr>
        <w:fldChar w:fldCharType="begin"/>
      </w:r>
      <w:r w:rsidRPr="00DD4C24">
        <w:rPr>
          <w:rFonts w:ascii="Arial" w:hAnsi="Arial" w:cs="Arial"/>
          <w:color w:val="E30918"/>
          <w:sz w:val="24"/>
          <w:szCs w:val="24"/>
          <w:shd w:val="clear" w:color="auto" w:fill="FFFFFF"/>
        </w:rPr>
        <w:instrText xml:space="preserve"> REF _Ref20481014 \h  \* MERGEFORMAT </w:instrText>
      </w:r>
      <w:r w:rsidRPr="00DD4C24">
        <w:rPr>
          <w:rFonts w:ascii="Arial" w:hAnsi="Arial" w:cs="Arial"/>
          <w:color w:val="E30918"/>
          <w:sz w:val="24"/>
          <w:szCs w:val="24"/>
          <w:shd w:val="clear" w:color="auto" w:fill="FFFFFF"/>
        </w:rPr>
      </w:r>
      <w:r w:rsidRPr="00DD4C24">
        <w:rPr>
          <w:rFonts w:ascii="Arial" w:hAnsi="Arial" w:cs="Arial"/>
          <w:color w:val="E30918"/>
          <w:sz w:val="24"/>
          <w:szCs w:val="24"/>
          <w:shd w:val="clear" w:color="auto" w:fill="FFFFFF"/>
        </w:rPr>
        <w:fldChar w:fldCharType="separate"/>
      </w:r>
      <w:r w:rsidR="000B2197" w:rsidRPr="00DD4C24">
        <w:rPr>
          <w:rFonts w:ascii="Arial" w:hAnsi="Arial" w:cs="Arial"/>
          <w:color w:val="E30918"/>
          <w:sz w:val="24"/>
          <w:szCs w:val="24"/>
        </w:rPr>
        <w:t>3.0 Procedure</w:t>
      </w:r>
      <w:r w:rsidRPr="00DD4C24">
        <w:rPr>
          <w:rFonts w:ascii="Arial" w:hAnsi="Arial" w:cs="Arial"/>
          <w:color w:val="E30918"/>
          <w:sz w:val="24"/>
          <w:szCs w:val="24"/>
          <w:shd w:val="clear" w:color="auto" w:fill="FFFFFF"/>
        </w:rPr>
        <w:fldChar w:fldCharType="end"/>
      </w:r>
    </w:p>
    <w:p w14:paraId="53CA93CB" w14:textId="1CF0B555" w:rsidR="00B57117" w:rsidRPr="00DD4C24" w:rsidRDefault="00000000" w:rsidP="00AA1ED0">
      <w:pPr>
        <w:spacing w:after="0" w:line="240" w:lineRule="auto"/>
        <w:ind w:left="284"/>
        <w:rPr>
          <w:rFonts w:ascii="Arial" w:hAnsi="Arial" w:cs="Arial"/>
          <w:color w:val="E30918"/>
          <w:sz w:val="24"/>
          <w:szCs w:val="24"/>
          <w:shd w:val="clear" w:color="auto" w:fill="FFFFFF"/>
        </w:rPr>
      </w:pPr>
      <w:hyperlink w:anchor="_3.1_Initial_Identification" w:history="1">
        <w:r w:rsidR="00B57117" w:rsidRPr="00DD4C24">
          <w:rPr>
            <w:rStyle w:val="Hyperlink"/>
            <w:rFonts w:ascii="Arial" w:hAnsi="Arial" w:cs="Arial"/>
            <w:sz w:val="24"/>
            <w:szCs w:val="24"/>
            <w:u w:val="none"/>
            <w:shd w:val="clear" w:color="auto" w:fill="FFFFFF"/>
          </w:rPr>
          <w:t xml:space="preserve">3.1 </w:t>
        </w:r>
        <w:r w:rsidR="005F09CD" w:rsidRPr="00DD4C24">
          <w:rPr>
            <w:rStyle w:val="Hyperlink"/>
            <w:rFonts w:ascii="Arial" w:hAnsi="Arial" w:cs="Arial"/>
            <w:sz w:val="24"/>
            <w:szCs w:val="24"/>
            <w:u w:val="none"/>
            <w:shd w:val="clear" w:color="auto" w:fill="FFFFFF"/>
          </w:rPr>
          <w:t>Initial Identification</w:t>
        </w:r>
      </w:hyperlink>
      <w:r w:rsidR="00C97759" w:rsidRPr="00DD4C24">
        <w:rPr>
          <w:rFonts w:ascii="Arial" w:hAnsi="Arial" w:cs="Arial"/>
          <w:color w:val="E30918"/>
          <w:sz w:val="24"/>
          <w:szCs w:val="24"/>
          <w:shd w:val="clear" w:color="auto" w:fill="FFFFFF"/>
        </w:rPr>
        <w:t xml:space="preserve"> I</w:t>
      </w:r>
      <w:r w:rsidR="00B57117" w:rsidRPr="00DD4C24">
        <w:rPr>
          <w:rFonts w:ascii="Arial" w:hAnsi="Arial" w:cs="Arial"/>
          <w:color w:val="E30918"/>
          <w:sz w:val="24"/>
          <w:szCs w:val="24"/>
          <w:shd w:val="clear" w:color="auto" w:fill="FFFFFF"/>
        </w:rPr>
        <w:t xml:space="preserve"> </w:t>
      </w:r>
      <w:hyperlink w:anchor="_3.2_&lt;Insert_sub-heading&gt;" w:history="1">
        <w:r w:rsidR="00B57117" w:rsidRPr="00DD4C24">
          <w:rPr>
            <w:rStyle w:val="Hyperlink"/>
            <w:rFonts w:ascii="Arial" w:hAnsi="Arial" w:cs="Arial"/>
            <w:sz w:val="24"/>
            <w:szCs w:val="24"/>
            <w:u w:val="none"/>
            <w:shd w:val="clear" w:color="auto" w:fill="FFFFFF"/>
          </w:rPr>
          <w:t xml:space="preserve">3.2 </w:t>
        </w:r>
        <w:r w:rsidR="00E3380F" w:rsidRPr="00DD4C24">
          <w:rPr>
            <w:rStyle w:val="Hyperlink"/>
            <w:rFonts w:ascii="Arial" w:hAnsi="Arial" w:cs="Arial"/>
            <w:sz w:val="24"/>
            <w:szCs w:val="24"/>
            <w:u w:val="none"/>
            <w:shd w:val="clear" w:color="auto" w:fill="FFFFFF"/>
          </w:rPr>
          <w:t>Assessment by the Academic Group</w:t>
        </w:r>
      </w:hyperlink>
      <w:r w:rsidR="000744A7" w:rsidRPr="00DD4C24">
        <w:rPr>
          <w:rStyle w:val="Hyperlink"/>
          <w:rFonts w:ascii="Arial" w:hAnsi="Arial" w:cs="Arial"/>
          <w:sz w:val="24"/>
          <w:szCs w:val="24"/>
          <w:u w:val="none"/>
          <w:shd w:val="clear" w:color="auto" w:fill="FFFFFF"/>
        </w:rPr>
        <w:t xml:space="preserve"> I </w:t>
      </w:r>
      <w:hyperlink w:anchor="_Group_Sanctions_Review" w:history="1">
        <w:r w:rsidR="000744A7" w:rsidRPr="00DD4C24">
          <w:rPr>
            <w:rStyle w:val="Hyperlink"/>
            <w:rFonts w:ascii="Arial" w:hAnsi="Arial" w:cs="Arial"/>
            <w:sz w:val="24"/>
            <w:szCs w:val="24"/>
            <w:u w:val="none"/>
            <w:shd w:val="clear" w:color="auto" w:fill="FFFFFF"/>
          </w:rPr>
          <w:t>3.3 Group Sanctions Review Panel</w:t>
        </w:r>
      </w:hyperlink>
      <w:r w:rsidR="00C97759" w:rsidRPr="00DD4C24">
        <w:rPr>
          <w:rFonts w:ascii="Arial" w:hAnsi="Arial" w:cs="Arial"/>
          <w:color w:val="E30918"/>
          <w:sz w:val="24"/>
          <w:szCs w:val="24"/>
          <w:shd w:val="clear" w:color="auto" w:fill="FFFFFF"/>
        </w:rPr>
        <w:t xml:space="preserve"> </w:t>
      </w:r>
      <w:r w:rsidR="000744A7" w:rsidRPr="00DD4C24">
        <w:rPr>
          <w:rFonts w:ascii="Arial" w:hAnsi="Arial" w:cs="Arial"/>
          <w:color w:val="E30918"/>
          <w:sz w:val="24"/>
          <w:szCs w:val="24"/>
          <w:shd w:val="clear" w:color="auto" w:fill="FFFFFF"/>
        </w:rPr>
        <w:t xml:space="preserve">I </w:t>
      </w:r>
      <w:hyperlink w:anchor="_Failsafe_Review" w:history="1">
        <w:r w:rsidR="000744A7" w:rsidRPr="00DD4C24">
          <w:rPr>
            <w:rStyle w:val="Hyperlink"/>
            <w:rFonts w:ascii="Arial" w:hAnsi="Arial" w:cs="Arial"/>
            <w:sz w:val="24"/>
            <w:szCs w:val="24"/>
            <w:u w:val="none"/>
            <w:shd w:val="clear" w:color="auto" w:fill="FFFFFF"/>
          </w:rPr>
          <w:t xml:space="preserve">3.4 </w:t>
        </w:r>
        <w:r w:rsidR="001E1A04" w:rsidRPr="00DD4C24">
          <w:rPr>
            <w:rStyle w:val="Hyperlink"/>
            <w:rFonts w:ascii="Arial" w:hAnsi="Arial" w:cs="Arial"/>
            <w:sz w:val="24"/>
            <w:szCs w:val="24"/>
            <w:u w:val="none"/>
            <w:shd w:val="clear" w:color="auto" w:fill="FFFFFF"/>
          </w:rPr>
          <w:t>Failsafe Review</w:t>
        </w:r>
      </w:hyperlink>
      <w:r w:rsidR="001E1A04" w:rsidRPr="00DD4C24">
        <w:rPr>
          <w:rFonts w:ascii="Arial" w:hAnsi="Arial" w:cs="Arial"/>
          <w:color w:val="E30918"/>
          <w:sz w:val="24"/>
          <w:szCs w:val="24"/>
          <w:shd w:val="clear" w:color="auto" w:fill="FFFFFF"/>
        </w:rPr>
        <w:t xml:space="preserve"> I </w:t>
      </w:r>
      <w:hyperlink w:anchor="_Ongoing_Compliance" w:history="1">
        <w:r w:rsidR="001E1A04" w:rsidRPr="00DD4C24">
          <w:rPr>
            <w:rStyle w:val="Hyperlink"/>
            <w:rFonts w:ascii="Arial" w:hAnsi="Arial" w:cs="Arial"/>
            <w:sz w:val="24"/>
            <w:szCs w:val="24"/>
            <w:u w:val="none"/>
            <w:shd w:val="clear" w:color="auto" w:fill="FFFFFF"/>
          </w:rPr>
          <w:t>3.5 Ongoing Compliance</w:t>
        </w:r>
      </w:hyperlink>
      <w:r w:rsidR="001E1A04" w:rsidRPr="00DD4C24">
        <w:rPr>
          <w:rFonts w:ascii="Arial" w:hAnsi="Arial" w:cs="Arial"/>
          <w:color w:val="E30918"/>
          <w:sz w:val="24"/>
          <w:szCs w:val="24"/>
          <w:shd w:val="clear" w:color="auto" w:fill="FFFFFF"/>
        </w:rPr>
        <w:t xml:space="preserve"> I </w:t>
      </w:r>
      <w:hyperlink w:anchor="_Assessment_of_compliance" w:history="1">
        <w:r w:rsidR="001E1A04" w:rsidRPr="00DD4C24">
          <w:rPr>
            <w:rStyle w:val="Hyperlink"/>
            <w:rFonts w:ascii="Arial" w:hAnsi="Arial" w:cs="Arial"/>
            <w:sz w:val="24"/>
            <w:szCs w:val="24"/>
            <w:u w:val="none"/>
            <w:shd w:val="clear" w:color="auto" w:fill="FFFFFF"/>
          </w:rPr>
          <w:t>3.6 Assessment of compliance for non-HDR admissions</w:t>
        </w:r>
      </w:hyperlink>
    </w:p>
    <w:p w14:paraId="4A6E6A60" w14:textId="10C4B952" w:rsidR="00997DEA" w:rsidRPr="00DD4C24" w:rsidRDefault="00997DEA" w:rsidP="00DD4C24">
      <w:pPr>
        <w:spacing w:after="0" w:line="240" w:lineRule="auto"/>
        <w:rPr>
          <w:rFonts w:ascii="Arial" w:hAnsi="Arial" w:cs="Arial"/>
          <w:color w:val="E30918"/>
          <w:sz w:val="24"/>
          <w:szCs w:val="24"/>
          <w:shd w:val="clear" w:color="auto" w:fill="FFFFFF"/>
        </w:rPr>
      </w:pPr>
      <w:r w:rsidRPr="00DD4C24">
        <w:rPr>
          <w:rFonts w:ascii="Arial" w:hAnsi="Arial" w:cs="Arial"/>
          <w:color w:val="E30918"/>
          <w:sz w:val="24"/>
          <w:szCs w:val="24"/>
          <w:shd w:val="clear" w:color="auto" w:fill="FFFFFF"/>
        </w:rPr>
        <w:fldChar w:fldCharType="begin"/>
      </w:r>
      <w:r w:rsidRPr="00DD4C24">
        <w:rPr>
          <w:rFonts w:ascii="Arial" w:hAnsi="Arial" w:cs="Arial"/>
          <w:color w:val="E30918"/>
          <w:sz w:val="24"/>
          <w:szCs w:val="24"/>
          <w:shd w:val="clear" w:color="auto" w:fill="FFFFFF"/>
        </w:rPr>
        <w:instrText xml:space="preserve"> REF _Ref20320732 \h  \* MERGEFORMAT </w:instrText>
      </w:r>
      <w:r w:rsidRPr="00DD4C24">
        <w:rPr>
          <w:rFonts w:ascii="Arial" w:hAnsi="Arial" w:cs="Arial"/>
          <w:color w:val="E30918"/>
          <w:sz w:val="24"/>
          <w:szCs w:val="24"/>
          <w:shd w:val="clear" w:color="auto" w:fill="FFFFFF"/>
        </w:rPr>
      </w:r>
      <w:r w:rsidRPr="00DD4C24">
        <w:rPr>
          <w:rFonts w:ascii="Arial" w:hAnsi="Arial" w:cs="Arial"/>
          <w:color w:val="E30918"/>
          <w:sz w:val="24"/>
          <w:szCs w:val="24"/>
          <w:shd w:val="clear" w:color="auto" w:fill="FFFFFF"/>
        </w:rPr>
        <w:fldChar w:fldCharType="separate"/>
      </w:r>
      <w:r w:rsidR="000B2197" w:rsidRPr="00DD4C24">
        <w:rPr>
          <w:rFonts w:ascii="Arial" w:hAnsi="Arial" w:cs="Arial"/>
          <w:color w:val="E30918"/>
          <w:sz w:val="24"/>
          <w:szCs w:val="24"/>
        </w:rPr>
        <w:t>4.0 Definitions</w:t>
      </w:r>
      <w:r w:rsidRPr="00DD4C24">
        <w:rPr>
          <w:rFonts w:ascii="Arial" w:hAnsi="Arial" w:cs="Arial"/>
          <w:color w:val="E30918"/>
          <w:sz w:val="24"/>
          <w:szCs w:val="24"/>
          <w:shd w:val="clear" w:color="auto" w:fill="FFFFFF"/>
        </w:rPr>
        <w:fldChar w:fldCharType="end"/>
      </w:r>
    </w:p>
    <w:p w14:paraId="3137D954" w14:textId="67332940" w:rsidR="00DD4C24" w:rsidRPr="00AA1ED0" w:rsidRDefault="00AA1ED0" w:rsidP="00DD4C24">
      <w:pPr>
        <w:spacing w:after="0" w:line="240" w:lineRule="auto"/>
        <w:rPr>
          <w:rFonts w:ascii="Arial" w:hAnsi="Arial" w:cs="Arial"/>
          <w:color w:val="E30918"/>
          <w:sz w:val="24"/>
          <w:szCs w:val="24"/>
          <w:shd w:val="clear" w:color="auto" w:fill="FFFFFF"/>
        </w:rPr>
      </w:pPr>
      <w:hyperlink w:anchor="_5.0_Information" w:history="1">
        <w:r w:rsidR="00DD4C24" w:rsidRPr="00AA1ED0">
          <w:rPr>
            <w:rStyle w:val="Hyperlink"/>
            <w:rFonts w:ascii="Arial" w:hAnsi="Arial" w:cs="Arial"/>
            <w:sz w:val="24"/>
            <w:szCs w:val="24"/>
            <w:u w:val="none"/>
            <w:shd w:val="clear" w:color="auto" w:fill="FFFFFF"/>
          </w:rPr>
          <w:t>5.0 Information</w:t>
        </w:r>
      </w:hyperlink>
    </w:p>
    <w:p w14:paraId="4B430D28" w14:textId="3B3DC53A" w:rsidR="00DD4C24" w:rsidRPr="00AA1ED0" w:rsidRDefault="00AA1ED0" w:rsidP="00DD4C24">
      <w:pPr>
        <w:spacing w:after="0" w:line="240" w:lineRule="auto"/>
        <w:rPr>
          <w:rFonts w:ascii="Arial" w:hAnsi="Arial" w:cs="Arial"/>
          <w:color w:val="E30918"/>
          <w:sz w:val="24"/>
          <w:szCs w:val="24"/>
          <w:shd w:val="clear" w:color="auto" w:fill="FFFFFF"/>
        </w:rPr>
      </w:pPr>
      <w:hyperlink w:anchor="relatedpolicydocuments" w:history="1">
        <w:r w:rsidR="00DD4C24" w:rsidRPr="00AA1ED0">
          <w:rPr>
            <w:rStyle w:val="Hyperlink"/>
            <w:rFonts w:ascii="Arial" w:hAnsi="Arial" w:cs="Arial"/>
            <w:sz w:val="24"/>
            <w:szCs w:val="24"/>
            <w:u w:val="none"/>
            <w:shd w:val="clear" w:color="auto" w:fill="FFFFFF"/>
          </w:rPr>
          <w:t>6.0 Related policy documents and supporting documents</w:t>
        </w:r>
      </w:hyperlink>
    </w:p>
    <w:p w14:paraId="2E800012" w14:textId="1BD2C619" w:rsidR="00BC55CF" w:rsidRPr="00DD4C24" w:rsidRDefault="00BC55CF" w:rsidP="00DD4C24">
      <w:pPr>
        <w:pStyle w:val="Heading2"/>
        <w:spacing w:before="120" w:line="240" w:lineRule="auto"/>
        <w:ind w:left="426" w:hanging="426"/>
        <w:rPr>
          <w:rFonts w:ascii="Arial" w:hAnsi="Arial" w:cs="Arial"/>
          <w:b/>
          <w:bCs/>
          <w:sz w:val="32"/>
          <w:szCs w:val="32"/>
          <w:shd w:val="clear" w:color="auto" w:fill="FFFFFF"/>
        </w:rPr>
      </w:pPr>
      <w:bookmarkStart w:id="3" w:name="_Ref20480964"/>
      <w:r w:rsidRPr="00DD4C24">
        <w:rPr>
          <w:rFonts w:ascii="Arial" w:hAnsi="Arial" w:cs="Arial"/>
          <w:b/>
          <w:bCs/>
          <w:sz w:val="32"/>
          <w:szCs w:val="32"/>
          <w:shd w:val="clear" w:color="auto" w:fill="FFFFFF"/>
        </w:rPr>
        <w:t>1.0 Purpose</w:t>
      </w:r>
      <w:bookmarkEnd w:id="0"/>
      <w:bookmarkEnd w:id="1"/>
      <w:bookmarkEnd w:id="2"/>
      <w:bookmarkEnd w:id="3"/>
    </w:p>
    <w:p w14:paraId="207CDD70" w14:textId="418EC57F" w:rsidR="002376F3" w:rsidRPr="00DD4C24" w:rsidRDefault="002376F3" w:rsidP="00DD4C24">
      <w:pPr>
        <w:spacing w:before="120" w:after="120" w:line="240" w:lineRule="auto"/>
        <w:rPr>
          <w:rFonts w:ascii="Arial" w:hAnsi="Arial" w:cs="Arial"/>
          <w:color w:val="000000"/>
          <w:spacing w:val="2"/>
          <w:sz w:val="22"/>
          <w:shd w:val="clear" w:color="auto" w:fill="FFFFFF"/>
        </w:rPr>
      </w:pPr>
      <w:bookmarkStart w:id="4" w:name="_Ref20318879"/>
      <w:bookmarkStart w:id="5" w:name="_Ref20411801"/>
      <w:r w:rsidRPr="00DD4C24">
        <w:rPr>
          <w:rFonts w:ascii="Arial" w:hAnsi="Arial" w:cs="Arial"/>
          <w:sz w:val="22"/>
        </w:rPr>
        <w:t>Griffith University is required to comply with Australian export controls and sanctions legislation. Non-compliance may incur significant penalties to the University and the individual, including prosecution for criminal offences.</w:t>
      </w:r>
    </w:p>
    <w:p w14:paraId="6DD31AD8" w14:textId="77777777" w:rsidR="002376F3" w:rsidRPr="00DD4C24" w:rsidRDefault="002376F3" w:rsidP="00DD4C24">
      <w:pPr>
        <w:spacing w:before="120" w:after="120" w:line="240" w:lineRule="auto"/>
        <w:rPr>
          <w:rFonts w:ascii="Arial" w:hAnsi="Arial" w:cs="Arial"/>
          <w:sz w:val="22"/>
        </w:rPr>
      </w:pPr>
      <w:r w:rsidRPr="00DD4C24">
        <w:rPr>
          <w:rFonts w:ascii="Arial" w:hAnsi="Arial" w:cs="Arial"/>
          <w:sz w:val="22"/>
        </w:rPr>
        <w:t>This document sets out the procedure for managing HDR Admissions, and any changes to HDR research topics or activities to ensure that research conducted at Griffith University does not contravene or breach the legislative framework underpinning Australia's system of export controls and sanctions.</w:t>
      </w:r>
    </w:p>
    <w:p w14:paraId="2EFD8576" w14:textId="248C8012" w:rsidR="002376F3" w:rsidRPr="00DD4C24" w:rsidRDefault="002376F3" w:rsidP="00DD4C24">
      <w:pPr>
        <w:spacing w:before="120" w:after="120" w:line="240" w:lineRule="auto"/>
        <w:rPr>
          <w:rFonts w:ascii="Arial" w:hAnsi="Arial" w:cs="Arial"/>
          <w:sz w:val="22"/>
        </w:rPr>
      </w:pPr>
      <w:r w:rsidRPr="00DD4C24">
        <w:rPr>
          <w:rFonts w:ascii="Arial" w:hAnsi="Arial" w:cs="Arial"/>
          <w:sz w:val="22"/>
        </w:rPr>
        <w:t xml:space="preserve">This procedure should be read in conjunction with documents listed </w:t>
      </w:r>
      <w:r w:rsidR="001B1393" w:rsidRPr="00DD4C24">
        <w:rPr>
          <w:rFonts w:ascii="Arial" w:hAnsi="Arial" w:cs="Arial"/>
          <w:sz w:val="22"/>
        </w:rPr>
        <w:t xml:space="preserve">in the Information Section. </w:t>
      </w:r>
    </w:p>
    <w:p w14:paraId="65297E40" w14:textId="46355ACA" w:rsidR="00F97A5A" w:rsidRPr="00DD4C24" w:rsidRDefault="007706AB" w:rsidP="00DD4C24">
      <w:pPr>
        <w:pStyle w:val="Heading2"/>
        <w:spacing w:before="120" w:line="240" w:lineRule="auto"/>
        <w:ind w:left="426" w:hanging="426"/>
        <w:rPr>
          <w:rFonts w:ascii="Arial" w:hAnsi="Arial" w:cs="Arial"/>
          <w:b/>
          <w:bCs/>
          <w:sz w:val="32"/>
          <w:szCs w:val="32"/>
        </w:rPr>
      </w:pPr>
      <w:bookmarkStart w:id="6" w:name="_Ref20480989"/>
      <w:r w:rsidRPr="00DD4C24">
        <w:rPr>
          <w:rFonts w:ascii="Arial" w:hAnsi="Arial" w:cs="Arial"/>
          <w:b/>
          <w:bCs/>
          <w:sz w:val="32"/>
          <w:szCs w:val="32"/>
        </w:rPr>
        <w:t xml:space="preserve">2.0 </w:t>
      </w:r>
      <w:r w:rsidR="00F97A5A" w:rsidRPr="00DD4C24">
        <w:rPr>
          <w:rFonts w:ascii="Arial" w:hAnsi="Arial" w:cs="Arial"/>
          <w:b/>
          <w:bCs/>
          <w:sz w:val="32"/>
          <w:szCs w:val="32"/>
        </w:rPr>
        <w:t>Scope</w:t>
      </w:r>
      <w:bookmarkEnd w:id="4"/>
      <w:bookmarkEnd w:id="5"/>
      <w:bookmarkEnd w:id="6"/>
    </w:p>
    <w:p w14:paraId="0156B60F" w14:textId="3A72719E" w:rsidR="00085263" w:rsidRPr="00DD4C24" w:rsidRDefault="00085263" w:rsidP="00DD4C24">
      <w:pPr>
        <w:spacing w:before="120" w:after="120" w:line="240" w:lineRule="auto"/>
        <w:rPr>
          <w:rFonts w:ascii="Arial" w:hAnsi="Arial" w:cs="Arial"/>
          <w:sz w:val="22"/>
        </w:rPr>
      </w:pPr>
      <w:bookmarkStart w:id="7" w:name="_Ref20318910"/>
      <w:bookmarkStart w:id="8" w:name="_Ref20411814"/>
      <w:r w:rsidRPr="00DD4C24">
        <w:rPr>
          <w:rFonts w:ascii="Arial" w:hAnsi="Arial" w:cs="Arial"/>
          <w:sz w:val="22"/>
        </w:rPr>
        <w:t>Australia’s international sanctions impose a set of restrictions upon the supply of a range of goods and services (including the supply of training and technology) to specific individuals, organisations, foreign nations, and their citizenry.</w:t>
      </w:r>
    </w:p>
    <w:p w14:paraId="76930EAD" w14:textId="4FCFAFB8" w:rsidR="00085263" w:rsidRPr="00DD4C24" w:rsidRDefault="00085263" w:rsidP="00DD4C24">
      <w:pPr>
        <w:spacing w:before="120" w:after="120" w:line="240" w:lineRule="auto"/>
        <w:rPr>
          <w:rFonts w:ascii="Arial" w:hAnsi="Arial" w:cs="Arial"/>
          <w:sz w:val="22"/>
        </w:rPr>
      </w:pPr>
      <w:r w:rsidRPr="00DD4C24">
        <w:rPr>
          <w:rFonts w:ascii="Arial" w:hAnsi="Arial" w:cs="Arial"/>
          <w:sz w:val="22"/>
        </w:rPr>
        <w:t xml:space="preserve">‘Sanctions’ refers to both the United Nations and Australian Autonomous Sanctions managed by the Department of Foreign Affairs and Trade (DFAT). Sanctions regimes are different depending on country and are regularly modified and updated. The list of countries and details of sanctions regimes are </w:t>
      </w:r>
      <w:r w:rsidR="0027288B" w:rsidRPr="00DD4C24">
        <w:rPr>
          <w:rFonts w:ascii="Arial" w:hAnsi="Arial" w:cs="Arial"/>
          <w:sz w:val="22"/>
        </w:rPr>
        <w:t xml:space="preserve">detailed </w:t>
      </w:r>
      <w:r w:rsidRPr="00DD4C24">
        <w:rPr>
          <w:rFonts w:ascii="Arial" w:hAnsi="Arial" w:cs="Arial"/>
          <w:sz w:val="22"/>
        </w:rPr>
        <w:t xml:space="preserve">in the </w:t>
      </w:r>
      <w:hyperlink r:id="rId11" w:history="1">
        <w:r w:rsidRPr="00DD4C24">
          <w:rPr>
            <w:rStyle w:val="Hyperlink"/>
            <w:rFonts w:ascii="Arial" w:hAnsi="Arial" w:cs="Arial"/>
            <w:i/>
            <w:iCs/>
            <w:color w:val="auto"/>
            <w:sz w:val="22"/>
          </w:rPr>
          <w:t>DFAT Sanctions website</w:t>
        </w:r>
      </w:hyperlink>
      <w:r w:rsidRPr="00DD4C24">
        <w:rPr>
          <w:rFonts w:ascii="Arial" w:hAnsi="Arial" w:cs="Arial"/>
          <w:sz w:val="22"/>
        </w:rPr>
        <w:t>.</w:t>
      </w:r>
    </w:p>
    <w:p w14:paraId="47062640" w14:textId="77777777" w:rsidR="00AB7B32" w:rsidRPr="00DD4C24" w:rsidRDefault="00AB7B32" w:rsidP="00DD4C24">
      <w:pPr>
        <w:spacing w:before="120" w:after="120" w:line="240" w:lineRule="auto"/>
        <w:rPr>
          <w:rFonts w:ascii="Arial" w:hAnsi="Arial" w:cs="Arial"/>
          <w:sz w:val="22"/>
        </w:rPr>
      </w:pPr>
      <w:r w:rsidRPr="00DD4C24">
        <w:rPr>
          <w:rFonts w:ascii="Arial" w:hAnsi="Arial" w:cs="Arial"/>
          <w:sz w:val="22"/>
        </w:rPr>
        <w:t xml:space="preserve">Australia’s export controls under the Department of Defence regulate the export and supply of military and dual-use goods and technologies. </w:t>
      </w:r>
      <w:hyperlink r:id="rId12" w:history="1">
        <w:r w:rsidRPr="00DD4C24">
          <w:rPr>
            <w:rStyle w:val="Hyperlink"/>
            <w:rFonts w:ascii="Arial" w:hAnsi="Arial" w:cs="Arial"/>
            <w:color w:val="auto"/>
            <w:sz w:val="22"/>
          </w:rPr>
          <w:t>Defence Export Controls (DEC)</w:t>
        </w:r>
      </w:hyperlink>
      <w:r w:rsidRPr="00DD4C24">
        <w:rPr>
          <w:rFonts w:ascii="Arial" w:hAnsi="Arial" w:cs="Arial"/>
          <w:sz w:val="22"/>
        </w:rPr>
        <w:t xml:space="preserve"> support individuals and organisations including universities to meet their obligations under Australian law. </w:t>
      </w:r>
    </w:p>
    <w:p w14:paraId="40ECBDF5" w14:textId="77777777" w:rsidR="00E340EE" w:rsidRPr="00DD4C24" w:rsidRDefault="00E340EE" w:rsidP="00DD4C24">
      <w:pPr>
        <w:tabs>
          <w:tab w:val="left" w:pos="851"/>
        </w:tabs>
        <w:spacing w:before="120" w:after="120" w:line="240" w:lineRule="auto"/>
        <w:rPr>
          <w:rFonts w:ascii="Arial" w:hAnsi="Arial" w:cs="Arial"/>
          <w:bCs/>
          <w:sz w:val="22"/>
        </w:rPr>
      </w:pPr>
      <w:r w:rsidRPr="00DD4C24">
        <w:rPr>
          <w:rFonts w:ascii="Arial" w:hAnsi="Arial" w:cs="Arial"/>
          <w:bCs/>
          <w:sz w:val="22"/>
        </w:rPr>
        <w:t>The University will take reasonable precautions, exercise due diligence, and raise awareness within the university community, to avoid contravening sanctions law. The University will also</w:t>
      </w:r>
      <w:r w:rsidRPr="00DD4C24">
        <w:rPr>
          <w:rFonts w:ascii="Arial" w:hAnsi="Arial" w:cs="Arial"/>
          <w:sz w:val="22"/>
        </w:rPr>
        <w:t xml:space="preserve"> meet its c</w:t>
      </w:r>
      <w:r w:rsidRPr="00DD4C24">
        <w:rPr>
          <w:rFonts w:ascii="Arial" w:hAnsi="Arial" w:cs="Arial"/>
          <w:bCs/>
          <w:sz w:val="22"/>
        </w:rPr>
        <w:t xml:space="preserve">ompliance obligations with Australia’s export control system in line with Australia’s national interests and international obligations. </w:t>
      </w:r>
    </w:p>
    <w:p w14:paraId="55403F9D" w14:textId="77777777" w:rsidR="00E340EE" w:rsidRPr="00DD4C24" w:rsidRDefault="00E340EE" w:rsidP="00DD4C24">
      <w:pPr>
        <w:tabs>
          <w:tab w:val="left" w:pos="851"/>
        </w:tabs>
        <w:spacing w:before="120" w:after="120" w:line="240" w:lineRule="auto"/>
        <w:rPr>
          <w:rFonts w:ascii="Arial" w:hAnsi="Arial" w:cs="Arial"/>
          <w:bCs/>
          <w:sz w:val="22"/>
        </w:rPr>
      </w:pPr>
      <w:r w:rsidRPr="00DD4C24">
        <w:rPr>
          <w:rFonts w:ascii="Arial" w:hAnsi="Arial" w:cs="Arial"/>
          <w:bCs/>
          <w:sz w:val="22"/>
        </w:rPr>
        <w:t xml:space="preserve">Due diligence includes to be properly informed about persons or entities connected directly or indirectly with the research activities proposed by HDR applicants. Due diligence checks must include searching </w:t>
      </w:r>
      <w:hyperlink r:id="rId13" w:history="1">
        <w:r w:rsidRPr="00DD4C24">
          <w:rPr>
            <w:rStyle w:val="Hyperlink"/>
            <w:rFonts w:ascii="Arial" w:hAnsi="Arial" w:cs="Arial"/>
            <w:bCs/>
            <w:sz w:val="22"/>
          </w:rPr>
          <w:t>the Consolidated List</w:t>
        </w:r>
      </w:hyperlink>
      <w:r w:rsidRPr="00DD4C24">
        <w:rPr>
          <w:rFonts w:ascii="Arial" w:hAnsi="Arial" w:cs="Arial"/>
          <w:bCs/>
          <w:sz w:val="22"/>
        </w:rPr>
        <w:t xml:space="preserve"> (a DFAT list of all ‘designated’ persons and entities subject to targeted financial sanctions under Australian sanctions law) to ascertain if the HDR applicant is listed or connected to a person or entity subject to sanctions.</w:t>
      </w:r>
    </w:p>
    <w:p w14:paraId="1CD53B2F" w14:textId="77777777" w:rsidR="00E340EE" w:rsidRPr="00DD4C24" w:rsidRDefault="00E340EE" w:rsidP="00DD4C24">
      <w:pPr>
        <w:pStyle w:val="ListParagraph"/>
        <w:numPr>
          <w:ilvl w:val="1"/>
          <w:numId w:val="39"/>
        </w:numPr>
        <w:tabs>
          <w:tab w:val="left" w:pos="2149"/>
        </w:tabs>
        <w:spacing w:before="120" w:after="120" w:line="240" w:lineRule="auto"/>
        <w:ind w:left="924" w:hanging="357"/>
        <w:contextualSpacing w:val="0"/>
        <w:rPr>
          <w:rFonts w:ascii="Arial" w:hAnsi="Arial" w:cs="Arial"/>
          <w:bCs/>
          <w:sz w:val="22"/>
        </w:rPr>
      </w:pPr>
      <w:r w:rsidRPr="00DD4C24">
        <w:rPr>
          <w:rFonts w:ascii="Arial" w:hAnsi="Arial" w:cs="Arial"/>
          <w:bCs/>
          <w:sz w:val="22"/>
        </w:rPr>
        <w:t>The University will not deal with ‘designated’ persons or entities.</w:t>
      </w:r>
    </w:p>
    <w:p w14:paraId="3B4C490D" w14:textId="77777777" w:rsidR="00E340EE" w:rsidRPr="00DD4C24" w:rsidRDefault="00E340EE" w:rsidP="00DD4C24">
      <w:pPr>
        <w:pStyle w:val="ListParagraph"/>
        <w:numPr>
          <w:ilvl w:val="1"/>
          <w:numId w:val="39"/>
        </w:numPr>
        <w:tabs>
          <w:tab w:val="left" w:pos="2149"/>
        </w:tabs>
        <w:spacing w:before="120" w:after="120" w:line="240" w:lineRule="auto"/>
        <w:ind w:left="924" w:hanging="357"/>
        <w:contextualSpacing w:val="0"/>
        <w:rPr>
          <w:rFonts w:ascii="Arial" w:hAnsi="Arial" w:cs="Arial"/>
          <w:bCs/>
          <w:sz w:val="22"/>
        </w:rPr>
      </w:pPr>
      <w:r w:rsidRPr="00DD4C24">
        <w:rPr>
          <w:rFonts w:ascii="Arial" w:hAnsi="Arial" w:cs="Arial"/>
          <w:bCs/>
          <w:sz w:val="22"/>
        </w:rPr>
        <w:lastRenderedPageBreak/>
        <w:t>The University will avoid high-risk activity and will seek advice from DFAT to determine whether a sanction permit application might be submitted only in exceptional circumstances based on the relevance and quality of the involved HDR applicant and activity proposed.</w:t>
      </w:r>
    </w:p>
    <w:p w14:paraId="789B3C6E" w14:textId="77777777" w:rsidR="00E340EE" w:rsidRPr="00DD4C24" w:rsidRDefault="00E340EE" w:rsidP="00DD4C24">
      <w:pPr>
        <w:pStyle w:val="ListParagraph"/>
        <w:numPr>
          <w:ilvl w:val="1"/>
          <w:numId w:val="39"/>
        </w:numPr>
        <w:tabs>
          <w:tab w:val="left" w:pos="2149"/>
        </w:tabs>
        <w:spacing w:before="120" w:after="120" w:line="240" w:lineRule="auto"/>
        <w:ind w:left="924" w:hanging="357"/>
        <w:contextualSpacing w:val="0"/>
        <w:rPr>
          <w:rFonts w:ascii="Arial" w:hAnsi="Arial" w:cs="Arial"/>
          <w:bCs/>
          <w:sz w:val="22"/>
        </w:rPr>
      </w:pPr>
      <w:r w:rsidRPr="00DD4C24">
        <w:rPr>
          <w:rFonts w:ascii="Arial" w:hAnsi="Arial" w:cs="Arial"/>
          <w:bCs/>
          <w:sz w:val="22"/>
        </w:rPr>
        <w:t>The University will implement tools and measures to avoid breaches of Australia’s export control legislation and will consult with DEC and apply for approval before exporting controlled goods, technology or activity listed under the DSGL.</w:t>
      </w:r>
    </w:p>
    <w:p w14:paraId="63DE41C4" w14:textId="77777777" w:rsidR="00E340EE" w:rsidRPr="00DD4C24" w:rsidRDefault="00E340EE" w:rsidP="00DD4C24">
      <w:pPr>
        <w:spacing w:before="120" w:after="120" w:line="240" w:lineRule="auto"/>
        <w:rPr>
          <w:rFonts w:ascii="Arial" w:hAnsi="Arial" w:cs="Arial"/>
          <w:bCs/>
          <w:sz w:val="22"/>
        </w:rPr>
      </w:pPr>
      <w:r w:rsidRPr="00DD4C24">
        <w:rPr>
          <w:rFonts w:ascii="Arial" w:hAnsi="Arial" w:cs="Arial"/>
          <w:bCs/>
          <w:sz w:val="22"/>
        </w:rPr>
        <w:t xml:space="preserve">All University staff and students, including HDR candidates, are responsible for complying with Australian Sanctions and export controls in the conduct of their university activities. All staff must exercise appropriate due diligence when considering any matter subject to their authority or care that may fall within the scope of this procedure. Individual staff, and potential HDR supervisors, must ensure appropriate approvals and permits are in place to conduct the research proposed. </w:t>
      </w:r>
    </w:p>
    <w:p w14:paraId="41C87713" w14:textId="77777777" w:rsidR="00E340EE" w:rsidRPr="00DD4C24" w:rsidRDefault="00E340EE" w:rsidP="00DD4C24">
      <w:pPr>
        <w:pStyle w:val="ListParagraph"/>
        <w:tabs>
          <w:tab w:val="left" w:pos="2149"/>
        </w:tabs>
        <w:spacing w:before="120" w:after="120" w:line="240" w:lineRule="auto"/>
        <w:ind w:left="0"/>
        <w:contextualSpacing w:val="0"/>
        <w:rPr>
          <w:rFonts w:ascii="Arial" w:hAnsi="Arial" w:cs="Arial"/>
          <w:bCs/>
          <w:sz w:val="22"/>
        </w:rPr>
      </w:pPr>
      <w:r w:rsidRPr="00DD4C24">
        <w:rPr>
          <w:rFonts w:ascii="Arial" w:hAnsi="Arial" w:cs="Arial"/>
          <w:bCs/>
          <w:sz w:val="22"/>
        </w:rPr>
        <w:t xml:space="preserve">Griffith's International Engagement Checking Tool supports staff to address compliance with Australian sanctions, foreign interference and transparency issues, prohibitions on the transfer of defence and strategic goods, weapons of mass destruction and weapons and arms related goods and technologies. This online tool must be used to determine whether any activity proposed with a foreign organisation or person could be a contravention of Australian law or require disclosure under Australian law. </w:t>
      </w:r>
    </w:p>
    <w:p w14:paraId="428CED97" w14:textId="72DD0B3E" w:rsidR="00E340EE" w:rsidRPr="00DD4C24" w:rsidRDefault="00E340EE" w:rsidP="00DD4C24">
      <w:pPr>
        <w:pStyle w:val="ListParagraph"/>
        <w:numPr>
          <w:ilvl w:val="1"/>
          <w:numId w:val="40"/>
        </w:numPr>
        <w:tabs>
          <w:tab w:val="left" w:pos="2149"/>
        </w:tabs>
        <w:spacing w:before="120" w:after="120" w:line="240" w:lineRule="auto"/>
        <w:ind w:left="924" w:hanging="357"/>
        <w:contextualSpacing w:val="0"/>
        <w:rPr>
          <w:rFonts w:ascii="Arial" w:hAnsi="Arial" w:cs="Arial"/>
          <w:bCs/>
          <w:sz w:val="22"/>
        </w:rPr>
      </w:pPr>
      <w:r w:rsidRPr="00DD4C24">
        <w:rPr>
          <w:rFonts w:ascii="Arial" w:hAnsi="Arial" w:cs="Arial"/>
          <w:bCs/>
          <w:sz w:val="22"/>
        </w:rPr>
        <w:t>the Sanctions Compliance Webpage (</w:t>
      </w:r>
      <w:hyperlink r:id="rId14" w:history="1">
        <w:r w:rsidR="00392DA8" w:rsidRPr="00DD4C24">
          <w:rPr>
            <w:rStyle w:val="Hyperlink"/>
            <w:rFonts w:ascii="Arial" w:hAnsi="Arial" w:cs="Arial"/>
            <w:bCs/>
            <w:sz w:val="22"/>
          </w:rPr>
          <w:t>GU Export Trade Controls</w:t>
        </w:r>
      </w:hyperlink>
      <w:r w:rsidRPr="00DD4C24">
        <w:rPr>
          <w:rFonts w:ascii="Arial" w:hAnsi="Arial" w:cs="Arial"/>
          <w:bCs/>
          <w:sz w:val="22"/>
        </w:rPr>
        <w:t xml:space="preserve">): an intranet site available to staff which publishes information about international sanctions applicable to Griffith University. </w:t>
      </w:r>
    </w:p>
    <w:p w14:paraId="3383A3F4" w14:textId="77777777" w:rsidR="00E340EE" w:rsidRPr="00DD4C24" w:rsidRDefault="00E340EE" w:rsidP="00DD4C24">
      <w:pPr>
        <w:pStyle w:val="ListParagraph"/>
        <w:numPr>
          <w:ilvl w:val="1"/>
          <w:numId w:val="40"/>
        </w:numPr>
        <w:tabs>
          <w:tab w:val="left" w:pos="2149"/>
        </w:tabs>
        <w:spacing w:before="120" w:after="120" w:line="240" w:lineRule="auto"/>
        <w:ind w:left="924" w:hanging="357"/>
        <w:contextualSpacing w:val="0"/>
        <w:rPr>
          <w:rFonts w:ascii="Arial" w:hAnsi="Arial" w:cs="Arial"/>
          <w:bCs/>
          <w:sz w:val="22"/>
        </w:rPr>
      </w:pPr>
      <w:r w:rsidRPr="00DD4C24">
        <w:rPr>
          <w:rFonts w:ascii="Arial" w:hAnsi="Arial" w:cs="Arial"/>
          <w:bCs/>
          <w:sz w:val="22"/>
        </w:rPr>
        <w:t>the HDR Sanctions Compliance Risk Assessment Form (SCRAF): A sanctions compliance form available to staff as a tool for assessing a range of university activities against current sanctions and an HDR applicant’s suitability for enrolment.</w:t>
      </w:r>
    </w:p>
    <w:p w14:paraId="16734CDB" w14:textId="0DDE130A" w:rsidR="00C91165" w:rsidRPr="00DD4C24" w:rsidRDefault="007706AB" w:rsidP="00DD4C24">
      <w:pPr>
        <w:pStyle w:val="Heading2"/>
        <w:spacing w:before="120" w:line="240" w:lineRule="auto"/>
        <w:ind w:left="426" w:hanging="426"/>
        <w:rPr>
          <w:rFonts w:ascii="Arial" w:hAnsi="Arial" w:cs="Arial"/>
          <w:b/>
          <w:bCs/>
          <w:sz w:val="32"/>
          <w:szCs w:val="32"/>
        </w:rPr>
      </w:pPr>
      <w:bookmarkStart w:id="9" w:name="_Ref20481014"/>
      <w:r w:rsidRPr="00DD4C24">
        <w:rPr>
          <w:rFonts w:ascii="Arial" w:hAnsi="Arial" w:cs="Arial"/>
          <w:b/>
          <w:bCs/>
          <w:sz w:val="32"/>
          <w:szCs w:val="32"/>
        </w:rPr>
        <w:t xml:space="preserve">3.0 </w:t>
      </w:r>
      <w:r w:rsidR="00C91165" w:rsidRPr="00DD4C24">
        <w:rPr>
          <w:rFonts w:ascii="Arial" w:hAnsi="Arial" w:cs="Arial"/>
          <w:b/>
          <w:bCs/>
          <w:sz w:val="32"/>
          <w:szCs w:val="32"/>
        </w:rPr>
        <w:t>P</w:t>
      </w:r>
      <w:bookmarkEnd w:id="7"/>
      <w:r w:rsidR="00A71AD8" w:rsidRPr="00DD4C24">
        <w:rPr>
          <w:rFonts w:ascii="Arial" w:hAnsi="Arial" w:cs="Arial"/>
          <w:b/>
          <w:bCs/>
          <w:sz w:val="32"/>
          <w:szCs w:val="32"/>
        </w:rPr>
        <w:t>rocedure</w:t>
      </w:r>
      <w:bookmarkEnd w:id="8"/>
      <w:bookmarkEnd w:id="9"/>
    </w:p>
    <w:p w14:paraId="5FDA7311" w14:textId="32B9E0B4" w:rsidR="00421A03" w:rsidRPr="00DD4C24" w:rsidRDefault="00421A03" w:rsidP="00DD4C24">
      <w:pPr>
        <w:spacing w:before="120" w:after="120" w:line="240" w:lineRule="auto"/>
        <w:rPr>
          <w:rFonts w:ascii="Arial" w:hAnsi="Arial" w:cs="Arial"/>
          <w:bCs/>
          <w:caps/>
          <w:sz w:val="22"/>
        </w:rPr>
      </w:pPr>
      <w:r w:rsidRPr="00DD4C24">
        <w:rPr>
          <w:rFonts w:ascii="Arial" w:hAnsi="Arial" w:cs="Arial"/>
          <w:bCs/>
          <w:sz w:val="22"/>
        </w:rPr>
        <w:t xml:space="preserve">The process described below sets out a flow of duty to ensure sufficient and correct due diligence is performed during the assessment of applicants to Griffith University’s HDR programs, upon which a decision on admission is made. This Procedure also applies to assessing and approving changes to research projects undertaken by active HDR candidates to ensure compliance is maintained in the case where project variation may occur. </w:t>
      </w:r>
    </w:p>
    <w:p w14:paraId="5A7D2BAA" w14:textId="77777777" w:rsidR="00421A03" w:rsidRPr="00DD4C24" w:rsidRDefault="00421A03" w:rsidP="00DD4C24">
      <w:pPr>
        <w:spacing w:before="120" w:after="120" w:line="240" w:lineRule="auto"/>
        <w:rPr>
          <w:rFonts w:ascii="Arial" w:hAnsi="Arial" w:cs="Arial"/>
          <w:bCs/>
          <w:sz w:val="22"/>
        </w:rPr>
      </w:pPr>
      <w:r w:rsidRPr="00DD4C24">
        <w:rPr>
          <w:rFonts w:ascii="Arial" w:hAnsi="Arial" w:cs="Arial"/>
          <w:bCs/>
          <w:sz w:val="22"/>
        </w:rPr>
        <w:t xml:space="preserve">The process comprises four steps followed by risk assessment and subsequent decision-making as described below. </w:t>
      </w:r>
    </w:p>
    <w:p w14:paraId="0F010675" w14:textId="77777777" w:rsidR="00421A03" w:rsidRPr="00DD4C24" w:rsidRDefault="00421A03" w:rsidP="00DD4C24">
      <w:pPr>
        <w:spacing w:before="120" w:after="120" w:line="240" w:lineRule="auto"/>
        <w:rPr>
          <w:rFonts w:ascii="Arial" w:hAnsi="Arial" w:cs="Arial"/>
          <w:bCs/>
          <w:caps/>
          <w:sz w:val="22"/>
        </w:rPr>
      </w:pPr>
      <w:r w:rsidRPr="00DD4C24">
        <w:rPr>
          <w:rFonts w:ascii="Arial" w:hAnsi="Arial" w:cs="Arial"/>
          <w:bCs/>
          <w:sz w:val="22"/>
        </w:rPr>
        <w:t>Individuals who are Australian citizens, permanent residents or holders of Australian humanitarian visas do not require assessment.</w:t>
      </w:r>
    </w:p>
    <w:p w14:paraId="43526E9F" w14:textId="10E4CB76" w:rsidR="00305C35" w:rsidRPr="00DD4C24" w:rsidRDefault="00305C35" w:rsidP="00DD4C24">
      <w:pPr>
        <w:pStyle w:val="Heading3"/>
        <w:spacing w:before="120" w:after="120"/>
        <w:ind w:left="1015" w:hanging="448"/>
        <w:rPr>
          <w:rFonts w:ascii="Arial" w:hAnsi="Arial" w:cs="Arial"/>
          <w:b/>
          <w:bCs/>
          <w:sz w:val="28"/>
          <w:szCs w:val="28"/>
        </w:rPr>
      </w:pPr>
      <w:bookmarkStart w:id="10" w:name="_3.1_&lt;Insert_sub-heading&gt;"/>
      <w:bookmarkStart w:id="11" w:name="_3.1_Initial_Identification"/>
      <w:bookmarkEnd w:id="10"/>
      <w:bookmarkEnd w:id="11"/>
      <w:r w:rsidRPr="00DD4C24">
        <w:rPr>
          <w:rFonts w:ascii="Arial" w:hAnsi="Arial" w:cs="Arial"/>
          <w:b/>
          <w:bCs/>
          <w:sz w:val="28"/>
          <w:szCs w:val="28"/>
        </w:rPr>
        <w:t xml:space="preserve">3.1 </w:t>
      </w:r>
      <w:r w:rsidR="005F09CD" w:rsidRPr="00DD4C24">
        <w:rPr>
          <w:rFonts w:ascii="Arial" w:hAnsi="Arial" w:cs="Arial"/>
          <w:b/>
          <w:bCs/>
          <w:sz w:val="28"/>
          <w:szCs w:val="28"/>
        </w:rPr>
        <w:t>Initial Identification</w:t>
      </w:r>
    </w:p>
    <w:p w14:paraId="115AFF2C" w14:textId="065537AC" w:rsidR="0070719E" w:rsidRPr="00DD4C24" w:rsidRDefault="0070719E" w:rsidP="00DD4C24">
      <w:pPr>
        <w:tabs>
          <w:tab w:val="left" w:pos="426"/>
        </w:tabs>
        <w:spacing w:before="120" w:after="120" w:line="240" w:lineRule="auto"/>
        <w:ind w:left="567"/>
        <w:rPr>
          <w:rFonts w:ascii="Arial" w:hAnsi="Arial" w:cs="Arial"/>
          <w:sz w:val="22"/>
        </w:rPr>
      </w:pPr>
      <w:r w:rsidRPr="00DD4C24">
        <w:rPr>
          <w:rFonts w:ascii="Arial" w:hAnsi="Arial" w:cs="Arial"/>
          <w:sz w:val="22"/>
        </w:rPr>
        <w:t>The Senior Manager, HDR Operations, Griffith Graduate Research School is responsible for ensuring that during the initial review of all HDR applications the following will occur:</w:t>
      </w:r>
    </w:p>
    <w:p w14:paraId="6AFBEAA3" w14:textId="77777777" w:rsidR="0070719E" w:rsidRPr="00DD4C24" w:rsidRDefault="0070719E" w:rsidP="00AA1ED0">
      <w:pPr>
        <w:pStyle w:val="ListParagraph"/>
        <w:numPr>
          <w:ilvl w:val="0"/>
          <w:numId w:val="52"/>
        </w:numPr>
        <w:spacing w:before="120" w:after="120" w:line="240" w:lineRule="auto"/>
        <w:ind w:left="993" w:hanging="426"/>
        <w:rPr>
          <w:rFonts w:ascii="Arial" w:hAnsi="Arial" w:cs="Arial"/>
          <w:sz w:val="22"/>
        </w:rPr>
      </w:pPr>
      <w:r w:rsidRPr="00DD4C24">
        <w:rPr>
          <w:rFonts w:ascii="Arial" w:hAnsi="Arial" w:cs="Arial"/>
          <w:sz w:val="22"/>
        </w:rPr>
        <w:t>Applicants from a sanctioned country will be flagged in the application system as well as entered in the GGRS Sanctions spreadsheet.</w:t>
      </w:r>
    </w:p>
    <w:p w14:paraId="5D655D22" w14:textId="77777777" w:rsidR="0070719E" w:rsidRPr="00DD4C24" w:rsidRDefault="0070719E" w:rsidP="00AA1ED0">
      <w:pPr>
        <w:pStyle w:val="ListParagraph"/>
        <w:numPr>
          <w:ilvl w:val="0"/>
          <w:numId w:val="52"/>
        </w:numPr>
        <w:spacing w:before="120" w:after="120" w:line="240" w:lineRule="auto"/>
        <w:ind w:left="993" w:hanging="426"/>
        <w:rPr>
          <w:rFonts w:ascii="Arial" w:hAnsi="Arial" w:cs="Arial"/>
          <w:sz w:val="22"/>
        </w:rPr>
      </w:pPr>
      <w:r w:rsidRPr="00DD4C24">
        <w:rPr>
          <w:rFonts w:ascii="Arial" w:hAnsi="Arial" w:cs="Arial"/>
          <w:sz w:val="22"/>
        </w:rPr>
        <w:t>Applicants from a sanctioned country will be checked against the Consolidated List as outlined in the SCRAF.</w:t>
      </w:r>
    </w:p>
    <w:p w14:paraId="37F36ADC" w14:textId="20B22333" w:rsidR="00DB53FB" w:rsidRPr="00DD4C24" w:rsidRDefault="00E3707A" w:rsidP="00DD4C24">
      <w:pPr>
        <w:pStyle w:val="Heading3"/>
        <w:numPr>
          <w:ilvl w:val="1"/>
          <w:numId w:val="42"/>
        </w:numPr>
        <w:spacing w:before="120" w:after="120"/>
        <w:ind w:left="1015" w:hanging="448"/>
        <w:rPr>
          <w:rFonts w:ascii="Arial" w:hAnsi="Arial" w:cs="Arial"/>
          <w:b/>
          <w:bCs/>
          <w:sz w:val="28"/>
          <w:szCs w:val="28"/>
        </w:rPr>
      </w:pPr>
      <w:bookmarkStart w:id="12" w:name="_3.2_&lt;Insert_sub-heading&gt;"/>
      <w:bookmarkStart w:id="13" w:name="_Assessment_by_the"/>
      <w:bookmarkEnd w:id="12"/>
      <w:bookmarkEnd w:id="13"/>
      <w:r w:rsidRPr="00DD4C24">
        <w:rPr>
          <w:rFonts w:ascii="Arial" w:hAnsi="Arial" w:cs="Arial"/>
          <w:b/>
          <w:bCs/>
          <w:sz w:val="28"/>
          <w:szCs w:val="28"/>
        </w:rPr>
        <w:t>Assessment by the Academic Group</w:t>
      </w:r>
    </w:p>
    <w:p w14:paraId="42F2CD85" w14:textId="39046D07" w:rsidR="00FA58FE" w:rsidRPr="00DD4C24" w:rsidRDefault="00FA58FE" w:rsidP="00DD4C24">
      <w:pPr>
        <w:spacing w:before="120" w:after="120" w:line="240" w:lineRule="auto"/>
        <w:ind w:left="567"/>
        <w:rPr>
          <w:rFonts w:ascii="Arial" w:hAnsi="Arial" w:cs="Arial"/>
          <w:sz w:val="22"/>
        </w:rPr>
      </w:pPr>
      <w:r w:rsidRPr="00DD4C24">
        <w:rPr>
          <w:rFonts w:ascii="Arial" w:hAnsi="Arial" w:cs="Arial"/>
          <w:sz w:val="22"/>
        </w:rPr>
        <w:t xml:space="preserve">The proposed HDR Principal Supervisor, with advice from the HDR Convenor, will assess the risk associated with the materials/technologies and equipment/tools that the proposed Applicant would be exposed to or be trained in during their proposed study. The proposal must include the required detail to identify materials, technology, activities and/or equipment; if insufficient, the proposal must be returned to the Applicant. </w:t>
      </w:r>
    </w:p>
    <w:p w14:paraId="1A36FB3B" w14:textId="77777777" w:rsidR="00FA58FE" w:rsidRPr="00DD4C24" w:rsidRDefault="00FA58FE" w:rsidP="00DD4C24">
      <w:pPr>
        <w:spacing w:before="120" w:after="120" w:line="240" w:lineRule="auto"/>
        <w:ind w:left="567"/>
        <w:rPr>
          <w:rFonts w:ascii="Arial" w:hAnsi="Arial" w:cs="Arial"/>
          <w:sz w:val="22"/>
        </w:rPr>
      </w:pPr>
      <w:r w:rsidRPr="00DD4C24">
        <w:rPr>
          <w:rFonts w:ascii="Arial" w:hAnsi="Arial" w:cs="Arial"/>
          <w:sz w:val="22"/>
        </w:rPr>
        <w:lastRenderedPageBreak/>
        <w:t>A Sanctions Compliance Risk Assessment Form (SCRAF) must be completed and forwarded to the Dean GGRS. The following steps are required:</w:t>
      </w:r>
    </w:p>
    <w:p w14:paraId="4A50BC28" w14:textId="22C48183" w:rsidR="00FA58FE" w:rsidRPr="00DD4C24" w:rsidRDefault="00FA58FE" w:rsidP="00DD4C24">
      <w:pPr>
        <w:pStyle w:val="ListParagraph"/>
        <w:numPr>
          <w:ilvl w:val="0"/>
          <w:numId w:val="43"/>
        </w:numPr>
        <w:spacing w:before="120" w:after="120" w:line="240" w:lineRule="auto"/>
        <w:ind w:left="1434" w:hanging="357"/>
        <w:rPr>
          <w:rFonts w:ascii="Arial" w:hAnsi="Arial" w:cs="Arial"/>
          <w:sz w:val="22"/>
        </w:rPr>
      </w:pPr>
      <w:r w:rsidRPr="00DD4C24">
        <w:rPr>
          <w:rFonts w:ascii="Arial" w:hAnsi="Arial" w:cs="Arial"/>
          <w:sz w:val="22"/>
        </w:rPr>
        <w:t xml:space="preserve">The Principal Supervisor to complete and sign the SCRAF on behalf of all supervisors. </w:t>
      </w:r>
    </w:p>
    <w:p w14:paraId="164F2D71" w14:textId="77777777" w:rsidR="00FA58FE" w:rsidRPr="00DD4C24" w:rsidRDefault="00FA58FE" w:rsidP="00DD4C24">
      <w:pPr>
        <w:pStyle w:val="ListParagraph"/>
        <w:numPr>
          <w:ilvl w:val="0"/>
          <w:numId w:val="43"/>
        </w:numPr>
        <w:spacing w:before="120" w:after="120" w:line="240" w:lineRule="auto"/>
        <w:ind w:left="1434" w:hanging="357"/>
        <w:rPr>
          <w:rFonts w:ascii="Arial" w:hAnsi="Arial" w:cs="Arial"/>
          <w:sz w:val="22"/>
        </w:rPr>
      </w:pPr>
      <w:r w:rsidRPr="00DD4C24">
        <w:rPr>
          <w:rFonts w:ascii="Arial" w:hAnsi="Arial" w:cs="Arial"/>
          <w:sz w:val="22"/>
        </w:rPr>
        <w:t>The Principal Supervisor and HDR Convenor to refer the completed and signed SCRAF for HDR Applicants to the appropriate Group Dean (Research) for review.</w:t>
      </w:r>
    </w:p>
    <w:p w14:paraId="768EF288" w14:textId="255DEBB1" w:rsidR="00FA58FE" w:rsidRPr="00DD4C24" w:rsidRDefault="00FA58FE" w:rsidP="00DD4C24">
      <w:pPr>
        <w:pStyle w:val="ListParagraph"/>
        <w:numPr>
          <w:ilvl w:val="0"/>
          <w:numId w:val="43"/>
        </w:numPr>
        <w:spacing w:before="120" w:after="120" w:line="240" w:lineRule="auto"/>
        <w:ind w:left="1434" w:hanging="357"/>
        <w:rPr>
          <w:rFonts w:ascii="Arial" w:hAnsi="Arial" w:cs="Arial"/>
          <w:sz w:val="22"/>
        </w:rPr>
      </w:pPr>
      <w:r w:rsidRPr="00DD4C24">
        <w:rPr>
          <w:rFonts w:ascii="Arial" w:hAnsi="Arial" w:cs="Arial"/>
          <w:sz w:val="22"/>
        </w:rPr>
        <w:t xml:space="preserve">If the application is assessed as requiring modification to ensure it stays under sanctions thresholds, the modified research proposal needs to be approved by the Group Dean (Research). If the Applicant accepts to proceed based on the modified research proposal, then the application will be dealt with in accordance with </w:t>
      </w:r>
      <w:r w:rsidR="00E2127B" w:rsidRPr="00DD4C24">
        <w:rPr>
          <w:rFonts w:ascii="Arial" w:hAnsi="Arial" w:cs="Arial"/>
          <w:sz w:val="22"/>
        </w:rPr>
        <w:t>(d) below.</w:t>
      </w:r>
    </w:p>
    <w:p w14:paraId="64FB4B3B" w14:textId="221294FE" w:rsidR="00FA58FE" w:rsidRPr="00DD4C24" w:rsidRDefault="00FA58FE" w:rsidP="00DD4C24">
      <w:pPr>
        <w:pStyle w:val="ListParagraph"/>
        <w:numPr>
          <w:ilvl w:val="0"/>
          <w:numId w:val="43"/>
        </w:numPr>
        <w:spacing w:before="120" w:after="120" w:line="240" w:lineRule="auto"/>
        <w:ind w:left="1434" w:hanging="357"/>
        <w:rPr>
          <w:rFonts w:ascii="Arial" w:hAnsi="Arial" w:cs="Arial"/>
          <w:sz w:val="22"/>
        </w:rPr>
      </w:pPr>
      <w:r w:rsidRPr="00DD4C24">
        <w:rPr>
          <w:rFonts w:ascii="Arial" w:hAnsi="Arial" w:cs="Arial"/>
          <w:sz w:val="22"/>
        </w:rPr>
        <w:t xml:space="preserve">The Group Dean (Research) can endorse and forward to the Dean GGRS; or recommend a Griffith HDR Sanctions Assessment Panel review based on the rank given based on the established Risk Matrix </w:t>
      </w:r>
      <w:r w:rsidR="00A67CB8" w:rsidRPr="00DD4C24">
        <w:rPr>
          <w:rFonts w:ascii="Arial" w:hAnsi="Arial" w:cs="Arial"/>
          <w:sz w:val="22"/>
        </w:rPr>
        <w:t>below</w:t>
      </w:r>
      <w:r w:rsidRPr="00DD4C24">
        <w:rPr>
          <w:rFonts w:ascii="Arial" w:hAnsi="Arial" w:cs="Arial"/>
          <w:sz w:val="22"/>
        </w:rPr>
        <w:t>. If the application is ranked:</w:t>
      </w:r>
    </w:p>
    <w:p w14:paraId="17821225" w14:textId="77777777" w:rsidR="00FA58FE" w:rsidRPr="00DD4C24" w:rsidRDefault="00FA58FE" w:rsidP="00DD4C24">
      <w:pPr>
        <w:pStyle w:val="ListParagraph"/>
        <w:spacing w:before="120" w:after="120" w:line="240" w:lineRule="auto"/>
        <w:ind w:left="1944"/>
        <w:rPr>
          <w:rFonts w:ascii="Arial" w:hAnsi="Arial" w:cs="Arial"/>
          <w:sz w:val="22"/>
        </w:rPr>
      </w:pPr>
    </w:p>
    <w:p w14:paraId="2F2029DC" w14:textId="3FB96B64" w:rsidR="00AA1ED0" w:rsidRPr="00AA1ED0" w:rsidRDefault="00FA58FE" w:rsidP="00AA1ED0">
      <w:pPr>
        <w:pStyle w:val="ListParagraph"/>
        <w:numPr>
          <w:ilvl w:val="0"/>
          <w:numId w:val="51"/>
        </w:numPr>
        <w:spacing w:before="120" w:after="120" w:line="240" w:lineRule="auto"/>
        <w:ind w:left="1843"/>
        <w:rPr>
          <w:rFonts w:ascii="Arial" w:hAnsi="Arial" w:cs="Arial"/>
          <w:sz w:val="22"/>
        </w:rPr>
      </w:pPr>
      <w:r w:rsidRPr="00DD4C24">
        <w:rPr>
          <w:rFonts w:ascii="Arial" w:hAnsi="Arial" w:cs="Arial"/>
          <w:b/>
          <w:bCs/>
          <w:sz w:val="22"/>
        </w:rPr>
        <w:t>Low Risk</w:t>
      </w:r>
      <w:r w:rsidRPr="00DD4C24">
        <w:rPr>
          <w:rFonts w:ascii="Arial" w:hAnsi="Arial" w:cs="Arial"/>
          <w:sz w:val="22"/>
        </w:rPr>
        <w:t xml:space="preserve"> (no aspect of the research proposed involves supply or export of sanctioned technology or services, and/or the proposed research involves no access to controlled equipment and materials including DSGL listed items, and no access to technologies or material related in any manner to weapons of mass destruction), then the Group Dean (Research) recommends the application to the Dean GGRS for further consideration. </w:t>
      </w:r>
      <w:r w:rsidR="00AA1ED0">
        <w:rPr>
          <w:rFonts w:ascii="Arial" w:hAnsi="Arial" w:cs="Arial"/>
          <w:sz w:val="22"/>
        </w:rPr>
        <w:br/>
      </w:r>
    </w:p>
    <w:p w14:paraId="73DD38B1" w14:textId="77777777" w:rsidR="00FA58FE" w:rsidRPr="00DD4C24" w:rsidRDefault="00FA58FE" w:rsidP="00AA1ED0">
      <w:pPr>
        <w:pStyle w:val="ListParagraph"/>
        <w:numPr>
          <w:ilvl w:val="0"/>
          <w:numId w:val="51"/>
        </w:numPr>
        <w:spacing w:before="120" w:after="120" w:line="240" w:lineRule="auto"/>
        <w:ind w:left="1843"/>
        <w:rPr>
          <w:rFonts w:ascii="Arial" w:hAnsi="Arial" w:cs="Arial"/>
          <w:sz w:val="22"/>
        </w:rPr>
      </w:pPr>
      <w:r w:rsidRPr="00DD4C24">
        <w:rPr>
          <w:rFonts w:ascii="Arial" w:hAnsi="Arial" w:cs="Arial"/>
          <w:b/>
          <w:bCs/>
          <w:sz w:val="22"/>
        </w:rPr>
        <w:t>Medium Risk</w:t>
      </w:r>
      <w:r w:rsidRPr="00DD4C24">
        <w:rPr>
          <w:rFonts w:ascii="Arial" w:hAnsi="Arial" w:cs="Arial"/>
          <w:sz w:val="22"/>
        </w:rPr>
        <w:t xml:space="preserve"> (the research proposed is unlikely to involve supply or export of sanctioned or controlled technology or services but falls within a discipline or University area in which the proposed research needs to managed in a manner that removes possibility of access to controlled equipment and materials including DSGL items), then the Group Dean (Research) might a) request modification of the research proposal until it is deemed ‘Low Risk’ and reassess, and/or b) recommend a  HDR Sanctions Assessment Panel review.</w:t>
      </w:r>
    </w:p>
    <w:p w14:paraId="08D4C482" w14:textId="77777777" w:rsidR="00FA58FE" w:rsidRPr="00DD4C24" w:rsidRDefault="00FA58FE" w:rsidP="00AA1ED0">
      <w:pPr>
        <w:pStyle w:val="ListParagraph"/>
        <w:spacing w:before="120" w:after="120" w:line="240" w:lineRule="auto"/>
        <w:ind w:left="1843" w:hanging="357"/>
        <w:rPr>
          <w:rFonts w:ascii="Arial" w:hAnsi="Arial" w:cs="Arial"/>
          <w:sz w:val="22"/>
        </w:rPr>
      </w:pPr>
    </w:p>
    <w:p w14:paraId="65835969" w14:textId="77777777" w:rsidR="00FA58FE" w:rsidRPr="00DD4C24" w:rsidRDefault="00FA58FE" w:rsidP="00AA1ED0">
      <w:pPr>
        <w:pStyle w:val="ListParagraph"/>
        <w:numPr>
          <w:ilvl w:val="0"/>
          <w:numId w:val="51"/>
        </w:numPr>
        <w:spacing w:before="120" w:after="120" w:line="240" w:lineRule="auto"/>
        <w:ind w:left="1843"/>
        <w:rPr>
          <w:rFonts w:ascii="Arial" w:hAnsi="Arial" w:cs="Arial"/>
          <w:sz w:val="22"/>
        </w:rPr>
      </w:pPr>
      <w:r w:rsidRPr="00DD4C24">
        <w:rPr>
          <w:rFonts w:ascii="Arial" w:hAnsi="Arial" w:cs="Arial"/>
          <w:b/>
          <w:bCs/>
          <w:sz w:val="22"/>
        </w:rPr>
        <w:t>High Risk</w:t>
      </w:r>
      <w:r w:rsidRPr="00DD4C24">
        <w:rPr>
          <w:rFonts w:ascii="Arial" w:hAnsi="Arial" w:cs="Arial"/>
          <w:sz w:val="22"/>
        </w:rPr>
        <w:t xml:space="preserve"> (the research proposed involves supply or export of sanctioned technology or services and/or involves access to controlled equipment and materials including DSGL listed items, and/or access to technologies or material related in any manner to weapons of mass destruction); then the Group Dean (Research) a) recommends rejection of the HDR application to the Dean GGRS on the ground of exposure to unacceptable risk of breaching Australian Sanctions, and high management costs for the University; or b) only under exceptional circumstances (e.g. outstanding quality of applicant and research proposed; unique expertise) recommends to consider the cost, benefit and risk of submitting a DFAT sanctions permit application, in consultation with the proposed Principal Supervisor, the HDR Convenor and the Export Control and Security Manager. The Group Dean (Research) makes a recommendation to the Dean GGRS.</w:t>
      </w:r>
    </w:p>
    <w:p w14:paraId="7B09F518" w14:textId="427353A9" w:rsidR="00FA58FE" w:rsidRPr="00DD4C24" w:rsidRDefault="00FA58FE" w:rsidP="00DD4C24">
      <w:pPr>
        <w:pStyle w:val="ListParagraph"/>
        <w:spacing w:before="120" w:after="120" w:line="240" w:lineRule="auto"/>
        <w:ind w:left="567"/>
        <w:rPr>
          <w:rFonts w:ascii="Arial" w:hAnsi="Arial" w:cs="Arial"/>
          <w:sz w:val="22"/>
        </w:rPr>
      </w:pPr>
    </w:p>
    <w:p w14:paraId="480CA5C2" w14:textId="77777777" w:rsidR="00FA58FE" w:rsidRPr="00DD4C24" w:rsidRDefault="00FA58FE" w:rsidP="00DD4C24">
      <w:pPr>
        <w:pStyle w:val="ListParagraph"/>
        <w:spacing w:before="120" w:after="120" w:line="240" w:lineRule="auto"/>
        <w:ind w:left="567"/>
        <w:rPr>
          <w:rFonts w:ascii="Arial" w:hAnsi="Arial" w:cs="Arial"/>
          <w:sz w:val="22"/>
        </w:rPr>
      </w:pPr>
      <w:r w:rsidRPr="00DD4C24">
        <w:rPr>
          <w:rFonts w:ascii="Arial" w:hAnsi="Arial" w:cs="Arial"/>
          <w:sz w:val="22"/>
        </w:rPr>
        <w:t>The Dean GGRS either signs off on submission of a DFAT sanctions permit application or rejects the HDR application on the grounds of the high risk and costs for the University.</w:t>
      </w:r>
    </w:p>
    <w:p w14:paraId="732942AC" w14:textId="63084ED0" w:rsidR="00DB53FB" w:rsidRPr="00DD4C24" w:rsidRDefault="00223814" w:rsidP="00DD4C24">
      <w:pPr>
        <w:pStyle w:val="Heading3"/>
        <w:numPr>
          <w:ilvl w:val="1"/>
          <w:numId w:val="42"/>
        </w:numPr>
        <w:spacing w:before="120" w:after="120"/>
        <w:ind w:left="987" w:hanging="448"/>
        <w:rPr>
          <w:rFonts w:ascii="Arial" w:hAnsi="Arial" w:cs="Arial"/>
          <w:b/>
          <w:bCs/>
          <w:sz w:val="28"/>
          <w:szCs w:val="28"/>
        </w:rPr>
      </w:pPr>
      <w:bookmarkStart w:id="14" w:name="_3.3_&lt;Insert_sub-heading&gt;"/>
      <w:bookmarkStart w:id="15" w:name="_Group_Sanctions_Review"/>
      <w:bookmarkEnd w:id="14"/>
      <w:bookmarkEnd w:id="15"/>
      <w:r w:rsidRPr="00DD4C24">
        <w:rPr>
          <w:rFonts w:ascii="Arial" w:hAnsi="Arial" w:cs="Arial"/>
          <w:b/>
          <w:bCs/>
          <w:sz w:val="28"/>
          <w:szCs w:val="28"/>
        </w:rPr>
        <w:t>Group Sanctions Review Panel</w:t>
      </w:r>
    </w:p>
    <w:p w14:paraId="52198E08" w14:textId="42BFF191" w:rsidR="000E5A8C" w:rsidRPr="00DD4C24" w:rsidRDefault="000E5A8C" w:rsidP="00DD4C24">
      <w:pPr>
        <w:spacing w:before="120" w:after="120" w:line="240" w:lineRule="auto"/>
        <w:ind w:left="567"/>
        <w:rPr>
          <w:rFonts w:ascii="Arial" w:hAnsi="Arial" w:cs="Arial"/>
          <w:sz w:val="22"/>
        </w:rPr>
      </w:pPr>
      <w:r w:rsidRPr="00DD4C24">
        <w:rPr>
          <w:rFonts w:ascii="Arial" w:hAnsi="Arial" w:cs="Arial"/>
          <w:sz w:val="22"/>
        </w:rPr>
        <w:t xml:space="preserve">Upon receipt of a completed and signed SCRAF for HDR Applicants, the Group Dean (Research) may convene, form, and chair a Group HDR Sanctions Assessment Panel comprised of designees versed in the subject matter of the proposed research. The Panel will invite the University’s Export Control and Security Manager. </w:t>
      </w:r>
    </w:p>
    <w:p w14:paraId="396AA944" w14:textId="77777777" w:rsidR="000E5A8C" w:rsidRPr="00DD4C24" w:rsidRDefault="000E5A8C" w:rsidP="00DD4C24">
      <w:pPr>
        <w:spacing w:before="120" w:after="120" w:line="240" w:lineRule="auto"/>
        <w:ind w:left="567"/>
        <w:rPr>
          <w:rFonts w:ascii="Arial" w:hAnsi="Arial" w:cs="Arial"/>
          <w:sz w:val="22"/>
        </w:rPr>
      </w:pPr>
      <w:r w:rsidRPr="00DD4C24">
        <w:rPr>
          <w:rFonts w:ascii="Arial" w:hAnsi="Arial" w:cs="Arial"/>
          <w:sz w:val="22"/>
        </w:rPr>
        <w:t xml:space="preserve">The Group HDR Sanctions Assessment Panel may meet and deliberate in any manner the members of the panel see fit. </w:t>
      </w:r>
    </w:p>
    <w:p w14:paraId="4BEC5FCF" w14:textId="77777777" w:rsidR="000E5A8C" w:rsidRPr="00DD4C24" w:rsidRDefault="000E5A8C" w:rsidP="00DD4C24">
      <w:pPr>
        <w:spacing w:before="120" w:after="120" w:line="240" w:lineRule="auto"/>
        <w:ind w:left="567"/>
        <w:rPr>
          <w:rFonts w:ascii="Arial" w:hAnsi="Arial" w:cs="Arial"/>
          <w:sz w:val="22"/>
        </w:rPr>
      </w:pPr>
      <w:r w:rsidRPr="00DD4C24">
        <w:rPr>
          <w:rFonts w:ascii="Arial" w:hAnsi="Arial" w:cs="Arial"/>
          <w:sz w:val="22"/>
        </w:rPr>
        <w:lastRenderedPageBreak/>
        <w:t xml:space="preserve">The Group HDR Sanctions Assessment Panel will review the completed and signed SCRAF for HDR Applicants and either verify the proposed Supervisor’s assessment or, at their discretion and after consulting with the proposed Supervisor, reassess the risk of the Applicant’s proposal. The </w:t>
      </w:r>
      <w:hyperlink r:id="rId15" w:history="1">
        <w:r w:rsidRPr="00DD4C24">
          <w:rPr>
            <w:rStyle w:val="Hyperlink"/>
            <w:rFonts w:ascii="Arial" w:hAnsi="Arial" w:cs="Arial"/>
            <w:sz w:val="22"/>
          </w:rPr>
          <w:t>Critical Technologies List</w:t>
        </w:r>
      </w:hyperlink>
      <w:r w:rsidRPr="00DD4C24">
        <w:rPr>
          <w:rStyle w:val="Hyperlink"/>
          <w:rFonts w:ascii="Arial" w:hAnsi="Arial" w:cs="Arial"/>
          <w:sz w:val="22"/>
          <w:u w:val="none"/>
        </w:rPr>
        <w:t xml:space="preserve"> </w:t>
      </w:r>
      <w:r w:rsidRPr="00DD4C24">
        <w:rPr>
          <w:rFonts w:ascii="Arial" w:hAnsi="Arial" w:cs="Arial"/>
          <w:sz w:val="22"/>
        </w:rPr>
        <w:t xml:space="preserve">in review by the Department of Industry Science and Resources might be considered by the Panel when evaluating risk, however noting: </w:t>
      </w:r>
      <w:hyperlink r:id="rId16" w:history="1">
        <w:r w:rsidRPr="00DD4C24">
          <w:rPr>
            <w:rStyle w:val="Hyperlink"/>
            <w:rFonts w:ascii="Arial" w:hAnsi="Arial" w:cs="Arial"/>
            <w:i/>
            <w:iCs/>
            <w:color w:val="auto"/>
            <w:sz w:val="22"/>
          </w:rPr>
          <w:t>“This List itself does not imply any recommended or prohibited actions —inclusion of a technology on the List does not imply guaranteed prioritisation or that there is a real or perceived risk to national security from that technology”.</w:t>
        </w:r>
      </w:hyperlink>
      <w:r w:rsidRPr="00DD4C24">
        <w:rPr>
          <w:rFonts w:ascii="Arial" w:hAnsi="Arial" w:cs="Arial"/>
          <w:i/>
          <w:iCs/>
          <w:sz w:val="22"/>
        </w:rPr>
        <w:t xml:space="preserve"> </w:t>
      </w:r>
    </w:p>
    <w:p w14:paraId="46245454" w14:textId="77777777" w:rsidR="000E5A8C" w:rsidRPr="00DD4C24" w:rsidRDefault="000E5A8C" w:rsidP="00DD4C24">
      <w:pPr>
        <w:spacing w:before="120" w:after="120" w:line="240" w:lineRule="auto"/>
        <w:ind w:left="567"/>
        <w:rPr>
          <w:rFonts w:ascii="Arial" w:hAnsi="Arial" w:cs="Arial"/>
          <w:sz w:val="22"/>
        </w:rPr>
      </w:pPr>
      <w:r w:rsidRPr="00DD4C24">
        <w:rPr>
          <w:rFonts w:ascii="Arial" w:hAnsi="Arial" w:cs="Arial"/>
          <w:sz w:val="22"/>
        </w:rPr>
        <w:t>The Group HDR Sanctions Assessment Panel will recommend to the Dean GGRS to progress with offering candidature only if, after assessment and deliberation, the Panel agrees the risk is low and contained. Their assessment together with their recommended outcome will be dealt with in the following manner:</w:t>
      </w:r>
    </w:p>
    <w:p w14:paraId="7AC3E2F8" w14:textId="1BE621BF" w:rsidR="000E5A8C" w:rsidRPr="00DD4C24" w:rsidRDefault="000E5A8C" w:rsidP="00DD4C24">
      <w:pPr>
        <w:pStyle w:val="ListParagraph"/>
        <w:numPr>
          <w:ilvl w:val="0"/>
          <w:numId w:val="46"/>
        </w:numPr>
        <w:spacing w:before="120" w:after="120" w:line="240" w:lineRule="auto"/>
        <w:ind w:left="1434" w:hanging="357"/>
        <w:rPr>
          <w:rFonts w:ascii="Arial" w:hAnsi="Arial" w:cs="Arial"/>
          <w:sz w:val="22"/>
        </w:rPr>
      </w:pPr>
      <w:r w:rsidRPr="00DD4C24">
        <w:rPr>
          <w:rFonts w:ascii="Arial" w:hAnsi="Arial" w:cs="Arial"/>
          <w:sz w:val="22"/>
        </w:rPr>
        <w:t>The assessment and recommended outcome will be referred to the Dean GGRS by the Group</w:t>
      </w:r>
      <w:r w:rsidR="006B0E5F" w:rsidRPr="00DD4C24">
        <w:rPr>
          <w:rFonts w:ascii="Arial" w:hAnsi="Arial" w:cs="Arial"/>
          <w:sz w:val="22"/>
        </w:rPr>
        <w:t xml:space="preserve"> </w:t>
      </w:r>
      <w:r w:rsidRPr="00DD4C24">
        <w:rPr>
          <w:rFonts w:ascii="Arial" w:hAnsi="Arial" w:cs="Arial"/>
          <w:sz w:val="22"/>
        </w:rPr>
        <w:t>HDR Sanctions Assessment Review Panel.</w:t>
      </w:r>
    </w:p>
    <w:p w14:paraId="47E736BC" w14:textId="37F60F3D" w:rsidR="000E5A8C" w:rsidRPr="00DD4C24" w:rsidRDefault="000E5A8C" w:rsidP="00DD4C24">
      <w:pPr>
        <w:pStyle w:val="ListParagraph"/>
        <w:numPr>
          <w:ilvl w:val="0"/>
          <w:numId w:val="46"/>
        </w:numPr>
        <w:spacing w:before="120" w:after="120" w:line="240" w:lineRule="auto"/>
        <w:ind w:left="1434" w:hanging="357"/>
        <w:rPr>
          <w:rFonts w:ascii="Arial" w:hAnsi="Arial" w:cs="Arial"/>
          <w:sz w:val="22"/>
        </w:rPr>
      </w:pPr>
      <w:r w:rsidRPr="00DD4C24">
        <w:rPr>
          <w:rFonts w:ascii="Arial" w:hAnsi="Arial" w:cs="Arial"/>
          <w:sz w:val="22"/>
        </w:rPr>
        <w:t>The Dean GGRS will consider the Panel’s assessment, evaluate, and rank the application</w:t>
      </w:r>
      <w:r w:rsidR="00AD35CA" w:rsidRPr="00DD4C24">
        <w:rPr>
          <w:rFonts w:ascii="Arial" w:hAnsi="Arial" w:cs="Arial"/>
          <w:sz w:val="22"/>
        </w:rPr>
        <w:t xml:space="preserve"> </w:t>
      </w:r>
      <w:r w:rsidRPr="00DD4C24">
        <w:rPr>
          <w:rFonts w:ascii="Arial" w:hAnsi="Arial" w:cs="Arial"/>
          <w:sz w:val="22"/>
        </w:rPr>
        <w:t>according to the established Risk Matrix</w:t>
      </w:r>
      <w:r w:rsidR="00153E78" w:rsidRPr="00DD4C24">
        <w:rPr>
          <w:rFonts w:ascii="Arial" w:hAnsi="Arial" w:cs="Arial"/>
          <w:sz w:val="22"/>
        </w:rPr>
        <w:t xml:space="preserve"> described in Section 3.2</w:t>
      </w:r>
      <w:r w:rsidRPr="00DD4C24">
        <w:rPr>
          <w:rFonts w:ascii="Arial" w:hAnsi="Arial" w:cs="Arial"/>
          <w:sz w:val="22"/>
        </w:rPr>
        <w:t>. The Dean GGRS will notify the relevant Group Dean (Research) of the final decision; and</w:t>
      </w:r>
    </w:p>
    <w:p w14:paraId="0C2BA0D8" w14:textId="0957C2D6" w:rsidR="000E5A8C" w:rsidRPr="00DD4C24" w:rsidRDefault="000E5A8C" w:rsidP="00DD4C24">
      <w:pPr>
        <w:pStyle w:val="ListParagraph"/>
        <w:numPr>
          <w:ilvl w:val="0"/>
          <w:numId w:val="46"/>
        </w:numPr>
        <w:spacing w:before="120" w:after="120" w:line="240" w:lineRule="auto"/>
        <w:ind w:left="1434" w:hanging="357"/>
        <w:rPr>
          <w:rFonts w:ascii="Arial" w:hAnsi="Arial" w:cs="Arial"/>
          <w:sz w:val="22"/>
        </w:rPr>
      </w:pPr>
      <w:r w:rsidRPr="00DD4C24">
        <w:rPr>
          <w:rFonts w:ascii="Arial" w:hAnsi="Arial" w:cs="Arial"/>
          <w:sz w:val="22"/>
        </w:rPr>
        <w:t>The Senior Manager HDR Operations, Griffith Graduate Research School will implement Dean GGRS’s decision.</w:t>
      </w:r>
    </w:p>
    <w:p w14:paraId="00C62A15" w14:textId="68E890E8" w:rsidR="000E5A8C" w:rsidRPr="00DD4C24" w:rsidRDefault="000E5A8C" w:rsidP="00DD4C24">
      <w:pPr>
        <w:spacing w:before="120" w:after="120" w:line="240" w:lineRule="auto"/>
        <w:ind w:left="567"/>
        <w:rPr>
          <w:rFonts w:ascii="Arial" w:hAnsi="Arial" w:cs="Arial"/>
          <w:sz w:val="22"/>
        </w:rPr>
      </w:pPr>
      <w:r w:rsidRPr="00DD4C24">
        <w:rPr>
          <w:rFonts w:ascii="Arial" w:hAnsi="Arial" w:cs="Arial"/>
          <w:sz w:val="22"/>
        </w:rPr>
        <w:t xml:space="preserve">In the exceptional circumstance of submitting </w:t>
      </w:r>
      <w:proofErr w:type="gramStart"/>
      <w:r w:rsidRPr="00DD4C24">
        <w:rPr>
          <w:rFonts w:ascii="Arial" w:hAnsi="Arial" w:cs="Arial"/>
          <w:sz w:val="22"/>
        </w:rPr>
        <w:t>a sanctions</w:t>
      </w:r>
      <w:proofErr w:type="gramEnd"/>
      <w:r w:rsidRPr="00DD4C24">
        <w:rPr>
          <w:rFonts w:ascii="Arial" w:hAnsi="Arial" w:cs="Arial"/>
          <w:sz w:val="22"/>
        </w:rPr>
        <w:t xml:space="preserve"> permit application to DFAT, the Export Control and Security Manager will facilitate the application submission and be the point of contact for DFAT regarding the application. The outcome of the assessment (a lengthy process that usually takes months) will be forwarded to the Group Dean (Research) to be communicated internally to the HDR Principal Supervisor. </w:t>
      </w:r>
    </w:p>
    <w:p w14:paraId="164B6194" w14:textId="3D0C0EF0" w:rsidR="00223814" w:rsidRPr="00DD4C24" w:rsidRDefault="000E5A8C" w:rsidP="00DD4C24">
      <w:pPr>
        <w:spacing w:before="120" w:after="120" w:line="240" w:lineRule="auto"/>
        <w:ind w:left="567"/>
        <w:rPr>
          <w:rFonts w:ascii="Arial" w:hAnsi="Arial" w:cs="Arial"/>
          <w:sz w:val="22"/>
        </w:rPr>
      </w:pPr>
      <w:r w:rsidRPr="00DD4C24">
        <w:rPr>
          <w:rFonts w:ascii="Arial" w:hAnsi="Arial" w:cs="Arial"/>
          <w:sz w:val="22"/>
        </w:rPr>
        <w:t>If DFAT approval is granted, the conditions and requirements of the permit will need to be accepted and monitored at least on an annual basis by the HDR Principal Supervisor. The Export Control and Security Manager will implement a monitoring schedule.</w:t>
      </w:r>
    </w:p>
    <w:p w14:paraId="6EE936E8" w14:textId="42D4039C" w:rsidR="00223814" w:rsidRPr="00DD4C24" w:rsidRDefault="00F12A51" w:rsidP="00DD4C24">
      <w:pPr>
        <w:pStyle w:val="Heading3"/>
        <w:numPr>
          <w:ilvl w:val="1"/>
          <w:numId w:val="42"/>
        </w:numPr>
        <w:spacing w:before="120" w:after="120"/>
        <w:ind w:left="1015" w:hanging="448"/>
        <w:rPr>
          <w:rFonts w:ascii="Arial" w:hAnsi="Arial" w:cs="Arial"/>
          <w:b/>
          <w:bCs/>
          <w:sz w:val="28"/>
          <w:szCs w:val="28"/>
        </w:rPr>
      </w:pPr>
      <w:bookmarkStart w:id="16" w:name="_Failsafe_Review"/>
      <w:bookmarkEnd w:id="16"/>
      <w:r w:rsidRPr="00DD4C24">
        <w:rPr>
          <w:rFonts w:ascii="Arial" w:hAnsi="Arial" w:cs="Arial"/>
          <w:b/>
          <w:bCs/>
          <w:sz w:val="28"/>
          <w:szCs w:val="28"/>
        </w:rPr>
        <w:t>Failsafe Review</w:t>
      </w:r>
    </w:p>
    <w:p w14:paraId="03EC42DE" w14:textId="6A7B4D21" w:rsidR="00223814" w:rsidRPr="00DD4C24" w:rsidRDefault="00644E36" w:rsidP="00DD4C24">
      <w:pPr>
        <w:spacing w:before="120" w:after="120" w:line="240" w:lineRule="auto"/>
        <w:ind w:left="567"/>
        <w:rPr>
          <w:rFonts w:ascii="Arial" w:hAnsi="Arial" w:cs="Arial"/>
          <w:sz w:val="22"/>
        </w:rPr>
      </w:pPr>
      <w:r w:rsidRPr="00DD4C24">
        <w:rPr>
          <w:rFonts w:ascii="Arial" w:hAnsi="Arial" w:cs="Arial"/>
          <w:sz w:val="22"/>
        </w:rPr>
        <w:t>As a component of the admission recommendation process undertaken in line with the Higher Degree Research Admission Procedure, the Group Dean (Research) must complete the GGRS Sanction spreadsheet and confirm to Dean GGRS that all recommended applicants for admission for the relevant Academic Group have been assessed for sanctions and export controls compliance. The Dean GGRS will also conduct a failsafe review of the list of applicants in the GGRS Sanction spreadsheet (or cause such a review to be conducted) and will flag any application which appears to be an assessable HDR Application but was not assessed during the process.</w:t>
      </w:r>
    </w:p>
    <w:p w14:paraId="4E4FF8A1" w14:textId="3156572F" w:rsidR="00BE3087" w:rsidRPr="00DD4C24" w:rsidRDefault="00F12A51" w:rsidP="00DD4C24">
      <w:pPr>
        <w:pStyle w:val="Heading3"/>
        <w:numPr>
          <w:ilvl w:val="1"/>
          <w:numId w:val="42"/>
        </w:numPr>
        <w:spacing w:before="120" w:after="120"/>
        <w:ind w:left="1015" w:hanging="448"/>
        <w:rPr>
          <w:rFonts w:ascii="Arial" w:hAnsi="Arial" w:cs="Arial"/>
          <w:b/>
          <w:bCs/>
          <w:sz w:val="28"/>
          <w:szCs w:val="28"/>
        </w:rPr>
      </w:pPr>
      <w:bookmarkStart w:id="17" w:name="_Ongoing_Compliance"/>
      <w:bookmarkEnd w:id="17"/>
      <w:r w:rsidRPr="00DD4C24">
        <w:rPr>
          <w:rFonts w:ascii="Arial" w:hAnsi="Arial" w:cs="Arial"/>
          <w:b/>
          <w:bCs/>
          <w:sz w:val="28"/>
          <w:szCs w:val="28"/>
        </w:rPr>
        <w:t>Ongoing Compliance</w:t>
      </w:r>
    </w:p>
    <w:p w14:paraId="1FA5C35E" w14:textId="38639182" w:rsidR="002D09BB" w:rsidRPr="00C4334D" w:rsidRDefault="002D09BB" w:rsidP="00DD4C24">
      <w:pPr>
        <w:spacing w:before="120" w:after="120" w:line="240" w:lineRule="auto"/>
        <w:ind w:left="567"/>
        <w:rPr>
          <w:rFonts w:ascii="Arial" w:hAnsi="Arial" w:cs="Arial"/>
          <w:sz w:val="22"/>
        </w:rPr>
      </w:pPr>
      <w:r w:rsidRPr="00C4334D">
        <w:rPr>
          <w:rFonts w:ascii="Arial" w:hAnsi="Arial" w:cs="Arial"/>
          <w:sz w:val="22"/>
        </w:rPr>
        <w:t>Compliance with sanctions and export trade controls legislation for each admitted and enrolled HDR candidate from a sanctioned country will be conducted on annual basis. The review will confirm that the candidate has not changed their topic or research activities as approved at admission unless formal approval has been sought and obtained.</w:t>
      </w:r>
    </w:p>
    <w:p w14:paraId="40B3D71B" w14:textId="3BBC83D3" w:rsidR="00BE3087" w:rsidRPr="00C4334D" w:rsidRDefault="002D09BB" w:rsidP="00DD4C24">
      <w:pPr>
        <w:spacing w:before="120" w:after="120" w:line="240" w:lineRule="auto"/>
        <w:ind w:left="567"/>
        <w:rPr>
          <w:rFonts w:ascii="Arial" w:hAnsi="Arial" w:cs="Arial"/>
          <w:sz w:val="22"/>
        </w:rPr>
      </w:pPr>
      <w:r w:rsidRPr="00C4334D">
        <w:rPr>
          <w:rFonts w:ascii="Arial" w:hAnsi="Arial" w:cs="Arial"/>
          <w:sz w:val="22"/>
        </w:rPr>
        <w:t>The review will be undertaken by the milestone decision maker. Where the decision maker has cause for concern regarding a change to the candidate’s research topic or research activity, the decision maker will refer the matter to the Group Dean (Research) who will seek advice from the Export Control and Security Manager as needed.</w:t>
      </w:r>
    </w:p>
    <w:p w14:paraId="1B303A81" w14:textId="5496B736" w:rsidR="00BE3087" w:rsidRPr="00DD4C24" w:rsidRDefault="00341FB6" w:rsidP="00DD4C24">
      <w:pPr>
        <w:pStyle w:val="Heading3"/>
        <w:numPr>
          <w:ilvl w:val="1"/>
          <w:numId w:val="42"/>
        </w:numPr>
        <w:spacing w:before="120" w:after="120"/>
        <w:ind w:left="1015" w:hanging="448"/>
        <w:rPr>
          <w:rFonts w:ascii="Arial" w:hAnsi="Arial" w:cs="Arial"/>
          <w:b/>
          <w:bCs/>
          <w:sz w:val="28"/>
          <w:szCs w:val="28"/>
        </w:rPr>
      </w:pPr>
      <w:bookmarkStart w:id="18" w:name="_Assessment_of_compliance"/>
      <w:bookmarkEnd w:id="18"/>
      <w:r w:rsidRPr="00DD4C24">
        <w:rPr>
          <w:rFonts w:ascii="Arial" w:hAnsi="Arial" w:cs="Arial"/>
          <w:b/>
          <w:bCs/>
          <w:sz w:val="28"/>
          <w:szCs w:val="28"/>
        </w:rPr>
        <w:t>Assessment of compliance for non-HDR admissions</w:t>
      </w:r>
    </w:p>
    <w:p w14:paraId="646BEB56" w14:textId="5C0ECF03" w:rsidR="00BE3087" w:rsidRPr="00C4334D" w:rsidRDefault="00F1322B" w:rsidP="00DD4C24">
      <w:pPr>
        <w:spacing w:before="120" w:after="120" w:line="240" w:lineRule="auto"/>
        <w:ind w:left="567"/>
        <w:rPr>
          <w:rFonts w:ascii="Arial" w:hAnsi="Arial" w:cs="Arial"/>
          <w:sz w:val="22"/>
        </w:rPr>
      </w:pPr>
      <w:r w:rsidRPr="00C4334D">
        <w:rPr>
          <w:rFonts w:ascii="Arial" w:hAnsi="Arial" w:cs="Arial"/>
          <w:sz w:val="22"/>
        </w:rPr>
        <w:t>Assessment of compliance with sanctions and export trade controls legislation for students admitted and enrolled in other University programs are under the</w:t>
      </w:r>
      <w:r w:rsidR="00C4334D">
        <w:rPr>
          <w:rFonts w:ascii="Arial" w:hAnsi="Arial" w:cs="Arial"/>
          <w:sz w:val="22"/>
        </w:rPr>
        <w:t xml:space="preserve"> </w:t>
      </w:r>
      <w:r w:rsidR="00C4334D" w:rsidRPr="00C4334D">
        <w:rPr>
          <w:rFonts w:ascii="Arial" w:hAnsi="Arial" w:cs="Arial"/>
          <w:i/>
          <w:iCs/>
          <w:sz w:val="22"/>
        </w:rPr>
        <w:t xml:space="preserve">Assessment </w:t>
      </w:r>
      <w:r w:rsidR="00C4334D">
        <w:rPr>
          <w:rFonts w:ascii="Arial" w:hAnsi="Arial" w:cs="Arial"/>
          <w:i/>
          <w:iCs/>
          <w:sz w:val="22"/>
        </w:rPr>
        <w:t>Policy</w:t>
      </w:r>
      <w:r w:rsidR="00C4334D">
        <w:rPr>
          <w:rFonts w:ascii="Arial" w:hAnsi="Arial" w:cs="Arial"/>
          <w:sz w:val="22"/>
        </w:rPr>
        <w:t>.</w:t>
      </w:r>
    </w:p>
    <w:p w14:paraId="29D75CE1" w14:textId="2E24194A" w:rsidR="00B54CE9" w:rsidRPr="00DD4C24" w:rsidRDefault="00B54CE9" w:rsidP="00DD4C24">
      <w:pPr>
        <w:pStyle w:val="Heading2"/>
        <w:spacing w:before="120" w:line="240" w:lineRule="auto"/>
        <w:ind w:left="426" w:hanging="426"/>
        <w:rPr>
          <w:rFonts w:ascii="Arial" w:hAnsi="Arial" w:cs="Arial"/>
          <w:b/>
          <w:bCs/>
          <w:sz w:val="32"/>
          <w:szCs w:val="32"/>
        </w:rPr>
      </w:pPr>
      <w:bookmarkStart w:id="19" w:name="_Ref20320732"/>
      <w:bookmarkStart w:id="20" w:name="_Ref20320710"/>
      <w:bookmarkStart w:id="21" w:name="_4.0_Definitions"/>
      <w:bookmarkEnd w:id="21"/>
      <w:r w:rsidRPr="00DD4C24">
        <w:rPr>
          <w:rFonts w:ascii="Arial" w:hAnsi="Arial" w:cs="Arial"/>
          <w:b/>
          <w:bCs/>
          <w:sz w:val="32"/>
          <w:szCs w:val="32"/>
        </w:rPr>
        <w:lastRenderedPageBreak/>
        <w:t>4.0 Definitions</w:t>
      </w:r>
      <w:bookmarkEnd w:id="19"/>
    </w:p>
    <w:p w14:paraId="276802F0" w14:textId="69E6F57B" w:rsidR="00A1574E" w:rsidRPr="00C4334D" w:rsidRDefault="00A1574E" w:rsidP="00DD4C24">
      <w:pPr>
        <w:tabs>
          <w:tab w:val="center" w:pos="4153"/>
          <w:tab w:val="right" w:pos="8306"/>
        </w:tabs>
        <w:spacing w:before="120" w:after="120" w:line="240" w:lineRule="auto"/>
        <w:rPr>
          <w:rFonts w:ascii="Arial" w:hAnsi="Arial" w:cs="Arial"/>
          <w:bCs/>
          <w:sz w:val="22"/>
          <w:lang w:eastAsia="en-US"/>
        </w:rPr>
      </w:pPr>
      <w:bookmarkStart w:id="22" w:name="_Hlk139982595"/>
      <w:r w:rsidRPr="00C4334D">
        <w:rPr>
          <w:rFonts w:ascii="Arial" w:hAnsi="Arial" w:cs="Arial"/>
          <w:b/>
          <w:sz w:val="22"/>
          <w:lang w:eastAsia="en-US"/>
        </w:rPr>
        <w:t>Academic Group</w:t>
      </w:r>
      <w:r w:rsidRPr="00C4334D">
        <w:rPr>
          <w:rFonts w:ascii="Arial" w:hAnsi="Arial" w:cs="Arial"/>
          <w:bCs/>
          <w:sz w:val="22"/>
          <w:lang w:eastAsia="en-US"/>
        </w:rPr>
        <w:t xml:space="preserve"> means the highest level of academic organisational unit of the University as designated by the University from time to time, including each of the Offices of the Pro Vice Chancellor of: </w:t>
      </w:r>
    </w:p>
    <w:p w14:paraId="5C457EBD" w14:textId="77777777" w:rsidR="00A1574E" w:rsidRPr="00C4334D" w:rsidRDefault="00A1574E" w:rsidP="00DD4C24">
      <w:pPr>
        <w:numPr>
          <w:ilvl w:val="0"/>
          <w:numId w:val="47"/>
        </w:numPr>
        <w:spacing w:before="120" w:after="120" w:line="240" w:lineRule="auto"/>
        <w:ind w:left="924" w:hanging="357"/>
        <w:rPr>
          <w:rFonts w:ascii="Arial" w:hAnsi="Arial" w:cs="Arial"/>
          <w:bCs/>
          <w:sz w:val="22"/>
        </w:rPr>
      </w:pPr>
      <w:r w:rsidRPr="00C4334D">
        <w:rPr>
          <w:rFonts w:ascii="Arial" w:hAnsi="Arial" w:cs="Arial"/>
          <w:bCs/>
          <w:sz w:val="22"/>
        </w:rPr>
        <w:t xml:space="preserve">Arts, Education and </w:t>
      </w:r>
      <w:proofErr w:type="gramStart"/>
      <w:r w:rsidRPr="00C4334D">
        <w:rPr>
          <w:rFonts w:ascii="Arial" w:hAnsi="Arial" w:cs="Arial"/>
          <w:bCs/>
          <w:sz w:val="22"/>
        </w:rPr>
        <w:t>Law;</w:t>
      </w:r>
      <w:proofErr w:type="gramEnd"/>
    </w:p>
    <w:p w14:paraId="711BF26C" w14:textId="77777777" w:rsidR="00A1574E" w:rsidRPr="00C4334D" w:rsidRDefault="00A1574E" w:rsidP="00DD4C24">
      <w:pPr>
        <w:numPr>
          <w:ilvl w:val="0"/>
          <w:numId w:val="47"/>
        </w:numPr>
        <w:spacing w:before="120" w:after="120" w:line="240" w:lineRule="auto"/>
        <w:ind w:left="924" w:hanging="357"/>
        <w:rPr>
          <w:rFonts w:ascii="Arial" w:hAnsi="Arial" w:cs="Arial"/>
          <w:bCs/>
          <w:sz w:val="22"/>
        </w:rPr>
      </w:pPr>
      <w:r w:rsidRPr="00C4334D">
        <w:rPr>
          <w:rFonts w:ascii="Arial" w:hAnsi="Arial" w:cs="Arial"/>
          <w:bCs/>
          <w:sz w:val="22"/>
        </w:rPr>
        <w:t xml:space="preserve">Griffith Business </w:t>
      </w:r>
      <w:proofErr w:type="gramStart"/>
      <w:r w:rsidRPr="00C4334D">
        <w:rPr>
          <w:rFonts w:ascii="Arial" w:hAnsi="Arial" w:cs="Arial"/>
          <w:bCs/>
          <w:sz w:val="22"/>
        </w:rPr>
        <w:t>School;</w:t>
      </w:r>
      <w:proofErr w:type="gramEnd"/>
    </w:p>
    <w:p w14:paraId="58300A4D" w14:textId="77777777" w:rsidR="00A1574E" w:rsidRPr="00C4334D" w:rsidRDefault="00A1574E" w:rsidP="00DD4C24">
      <w:pPr>
        <w:numPr>
          <w:ilvl w:val="0"/>
          <w:numId w:val="47"/>
        </w:numPr>
        <w:spacing w:before="120" w:after="120" w:line="240" w:lineRule="auto"/>
        <w:ind w:left="924" w:hanging="357"/>
        <w:rPr>
          <w:rFonts w:ascii="Arial" w:hAnsi="Arial" w:cs="Arial"/>
          <w:bCs/>
          <w:sz w:val="22"/>
        </w:rPr>
      </w:pPr>
      <w:r w:rsidRPr="00C4334D">
        <w:rPr>
          <w:rFonts w:ascii="Arial" w:hAnsi="Arial" w:cs="Arial"/>
          <w:bCs/>
          <w:sz w:val="22"/>
        </w:rPr>
        <w:t>Griffith Health; and</w:t>
      </w:r>
    </w:p>
    <w:p w14:paraId="4608098F" w14:textId="77777777" w:rsidR="00A1574E" w:rsidRPr="00C4334D" w:rsidRDefault="00A1574E" w:rsidP="00DD4C24">
      <w:pPr>
        <w:numPr>
          <w:ilvl w:val="0"/>
          <w:numId w:val="47"/>
        </w:numPr>
        <w:spacing w:before="120" w:after="120" w:line="240" w:lineRule="auto"/>
        <w:ind w:left="924" w:hanging="357"/>
        <w:rPr>
          <w:rFonts w:ascii="Arial" w:hAnsi="Arial" w:cs="Arial"/>
          <w:bCs/>
          <w:sz w:val="22"/>
        </w:rPr>
      </w:pPr>
      <w:r w:rsidRPr="00C4334D">
        <w:rPr>
          <w:rFonts w:ascii="Arial" w:hAnsi="Arial" w:cs="Arial"/>
          <w:bCs/>
          <w:sz w:val="22"/>
        </w:rPr>
        <w:t xml:space="preserve">Griffith Sciences. Applicants affiliated with the Institute for </w:t>
      </w:r>
      <w:proofErr w:type="spellStart"/>
      <w:r w:rsidRPr="00C4334D">
        <w:rPr>
          <w:rFonts w:ascii="Arial" w:hAnsi="Arial" w:cs="Arial"/>
          <w:bCs/>
          <w:sz w:val="22"/>
        </w:rPr>
        <w:t>Glycomics</w:t>
      </w:r>
      <w:proofErr w:type="spellEnd"/>
      <w:r w:rsidRPr="00C4334D">
        <w:rPr>
          <w:rFonts w:ascii="Arial" w:hAnsi="Arial" w:cs="Arial"/>
          <w:bCs/>
          <w:sz w:val="22"/>
        </w:rPr>
        <w:t xml:space="preserve"> (under the Deputy Vice Chancellor (Research) portfolio) are assessed as part of Griffith Sciences.</w:t>
      </w:r>
    </w:p>
    <w:p w14:paraId="3D6387C5" w14:textId="12FA3697" w:rsidR="00A1574E" w:rsidRPr="00C4334D" w:rsidRDefault="00A1574E" w:rsidP="00DD4C24">
      <w:pPr>
        <w:tabs>
          <w:tab w:val="center" w:pos="4153"/>
          <w:tab w:val="right" w:pos="8306"/>
        </w:tabs>
        <w:spacing w:before="120" w:after="120" w:line="240" w:lineRule="auto"/>
        <w:rPr>
          <w:rFonts w:ascii="Arial" w:hAnsi="Arial" w:cs="Arial"/>
          <w:bCs/>
          <w:sz w:val="22"/>
        </w:rPr>
      </w:pPr>
      <w:r w:rsidRPr="00C4334D">
        <w:rPr>
          <w:rFonts w:ascii="Arial" w:hAnsi="Arial" w:cs="Arial"/>
          <w:b/>
          <w:sz w:val="22"/>
          <w:lang w:eastAsia="en-US"/>
        </w:rPr>
        <w:t>Assessable</w:t>
      </w:r>
      <w:r w:rsidRPr="00C4334D">
        <w:rPr>
          <w:rFonts w:ascii="Arial" w:hAnsi="Arial" w:cs="Arial"/>
          <w:b/>
          <w:sz w:val="22"/>
        </w:rPr>
        <w:t xml:space="preserve"> HDR Applications</w:t>
      </w:r>
      <w:r w:rsidRPr="00C4334D">
        <w:rPr>
          <w:rFonts w:ascii="Arial" w:hAnsi="Arial" w:cs="Arial"/>
          <w:bCs/>
          <w:sz w:val="22"/>
        </w:rPr>
        <w:t xml:space="preserve"> means an application by a prospective international student for an HDR Program and includes applications for changes of research topic made by a student enrolled through an Assessed HDR Application. </w:t>
      </w:r>
    </w:p>
    <w:p w14:paraId="2E5C5BB9" w14:textId="20A52DF3" w:rsidR="00A1574E" w:rsidRPr="00C4334D" w:rsidRDefault="00A1574E" w:rsidP="00DD4C24">
      <w:pPr>
        <w:tabs>
          <w:tab w:val="center" w:pos="4153"/>
          <w:tab w:val="right" w:pos="8306"/>
        </w:tabs>
        <w:spacing w:before="120" w:after="120" w:line="240" w:lineRule="auto"/>
        <w:rPr>
          <w:rFonts w:ascii="Arial" w:hAnsi="Arial" w:cs="Arial"/>
          <w:bCs/>
          <w:sz w:val="22"/>
        </w:rPr>
      </w:pPr>
      <w:r w:rsidRPr="00C4334D">
        <w:rPr>
          <w:rFonts w:ascii="Arial" w:hAnsi="Arial" w:cs="Arial"/>
          <w:b/>
          <w:sz w:val="22"/>
          <w:lang w:eastAsia="en-US"/>
        </w:rPr>
        <w:t>Assessed HDR Applications</w:t>
      </w:r>
      <w:r w:rsidRPr="00C4334D">
        <w:rPr>
          <w:rFonts w:ascii="Arial" w:hAnsi="Arial" w:cs="Arial"/>
          <w:bCs/>
          <w:sz w:val="22"/>
          <w:lang w:eastAsia="en-US"/>
        </w:rPr>
        <w:t xml:space="preserve"> means </w:t>
      </w:r>
      <w:r w:rsidRPr="00C4334D">
        <w:rPr>
          <w:rFonts w:ascii="Arial" w:hAnsi="Arial" w:cs="Arial"/>
          <w:bCs/>
          <w:sz w:val="22"/>
        </w:rPr>
        <w:t>each application referred for assessment pursuant to sections 3.2 to 3.4.</w:t>
      </w:r>
    </w:p>
    <w:p w14:paraId="283782CE" w14:textId="6E410FE2" w:rsidR="00A1574E" w:rsidRPr="00C4334D" w:rsidRDefault="00A1574E" w:rsidP="00DD4C24">
      <w:pPr>
        <w:tabs>
          <w:tab w:val="center" w:pos="4153"/>
          <w:tab w:val="right" w:pos="8306"/>
        </w:tabs>
        <w:spacing w:before="120" w:after="120" w:line="240" w:lineRule="auto"/>
        <w:rPr>
          <w:rFonts w:ascii="Arial" w:hAnsi="Arial" w:cs="Arial"/>
          <w:bCs/>
          <w:sz w:val="22"/>
        </w:rPr>
      </w:pPr>
      <w:r w:rsidRPr="00C4334D">
        <w:rPr>
          <w:rFonts w:ascii="Arial" w:hAnsi="Arial" w:cs="Arial"/>
          <w:b/>
          <w:sz w:val="22"/>
          <w:lang w:eastAsia="en-US"/>
        </w:rPr>
        <w:t>Australian Sanctions</w:t>
      </w:r>
      <w:r w:rsidRPr="00C4334D">
        <w:rPr>
          <w:rFonts w:ascii="Arial" w:hAnsi="Arial" w:cs="Arial"/>
          <w:bCs/>
          <w:sz w:val="22"/>
          <w:lang w:eastAsia="en-US"/>
        </w:rPr>
        <w:t xml:space="preserve"> means </w:t>
      </w:r>
      <w:r w:rsidRPr="00C4334D">
        <w:rPr>
          <w:rFonts w:ascii="Arial" w:hAnsi="Arial" w:cs="Arial"/>
          <w:bCs/>
          <w:i/>
          <w:sz w:val="22"/>
        </w:rPr>
        <w:t>Autonomous Sanctions Act 2011</w:t>
      </w:r>
      <w:r w:rsidRPr="00C4334D">
        <w:rPr>
          <w:rFonts w:ascii="Arial" w:hAnsi="Arial" w:cs="Arial"/>
          <w:bCs/>
          <w:sz w:val="22"/>
        </w:rPr>
        <w:t xml:space="preserve">, the </w:t>
      </w:r>
      <w:r w:rsidRPr="00C4334D">
        <w:rPr>
          <w:rFonts w:ascii="Arial" w:hAnsi="Arial" w:cs="Arial"/>
          <w:bCs/>
          <w:i/>
          <w:sz w:val="22"/>
        </w:rPr>
        <w:t>Defence Trade Controls Act 2012</w:t>
      </w:r>
      <w:r w:rsidRPr="00C4334D">
        <w:rPr>
          <w:rFonts w:ascii="Arial" w:hAnsi="Arial" w:cs="Arial"/>
          <w:bCs/>
          <w:sz w:val="22"/>
        </w:rPr>
        <w:t xml:space="preserve">, the </w:t>
      </w:r>
      <w:r w:rsidRPr="00C4334D">
        <w:rPr>
          <w:rFonts w:ascii="Arial" w:hAnsi="Arial" w:cs="Arial"/>
          <w:bCs/>
          <w:i/>
          <w:sz w:val="22"/>
        </w:rPr>
        <w:t>United Nations Act 1945</w:t>
      </w:r>
      <w:r w:rsidRPr="00C4334D">
        <w:rPr>
          <w:rFonts w:ascii="Arial" w:hAnsi="Arial" w:cs="Arial"/>
          <w:bCs/>
          <w:sz w:val="22"/>
        </w:rPr>
        <w:t xml:space="preserve"> or the </w:t>
      </w:r>
      <w:r w:rsidRPr="00C4334D">
        <w:rPr>
          <w:rFonts w:ascii="Arial" w:hAnsi="Arial" w:cs="Arial"/>
          <w:bCs/>
          <w:i/>
          <w:sz w:val="22"/>
        </w:rPr>
        <w:t>Weapons of Mass Destruction (Prevention of Proliferation) Act 1995</w:t>
      </w:r>
      <w:r w:rsidRPr="00C4334D">
        <w:rPr>
          <w:rFonts w:ascii="Arial" w:hAnsi="Arial" w:cs="Arial"/>
          <w:bCs/>
          <w:sz w:val="22"/>
        </w:rPr>
        <w:t xml:space="preserve"> and any other sanctions from time to time in force in accordance with the laws of the Commonwealth of Australia (“Australian Sanctions”).</w:t>
      </w:r>
    </w:p>
    <w:p w14:paraId="74A1CDF5" w14:textId="306C3E53" w:rsidR="00A1574E" w:rsidRPr="00C4334D" w:rsidRDefault="00A1574E" w:rsidP="00DD4C24">
      <w:pPr>
        <w:spacing w:before="120" w:after="120" w:line="240" w:lineRule="auto"/>
        <w:rPr>
          <w:rFonts w:ascii="Arial" w:hAnsi="Arial" w:cs="Arial"/>
          <w:bCs/>
          <w:sz w:val="22"/>
        </w:rPr>
      </w:pPr>
      <w:r w:rsidRPr="00C4334D">
        <w:rPr>
          <w:rFonts w:ascii="Arial" w:hAnsi="Arial" w:cs="Arial"/>
          <w:b/>
          <w:sz w:val="22"/>
        </w:rPr>
        <w:t xml:space="preserve">Element </w:t>
      </w:r>
      <w:r w:rsidRPr="00C4334D">
        <w:rPr>
          <w:rFonts w:ascii="Arial" w:hAnsi="Arial" w:cs="Arial"/>
          <w:bCs/>
          <w:sz w:val="22"/>
        </w:rPr>
        <w:t xml:space="preserve">means any </w:t>
      </w:r>
      <w:r w:rsidR="00DD4C24" w:rsidRPr="00C4334D">
        <w:rPr>
          <w:rFonts w:ascii="Arial" w:hAnsi="Arial" w:cs="Arial"/>
          <w:bCs/>
          <w:sz w:val="22"/>
        </w:rPr>
        <w:t>S</w:t>
      </w:r>
      <w:r w:rsidRPr="00C4334D">
        <w:rPr>
          <w:rFonts w:ascii="Arial" w:hAnsi="Arial" w:cs="Arial"/>
          <w:bCs/>
          <w:sz w:val="22"/>
        </w:rPr>
        <w:t xml:space="preserve">chool, </w:t>
      </w:r>
      <w:r w:rsidR="00DD4C24" w:rsidRPr="00C4334D">
        <w:rPr>
          <w:rFonts w:ascii="Arial" w:hAnsi="Arial" w:cs="Arial"/>
          <w:bCs/>
          <w:sz w:val="22"/>
        </w:rPr>
        <w:t>F</w:t>
      </w:r>
      <w:r w:rsidRPr="00C4334D">
        <w:rPr>
          <w:rFonts w:ascii="Arial" w:hAnsi="Arial" w:cs="Arial"/>
          <w:bCs/>
          <w:sz w:val="22"/>
        </w:rPr>
        <w:t xml:space="preserve">aculty, or </w:t>
      </w:r>
      <w:r w:rsidR="00DD4C24" w:rsidRPr="00C4334D">
        <w:rPr>
          <w:rFonts w:ascii="Arial" w:hAnsi="Arial" w:cs="Arial"/>
          <w:bCs/>
          <w:sz w:val="22"/>
        </w:rPr>
        <w:t>D</w:t>
      </w:r>
      <w:r w:rsidRPr="00C4334D">
        <w:rPr>
          <w:rFonts w:ascii="Arial" w:hAnsi="Arial" w:cs="Arial"/>
          <w:bCs/>
          <w:sz w:val="22"/>
        </w:rPr>
        <w:t xml:space="preserve">epartment within an Academic Group and includes all Griffith University </w:t>
      </w:r>
      <w:r w:rsidR="00DD4C24" w:rsidRPr="00C4334D">
        <w:rPr>
          <w:rFonts w:ascii="Arial" w:hAnsi="Arial" w:cs="Arial"/>
          <w:bCs/>
          <w:sz w:val="22"/>
        </w:rPr>
        <w:t>R</w:t>
      </w:r>
      <w:r w:rsidRPr="00C4334D">
        <w:rPr>
          <w:rFonts w:ascii="Arial" w:hAnsi="Arial" w:cs="Arial"/>
          <w:bCs/>
          <w:sz w:val="22"/>
        </w:rPr>
        <w:t xml:space="preserve">esearch </w:t>
      </w:r>
      <w:r w:rsidR="00DD4C24" w:rsidRPr="00C4334D">
        <w:rPr>
          <w:rFonts w:ascii="Arial" w:hAnsi="Arial" w:cs="Arial"/>
          <w:bCs/>
          <w:sz w:val="22"/>
        </w:rPr>
        <w:t xml:space="preserve">Entities (as defined in the </w:t>
      </w:r>
      <w:r w:rsidR="00DD4C24" w:rsidRPr="00C4334D">
        <w:rPr>
          <w:rFonts w:ascii="Arial" w:hAnsi="Arial" w:cs="Arial"/>
          <w:bCs/>
          <w:i/>
          <w:iCs/>
          <w:sz w:val="22"/>
        </w:rPr>
        <w:t>Research Entity Policy</w:t>
      </w:r>
      <w:r w:rsidR="00DD4C24" w:rsidRPr="00C4334D">
        <w:rPr>
          <w:rFonts w:ascii="Arial" w:hAnsi="Arial" w:cs="Arial"/>
          <w:bCs/>
          <w:sz w:val="22"/>
        </w:rPr>
        <w:t xml:space="preserve">) </w:t>
      </w:r>
      <w:r w:rsidRPr="00C4334D">
        <w:rPr>
          <w:rFonts w:ascii="Arial" w:hAnsi="Arial" w:cs="Arial"/>
          <w:bCs/>
          <w:sz w:val="22"/>
        </w:rPr>
        <w:t>and colleges, and any Administrative Office within an Administrative Division.</w:t>
      </w:r>
    </w:p>
    <w:p w14:paraId="7E6727E3" w14:textId="368911F9" w:rsidR="00A1574E" w:rsidRPr="00C4334D" w:rsidRDefault="00A1574E" w:rsidP="00DD4C24">
      <w:pPr>
        <w:spacing w:before="120" w:after="120" w:line="240" w:lineRule="auto"/>
        <w:rPr>
          <w:rFonts w:ascii="Arial" w:hAnsi="Arial" w:cs="Arial"/>
          <w:bCs/>
          <w:sz w:val="22"/>
        </w:rPr>
      </w:pPr>
      <w:r w:rsidRPr="00C4334D">
        <w:rPr>
          <w:rFonts w:ascii="Arial" w:hAnsi="Arial" w:cs="Arial"/>
          <w:b/>
          <w:sz w:val="22"/>
        </w:rPr>
        <w:t>Enrol</w:t>
      </w:r>
      <w:r w:rsidR="00B20409" w:rsidRPr="00C4334D">
        <w:rPr>
          <w:rFonts w:ascii="Arial" w:hAnsi="Arial" w:cs="Arial"/>
          <w:b/>
          <w:sz w:val="22"/>
        </w:rPr>
        <w:t>,</w:t>
      </w:r>
      <w:r w:rsidRPr="00C4334D">
        <w:rPr>
          <w:rFonts w:ascii="Arial" w:hAnsi="Arial" w:cs="Arial"/>
          <w:bCs/>
          <w:sz w:val="22"/>
        </w:rPr>
        <w:t xml:space="preserve"> </w:t>
      </w:r>
      <w:r w:rsidRPr="00C4334D">
        <w:rPr>
          <w:rFonts w:ascii="Arial" w:hAnsi="Arial" w:cs="Arial"/>
          <w:b/>
          <w:sz w:val="22"/>
        </w:rPr>
        <w:t>Enrolled</w:t>
      </w:r>
      <w:r w:rsidRPr="00C4334D">
        <w:rPr>
          <w:rFonts w:ascii="Arial" w:hAnsi="Arial" w:cs="Arial"/>
          <w:bCs/>
          <w:sz w:val="22"/>
        </w:rPr>
        <w:t xml:space="preserve"> or </w:t>
      </w:r>
      <w:r w:rsidRPr="00C4334D">
        <w:rPr>
          <w:rFonts w:ascii="Arial" w:hAnsi="Arial" w:cs="Arial"/>
          <w:b/>
          <w:sz w:val="22"/>
        </w:rPr>
        <w:t>Enrolment</w:t>
      </w:r>
      <w:r w:rsidRPr="00C4334D">
        <w:rPr>
          <w:rFonts w:ascii="Arial" w:hAnsi="Arial" w:cs="Arial"/>
          <w:bCs/>
          <w:sz w:val="22"/>
        </w:rPr>
        <w:t xml:space="preserve"> means the act of a student accepting an offer of admission and registering for courses at the University, by carrying out the specified enrolment procedures of the University.</w:t>
      </w:r>
    </w:p>
    <w:p w14:paraId="56722148" w14:textId="1E7CCA05" w:rsidR="00A1574E" w:rsidRPr="00C4334D" w:rsidRDefault="00A1574E" w:rsidP="00DD4C24">
      <w:pPr>
        <w:spacing w:before="120" w:after="120" w:line="240" w:lineRule="auto"/>
        <w:rPr>
          <w:rFonts w:ascii="Arial" w:hAnsi="Arial" w:cs="Arial"/>
          <w:bCs/>
          <w:sz w:val="22"/>
        </w:rPr>
      </w:pPr>
      <w:r w:rsidRPr="00C4334D">
        <w:rPr>
          <w:rFonts w:ascii="Arial" w:hAnsi="Arial" w:cs="Arial"/>
          <w:b/>
          <w:sz w:val="22"/>
        </w:rPr>
        <w:t>GGRS Spreadsheet of Relevant Applications</w:t>
      </w:r>
      <w:r w:rsidRPr="00C4334D">
        <w:rPr>
          <w:rFonts w:ascii="Arial" w:hAnsi="Arial" w:cs="Arial"/>
          <w:bCs/>
          <w:sz w:val="22"/>
        </w:rPr>
        <w:t xml:space="preserve"> means a spreadsheet to be kept and maintained by Dean, GGRS for all HDR Applications from prospective international students from countries subject to Australian Sanctions.</w:t>
      </w:r>
    </w:p>
    <w:p w14:paraId="73739DB2" w14:textId="4A7AB721" w:rsidR="00A1574E" w:rsidRPr="00C4334D" w:rsidRDefault="00A1574E" w:rsidP="00DD4C24">
      <w:pPr>
        <w:tabs>
          <w:tab w:val="center" w:pos="4153"/>
          <w:tab w:val="right" w:pos="8306"/>
        </w:tabs>
        <w:spacing w:before="120" w:after="120" w:line="240" w:lineRule="auto"/>
        <w:rPr>
          <w:rFonts w:ascii="Arial" w:hAnsi="Arial" w:cs="Arial"/>
          <w:bCs/>
          <w:sz w:val="22"/>
          <w:lang w:eastAsia="en-US"/>
        </w:rPr>
      </w:pPr>
      <w:r w:rsidRPr="00C4334D">
        <w:rPr>
          <w:rFonts w:ascii="Arial" w:hAnsi="Arial" w:cs="Arial"/>
          <w:b/>
          <w:sz w:val="22"/>
          <w:lang w:eastAsia="en-US"/>
        </w:rPr>
        <w:t>HDR Program</w:t>
      </w:r>
      <w:r w:rsidRPr="00C4334D">
        <w:rPr>
          <w:rFonts w:ascii="Arial" w:hAnsi="Arial" w:cs="Arial"/>
          <w:bCs/>
          <w:sz w:val="22"/>
          <w:lang w:eastAsia="en-US"/>
        </w:rPr>
        <w:t xml:space="preserve"> means a program described in section 2 of the </w:t>
      </w:r>
      <w:r w:rsidRPr="00C4334D">
        <w:rPr>
          <w:rFonts w:ascii="Arial" w:hAnsi="Arial" w:cs="Arial"/>
          <w:bCs/>
          <w:i/>
          <w:iCs/>
          <w:sz w:val="22"/>
          <w:lang w:eastAsia="en-US"/>
        </w:rPr>
        <w:t>Higher Degree</w:t>
      </w:r>
      <w:r w:rsidR="007C350B" w:rsidRPr="00C4334D">
        <w:rPr>
          <w:rFonts w:ascii="Arial" w:hAnsi="Arial" w:cs="Arial"/>
          <w:bCs/>
          <w:i/>
          <w:iCs/>
          <w:sz w:val="22"/>
          <w:lang w:eastAsia="en-US"/>
        </w:rPr>
        <w:t xml:space="preserve"> by</w:t>
      </w:r>
      <w:r w:rsidRPr="00C4334D">
        <w:rPr>
          <w:rFonts w:ascii="Arial" w:hAnsi="Arial" w:cs="Arial"/>
          <w:bCs/>
          <w:i/>
          <w:iCs/>
          <w:sz w:val="22"/>
          <w:lang w:eastAsia="en-US"/>
        </w:rPr>
        <w:t xml:space="preserve"> Research Policy</w:t>
      </w:r>
      <w:r w:rsidRPr="00C4334D">
        <w:rPr>
          <w:rFonts w:ascii="Arial" w:hAnsi="Arial" w:cs="Arial"/>
          <w:bCs/>
          <w:sz w:val="22"/>
          <w:lang w:eastAsia="en-US"/>
        </w:rPr>
        <w:t>.</w:t>
      </w:r>
    </w:p>
    <w:p w14:paraId="7EA1050C" w14:textId="2C3993FC" w:rsidR="00A1574E" w:rsidRPr="00C4334D" w:rsidRDefault="00A1574E" w:rsidP="00DD4C24">
      <w:pPr>
        <w:spacing w:before="120" w:after="120" w:line="240" w:lineRule="auto"/>
        <w:rPr>
          <w:rFonts w:ascii="Arial" w:hAnsi="Arial" w:cs="Arial"/>
          <w:bCs/>
          <w:sz w:val="22"/>
        </w:rPr>
      </w:pPr>
      <w:r w:rsidRPr="00C4334D">
        <w:rPr>
          <w:rFonts w:ascii="Arial" w:hAnsi="Arial" w:cs="Arial"/>
          <w:b/>
          <w:sz w:val="22"/>
        </w:rPr>
        <w:t>SCRAF or Sanctions Compliance Risk Assessment Form</w:t>
      </w:r>
      <w:r w:rsidRPr="00C4334D">
        <w:rPr>
          <w:rFonts w:ascii="Arial" w:hAnsi="Arial" w:cs="Arial"/>
          <w:bCs/>
          <w:sz w:val="22"/>
        </w:rPr>
        <w:t xml:space="preserve"> means the form so called and made available through the IECT and the Sanctions webpage, as updated from time to time.</w:t>
      </w:r>
    </w:p>
    <w:p w14:paraId="6A6130EB" w14:textId="77777777" w:rsidR="00DD4C24" w:rsidRDefault="00DD4C24" w:rsidP="00DD4C24">
      <w:pPr>
        <w:pStyle w:val="Heading2"/>
        <w:spacing w:before="120" w:line="240" w:lineRule="auto"/>
        <w:ind w:left="426" w:hanging="426"/>
        <w:rPr>
          <w:rFonts w:ascii="Arial" w:hAnsi="Arial" w:cs="Arial"/>
          <w:b/>
          <w:bCs/>
          <w:sz w:val="32"/>
          <w:szCs w:val="32"/>
        </w:rPr>
      </w:pPr>
      <w:bookmarkStart w:id="23" w:name="_5.0_Information"/>
      <w:bookmarkEnd w:id="20"/>
      <w:bookmarkEnd w:id="22"/>
      <w:bookmarkEnd w:id="23"/>
      <w:r>
        <w:rPr>
          <w:rFonts w:ascii="Arial" w:hAnsi="Arial" w:cs="Arial"/>
          <w:b/>
          <w:bCs/>
          <w:sz w:val="32"/>
          <w:szCs w:val="32"/>
        </w:rPr>
        <w:t xml:space="preserve">5.0 Information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8"/>
        <w:gridCol w:w="7879"/>
      </w:tblGrid>
      <w:tr w:rsidR="00DD4C24" w:rsidRPr="00DD4C24" w14:paraId="79853AB6" w14:textId="77777777" w:rsidTr="00DD4C24">
        <w:tc>
          <w:tcPr>
            <w:tcW w:w="1222" w:type="pct"/>
            <w:shd w:val="clear" w:color="auto" w:fill="auto"/>
          </w:tcPr>
          <w:p w14:paraId="67A9242D"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Title</w:t>
            </w:r>
          </w:p>
        </w:tc>
        <w:tc>
          <w:tcPr>
            <w:tcW w:w="3778" w:type="pct"/>
            <w:shd w:val="clear" w:color="auto" w:fill="auto"/>
          </w:tcPr>
          <w:p w14:paraId="5EDDAEBC"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Managing Assessment of HDR Applicants: Sanctions and Export Controls Compliance</w:t>
            </w:r>
          </w:p>
        </w:tc>
      </w:tr>
      <w:tr w:rsidR="00DD4C24" w:rsidRPr="00DD4C24" w14:paraId="42F4AC4D" w14:textId="77777777" w:rsidTr="00DD4C24">
        <w:tc>
          <w:tcPr>
            <w:tcW w:w="1222" w:type="pct"/>
            <w:shd w:val="clear" w:color="auto" w:fill="auto"/>
          </w:tcPr>
          <w:p w14:paraId="072A3ED9"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Document number</w:t>
            </w:r>
          </w:p>
        </w:tc>
        <w:tc>
          <w:tcPr>
            <w:tcW w:w="3778" w:type="pct"/>
            <w:shd w:val="clear" w:color="auto" w:fill="auto"/>
          </w:tcPr>
          <w:p w14:paraId="7AB9BF81"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2023/0000463</w:t>
            </w:r>
          </w:p>
        </w:tc>
      </w:tr>
      <w:tr w:rsidR="00DD4C24" w:rsidRPr="00DD4C24" w14:paraId="2D84BFE1" w14:textId="77777777" w:rsidTr="00DD4C24">
        <w:tc>
          <w:tcPr>
            <w:tcW w:w="1222" w:type="pct"/>
            <w:shd w:val="clear" w:color="auto" w:fill="auto"/>
          </w:tcPr>
          <w:p w14:paraId="3F82EA4D"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Purpose</w:t>
            </w:r>
          </w:p>
        </w:tc>
        <w:tc>
          <w:tcPr>
            <w:tcW w:w="3778" w:type="pct"/>
            <w:shd w:val="clear" w:color="auto" w:fill="auto"/>
          </w:tcPr>
          <w:p w14:paraId="1C636E22"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This document sets out the procedure for managing Higher Degree Research Admissions, and any changes to HDR research topics or activities to ensure that HDR activity conducted at Griffith University does not contravene or breach the legislative framework underpinning Australia's system of export controls and sanctions.</w:t>
            </w:r>
          </w:p>
        </w:tc>
      </w:tr>
      <w:tr w:rsidR="00DD4C24" w:rsidRPr="00DD4C24" w14:paraId="4D2E7F78" w14:textId="77777777" w:rsidTr="00DD4C24">
        <w:tc>
          <w:tcPr>
            <w:tcW w:w="1222" w:type="pct"/>
            <w:shd w:val="clear" w:color="auto" w:fill="auto"/>
          </w:tcPr>
          <w:p w14:paraId="58C1F70C"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Audience</w:t>
            </w:r>
          </w:p>
        </w:tc>
        <w:tc>
          <w:tcPr>
            <w:tcW w:w="3778" w:type="pct"/>
            <w:shd w:val="clear" w:color="auto" w:fill="auto"/>
          </w:tcPr>
          <w:p w14:paraId="242F7F2C"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Staff</w:t>
            </w:r>
          </w:p>
        </w:tc>
      </w:tr>
      <w:tr w:rsidR="00DD4C24" w:rsidRPr="00DD4C24" w14:paraId="1E4EB1EF" w14:textId="77777777" w:rsidTr="00DD4C24">
        <w:tc>
          <w:tcPr>
            <w:tcW w:w="1222" w:type="pct"/>
            <w:shd w:val="clear" w:color="auto" w:fill="auto"/>
          </w:tcPr>
          <w:p w14:paraId="0BDCF930"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Category</w:t>
            </w:r>
          </w:p>
        </w:tc>
        <w:tc>
          <w:tcPr>
            <w:tcW w:w="3778" w:type="pct"/>
            <w:shd w:val="clear" w:color="auto" w:fill="auto"/>
          </w:tcPr>
          <w:p w14:paraId="37504AB4"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Academic</w:t>
            </w:r>
          </w:p>
        </w:tc>
      </w:tr>
      <w:tr w:rsidR="00DD4C24" w:rsidRPr="00DD4C24" w14:paraId="7DD014D4" w14:textId="77777777" w:rsidTr="00DD4C24">
        <w:tc>
          <w:tcPr>
            <w:tcW w:w="1222" w:type="pct"/>
            <w:shd w:val="clear" w:color="auto" w:fill="auto"/>
          </w:tcPr>
          <w:p w14:paraId="4C0CEFCC"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lastRenderedPageBreak/>
              <w:t>Subcategory</w:t>
            </w:r>
          </w:p>
        </w:tc>
        <w:tc>
          <w:tcPr>
            <w:tcW w:w="3778" w:type="pct"/>
            <w:shd w:val="clear" w:color="auto" w:fill="auto"/>
          </w:tcPr>
          <w:p w14:paraId="27583403"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Learning and Teaching</w:t>
            </w:r>
          </w:p>
        </w:tc>
      </w:tr>
      <w:tr w:rsidR="00DD4C24" w:rsidRPr="00DD4C24" w14:paraId="6052175E" w14:textId="77777777" w:rsidTr="00C4334D">
        <w:tc>
          <w:tcPr>
            <w:tcW w:w="1222" w:type="pct"/>
            <w:tcBorders>
              <w:bottom w:val="single" w:sz="4" w:space="0" w:color="auto"/>
            </w:tcBorders>
            <w:shd w:val="clear" w:color="auto" w:fill="auto"/>
          </w:tcPr>
          <w:p w14:paraId="70D790D1" w14:textId="208B104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Approval date</w:t>
            </w:r>
          </w:p>
        </w:tc>
        <w:tc>
          <w:tcPr>
            <w:tcW w:w="3778" w:type="pct"/>
            <w:tcBorders>
              <w:bottom w:val="single" w:sz="4" w:space="0" w:color="auto"/>
            </w:tcBorders>
            <w:shd w:val="clear" w:color="auto" w:fill="auto"/>
          </w:tcPr>
          <w:p w14:paraId="3866F1AC" w14:textId="7AB3B54C" w:rsidR="00DD4C24" w:rsidRPr="00C4334D" w:rsidRDefault="00DD4C24" w:rsidP="008231EF">
            <w:pPr>
              <w:spacing w:before="120" w:after="120" w:line="240" w:lineRule="auto"/>
              <w:rPr>
                <w:rFonts w:ascii="Arial" w:hAnsi="Arial" w:cs="Arial"/>
                <w:sz w:val="22"/>
              </w:rPr>
            </w:pPr>
            <w:r w:rsidRPr="00C4334D">
              <w:rPr>
                <w:rFonts w:ascii="Arial" w:hAnsi="Arial" w:cs="Arial"/>
                <w:sz w:val="22"/>
              </w:rPr>
              <w:t>14 August 2023</w:t>
            </w:r>
          </w:p>
        </w:tc>
      </w:tr>
      <w:tr w:rsidR="00DD4C24" w:rsidRPr="00DD4C24" w14:paraId="15B3F7DB" w14:textId="77777777" w:rsidTr="00C4334D">
        <w:tc>
          <w:tcPr>
            <w:tcW w:w="1222" w:type="pct"/>
            <w:tcBorders>
              <w:top w:val="single" w:sz="4" w:space="0" w:color="auto"/>
              <w:bottom w:val="nil"/>
            </w:tcBorders>
            <w:shd w:val="clear" w:color="auto" w:fill="auto"/>
          </w:tcPr>
          <w:p w14:paraId="5DF01E25" w14:textId="21460C2E" w:rsidR="00DD4C24" w:rsidRPr="00C4334D" w:rsidRDefault="00DD4C24" w:rsidP="008231EF">
            <w:pPr>
              <w:spacing w:before="120" w:after="120" w:line="240" w:lineRule="auto"/>
              <w:rPr>
                <w:rFonts w:ascii="Arial" w:hAnsi="Arial" w:cs="Arial"/>
                <w:sz w:val="22"/>
              </w:rPr>
            </w:pPr>
            <w:r w:rsidRPr="00C4334D">
              <w:rPr>
                <w:rFonts w:ascii="Arial" w:hAnsi="Arial" w:cs="Arial"/>
                <w:sz w:val="22"/>
              </w:rPr>
              <w:t>Effective date</w:t>
            </w:r>
          </w:p>
        </w:tc>
        <w:tc>
          <w:tcPr>
            <w:tcW w:w="3778" w:type="pct"/>
            <w:tcBorders>
              <w:top w:val="single" w:sz="4" w:space="0" w:color="auto"/>
              <w:bottom w:val="nil"/>
            </w:tcBorders>
            <w:shd w:val="clear" w:color="auto" w:fill="auto"/>
          </w:tcPr>
          <w:p w14:paraId="5FC14D01" w14:textId="0433A9CE" w:rsidR="00DD4C24" w:rsidRPr="00C4334D" w:rsidRDefault="00DD4C24" w:rsidP="008231EF">
            <w:pPr>
              <w:spacing w:before="120" w:after="120" w:line="240" w:lineRule="auto"/>
              <w:rPr>
                <w:rFonts w:ascii="Arial" w:hAnsi="Arial" w:cs="Arial"/>
                <w:sz w:val="22"/>
              </w:rPr>
            </w:pPr>
            <w:r w:rsidRPr="00C4334D">
              <w:rPr>
                <w:rFonts w:ascii="Arial" w:hAnsi="Arial" w:cs="Arial"/>
                <w:sz w:val="22"/>
              </w:rPr>
              <w:t>14 August 2023</w:t>
            </w:r>
          </w:p>
        </w:tc>
      </w:tr>
      <w:tr w:rsidR="00DD4C24" w:rsidRPr="00DD4C24" w14:paraId="64422ACF" w14:textId="77777777" w:rsidTr="00C4334D">
        <w:tc>
          <w:tcPr>
            <w:tcW w:w="1222" w:type="pct"/>
            <w:tcBorders>
              <w:top w:val="nil"/>
            </w:tcBorders>
            <w:shd w:val="clear" w:color="auto" w:fill="auto"/>
          </w:tcPr>
          <w:p w14:paraId="485760B7"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Review date</w:t>
            </w:r>
          </w:p>
        </w:tc>
        <w:tc>
          <w:tcPr>
            <w:tcW w:w="3778" w:type="pct"/>
            <w:tcBorders>
              <w:top w:val="nil"/>
            </w:tcBorders>
            <w:shd w:val="clear" w:color="auto" w:fill="auto"/>
          </w:tcPr>
          <w:p w14:paraId="5B263813"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April 2026</w:t>
            </w:r>
          </w:p>
        </w:tc>
      </w:tr>
      <w:tr w:rsidR="00DD4C24" w:rsidRPr="00DD4C24" w14:paraId="2A0BF819" w14:textId="77777777" w:rsidTr="00DD4C24">
        <w:tc>
          <w:tcPr>
            <w:tcW w:w="1222" w:type="pct"/>
            <w:tcBorders>
              <w:bottom w:val="single" w:sz="4" w:space="0" w:color="auto"/>
            </w:tcBorders>
            <w:shd w:val="clear" w:color="auto" w:fill="auto"/>
          </w:tcPr>
          <w:p w14:paraId="59713558"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Policy advisor</w:t>
            </w:r>
          </w:p>
        </w:tc>
        <w:tc>
          <w:tcPr>
            <w:tcW w:w="3778" w:type="pct"/>
            <w:tcBorders>
              <w:bottom w:val="single" w:sz="4" w:space="0" w:color="auto"/>
            </w:tcBorders>
            <w:shd w:val="clear" w:color="auto" w:fill="auto"/>
          </w:tcPr>
          <w:p w14:paraId="67184B41"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Deputy Director, Research Strategy, Systems and Policy</w:t>
            </w:r>
          </w:p>
        </w:tc>
      </w:tr>
      <w:tr w:rsidR="00DD4C24" w:rsidRPr="00DD4C24" w14:paraId="2E020763" w14:textId="77777777" w:rsidTr="00DD4C24">
        <w:tc>
          <w:tcPr>
            <w:tcW w:w="1222" w:type="pct"/>
            <w:tcBorders>
              <w:top w:val="single" w:sz="4" w:space="0" w:color="auto"/>
              <w:bottom w:val="single" w:sz="4" w:space="0" w:color="auto"/>
            </w:tcBorders>
            <w:shd w:val="clear" w:color="auto" w:fill="auto"/>
          </w:tcPr>
          <w:p w14:paraId="283997BF" w14:textId="77777777" w:rsidR="00DD4C24" w:rsidRPr="00C4334D" w:rsidRDefault="00DD4C24" w:rsidP="008231EF">
            <w:pPr>
              <w:spacing w:before="120" w:after="120" w:line="240" w:lineRule="auto"/>
              <w:rPr>
                <w:rFonts w:ascii="Arial" w:hAnsi="Arial" w:cs="Arial"/>
                <w:sz w:val="22"/>
              </w:rPr>
            </w:pPr>
            <w:r w:rsidRPr="00C4334D">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3FE0CC15" w14:textId="1EE23EED" w:rsidR="00DD4C24" w:rsidRPr="00C4334D" w:rsidRDefault="00DD4C24" w:rsidP="008231EF">
            <w:pPr>
              <w:spacing w:before="120" w:after="120" w:line="240" w:lineRule="auto"/>
              <w:rPr>
                <w:rFonts w:ascii="Arial" w:hAnsi="Arial" w:cs="Arial"/>
                <w:sz w:val="22"/>
              </w:rPr>
            </w:pPr>
            <w:r w:rsidRPr="00C4334D">
              <w:rPr>
                <w:rFonts w:ascii="Arial" w:hAnsi="Arial" w:cs="Arial"/>
                <w:sz w:val="22"/>
              </w:rPr>
              <w:t>Deputy Vice Chancellor (Research)</w:t>
            </w:r>
          </w:p>
        </w:tc>
      </w:tr>
    </w:tbl>
    <w:p w14:paraId="3802B913" w14:textId="14609FF7" w:rsidR="00DD4C24" w:rsidRDefault="00DD4C24" w:rsidP="00DD4C24">
      <w:pPr>
        <w:spacing w:before="120" w:after="120"/>
        <w:rPr>
          <w:rFonts w:ascii="Arial" w:hAnsi="Arial" w:cs="Arial"/>
          <w:b/>
          <w:bCs/>
          <w:color w:val="E50918"/>
          <w:sz w:val="32"/>
          <w:szCs w:val="32"/>
        </w:rPr>
      </w:pPr>
      <w:bookmarkStart w:id="24" w:name="relatedpolicydocuments"/>
      <w:bookmarkEnd w:id="24"/>
      <w:r w:rsidRPr="00DD4C24">
        <w:rPr>
          <w:rFonts w:ascii="Arial" w:hAnsi="Arial" w:cs="Arial"/>
          <w:b/>
          <w:bCs/>
          <w:color w:val="E50918"/>
          <w:sz w:val="32"/>
          <w:szCs w:val="32"/>
        </w:rPr>
        <w:t>6.0 Related Policy Documents and Supporting Documen</w:t>
      </w:r>
      <w:r>
        <w:rPr>
          <w:rFonts w:ascii="Arial" w:hAnsi="Arial" w:cs="Arial"/>
          <w:b/>
          <w:bCs/>
          <w:color w:val="E50918"/>
          <w:sz w:val="32"/>
          <w:szCs w:val="32"/>
        </w:rPr>
        <w:t>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48"/>
        <w:gridCol w:w="7879"/>
      </w:tblGrid>
      <w:tr w:rsidR="005E494F" w:rsidRPr="00C4334D" w14:paraId="1C7EADDE" w14:textId="77777777" w:rsidTr="00DD4C24">
        <w:tc>
          <w:tcPr>
            <w:tcW w:w="1222" w:type="pct"/>
            <w:shd w:val="clear" w:color="auto" w:fill="auto"/>
          </w:tcPr>
          <w:p w14:paraId="2B75BBE8" w14:textId="77777777" w:rsidR="005E494F" w:rsidRPr="00C4334D" w:rsidRDefault="005E494F" w:rsidP="00DD4C24">
            <w:pPr>
              <w:spacing w:before="120" w:after="120" w:line="240" w:lineRule="auto"/>
              <w:rPr>
                <w:rFonts w:ascii="Arial" w:hAnsi="Arial" w:cs="Arial"/>
                <w:sz w:val="22"/>
              </w:rPr>
            </w:pPr>
            <w:r w:rsidRPr="00C4334D">
              <w:rPr>
                <w:rFonts w:ascii="Arial" w:hAnsi="Arial" w:cs="Arial"/>
                <w:sz w:val="22"/>
              </w:rPr>
              <w:t xml:space="preserve">Legislation </w:t>
            </w:r>
          </w:p>
        </w:tc>
        <w:tc>
          <w:tcPr>
            <w:tcW w:w="3778" w:type="pct"/>
            <w:shd w:val="clear" w:color="auto" w:fill="auto"/>
          </w:tcPr>
          <w:p w14:paraId="6E1DED12" w14:textId="77777777" w:rsidR="009235AC" w:rsidRPr="00C4334D" w:rsidRDefault="00000000" w:rsidP="00DD4C24">
            <w:pPr>
              <w:spacing w:before="120" w:after="120" w:line="240" w:lineRule="auto"/>
              <w:rPr>
                <w:rStyle w:val="Hyperlink"/>
                <w:rFonts w:ascii="Arial" w:hAnsi="Arial" w:cs="Arial"/>
                <w:i/>
                <w:iCs/>
                <w:color w:val="auto"/>
                <w:sz w:val="22"/>
                <w:u w:val="none"/>
              </w:rPr>
            </w:pPr>
            <w:hyperlink r:id="rId17" w:history="1">
              <w:r w:rsidR="009235AC" w:rsidRPr="00C4334D">
                <w:rPr>
                  <w:rStyle w:val="Hyperlink"/>
                  <w:rFonts w:ascii="Arial" w:hAnsi="Arial" w:cs="Arial"/>
                  <w:sz w:val="22"/>
                  <w:u w:val="none"/>
                </w:rPr>
                <w:t>Autonomous Sanctions Act 2011</w:t>
              </w:r>
            </w:hyperlink>
            <w:r w:rsidR="009235AC" w:rsidRPr="00C4334D">
              <w:rPr>
                <w:rFonts w:ascii="Arial" w:hAnsi="Arial" w:cs="Arial"/>
                <w:sz w:val="22"/>
              </w:rPr>
              <w:t xml:space="preserve"> </w:t>
            </w:r>
          </w:p>
          <w:p w14:paraId="0D1CCDB1" w14:textId="77777777" w:rsidR="009235AC" w:rsidRPr="00C4334D" w:rsidRDefault="00000000" w:rsidP="00DD4C24">
            <w:pPr>
              <w:spacing w:before="120" w:after="120" w:line="240" w:lineRule="auto"/>
              <w:rPr>
                <w:rFonts w:ascii="Arial" w:hAnsi="Arial" w:cs="Arial"/>
                <w:sz w:val="22"/>
              </w:rPr>
            </w:pPr>
            <w:hyperlink r:id="rId18" w:history="1">
              <w:r w:rsidR="009235AC" w:rsidRPr="00C4334D">
                <w:rPr>
                  <w:rStyle w:val="Hyperlink"/>
                  <w:rFonts w:ascii="Arial" w:hAnsi="Arial" w:cs="Arial"/>
                  <w:sz w:val="22"/>
                  <w:u w:val="none"/>
                </w:rPr>
                <w:t>Defence and Strategic Goods List</w:t>
              </w:r>
            </w:hyperlink>
            <w:r w:rsidR="009235AC" w:rsidRPr="00C4334D">
              <w:rPr>
                <w:rFonts w:ascii="Arial" w:hAnsi="Arial" w:cs="Arial"/>
                <w:sz w:val="22"/>
              </w:rPr>
              <w:t xml:space="preserve"> </w:t>
            </w:r>
          </w:p>
          <w:p w14:paraId="250BC669" w14:textId="77777777" w:rsidR="009235AC" w:rsidRPr="00C4334D" w:rsidRDefault="00000000" w:rsidP="00DD4C24">
            <w:pPr>
              <w:spacing w:before="120" w:after="120" w:line="240" w:lineRule="auto"/>
              <w:rPr>
                <w:rFonts w:ascii="Arial" w:hAnsi="Arial" w:cs="Arial"/>
                <w:sz w:val="22"/>
              </w:rPr>
            </w:pPr>
            <w:hyperlink r:id="rId19" w:history="1">
              <w:r w:rsidR="009235AC" w:rsidRPr="00C4334D">
                <w:rPr>
                  <w:rStyle w:val="Hyperlink"/>
                  <w:rFonts w:ascii="Arial" w:hAnsi="Arial" w:cs="Arial"/>
                  <w:sz w:val="22"/>
                  <w:u w:val="none"/>
                </w:rPr>
                <w:t>Defence Trade Controls Act 2012</w:t>
              </w:r>
            </w:hyperlink>
            <w:r w:rsidR="009235AC" w:rsidRPr="00C4334D">
              <w:rPr>
                <w:rFonts w:ascii="Arial" w:hAnsi="Arial" w:cs="Arial"/>
                <w:sz w:val="22"/>
              </w:rPr>
              <w:t xml:space="preserve"> </w:t>
            </w:r>
          </w:p>
          <w:p w14:paraId="4FC76C15" w14:textId="77777777" w:rsidR="009235AC" w:rsidRPr="00C4334D" w:rsidRDefault="00000000" w:rsidP="00DD4C24">
            <w:pPr>
              <w:spacing w:before="120" w:after="120" w:line="240" w:lineRule="auto"/>
              <w:rPr>
                <w:rFonts w:ascii="Arial" w:hAnsi="Arial" w:cs="Arial"/>
                <w:sz w:val="22"/>
              </w:rPr>
            </w:pPr>
            <w:hyperlink r:id="rId20" w:history="1">
              <w:r w:rsidR="009235AC" w:rsidRPr="00C4334D">
                <w:rPr>
                  <w:rStyle w:val="Hyperlink"/>
                  <w:rFonts w:ascii="Arial" w:hAnsi="Arial" w:cs="Arial"/>
                  <w:sz w:val="22"/>
                  <w:u w:val="none"/>
                </w:rPr>
                <w:t>United Nations Act 1945</w:t>
              </w:r>
            </w:hyperlink>
          </w:p>
          <w:p w14:paraId="308A357A" w14:textId="77777777" w:rsidR="009235AC" w:rsidRPr="00C4334D" w:rsidRDefault="00000000" w:rsidP="00DD4C24">
            <w:pPr>
              <w:spacing w:before="120" w:after="120" w:line="240" w:lineRule="auto"/>
              <w:rPr>
                <w:rFonts w:ascii="Arial" w:hAnsi="Arial" w:cs="Arial"/>
                <w:sz w:val="22"/>
              </w:rPr>
            </w:pPr>
            <w:hyperlink r:id="rId21" w:history="1">
              <w:r w:rsidR="009235AC" w:rsidRPr="00C4334D">
                <w:rPr>
                  <w:rStyle w:val="Hyperlink"/>
                  <w:rFonts w:ascii="Arial" w:hAnsi="Arial" w:cs="Arial"/>
                  <w:sz w:val="22"/>
                  <w:u w:val="none"/>
                </w:rPr>
                <w:t>Weapons of Mass Destruction Act 1995</w:t>
              </w:r>
            </w:hyperlink>
            <w:r w:rsidR="009235AC" w:rsidRPr="00C4334D">
              <w:rPr>
                <w:rFonts w:ascii="Arial" w:hAnsi="Arial" w:cs="Arial"/>
                <w:sz w:val="22"/>
              </w:rPr>
              <w:t xml:space="preserve"> </w:t>
            </w:r>
          </w:p>
          <w:p w14:paraId="4132469D" w14:textId="77777777" w:rsidR="009235AC" w:rsidRPr="00C4334D" w:rsidRDefault="00000000" w:rsidP="00DD4C24">
            <w:pPr>
              <w:spacing w:before="120" w:after="120" w:line="240" w:lineRule="auto"/>
              <w:rPr>
                <w:rFonts w:ascii="Arial" w:hAnsi="Arial" w:cs="Arial"/>
                <w:sz w:val="22"/>
              </w:rPr>
            </w:pPr>
            <w:hyperlink r:id="rId22" w:history="1">
              <w:r w:rsidR="009235AC" w:rsidRPr="00C4334D">
                <w:rPr>
                  <w:rStyle w:val="Hyperlink"/>
                  <w:rFonts w:ascii="Arial" w:hAnsi="Arial" w:cs="Arial"/>
                  <w:sz w:val="22"/>
                  <w:u w:val="none"/>
                </w:rPr>
                <w:t>Consolidated List</w:t>
              </w:r>
            </w:hyperlink>
          </w:p>
          <w:p w14:paraId="23CC4273" w14:textId="40CBBED7" w:rsidR="009235AC" w:rsidRPr="00C4334D" w:rsidRDefault="00000000" w:rsidP="00DD4C24">
            <w:pPr>
              <w:spacing w:before="120" w:after="120" w:line="240" w:lineRule="auto"/>
              <w:rPr>
                <w:rFonts w:ascii="Arial" w:hAnsi="Arial" w:cs="Arial"/>
                <w:sz w:val="22"/>
              </w:rPr>
            </w:pPr>
            <w:hyperlink r:id="rId23" w:history="1">
              <w:r w:rsidR="009235AC" w:rsidRPr="00C4334D">
                <w:rPr>
                  <w:rStyle w:val="Hyperlink"/>
                  <w:rFonts w:ascii="Arial" w:hAnsi="Arial" w:cs="Arial"/>
                  <w:sz w:val="22"/>
                  <w:u w:val="none"/>
                </w:rPr>
                <w:t>List of Critical Technologies in the National Interest</w:t>
              </w:r>
            </w:hyperlink>
          </w:p>
          <w:p w14:paraId="5EB68E51" w14:textId="5EF97AB9" w:rsidR="005E494F" w:rsidRPr="00C4334D" w:rsidRDefault="00000000" w:rsidP="00DD4C24">
            <w:pPr>
              <w:spacing w:before="120" w:after="120" w:line="240" w:lineRule="auto"/>
              <w:rPr>
                <w:rFonts w:ascii="Arial" w:hAnsi="Arial" w:cs="Arial"/>
                <w:sz w:val="22"/>
              </w:rPr>
            </w:pPr>
            <w:hyperlink r:id="rId24" w:history="1">
              <w:r w:rsidR="00A20FF0" w:rsidRPr="00C4334D">
                <w:rPr>
                  <w:rStyle w:val="Hyperlink"/>
                  <w:rFonts w:ascii="Arial" w:hAnsi="Arial" w:cs="Arial"/>
                  <w:sz w:val="22"/>
                  <w:u w:val="none"/>
                </w:rPr>
                <w:t>The Australian Code for the Responsible Conduct of Research</w:t>
              </w:r>
              <w:r w:rsidR="00B30A50" w:rsidRPr="00C4334D">
                <w:rPr>
                  <w:rStyle w:val="Hyperlink"/>
                  <w:rFonts w:ascii="Arial" w:hAnsi="Arial" w:cs="Arial"/>
                  <w:sz w:val="22"/>
                  <w:u w:val="none"/>
                </w:rPr>
                <w:t xml:space="preserve"> 2018</w:t>
              </w:r>
            </w:hyperlink>
          </w:p>
        </w:tc>
      </w:tr>
      <w:tr w:rsidR="005E494F" w:rsidRPr="00C4334D" w14:paraId="6B9273E8" w14:textId="77777777" w:rsidTr="00DD4C24">
        <w:tc>
          <w:tcPr>
            <w:tcW w:w="1222" w:type="pct"/>
            <w:shd w:val="clear" w:color="auto" w:fill="auto"/>
          </w:tcPr>
          <w:p w14:paraId="42E0DB77" w14:textId="77777777" w:rsidR="005E494F" w:rsidRPr="00C4334D" w:rsidRDefault="005E494F" w:rsidP="00DD4C24">
            <w:pPr>
              <w:spacing w:before="120" w:after="120" w:line="240" w:lineRule="auto"/>
              <w:rPr>
                <w:rFonts w:ascii="Arial" w:hAnsi="Arial" w:cs="Arial"/>
                <w:sz w:val="22"/>
              </w:rPr>
            </w:pPr>
            <w:r w:rsidRPr="00C4334D">
              <w:rPr>
                <w:rFonts w:ascii="Arial" w:hAnsi="Arial" w:cs="Arial"/>
                <w:sz w:val="22"/>
              </w:rPr>
              <w:t>Policy</w:t>
            </w:r>
          </w:p>
        </w:tc>
        <w:tc>
          <w:tcPr>
            <w:tcW w:w="3778" w:type="pct"/>
            <w:shd w:val="clear" w:color="auto" w:fill="auto"/>
          </w:tcPr>
          <w:p w14:paraId="63154ACD" w14:textId="55F491AA" w:rsidR="00DD4C24" w:rsidRPr="00C4334D" w:rsidRDefault="00000000" w:rsidP="00DD4C24">
            <w:pPr>
              <w:spacing w:before="120" w:after="120" w:line="240" w:lineRule="auto"/>
              <w:rPr>
                <w:rFonts w:ascii="Arial" w:hAnsi="Arial" w:cs="Arial"/>
                <w:sz w:val="22"/>
              </w:rPr>
            </w:pPr>
            <w:hyperlink r:id="rId25" w:history="1">
              <w:r w:rsidR="00DD4C24" w:rsidRPr="00C4334D">
                <w:rPr>
                  <w:rStyle w:val="Hyperlink"/>
                  <w:rFonts w:ascii="Arial" w:hAnsi="Arial" w:cs="Arial"/>
                  <w:sz w:val="22"/>
                  <w:u w:val="none"/>
                </w:rPr>
                <w:t>Research Entity Policy</w:t>
              </w:r>
            </w:hyperlink>
          </w:p>
          <w:p w14:paraId="6D89C14C" w14:textId="439FC354" w:rsidR="007E0E16" w:rsidRPr="00C4334D" w:rsidRDefault="00000000" w:rsidP="00DD4C24">
            <w:pPr>
              <w:spacing w:before="120" w:after="120" w:line="240" w:lineRule="auto"/>
              <w:rPr>
                <w:rFonts w:ascii="Arial" w:hAnsi="Arial" w:cs="Arial"/>
                <w:sz w:val="22"/>
              </w:rPr>
            </w:pPr>
            <w:hyperlink r:id="rId26" w:history="1">
              <w:r w:rsidR="007E0E16" w:rsidRPr="00C4334D">
                <w:rPr>
                  <w:rStyle w:val="Hyperlink"/>
                  <w:rFonts w:ascii="Arial" w:hAnsi="Arial" w:cs="Arial"/>
                  <w:sz w:val="22"/>
                  <w:u w:val="none"/>
                </w:rPr>
                <w:t xml:space="preserve">Responsible Conduct of Research </w:t>
              </w:r>
              <w:r w:rsidR="00557577" w:rsidRPr="00C4334D">
                <w:rPr>
                  <w:rStyle w:val="Hyperlink"/>
                  <w:rFonts w:ascii="Arial" w:hAnsi="Arial" w:cs="Arial"/>
                  <w:sz w:val="22"/>
                  <w:u w:val="none"/>
                </w:rPr>
                <w:t>Policy</w:t>
              </w:r>
            </w:hyperlink>
          </w:p>
          <w:p w14:paraId="73459615" w14:textId="41CB88C9" w:rsidR="00090D20" w:rsidRPr="00C4334D" w:rsidRDefault="00000000" w:rsidP="00DD4C24">
            <w:pPr>
              <w:spacing w:before="120" w:after="120" w:line="240" w:lineRule="auto"/>
              <w:rPr>
                <w:rStyle w:val="Hyperlink"/>
                <w:rFonts w:ascii="Arial" w:hAnsi="Arial" w:cs="Arial"/>
                <w:sz w:val="22"/>
                <w:u w:val="none"/>
              </w:rPr>
            </w:pPr>
            <w:hyperlink r:id="rId27" w:history="1">
              <w:r w:rsidR="00090D20" w:rsidRPr="00C4334D">
                <w:rPr>
                  <w:rStyle w:val="Hyperlink"/>
                  <w:rFonts w:ascii="Arial" w:hAnsi="Arial" w:cs="Arial"/>
                  <w:sz w:val="22"/>
                  <w:u w:val="none"/>
                </w:rPr>
                <w:t xml:space="preserve">Risk and Resilience Management </w:t>
              </w:r>
              <w:r w:rsidR="00D021FD" w:rsidRPr="00C4334D">
                <w:rPr>
                  <w:rStyle w:val="Hyperlink"/>
                  <w:rFonts w:ascii="Arial" w:hAnsi="Arial" w:cs="Arial"/>
                  <w:sz w:val="22"/>
                  <w:u w:val="none"/>
                </w:rPr>
                <w:t>Policy</w:t>
              </w:r>
            </w:hyperlink>
          </w:p>
          <w:p w14:paraId="1D0451AC" w14:textId="44FDBFD6" w:rsidR="001A68F0" w:rsidRPr="00C4334D" w:rsidRDefault="00000000" w:rsidP="00DD4C24">
            <w:pPr>
              <w:spacing w:before="120" w:after="120" w:line="240" w:lineRule="auto"/>
              <w:rPr>
                <w:rStyle w:val="Hyperlink"/>
                <w:rFonts w:ascii="Arial" w:hAnsi="Arial" w:cs="Arial"/>
                <w:sz w:val="22"/>
                <w:u w:val="none"/>
              </w:rPr>
            </w:pPr>
            <w:hyperlink r:id="rId28" w:history="1">
              <w:r w:rsidR="00C6020F" w:rsidRPr="00C4334D">
                <w:rPr>
                  <w:rStyle w:val="Hyperlink"/>
                  <w:rFonts w:ascii="Arial" w:hAnsi="Arial" w:cs="Arial"/>
                  <w:sz w:val="22"/>
                  <w:u w:val="none"/>
                </w:rPr>
                <w:t>Admission Policy</w:t>
              </w:r>
            </w:hyperlink>
          </w:p>
          <w:p w14:paraId="376E8848" w14:textId="4BD68D1D" w:rsidR="00C4334D" w:rsidRPr="00C4334D" w:rsidRDefault="00000000" w:rsidP="00DD4C24">
            <w:pPr>
              <w:spacing w:before="120" w:after="120" w:line="240" w:lineRule="auto"/>
              <w:rPr>
                <w:rFonts w:ascii="Arial" w:hAnsi="Arial" w:cs="Arial"/>
                <w:sz w:val="22"/>
              </w:rPr>
            </w:pPr>
            <w:hyperlink r:id="rId29" w:history="1">
              <w:r w:rsidR="00C4334D" w:rsidRPr="00C4334D">
                <w:rPr>
                  <w:rStyle w:val="Hyperlink"/>
                  <w:rFonts w:ascii="Arial" w:hAnsi="Arial" w:cs="Arial"/>
                  <w:sz w:val="22"/>
                  <w:u w:val="none"/>
                </w:rPr>
                <w:t>Assessment Policy</w:t>
              </w:r>
            </w:hyperlink>
          </w:p>
          <w:p w14:paraId="47503873" w14:textId="4BCC161C" w:rsidR="005E494F" w:rsidRPr="00C4334D" w:rsidRDefault="00000000" w:rsidP="00DD4C24">
            <w:pPr>
              <w:spacing w:before="120" w:after="120" w:line="240" w:lineRule="auto"/>
              <w:rPr>
                <w:rFonts w:ascii="Arial" w:hAnsi="Arial" w:cs="Arial"/>
                <w:color w:val="E30918"/>
                <w:sz w:val="22"/>
              </w:rPr>
            </w:pPr>
            <w:hyperlink r:id="rId30" w:history="1">
              <w:r w:rsidR="00090D20" w:rsidRPr="00C4334D">
                <w:rPr>
                  <w:rStyle w:val="Hyperlink"/>
                  <w:rFonts w:ascii="Arial" w:hAnsi="Arial" w:cs="Arial"/>
                  <w:sz w:val="22"/>
                  <w:u w:val="none"/>
                </w:rPr>
                <w:t xml:space="preserve">Higher Degree </w:t>
              </w:r>
              <w:r w:rsidR="006D3BE1" w:rsidRPr="00C4334D">
                <w:rPr>
                  <w:rStyle w:val="Hyperlink"/>
                  <w:rFonts w:ascii="Arial" w:hAnsi="Arial" w:cs="Arial"/>
                  <w:sz w:val="22"/>
                  <w:u w:val="none"/>
                </w:rPr>
                <w:t xml:space="preserve">by </w:t>
              </w:r>
              <w:r w:rsidR="00090D20" w:rsidRPr="00C4334D">
                <w:rPr>
                  <w:rStyle w:val="Hyperlink"/>
                  <w:rFonts w:ascii="Arial" w:hAnsi="Arial" w:cs="Arial"/>
                  <w:sz w:val="22"/>
                  <w:u w:val="none"/>
                </w:rPr>
                <w:t xml:space="preserve">Research </w:t>
              </w:r>
              <w:r w:rsidR="006D3BE1" w:rsidRPr="00C4334D">
                <w:rPr>
                  <w:rStyle w:val="Hyperlink"/>
                  <w:rFonts w:ascii="Arial" w:hAnsi="Arial" w:cs="Arial"/>
                  <w:sz w:val="22"/>
                  <w:u w:val="none"/>
                </w:rPr>
                <w:t>Policy</w:t>
              </w:r>
            </w:hyperlink>
          </w:p>
        </w:tc>
      </w:tr>
      <w:tr w:rsidR="005E494F" w:rsidRPr="00C4334D" w14:paraId="2BF6E089" w14:textId="77777777" w:rsidTr="00DD4C24">
        <w:tc>
          <w:tcPr>
            <w:tcW w:w="1222" w:type="pct"/>
            <w:shd w:val="clear" w:color="auto" w:fill="auto"/>
          </w:tcPr>
          <w:p w14:paraId="6C758D34" w14:textId="6F791BB1" w:rsidR="005E494F" w:rsidRPr="00C4334D" w:rsidRDefault="005E494F" w:rsidP="00DD4C24">
            <w:pPr>
              <w:spacing w:before="120" w:after="120" w:line="240" w:lineRule="auto"/>
              <w:rPr>
                <w:rFonts w:ascii="Arial" w:hAnsi="Arial" w:cs="Arial"/>
                <w:sz w:val="22"/>
              </w:rPr>
            </w:pPr>
            <w:r w:rsidRPr="00C4334D">
              <w:rPr>
                <w:rFonts w:ascii="Arial" w:hAnsi="Arial" w:cs="Arial"/>
                <w:sz w:val="22"/>
              </w:rPr>
              <w:t>Procedure</w:t>
            </w:r>
          </w:p>
        </w:tc>
        <w:tc>
          <w:tcPr>
            <w:tcW w:w="3778" w:type="pct"/>
            <w:shd w:val="clear" w:color="auto" w:fill="auto"/>
          </w:tcPr>
          <w:p w14:paraId="74B702E4" w14:textId="20FF2D17" w:rsidR="005E494F" w:rsidRPr="00C4334D" w:rsidRDefault="00000000" w:rsidP="00DD4C24">
            <w:pPr>
              <w:spacing w:before="120" w:after="120" w:line="240" w:lineRule="auto"/>
              <w:rPr>
                <w:rFonts w:ascii="Arial" w:hAnsi="Arial" w:cs="Arial"/>
                <w:sz w:val="22"/>
              </w:rPr>
            </w:pPr>
            <w:hyperlink r:id="rId31" w:history="1">
              <w:r w:rsidR="00C4334D" w:rsidRPr="00C4334D">
                <w:rPr>
                  <w:rStyle w:val="Hyperlink"/>
                  <w:rFonts w:ascii="Arial" w:hAnsi="Arial" w:cs="Arial"/>
                  <w:sz w:val="22"/>
                  <w:u w:val="none"/>
                </w:rPr>
                <w:t>Assessment Procedure for Students</w:t>
              </w:r>
            </w:hyperlink>
          </w:p>
        </w:tc>
      </w:tr>
      <w:tr w:rsidR="005E494F" w:rsidRPr="00C4334D" w14:paraId="62E9927B" w14:textId="77777777" w:rsidTr="00DD4C24">
        <w:tc>
          <w:tcPr>
            <w:tcW w:w="1222" w:type="pct"/>
            <w:tcBorders>
              <w:bottom w:val="single" w:sz="4" w:space="0" w:color="auto"/>
            </w:tcBorders>
            <w:shd w:val="clear" w:color="auto" w:fill="auto"/>
          </w:tcPr>
          <w:p w14:paraId="3910BD6A" w14:textId="1428483E" w:rsidR="005E494F" w:rsidRPr="00C4334D" w:rsidRDefault="005E494F" w:rsidP="00DD4C24">
            <w:pPr>
              <w:spacing w:before="120" w:after="120" w:line="240" w:lineRule="auto"/>
              <w:rPr>
                <w:rFonts w:ascii="Arial" w:hAnsi="Arial" w:cs="Arial"/>
                <w:sz w:val="22"/>
              </w:rPr>
            </w:pPr>
            <w:r w:rsidRPr="00C4334D">
              <w:rPr>
                <w:rFonts w:ascii="Arial" w:hAnsi="Arial" w:cs="Arial"/>
                <w:sz w:val="22"/>
              </w:rPr>
              <w:t>Local protocol</w:t>
            </w:r>
          </w:p>
        </w:tc>
        <w:tc>
          <w:tcPr>
            <w:tcW w:w="3778" w:type="pct"/>
            <w:tcBorders>
              <w:bottom w:val="single" w:sz="4" w:space="0" w:color="auto"/>
            </w:tcBorders>
            <w:shd w:val="clear" w:color="auto" w:fill="auto"/>
          </w:tcPr>
          <w:p w14:paraId="523F5696" w14:textId="7B3E0787" w:rsidR="005E494F" w:rsidRPr="00C4334D" w:rsidRDefault="00000000" w:rsidP="00DD4C24">
            <w:pPr>
              <w:spacing w:before="120" w:after="120" w:line="240" w:lineRule="auto"/>
              <w:rPr>
                <w:rFonts w:ascii="Arial" w:hAnsi="Arial" w:cs="Arial"/>
                <w:sz w:val="22"/>
              </w:rPr>
            </w:pPr>
            <w:hyperlink r:id="rId32" w:history="1">
              <w:r w:rsidR="00474235" w:rsidRPr="00C4334D">
                <w:rPr>
                  <w:rStyle w:val="Hyperlink"/>
                  <w:rFonts w:ascii="Arial" w:hAnsi="Arial" w:cs="Arial"/>
                  <w:sz w:val="22"/>
                  <w:u w:val="none"/>
                </w:rPr>
                <w:t>Register of Compliance Obligations</w:t>
              </w:r>
            </w:hyperlink>
            <w:r w:rsidR="00474235" w:rsidRPr="00C4334D">
              <w:rPr>
                <w:rStyle w:val="Hyperlink"/>
                <w:rFonts w:ascii="Arial" w:hAnsi="Arial" w:cs="Arial"/>
                <w:sz w:val="22"/>
                <w:u w:val="none"/>
              </w:rPr>
              <w:t xml:space="preserve"> </w:t>
            </w:r>
          </w:p>
        </w:tc>
      </w:tr>
      <w:tr w:rsidR="005E494F" w:rsidRPr="00C4334D" w14:paraId="5DB71FAA" w14:textId="77777777" w:rsidTr="00DD4C24">
        <w:tc>
          <w:tcPr>
            <w:tcW w:w="1222" w:type="pct"/>
            <w:tcBorders>
              <w:top w:val="single" w:sz="4" w:space="0" w:color="auto"/>
              <w:bottom w:val="single" w:sz="4" w:space="0" w:color="auto"/>
            </w:tcBorders>
            <w:shd w:val="clear" w:color="auto" w:fill="auto"/>
          </w:tcPr>
          <w:p w14:paraId="35A5584B" w14:textId="68683E93" w:rsidR="005E494F" w:rsidRPr="00C4334D" w:rsidRDefault="005E494F" w:rsidP="00DD4C24">
            <w:pPr>
              <w:spacing w:before="120" w:after="120" w:line="240" w:lineRule="auto"/>
              <w:rPr>
                <w:rFonts w:ascii="Arial" w:hAnsi="Arial" w:cs="Arial"/>
                <w:sz w:val="22"/>
              </w:rPr>
            </w:pPr>
            <w:r w:rsidRPr="00C4334D">
              <w:rPr>
                <w:rFonts w:ascii="Arial" w:hAnsi="Arial" w:cs="Arial"/>
                <w:sz w:val="22"/>
              </w:rPr>
              <w:t>Form</w:t>
            </w:r>
          </w:p>
        </w:tc>
        <w:tc>
          <w:tcPr>
            <w:tcW w:w="3778" w:type="pct"/>
            <w:tcBorders>
              <w:top w:val="single" w:sz="4" w:space="0" w:color="auto"/>
              <w:bottom w:val="single" w:sz="4" w:space="0" w:color="auto"/>
            </w:tcBorders>
            <w:shd w:val="clear" w:color="auto" w:fill="auto"/>
          </w:tcPr>
          <w:p w14:paraId="23390665" w14:textId="712EBC5F" w:rsidR="005E494F" w:rsidRPr="00C4334D" w:rsidRDefault="00E05264" w:rsidP="00DD4C24">
            <w:pPr>
              <w:spacing w:before="120" w:after="120" w:line="240" w:lineRule="auto"/>
              <w:rPr>
                <w:rFonts w:ascii="Arial" w:hAnsi="Arial" w:cs="Arial"/>
                <w:sz w:val="22"/>
              </w:rPr>
            </w:pPr>
            <w:r w:rsidRPr="00C4334D">
              <w:rPr>
                <w:rFonts w:ascii="Arial" w:hAnsi="Arial" w:cs="Arial"/>
                <w:sz w:val="22"/>
              </w:rPr>
              <w:t>Sanctions Compliance Risk Assessment Form</w:t>
            </w:r>
          </w:p>
        </w:tc>
      </w:tr>
    </w:tbl>
    <w:p w14:paraId="680A8379" w14:textId="260D4250" w:rsidR="00DA3C93" w:rsidRPr="00DD4C24" w:rsidRDefault="00DA3C93" w:rsidP="00DD4C24">
      <w:pPr>
        <w:tabs>
          <w:tab w:val="left" w:pos="8550"/>
        </w:tabs>
        <w:spacing w:before="120" w:after="120" w:line="240" w:lineRule="auto"/>
        <w:rPr>
          <w:rFonts w:ascii="Arial" w:hAnsi="Arial" w:cs="Arial"/>
          <w:szCs w:val="20"/>
        </w:rPr>
      </w:pPr>
      <w:r w:rsidRPr="00DD4C24">
        <w:rPr>
          <w:rFonts w:ascii="Arial" w:hAnsi="Arial" w:cs="Arial"/>
          <w:szCs w:val="20"/>
        </w:rPr>
        <w:tab/>
      </w:r>
    </w:p>
    <w:p w14:paraId="237DB944" w14:textId="1310FB84" w:rsidR="00814590" w:rsidRPr="00DD4C24" w:rsidRDefault="00814590" w:rsidP="00DD4C24">
      <w:pPr>
        <w:tabs>
          <w:tab w:val="left" w:pos="8550"/>
        </w:tabs>
        <w:spacing w:before="120" w:after="120" w:line="240" w:lineRule="auto"/>
        <w:rPr>
          <w:rFonts w:ascii="Arial" w:hAnsi="Arial" w:cs="Arial"/>
          <w:szCs w:val="20"/>
        </w:rPr>
      </w:pPr>
    </w:p>
    <w:sectPr w:rsidR="00814590" w:rsidRPr="00DD4C24" w:rsidSect="008477DE">
      <w:headerReference w:type="default" r:id="rId33"/>
      <w:footerReference w:type="default" r:id="rId34"/>
      <w:headerReference w:type="first" r:id="rId35"/>
      <w:footerReference w:type="first" r:id="rId36"/>
      <w:type w:val="nextColumn"/>
      <w:pgSz w:w="11901" w:h="16840"/>
      <w:pgMar w:top="1985" w:right="737" w:bottom="851" w:left="737"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95D8" w14:textId="77777777" w:rsidR="008477DE" w:rsidRDefault="008477DE" w:rsidP="00F45E9C">
      <w:r>
        <w:separator/>
      </w:r>
    </w:p>
  </w:endnote>
  <w:endnote w:type="continuationSeparator" w:id="0">
    <w:p w14:paraId="38E0FFA1" w14:textId="77777777" w:rsidR="008477DE" w:rsidRDefault="008477DE" w:rsidP="00F45E9C">
      <w:r>
        <w:continuationSeparator/>
      </w:r>
    </w:p>
  </w:endnote>
  <w:endnote w:type="continuationNotice" w:id="1">
    <w:p w14:paraId="7989DCF4" w14:textId="77777777" w:rsidR="008477DE" w:rsidRDefault="00847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Sterling-Book">
    <w:altName w:val="Calibri"/>
    <w:charset w:val="00"/>
    <w:family w:val="auto"/>
    <w:pitch w:val="variable"/>
    <w:sig w:usb0="00000003" w:usb1="00000000" w:usb2="00000000" w:usb3="00000000" w:csb0="00000001"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4839CE49" w:rsidR="007C1483" w:rsidRDefault="003B6EC1"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Managing Assessment of HDR Applicants: Sanctions and Export Control Compliance</w:t>
        </w:r>
        <w:r w:rsidR="00DD4C24">
          <w:rPr>
            <w:rFonts w:asciiTheme="minorHAnsi" w:hAnsiTheme="minorHAnsi" w:cstheme="minorHAnsi"/>
            <w:color w:val="70787B"/>
            <w:sz w:val="15"/>
            <w:szCs w:val="15"/>
          </w:rPr>
          <w:t xml:space="preserve"> Procedure</w:t>
        </w:r>
        <w:r w:rsidRPr="00102B8A">
          <w:rPr>
            <w:rFonts w:asciiTheme="minorHAnsi" w:hAnsiTheme="minorHAnsi" w:cstheme="minorHAnsi"/>
            <w:color w:val="70787B"/>
            <w:sz w:val="15"/>
            <w:szCs w:val="15"/>
          </w:rPr>
          <w:t xml:space="preserve"> </w:t>
        </w:r>
        <w:r w:rsidR="007C1483" w:rsidRPr="00102B8A">
          <w:rPr>
            <w:rFonts w:asciiTheme="minorHAnsi" w:hAnsiTheme="minorHAnsi" w:cstheme="minorHAnsi"/>
            <w:color w:val="70787B"/>
            <w:sz w:val="15"/>
            <w:szCs w:val="15"/>
          </w:rPr>
          <w:t xml:space="preserve">| </w:t>
        </w:r>
        <w:r w:rsidR="003D10E9">
          <w:rPr>
            <w:rFonts w:asciiTheme="minorHAnsi" w:hAnsiTheme="minorHAnsi" w:cstheme="minorHAnsi"/>
            <w:color w:val="70787B"/>
            <w:sz w:val="15"/>
            <w:szCs w:val="15"/>
          </w:rPr>
          <w:t>August</w:t>
        </w:r>
        <w:r w:rsidR="007C1483"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23</w:t>
        </w:r>
        <w:r w:rsidR="007C1483" w:rsidRPr="00102B8A">
          <w:rPr>
            <w:rFonts w:asciiTheme="minorHAnsi" w:hAnsiTheme="minorHAnsi" w:cstheme="minorHAnsi"/>
            <w:color w:val="70787B"/>
            <w:sz w:val="15"/>
            <w:szCs w:val="15"/>
          </w:rPr>
          <w:t xml:space="preserve"> </w:t>
        </w:r>
      </w:p>
      <w:p w14:paraId="5A1560DF" w14:textId="3441F565"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B6EC1" w:rsidRPr="003B6EC1">
          <w:rPr>
            <w:rFonts w:asciiTheme="minorHAnsi" w:hAnsiTheme="minorHAnsi" w:cstheme="minorHAnsi"/>
            <w:color w:val="70787B"/>
            <w:sz w:val="15"/>
            <w:szCs w:val="15"/>
          </w:rPr>
          <w:t>2023</w:t>
        </w:r>
        <w:r w:rsidRPr="003B6EC1">
          <w:rPr>
            <w:rFonts w:asciiTheme="minorHAnsi" w:hAnsiTheme="minorHAnsi" w:cstheme="minorHAnsi"/>
            <w:color w:val="70787B"/>
            <w:sz w:val="15"/>
            <w:szCs w:val="15"/>
          </w:rPr>
          <w:t>/</w:t>
        </w:r>
        <w:r w:rsidR="003B6EC1">
          <w:rPr>
            <w:rFonts w:asciiTheme="minorHAnsi" w:hAnsiTheme="minorHAnsi" w:cstheme="minorHAnsi"/>
            <w:color w:val="70787B"/>
            <w:sz w:val="15"/>
            <w:szCs w:val="15"/>
          </w:rPr>
          <w:t>0000</w:t>
        </w:r>
        <w:r w:rsidR="002B5EF9">
          <w:rPr>
            <w:rFonts w:asciiTheme="minorHAnsi" w:hAnsiTheme="minorHAnsi" w:cstheme="minorHAnsi"/>
            <w:color w:val="70787B"/>
            <w:sz w:val="15"/>
            <w:szCs w:val="15"/>
          </w:rPr>
          <w:t>46</w:t>
        </w:r>
        <w:r w:rsidR="003B6EC1">
          <w:rPr>
            <w:rFonts w:asciiTheme="minorHAnsi" w:hAnsiTheme="minorHAnsi" w:cstheme="minorHAnsi"/>
            <w:color w:val="70787B"/>
            <w:sz w:val="15"/>
            <w:szCs w:val="15"/>
          </w:rPr>
          <w:t>3</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6573319C" w14:textId="6F3194AD"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735552"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BBCB1" id="Group 8" o:spid="_x0000_s1026" style="position:absolute;margin-left:0;margin-top:-218.95pt;width:280.7pt;height:280.65pt;z-index:25173555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05324D">
      <w:rPr>
        <w:rFonts w:asciiTheme="minorHAnsi" w:hAnsiTheme="minorHAnsi" w:cstheme="minorHAnsi"/>
        <w:color w:val="70787B"/>
        <w:sz w:val="15"/>
        <w:szCs w:val="15"/>
      </w:rPr>
      <w:t>Managing Assessment of HDR Applicants</w:t>
    </w:r>
    <w:r w:rsidR="00917429">
      <w:rPr>
        <w:rFonts w:asciiTheme="minorHAnsi" w:hAnsiTheme="minorHAnsi" w:cstheme="minorHAnsi"/>
        <w:color w:val="70787B"/>
        <w:sz w:val="15"/>
        <w:szCs w:val="15"/>
      </w:rPr>
      <w:t xml:space="preserve">: </w:t>
    </w:r>
    <w:r w:rsidR="004F7241">
      <w:rPr>
        <w:rFonts w:asciiTheme="minorHAnsi" w:hAnsiTheme="minorHAnsi" w:cstheme="minorHAnsi"/>
        <w:color w:val="70787B"/>
        <w:sz w:val="15"/>
        <w:szCs w:val="15"/>
      </w:rPr>
      <w:t>Sanctions and Export Control Compliance</w:t>
    </w:r>
    <w:r w:rsidR="00DD4C24">
      <w:rPr>
        <w:rFonts w:asciiTheme="minorHAnsi" w:hAnsiTheme="minorHAnsi" w:cstheme="minorHAnsi"/>
        <w:color w:val="70787B"/>
        <w:sz w:val="15"/>
        <w:szCs w:val="15"/>
      </w:rPr>
      <w:t xml:space="preserve"> Procedure</w:t>
    </w:r>
    <w:r w:rsidRPr="00102B8A">
      <w:rPr>
        <w:rFonts w:asciiTheme="minorHAnsi" w:hAnsiTheme="minorHAnsi" w:cstheme="minorHAnsi"/>
        <w:color w:val="70787B"/>
        <w:sz w:val="15"/>
        <w:szCs w:val="15"/>
      </w:rPr>
      <w:t xml:space="preserve"> | </w:t>
    </w:r>
    <w:r w:rsidR="003D10E9">
      <w:rPr>
        <w:rFonts w:asciiTheme="minorHAnsi" w:hAnsiTheme="minorHAnsi" w:cstheme="minorHAnsi"/>
        <w:color w:val="70787B"/>
        <w:sz w:val="15"/>
        <w:szCs w:val="15"/>
      </w:rPr>
      <w:t>August</w:t>
    </w:r>
    <w:r w:rsidRPr="00102B8A">
      <w:rPr>
        <w:rFonts w:asciiTheme="minorHAnsi" w:hAnsiTheme="minorHAnsi" w:cstheme="minorHAnsi"/>
        <w:color w:val="70787B"/>
        <w:sz w:val="15"/>
        <w:szCs w:val="15"/>
      </w:rPr>
      <w:t xml:space="preserve"> 20</w:t>
    </w:r>
    <w:r w:rsidR="004F7241">
      <w:rPr>
        <w:rFonts w:asciiTheme="minorHAnsi" w:hAnsiTheme="minorHAnsi" w:cstheme="minorHAnsi"/>
        <w:color w:val="70787B"/>
        <w:sz w:val="15"/>
        <w:szCs w:val="15"/>
      </w:rPr>
      <w:t>23</w:t>
    </w:r>
    <w:r w:rsidRPr="00102B8A">
      <w:rPr>
        <w:rFonts w:asciiTheme="minorHAnsi" w:hAnsiTheme="minorHAnsi" w:cstheme="minorHAnsi"/>
        <w:color w:val="70787B"/>
        <w:sz w:val="15"/>
        <w:szCs w:val="15"/>
      </w:rPr>
      <w:t xml:space="preserve"> </w:t>
    </w:r>
  </w:p>
  <w:p w14:paraId="0F431CCB" w14:textId="5871C03A"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Pr="003B6EC1">
      <w:rPr>
        <w:rFonts w:asciiTheme="minorHAnsi" w:hAnsiTheme="minorHAnsi" w:cstheme="minorHAnsi"/>
        <w:color w:val="70787B"/>
        <w:sz w:val="15"/>
        <w:szCs w:val="15"/>
      </w:rPr>
      <w:t xml:space="preserve">: </w:t>
    </w:r>
    <w:r w:rsidR="004F7241" w:rsidRPr="003B6EC1">
      <w:rPr>
        <w:rFonts w:asciiTheme="minorHAnsi" w:hAnsiTheme="minorHAnsi" w:cstheme="minorHAnsi"/>
        <w:color w:val="70787B"/>
        <w:sz w:val="15"/>
        <w:szCs w:val="15"/>
      </w:rPr>
      <w:t>2023</w:t>
    </w:r>
    <w:r w:rsidRPr="003B6EC1">
      <w:rPr>
        <w:rFonts w:asciiTheme="minorHAnsi" w:hAnsiTheme="minorHAnsi" w:cstheme="minorHAnsi"/>
        <w:color w:val="70787B"/>
        <w:sz w:val="15"/>
        <w:szCs w:val="15"/>
      </w:rPr>
      <w:t>/</w:t>
    </w:r>
    <w:r w:rsidR="003B6EC1">
      <w:rPr>
        <w:rFonts w:asciiTheme="minorHAnsi" w:hAnsiTheme="minorHAnsi" w:cstheme="minorHAnsi"/>
        <w:color w:val="70787B"/>
        <w:sz w:val="15"/>
        <w:szCs w:val="15"/>
      </w:rPr>
      <w:t>0000</w:t>
    </w:r>
    <w:r w:rsidR="002B5EF9">
      <w:rPr>
        <w:rFonts w:asciiTheme="minorHAnsi" w:hAnsiTheme="minorHAnsi" w:cstheme="minorHAnsi"/>
        <w:color w:val="70787B"/>
        <w:sz w:val="15"/>
        <w:szCs w:val="15"/>
      </w:rPr>
      <w:t>46</w:t>
    </w:r>
    <w:r w:rsidR="003B6EC1">
      <w:rPr>
        <w:rFonts w:asciiTheme="minorHAnsi" w:hAnsiTheme="minorHAnsi" w:cstheme="minorHAnsi"/>
        <w:color w:val="70787B"/>
        <w:sz w:val="15"/>
        <w:szCs w:val="15"/>
      </w:rPr>
      <w:t>3</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A679" w14:textId="77777777" w:rsidR="008477DE" w:rsidRDefault="008477DE" w:rsidP="00F45E9C">
      <w:r>
        <w:separator/>
      </w:r>
    </w:p>
  </w:footnote>
  <w:footnote w:type="continuationSeparator" w:id="0">
    <w:p w14:paraId="0AC303CC" w14:textId="77777777" w:rsidR="008477DE" w:rsidRDefault="008477DE" w:rsidP="00F45E9C">
      <w:r>
        <w:continuationSeparator/>
      </w:r>
    </w:p>
  </w:footnote>
  <w:footnote w:type="continuationNotice" w:id="1">
    <w:p w14:paraId="10F4A694" w14:textId="77777777" w:rsidR="008477DE" w:rsidRDefault="00847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6D61855F" w:rsidR="00F45E9C" w:rsidRPr="00F7147F" w:rsidRDefault="00AA1ED0" w:rsidP="007A132E">
    <w:pPr>
      <w:pStyle w:val="Header"/>
      <w:ind w:right="-348"/>
      <w:jc w:val="right"/>
      <w:rPr>
        <w:rFonts w:ascii="Arial" w:hAnsi="Arial" w:cs="Arial"/>
        <w:b/>
        <w:sz w:val="52"/>
        <w:szCs w:val="52"/>
      </w:rPr>
    </w:pPr>
    <w:r w:rsidRPr="00DD4C24">
      <w:rPr>
        <w:rFonts w:ascii="Arial" w:hAnsi="Arial" w:cs="Arial"/>
        <w:b/>
        <w:bCs/>
        <w:noProof/>
        <w:color w:val="E30918"/>
        <w:sz w:val="52"/>
        <w:szCs w:val="52"/>
      </w:rPr>
      <w:drawing>
        <wp:anchor distT="0" distB="0" distL="114300" distR="114300" simplePos="0" relativeHeight="251740672" behindDoc="1" locked="0" layoutInCell="1" allowOverlap="1" wp14:anchorId="514679C9" wp14:editId="0589AAB2">
          <wp:simplePos x="0" y="0"/>
          <wp:positionH relativeFrom="margin">
            <wp:posOffset>160407</wp:posOffset>
          </wp:positionH>
          <wp:positionV relativeFrom="page">
            <wp:posOffset>446587</wp:posOffset>
          </wp:positionV>
          <wp:extent cx="2047875" cy="434975"/>
          <wp:effectExtent l="0" t="0" r="9525" b="3175"/>
          <wp:wrapTight wrapText="bothSides">
            <wp:wrapPolygon edited="0">
              <wp:start x="0" y="0"/>
              <wp:lineTo x="0" y="20812"/>
              <wp:lineTo x="21500" y="20812"/>
              <wp:lineTo x="21500" y="0"/>
              <wp:lineTo x="0" y="0"/>
            </wp:wrapPolygon>
          </wp:wrapTight>
          <wp:docPr id="121776550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E16" w14:textId="468E0E57" w:rsidR="00DD4C24" w:rsidRPr="00DD4C24" w:rsidRDefault="00AA1ED0" w:rsidP="00DD4C24">
    <w:pPr>
      <w:pStyle w:val="Header"/>
      <w:jc w:val="right"/>
      <w:rPr>
        <w:rFonts w:ascii="Arial" w:hAnsi="Arial" w:cs="Arial"/>
        <w:b/>
        <w:bCs/>
      </w:rPr>
    </w:pPr>
    <w:r w:rsidRPr="00DD4C24">
      <w:rPr>
        <w:rFonts w:ascii="Arial" w:hAnsi="Arial" w:cs="Arial"/>
        <w:b/>
        <w:bCs/>
        <w:noProof/>
        <w:color w:val="E30918"/>
        <w:sz w:val="52"/>
        <w:szCs w:val="52"/>
      </w:rPr>
      <w:drawing>
        <wp:anchor distT="0" distB="0" distL="114300" distR="114300" simplePos="0" relativeHeight="251738624" behindDoc="1" locked="0" layoutInCell="1" allowOverlap="1" wp14:anchorId="325C4B8A" wp14:editId="00A12B3A">
          <wp:simplePos x="0" y="0"/>
          <wp:positionH relativeFrom="margin">
            <wp:posOffset>0</wp:posOffset>
          </wp:positionH>
          <wp:positionV relativeFrom="page">
            <wp:posOffset>443675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DD4C24" w:rsidRPr="00DD4C24">
      <w:rPr>
        <w:rFonts w:ascii="Arial" w:hAnsi="Arial" w:cs="Arial"/>
        <w:b/>
        <w:bCs/>
        <w:noProof/>
        <w:color w:val="E30918"/>
        <w:sz w:val="52"/>
        <w:szCs w:val="52"/>
      </w:rPr>
      <mc:AlternateContent>
        <mc:Choice Requires="wps">
          <w:drawing>
            <wp:anchor distT="0" distB="0" distL="114300" distR="114300" simplePos="0" relativeHeight="251737600" behindDoc="1" locked="0" layoutInCell="1" allowOverlap="1" wp14:anchorId="1060313D" wp14:editId="3C7D3560">
              <wp:simplePos x="0" y="0"/>
              <wp:positionH relativeFrom="column">
                <wp:posOffset>2828188</wp:posOffset>
              </wp:positionH>
              <wp:positionV relativeFrom="page">
                <wp:posOffset>-677063</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9CF5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2.7pt;margin-top:-53.3pt;width:450.35pt;height:220.55pt;rotation:180;z-index:-251578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" fillcolor="#f40609" stroked="f" strokeweight="1pt">
              <w10:wrap anchory="page"/>
            </v:shape>
          </w:pict>
        </mc:Fallback>
      </mc:AlternateContent>
    </w:r>
    <w:r w:rsidR="00DD4C24" w:rsidRPr="00DD4C24">
      <w:rPr>
        <w:rFonts w:ascii="Arial" w:hAnsi="Arial" w:cs="Arial"/>
        <w:b/>
        <w:bCs/>
        <w:color w:val="FFFFFF" w:themeColor="background1"/>
        <w:sz w:val="52"/>
        <w:szCs w:val="52"/>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D71152"/>
    <w:multiLevelType w:val="hybridMultilevel"/>
    <w:tmpl w:val="581A6C8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E4740"/>
    <w:multiLevelType w:val="hybridMultilevel"/>
    <w:tmpl w:val="3E326356"/>
    <w:lvl w:ilvl="0" w:tplc="B4747442">
      <w:start w:val="1"/>
      <w:numFmt w:val="lowerLetter"/>
      <w:lvlText w:val="(%1)"/>
      <w:lvlJc w:val="left"/>
      <w:pPr>
        <w:ind w:left="1353" w:hanging="360"/>
      </w:pPr>
      <w:rPr>
        <w:rFonts w:hint="default"/>
      </w:rPr>
    </w:lvl>
    <w:lvl w:ilvl="1" w:tplc="0C09001B">
      <w:start w:val="1"/>
      <w:numFmt w:val="lowerRoman"/>
      <w:lvlText w:val="%2."/>
      <w:lvlJc w:val="righ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15:restartNumberingAfterBreak="0">
    <w:nsid w:val="15CF521F"/>
    <w:multiLevelType w:val="hybridMultilevel"/>
    <w:tmpl w:val="4DECC296"/>
    <w:lvl w:ilvl="0" w:tplc="FFFFFFFF">
      <w:start w:val="1"/>
      <w:numFmt w:val="lowerLetter"/>
      <w:lvlText w:val="%1)"/>
      <w:lvlJc w:val="left"/>
      <w:pPr>
        <w:ind w:left="1789" w:hanging="360"/>
      </w:pPr>
    </w:lvl>
    <w:lvl w:ilvl="1" w:tplc="D616AE44">
      <w:start w:val="1"/>
      <w:numFmt w:val="lowerLetter"/>
      <w:lvlText w:val="%2)"/>
      <w:lvlJc w:val="left"/>
      <w:pPr>
        <w:ind w:left="2509" w:hanging="360"/>
      </w:pPr>
      <w:rPr>
        <w:rFonts w:hint="default"/>
      </w:rPr>
    </w:lvl>
    <w:lvl w:ilvl="2" w:tplc="48241ABA">
      <w:start w:val="1"/>
      <w:numFmt w:val="lowerRoman"/>
      <w:lvlText w:val="(%3)"/>
      <w:lvlJc w:val="left"/>
      <w:pPr>
        <w:ind w:left="3769" w:hanging="720"/>
      </w:pPr>
      <w:rPr>
        <w:rFonts w:hint="default"/>
      </w:rPr>
    </w:lvl>
    <w:lvl w:ilvl="3" w:tplc="AC42EA52">
      <w:start w:val="6"/>
      <w:numFmt w:val="bullet"/>
      <w:lvlText w:val="-"/>
      <w:lvlJc w:val="left"/>
      <w:pPr>
        <w:ind w:left="3949" w:hanging="360"/>
      </w:pPr>
      <w:rPr>
        <w:rFonts w:ascii="Calibri" w:eastAsia="Times New Roman" w:hAnsi="Calibri" w:cs="Calibri" w:hint="default"/>
        <w:b w:val="0"/>
      </w:r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94D5C"/>
    <w:multiLevelType w:val="hybridMultilevel"/>
    <w:tmpl w:val="FEF4A062"/>
    <w:lvl w:ilvl="0" w:tplc="4942004E">
      <w:start w:val="1"/>
      <w:numFmt w:val="lowerLetter"/>
      <w:lvlText w:val="(%1)"/>
      <w:lvlJc w:val="left"/>
      <w:pPr>
        <w:ind w:left="1919" w:hanging="360"/>
      </w:pPr>
      <w:rPr>
        <w:rFonts w:hint="default"/>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12"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B6344"/>
    <w:multiLevelType w:val="hybridMultilevel"/>
    <w:tmpl w:val="C2F2751A"/>
    <w:lvl w:ilvl="0" w:tplc="EDEC25B0">
      <w:start w:val="1"/>
      <w:numFmt w:val="bullet"/>
      <w:lvlText w:val=""/>
      <w:lvlJc w:val="left"/>
      <w:pPr>
        <w:ind w:left="1429" w:hanging="360"/>
      </w:pPr>
      <w:rPr>
        <w:rFonts w:ascii="Symbol" w:hAnsi="Symbol" w:hint="default"/>
        <w:color w:val="E51F3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9C4655"/>
    <w:multiLevelType w:val="hybridMultilevel"/>
    <w:tmpl w:val="B942BD22"/>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CD40E6"/>
    <w:multiLevelType w:val="hybridMultilevel"/>
    <w:tmpl w:val="E3C8067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2B324532"/>
    <w:multiLevelType w:val="multilevel"/>
    <w:tmpl w:val="AC608A1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E2375D"/>
    <w:multiLevelType w:val="hybridMultilevel"/>
    <w:tmpl w:val="8A763B7C"/>
    <w:lvl w:ilvl="0" w:tplc="6052ABBA">
      <w:start w:val="1"/>
      <w:numFmt w:val="lowerLetter"/>
      <w:lvlText w:val="(%1)"/>
      <w:lvlJc w:val="left"/>
      <w:pPr>
        <w:ind w:left="1944" w:hanging="720"/>
      </w:pPr>
      <w:rPr>
        <w:rFonts w:ascii="Arial" w:eastAsiaTheme="minorHAnsi" w:hAnsi="Arial" w:cs="Arial"/>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52623CA8"/>
    <w:multiLevelType w:val="hybridMultilevel"/>
    <w:tmpl w:val="B66851B0"/>
    <w:lvl w:ilvl="0" w:tplc="EDEC25B0">
      <w:start w:val="1"/>
      <w:numFmt w:val="bullet"/>
      <w:lvlText w:val=""/>
      <w:lvlJc w:val="left"/>
      <w:pPr>
        <w:ind w:left="2138" w:hanging="360"/>
      </w:pPr>
      <w:rPr>
        <w:rFonts w:ascii="Symbol" w:hAnsi="Symbol" w:hint="default"/>
        <w:color w:val="E51F30"/>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0"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5E4E8D"/>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5BBC737B"/>
    <w:multiLevelType w:val="hybridMultilevel"/>
    <w:tmpl w:val="E81E56F6"/>
    <w:lvl w:ilvl="0" w:tplc="BEA4178E">
      <w:start w:val="1"/>
      <w:numFmt w:val="bullet"/>
      <w:lvlText w:val=""/>
      <w:lvlJc w:val="left"/>
      <w:pPr>
        <w:ind w:left="2138" w:hanging="360"/>
      </w:pPr>
      <w:rPr>
        <w:rFonts w:ascii="Wingdings" w:hAnsi="Wingdings" w:hint="default"/>
        <w:color w:val="E309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8A63DA"/>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440480D"/>
    <w:multiLevelType w:val="multilevel"/>
    <w:tmpl w:val="D1E86C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1B240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98090B"/>
    <w:multiLevelType w:val="hybridMultilevel"/>
    <w:tmpl w:val="B68464C6"/>
    <w:lvl w:ilvl="0" w:tplc="FFFFFFFF">
      <w:start w:val="1"/>
      <w:numFmt w:val="lowerLetter"/>
      <w:lvlText w:val="%1)"/>
      <w:lvlJc w:val="left"/>
      <w:pPr>
        <w:ind w:left="1789" w:hanging="360"/>
      </w:pPr>
    </w:lvl>
    <w:lvl w:ilvl="1" w:tplc="0C090017">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7"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89915542">
    <w:abstractNumId w:val="13"/>
  </w:num>
  <w:num w:numId="2" w16cid:durableId="1404134385">
    <w:abstractNumId w:val="5"/>
  </w:num>
  <w:num w:numId="3" w16cid:durableId="1546211898">
    <w:abstractNumId w:val="25"/>
  </w:num>
  <w:num w:numId="4" w16cid:durableId="1715230555">
    <w:abstractNumId w:val="50"/>
  </w:num>
  <w:num w:numId="5" w16cid:durableId="887573963">
    <w:abstractNumId w:val="30"/>
  </w:num>
  <w:num w:numId="6" w16cid:durableId="61295460">
    <w:abstractNumId w:val="28"/>
  </w:num>
  <w:num w:numId="7" w16cid:durableId="1431703737">
    <w:abstractNumId w:val="33"/>
  </w:num>
  <w:num w:numId="8" w16cid:durableId="443306985">
    <w:abstractNumId w:val="10"/>
  </w:num>
  <w:num w:numId="9" w16cid:durableId="1015840452">
    <w:abstractNumId w:val="19"/>
  </w:num>
  <w:num w:numId="10" w16cid:durableId="1974408531">
    <w:abstractNumId w:val="39"/>
  </w:num>
  <w:num w:numId="11" w16cid:durableId="1929267935">
    <w:abstractNumId w:val="24"/>
  </w:num>
  <w:num w:numId="12" w16cid:durableId="555236481">
    <w:abstractNumId w:val="35"/>
  </w:num>
  <w:num w:numId="13" w16cid:durableId="223613492">
    <w:abstractNumId w:val="8"/>
  </w:num>
  <w:num w:numId="14" w16cid:durableId="422340965">
    <w:abstractNumId w:val="36"/>
  </w:num>
  <w:num w:numId="15" w16cid:durableId="603390218">
    <w:abstractNumId w:val="3"/>
  </w:num>
  <w:num w:numId="16" w16cid:durableId="2033995844">
    <w:abstractNumId w:val="44"/>
  </w:num>
  <w:num w:numId="17" w16cid:durableId="1644384612">
    <w:abstractNumId w:val="45"/>
  </w:num>
  <w:num w:numId="18" w16cid:durableId="1678463051">
    <w:abstractNumId w:val="27"/>
  </w:num>
  <w:num w:numId="19" w16cid:durableId="1766341106">
    <w:abstractNumId w:val="41"/>
  </w:num>
  <w:num w:numId="20" w16cid:durableId="965309713">
    <w:abstractNumId w:val="51"/>
  </w:num>
  <w:num w:numId="21" w16cid:durableId="1325085402">
    <w:abstractNumId w:val="0"/>
  </w:num>
  <w:num w:numId="22" w16cid:durableId="41254682">
    <w:abstractNumId w:val="17"/>
  </w:num>
  <w:num w:numId="23" w16cid:durableId="58985965">
    <w:abstractNumId w:val="1"/>
  </w:num>
  <w:num w:numId="24" w16cid:durableId="274482930">
    <w:abstractNumId w:val="49"/>
  </w:num>
  <w:num w:numId="25" w16cid:durableId="55206564">
    <w:abstractNumId w:val="18"/>
  </w:num>
  <w:num w:numId="26" w16cid:durableId="1450785381">
    <w:abstractNumId w:val="23"/>
  </w:num>
  <w:num w:numId="27" w16cid:durableId="996808385">
    <w:abstractNumId w:val="2"/>
  </w:num>
  <w:num w:numId="28" w16cid:durableId="1122697316">
    <w:abstractNumId w:val="22"/>
  </w:num>
  <w:num w:numId="29" w16cid:durableId="1393386197">
    <w:abstractNumId w:val="9"/>
  </w:num>
  <w:num w:numId="30" w16cid:durableId="780075887">
    <w:abstractNumId w:val="47"/>
  </w:num>
  <w:num w:numId="31" w16cid:durableId="1520702659">
    <w:abstractNumId w:val="15"/>
  </w:num>
  <w:num w:numId="32" w16cid:durableId="681399331">
    <w:abstractNumId w:val="40"/>
  </w:num>
  <w:num w:numId="33" w16cid:durableId="1947812121">
    <w:abstractNumId w:val="48"/>
  </w:num>
  <w:num w:numId="34" w16cid:durableId="240066014">
    <w:abstractNumId w:val="38"/>
  </w:num>
  <w:num w:numId="35" w16cid:durableId="1458067049">
    <w:abstractNumId w:val="42"/>
  </w:num>
  <w:num w:numId="36" w16cid:durableId="976836683">
    <w:abstractNumId w:val="31"/>
  </w:num>
  <w:num w:numId="37" w16cid:durableId="411047638">
    <w:abstractNumId w:val="43"/>
  </w:num>
  <w:num w:numId="38" w16cid:durableId="1846746235">
    <w:abstractNumId w:val="34"/>
  </w:num>
  <w:num w:numId="39" w16cid:durableId="1108812140">
    <w:abstractNumId w:val="46"/>
  </w:num>
  <w:num w:numId="40" w16cid:durableId="1614938120">
    <w:abstractNumId w:val="7"/>
  </w:num>
  <w:num w:numId="41" w16cid:durableId="1545865994">
    <w:abstractNumId w:val="20"/>
  </w:num>
  <w:num w:numId="42" w16cid:durableId="266426884">
    <w:abstractNumId w:val="21"/>
  </w:num>
  <w:num w:numId="43" w16cid:durableId="658731259">
    <w:abstractNumId w:val="26"/>
  </w:num>
  <w:num w:numId="44" w16cid:durableId="292827165">
    <w:abstractNumId w:val="37"/>
  </w:num>
  <w:num w:numId="45" w16cid:durableId="601573542">
    <w:abstractNumId w:val="6"/>
  </w:num>
  <w:num w:numId="46" w16cid:durableId="1282608736">
    <w:abstractNumId w:val="11"/>
  </w:num>
  <w:num w:numId="47" w16cid:durableId="1543176907">
    <w:abstractNumId w:val="4"/>
  </w:num>
  <w:num w:numId="48" w16cid:durableId="1740521161">
    <w:abstractNumId w:val="32"/>
  </w:num>
  <w:num w:numId="49" w16cid:durableId="754860717">
    <w:abstractNumId w:val="12"/>
  </w:num>
  <w:num w:numId="50" w16cid:durableId="1238204403">
    <w:abstractNumId w:val="29"/>
  </w:num>
  <w:num w:numId="51" w16cid:durableId="1708487428">
    <w:abstractNumId w:val="16"/>
  </w:num>
  <w:num w:numId="52" w16cid:durableId="16633912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2B45"/>
    <w:rsid w:val="00007CE6"/>
    <w:rsid w:val="0001254D"/>
    <w:rsid w:val="00012F47"/>
    <w:rsid w:val="00021C01"/>
    <w:rsid w:val="0002258D"/>
    <w:rsid w:val="00032572"/>
    <w:rsid w:val="000372F6"/>
    <w:rsid w:val="00037E6F"/>
    <w:rsid w:val="000408E3"/>
    <w:rsid w:val="00040BB8"/>
    <w:rsid w:val="00041B5B"/>
    <w:rsid w:val="00042FBA"/>
    <w:rsid w:val="00045D5F"/>
    <w:rsid w:val="00050910"/>
    <w:rsid w:val="00051573"/>
    <w:rsid w:val="00052E7B"/>
    <w:rsid w:val="00052F81"/>
    <w:rsid w:val="0005324D"/>
    <w:rsid w:val="00053A5F"/>
    <w:rsid w:val="00056724"/>
    <w:rsid w:val="000576DF"/>
    <w:rsid w:val="00063FCF"/>
    <w:rsid w:val="000674C0"/>
    <w:rsid w:val="000744A7"/>
    <w:rsid w:val="00074B7E"/>
    <w:rsid w:val="000805E3"/>
    <w:rsid w:val="000849AD"/>
    <w:rsid w:val="00085263"/>
    <w:rsid w:val="00087697"/>
    <w:rsid w:val="00090D20"/>
    <w:rsid w:val="0009125F"/>
    <w:rsid w:val="00092B7B"/>
    <w:rsid w:val="000B2197"/>
    <w:rsid w:val="000B2888"/>
    <w:rsid w:val="000B3767"/>
    <w:rsid w:val="000B43C9"/>
    <w:rsid w:val="000B7D0C"/>
    <w:rsid w:val="000C2C05"/>
    <w:rsid w:val="000D5843"/>
    <w:rsid w:val="000E2A8A"/>
    <w:rsid w:val="000E4CBE"/>
    <w:rsid w:val="000E51B4"/>
    <w:rsid w:val="000E5A8C"/>
    <w:rsid w:val="000E5D52"/>
    <w:rsid w:val="000E5D83"/>
    <w:rsid w:val="000E6B26"/>
    <w:rsid w:val="00102763"/>
    <w:rsid w:val="00102B8A"/>
    <w:rsid w:val="00102D19"/>
    <w:rsid w:val="00104000"/>
    <w:rsid w:val="00105063"/>
    <w:rsid w:val="0010768E"/>
    <w:rsid w:val="001217FB"/>
    <w:rsid w:val="00122CF0"/>
    <w:rsid w:val="001254E2"/>
    <w:rsid w:val="0013141E"/>
    <w:rsid w:val="00147A35"/>
    <w:rsid w:val="00147B11"/>
    <w:rsid w:val="00152D7D"/>
    <w:rsid w:val="001537D5"/>
    <w:rsid w:val="00153E78"/>
    <w:rsid w:val="0016173F"/>
    <w:rsid w:val="00162972"/>
    <w:rsid w:val="001643C6"/>
    <w:rsid w:val="00167117"/>
    <w:rsid w:val="001735D3"/>
    <w:rsid w:val="0017412E"/>
    <w:rsid w:val="00180673"/>
    <w:rsid w:val="00180A28"/>
    <w:rsid w:val="00181BF5"/>
    <w:rsid w:val="00187159"/>
    <w:rsid w:val="0019292F"/>
    <w:rsid w:val="00192ACD"/>
    <w:rsid w:val="001A138A"/>
    <w:rsid w:val="001A1ABF"/>
    <w:rsid w:val="001A68F0"/>
    <w:rsid w:val="001B1393"/>
    <w:rsid w:val="001D0DB6"/>
    <w:rsid w:val="001D2660"/>
    <w:rsid w:val="001D7DDA"/>
    <w:rsid w:val="001E1992"/>
    <w:rsid w:val="001E1A04"/>
    <w:rsid w:val="001E6438"/>
    <w:rsid w:val="001F4EDA"/>
    <w:rsid w:val="001F5E2B"/>
    <w:rsid w:val="002015FA"/>
    <w:rsid w:val="0020324C"/>
    <w:rsid w:val="002043F8"/>
    <w:rsid w:val="00223814"/>
    <w:rsid w:val="002301BB"/>
    <w:rsid w:val="00231CF0"/>
    <w:rsid w:val="00233068"/>
    <w:rsid w:val="00236805"/>
    <w:rsid w:val="002376F3"/>
    <w:rsid w:val="0024475D"/>
    <w:rsid w:val="00246CB4"/>
    <w:rsid w:val="00270C77"/>
    <w:rsid w:val="00272168"/>
    <w:rsid w:val="0027288B"/>
    <w:rsid w:val="00272A33"/>
    <w:rsid w:val="0027526D"/>
    <w:rsid w:val="00276143"/>
    <w:rsid w:val="002848DA"/>
    <w:rsid w:val="00284D80"/>
    <w:rsid w:val="002A0DE8"/>
    <w:rsid w:val="002A0E82"/>
    <w:rsid w:val="002A1DE8"/>
    <w:rsid w:val="002A78A0"/>
    <w:rsid w:val="002A7CF3"/>
    <w:rsid w:val="002B02ED"/>
    <w:rsid w:val="002B100C"/>
    <w:rsid w:val="002B432B"/>
    <w:rsid w:val="002B5AE6"/>
    <w:rsid w:val="002B5EF9"/>
    <w:rsid w:val="002C4450"/>
    <w:rsid w:val="002D09BB"/>
    <w:rsid w:val="002D4D7B"/>
    <w:rsid w:val="002E14B8"/>
    <w:rsid w:val="002E285B"/>
    <w:rsid w:val="002E4FA8"/>
    <w:rsid w:val="002F13EA"/>
    <w:rsid w:val="002F5132"/>
    <w:rsid w:val="002F52A9"/>
    <w:rsid w:val="002F6138"/>
    <w:rsid w:val="003045F8"/>
    <w:rsid w:val="00305299"/>
    <w:rsid w:val="00305C35"/>
    <w:rsid w:val="00311F29"/>
    <w:rsid w:val="00320C55"/>
    <w:rsid w:val="00322FF9"/>
    <w:rsid w:val="00325D2A"/>
    <w:rsid w:val="00332215"/>
    <w:rsid w:val="00332EC1"/>
    <w:rsid w:val="00333B53"/>
    <w:rsid w:val="00341FB6"/>
    <w:rsid w:val="00350CB0"/>
    <w:rsid w:val="00374C94"/>
    <w:rsid w:val="0037658D"/>
    <w:rsid w:val="00376FB2"/>
    <w:rsid w:val="00382F39"/>
    <w:rsid w:val="0038519F"/>
    <w:rsid w:val="003873FF"/>
    <w:rsid w:val="00392DA8"/>
    <w:rsid w:val="00394AC0"/>
    <w:rsid w:val="003B0C9A"/>
    <w:rsid w:val="003B1D32"/>
    <w:rsid w:val="003B1E39"/>
    <w:rsid w:val="003B6EC1"/>
    <w:rsid w:val="003B715A"/>
    <w:rsid w:val="003C20B4"/>
    <w:rsid w:val="003C4CA3"/>
    <w:rsid w:val="003D0FE4"/>
    <w:rsid w:val="003D10E9"/>
    <w:rsid w:val="003D418D"/>
    <w:rsid w:val="003D51F2"/>
    <w:rsid w:val="003D5267"/>
    <w:rsid w:val="003E0B6D"/>
    <w:rsid w:val="003E1603"/>
    <w:rsid w:val="003E1E69"/>
    <w:rsid w:val="003E5024"/>
    <w:rsid w:val="003E514B"/>
    <w:rsid w:val="003F32AF"/>
    <w:rsid w:val="003F67AC"/>
    <w:rsid w:val="0040178F"/>
    <w:rsid w:val="004127D7"/>
    <w:rsid w:val="004144E6"/>
    <w:rsid w:val="00414B09"/>
    <w:rsid w:val="004203A4"/>
    <w:rsid w:val="00421A03"/>
    <w:rsid w:val="004251EE"/>
    <w:rsid w:val="00441014"/>
    <w:rsid w:val="004430BB"/>
    <w:rsid w:val="00443ADF"/>
    <w:rsid w:val="00452F4C"/>
    <w:rsid w:val="004617E4"/>
    <w:rsid w:val="0046515B"/>
    <w:rsid w:val="00466B7E"/>
    <w:rsid w:val="00470DC3"/>
    <w:rsid w:val="004723ED"/>
    <w:rsid w:val="00473800"/>
    <w:rsid w:val="00474235"/>
    <w:rsid w:val="0049225D"/>
    <w:rsid w:val="004A13C0"/>
    <w:rsid w:val="004A60FA"/>
    <w:rsid w:val="004B38E1"/>
    <w:rsid w:val="004B67EB"/>
    <w:rsid w:val="004B767C"/>
    <w:rsid w:val="004C0354"/>
    <w:rsid w:val="004C3FB8"/>
    <w:rsid w:val="004C49E3"/>
    <w:rsid w:val="004C77E1"/>
    <w:rsid w:val="004D2859"/>
    <w:rsid w:val="004D2BE0"/>
    <w:rsid w:val="004D7998"/>
    <w:rsid w:val="004E063E"/>
    <w:rsid w:val="004E17AF"/>
    <w:rsid w:val="004E2E48"/>
    <w:rsid w:val="004E50B9"/>
    <w:rsid w:val="004F01DA"/>
    <w:rsid w:val="004F3E9A"/>
    <w:rsid w:val="004F7241"/>
    <w:rsid w:val="00503A3B"/>
    <w:rsid w:val="0050415F"/>
    <w:rsid w:val="00504E01"/>
    <w:rsid w:val="005104A1"/>
    <w:rsid w:val="00511137"/>
    <w:rsid w:val="00525C75"/>
    <w:rsid w:val="005279AC"/>
    <w:rsid w:val="005411C6"/>
    <w:rsid w:val="00541F5A"/>
    <w:rsid w:val="005426F4"/>
    <w:rsid w:val="00545FF8"/>
    <w:rsid w:val="00547ADF"/>
    <w:rsid w:val="0055123D"/>
    <w:rsid w:val="00553B87"/>
    <w:rsid w:val="0055651E"/>
    <w:rsid w:val="00557577"/>
    <w:rsid w:val="00557E43"/>
    <w:rsid w:val="00560079"/>
    <w:rsid w:val="00561625"/>
    <w:rsid w:val="005625B9"/>
    <w:rsid w:val="00564685"/>
    <w:rsid w:val="005649EC"/>
    <w:rsid w:val="005703AB"/>
    <w:rsid w:val="005738ED"/>
    <w:rsid w:val="00573A3D"/>
    <w:rsid w:val="005758D8"/>
    <w:rsid w:val="0058062E"/>
    <w:rsid w:val="00582B51"/>
    <w:rsid w:val="005841FC"/>
    <w:rsid w:val="00585205"/>
    <w:rsid w:val="00590C60"/>
    <w:rsid w:val="005943D5"/>
    <w:rsid w:val="005969A7"/>
    <w:rsid w:val="005A03C1"/>
    <w:rsid w:val="005A09EF"/>
    <w:rsid w:val="005A612B"/>
    <w:rsid w:val="005A7A34"/>
    <w:rsid w:val="005B3CB1"/>
    <w:rsid w:val="005B5914"/>
    <w:rsid w:val="005B5C34"/>
    <w:rsid w:val="005E1E03"/>
    <w:rsid w:val="005E31FF"/>
    <w:rsid w:val="005E4006"/>
    <w:rsid w:val="005E494F"/>
    <w:rsid w:val="005F09CD"/>
    <w:rsid w:val="00622E7B"/>
    <w:rsid w:val="00634387"/>
    <w:rsid w:val="00644E36"/>
    <w:rsid w:val="0064557D"/>
    <w:rsid w:val="006464BB"/>
    <w:rsid w:val="00647006"/>
    <w:rsid w:val="00650F00"/>
    <w:rsid w:val="0065542A"/>
    <w:rsid w:val="00661D55"/>
    <w:rsid w:val="006626D7"/>
    <w:rsid w:val="00662A4D"/>
    <w:rsid w:val="006640BF"/>
    <w:rsid w:val="006664D5"/>
    <w:rsid w:val="00667F87"/>
    <w:rsid w:val="00670CF3"/>
    <w:rsid w:val="00672EC1"/>
    <w:rsid w:val="00674AC7"/>
    <w:rsid w:val="00675E94"/>
    <w:rsid w:val="00686AED"/>
    <w:rsid w:val="00691687"/>
    <w:rsid w:val="0069439E"/>
    <w:rsid w:val="00696054"/>
    <w:rsid w:val="006A2939"/>
    <w:rsid w:val="006A4F70"/>
    <w:rsid w:val="006B0E5F"/>
    <w:rsid w:val="006B31ED"/>
    <w:rsid w:val="006C182A"/>
    <w:rsid w:val="006C2418"/>
    <w:rsid w:val="006C2CEF"/>
    <w:rsid w:val="006C75B3"/>
    <w:rsid w:val="006D1A97"/>
    <w:rsid w:val="006D2A66"/>
    <w:rsid w:val="006D3BE1"/>
    <w:rsid w:val="006D4D5D"/>
    <w:rsid w:val="006F246A"/>
    <w:rsid w:val="006F5A8A"/>
    <w:rsid w:val="00701F3E"/>
    <w:rsid w:val="00702795"/>
    <w:rsid w:val="00704A2C"/>
    <w:rsid w:val="0070719E"/>
    <w:rsid w:val="00707480"/>
    <w:rsid w:val="00707E82"/>
    <w:rsid w:val="0071121B"/>
    <w:rsid w:val="0072491E"/>
    <w:rsid w:val="00742899"/>
    <w:rsid w:val="00746913"/>
    <w:rsid w:val="0075505C"/>
    <w:rsid w:val="0075730D"/>
    <w:rsid w:val="00760F70"/>
    <w:rsid w:val="0076712A"/>
    <w:rsid w:val="007706AB"/>
    <w:rsid w:val="00770F05"/>
    <w:rsid w:val="00771F35"/>
    <w:rsid w:val="00773B30"/>
    <w:rsid w:val="00776C5D"/>
    <w:rsid w:val="007771A6"/>
    <w:rsid w:val="0078241D"/>
    <w:rsid w:val="00784315"/>
    <w:rsid w:val="007866BC"/>
    <w:rsid w:val="0078767D"/>
    <w:rsid w:val="00792AD8"/>
    <w:rsid w:val="0079386C"/>
    <w:rsid w:val="007A132E"/>
    <w:rsid w:val="007A3046"/>
    <w:rsid w:val="007A36D7"/>
    <w:rsid w:val="007A578C"/>
    <w:rsid w:val="007A5F96"/>
    <w:rsid w:val="007B0365"/>
    <w:rsid w:val="007B100E"/>
    <w:rsid w:val="007B16C3"/>
    <w:rsid w:val="007B685A"/>
    <w:rsid w:val="007C00D0"/>
    <w:rsid w:val="007C1483"/>
    <w:rsid w:val="007C14CB"/>
    <w:rsid w:val="007C350B"/>
    <w:rsid w:val="007C68AC"/>
    <w:rsid w:val="007D2C38"/>
    <w:rsid w:val="007D2CF5"/>
    <w:rsid w:val="007D65B8"/>
    <w:rsid w:val="007D7D0C"/>
    <w:rsid w:val="007E0E16"/>
    <w:rsid w:val="007E438D"/>
    <w:rsid w:val="007F1C81"/>
    <w:rsid w:val="007F2B02"/>
    <w:rsid w:val="007F42C4"/>
    <w:rsid w:val="008013F7"/>
    <w:rsid w:val="00807345"/>
    <w:rsid w:val="008075B2"/>
    <w:rsid w:val="00813D87"/>
    <w:rsid w:val="00814590"/>
    <w:rsid w:val="0081659D"/>
    <w:rsid w:val="00823301"/>
    <w:rsid w:val="00825110"/>
    <w:rsid w:val="008267C5"/>
    <w:rsid w:val="008268D7"/>
    <w:rsid w:val="00830D71"/>
    <w:rsid w:val="00831703"/>
    <w:rsid w:val="008342CC"/>
    <w:rsid w:val="00834839"/>
    <w:rsid w:val="008433E5"/>
    <w:rsid w:val="00843997"/>
    <w:rsid w:val="0084695A"/>
    <w:rsid w:val="008477DE"/>
    <w:rsid w:val="008542B3"/>
    <w:rsid w:val="008542C4"/>
    <w:rsid w:val="00854ED8"/>
    <w:rsid w:val="0086273D"/>
    <w:rsid w:val="00863385"/>
    <w:rsid w:val="00871013"/>
    <w:rsid w:val="008752F2"/>
    <w:rsid w:val="008805DD"/>
    <w:rsid w:val="0088405A"/>
    <w:rsid w:val="0089398C"/>
    <w:rsid w:val="008A54D4"/>
    <w:rsid w:val="008B2A80"/>
    <w:rsid w:val="008C4F2B"/>
    <w:rsid w:val="008C5B74"/>
    <w:rsid w:val="008D030A"/>
    <w:rsid w:val="008D1E3C"/>
    <w:rsid w:val="008E1D32"/>
    <w:rsid w:val="008E4171"/>
    <w:rsid w:val="008E4A39"/>
    <w:rsid w:val="008E4C9F"/>
    <w:rsid w:val="008E5D69"/>
    <w:rsid w:val="008F5D03"/>
    <w:rsid w:val="00900D44"/>
    <w:rsid w:val="00902B1F"/>
    <w:rsid w:val="00911012"/>
    <w:rsid w:val="00911B41"/>
    <w:rsid w:val="0091205A"/>
    <w:rsid w:val="00917429"/>
    <w:rsid w:val="00921567"/>
    <w:rsid w:val="009235AC"/>
    <w:rsid w:val="009252DB"/>
    <w:rsid w:val="00925E0C"/>
    <w:rsid w:val="0092637C"/>
    <w:rsid w:val="00926581"/>
    <w:rsid w:val="00930CDC"/>
    <w:rsid w:val="00933D23"/>
    <w:rsid w:val="009459B4"/>
    <w:rsid w:val="00945B70"/>
    <w:rsid w:val="00946B2D"/>
    <w:rsid w:val="00947F35"/>
    <w:rsid w:val="00950014"/>
    <w:rsid w:val="0095399A"/>
    <w:rsid w:val="00954F24"/>
    <w:rsid w:val="00962D01"/>
    <w:rsid w:val="009706EB"/>
    <w:rsid w:val="0097437D"/>
    <w:rsid w:val="00974E55"/>
    <w:rsid w:val="00975280"/>
    <w:rsid w:val="00980F8E"/>
    <w:rsid w:val="0098690D"/>
    <w:rsid w:val="0098747B"/>
    <w:rsid w:val="00987959"/>
    <w:rsid w:val="0099187B"/>
    <w:rsid w:val="00997D62"/>
    <w:rsid w:val="00997DEA"/>
    <w:rsid w:val="009A6028"/>
    <w:rsid w:val="009B3179"/>
    <w:rsid w:val="009B7685"/>
    <w:rsid w:val="009C1955"/>
    <w:rsid w:val="009C3D6A"/>
    <w:rsid w:val="009C4F19"/>
    <w:rsid w:val="009C721A"/>
    <w:rsid w:val="009C77A9"/>
    <w:rsid w:val="009E2F2F"/>
    <w:rsid w:val="009E7471"/>
    <w:rsid w:val="009F15CB"/>
    <w:rsid w:val="009F1BD8"/>
    <w:rsid w:val="009F313A"/>
    <w:rsid w:val="00A04082"/>
    <w:rsid w:val="00A06C38"/>
    <w:rsid w:val="00A127BD"/>
    <w:rsid w:val="00A1574E"/>
    <w:rsid w:val="00A202B7"/>
    <w:rsid w:val="00A20FF0"/>
    <w:rsid w:val="00A24E55"/>
    <w:rsid w:val="00A25AA1"/>
    <w:rsid w:val="00A36943"/>
    <w:rsid w:val="00A50ED4"/>
    <w:rsid w:val="00A60321"/>
    <w:rsid w:val="00A63331"/>
    <w:rsid w:val="00A64338"/>
    <w:rsid w:val="00A65908"/>
    <w:rsid w:val="00A66B4F"/>
    <w:rsid w:val="00A67CB8"/>
    <w:rsid w:val="00A67DAE"/>
    <w:rsid w:val="00A70E6F"/>
    <w:rsid w:val="00A71AD8"/>
    <w:rsid w:val="00A7785F"/>
    <w:rsid w:val="00A804BA"/>
    <w:rsid w:val="00A8131C"/>
    <w:rsid w:val="00A8142C"/>
    <w:rsid w:val="00A82A75"/>
    <w:rsid w:val="00A84CEC"/>
    <w:rsid w:val="00A8677D"/>
    <w:rsid w:val="00A95F56"/>
    <w:rsid w:val="00A961AC"/>
    <w:rsid w:val="00AA1ED0"/>
    <w:rsid w:val="00AA227D"/>
    <w:rsid w:val="00AA4460"/>
    <w:rsid w:val="00AB17F3"/>
    <w:rsid w:val="00AB30DD"/>
    <w:rsid w:val="00AB7AB0"/>
    <w:rsid w:val="00AB7B32"/>
    <w:rsid w:val="00AC25B5"/>
    <w:rsid w:val="00AC4E30"/>
    <w:rsid w:val="00AD1316"/>
    <w:rsid w:val="00AD35CA"/>
    <w:rsid w:val="00AD4E13"/>
    <w:rsid w:val="00AD6696"/>
    <w:rsid w:val="00AD7DBC"/>
    <w:rsid w:val="00AE4EA8"/>
    <w:rsid w:val="00AE51FB"/>
    <w:rsid w:val="00AF3B1E"/>
    <w:rsid w:val="00AF4034"/>
    <w:rsid w:val="00AF56C6"/>
    <w:rsid w:val="00AF5BF6"/>
    <w:rsid w:val="00B0284B"/>
    <w:rsid w:val="00B02B70"/>
    <w:rsid w:val="00B03A41"/>
    <w:rsid w:val="00B04BAA"/>
    <w:rsid w:val="00B15D0B"/>
    <w:rsid w:val="00B20409"/>
    <w:rsid w:val="00B264BF"/>
    <w:rsid w:val="00B26C9A"/>
    <w:rsid w:val="00B3087B"/>
    <w:rsid w:val="00B30A50"/>
    <w:rsid w:val="00B34AA7"/>
    <w:rsid w:val="00B43C60"/>
    <w:rsid w:val="00B43F28"/>
    <w:rsid w:val="00B51DF8"/>
    <w:rsid w:val="00B53615"/>
    <w:rsid w:val="00B54CE9"/>
    <w:rsid w:val="00B56FD6"/>
    <w:rsid w:val="00B57117"/>
    <w:rsid w:val="00B72DCC"/>
    <w:rsid w:val="00B77C31"/>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32B2"/>
    <w:rsid w:val="00BE3087"/>
    <w:rsid w:val="00BE3947"/>
    <w:rsid w:val="00BE5645"/>
    <w:rsid w:val="00BF3090"/>
    <w:rsid w:val="00C16500"/>
    <w:rsid w:val="00C31ECA"/>
    <w:rsid w:val="00C33CC5"/>
    <w:rsid w:val="00C40554"/>
    <w:rsid w:val="00C4334D"/>
    <w:rsid w:val="00C43588"/>
    <w:rsid w:val="00C5755D"/>
    <w:rsid w:val="00C6020F"/>
    <w:rsid w:val="00C61357"/>
    <w:rsid w:val="00C644BC"/>
    <w:rsid w:val="00C655EF"/>
    <w:rsid w:val="00C74FCB"/>
    <w:rsid w:val="00C80B51"/>
    <w:rsid w:val="00C80F2E"/>
    <w:rsid w:val="00C83C24"/>
    <w:rsid w:val="00C91165"/>
    <w:rsid w:val="00C95007"/>
    <w:rsid w:val="00C97251"/>
    <w:rsid w:val="00C97759"/>
    <w:rsid w:val="00CA7E35"/>
    <w:rsid w:val="00CC43B2"/>
    <w:rsid w:val="00CC69B4"/>
    <w:rsid w:val="00CD4C02"/>
    <w:rsid w:val="00CD4DCE"/>
    <w:rsid w:val="00CD6D22"/>
    <w:rsid w:val="00CE0A50"/>
    <w:rsid w:val="00CE4484"/>
    <w:rsid w:val="00CF0713"/>
    <w:rsid w:val="00CF2EBA"/>
    <w:rsid w:val="00CF6D79"/>
    <w:rsid w:val="00CF7F1B"/>
    <w:rsid w:val="00D021FD"/>
    <w:rsid w:val="00D14EF0"/>
    <w:rsid w:val="00D1605A"/>
    <w:rsid w:val="00D20DE3"/>
    <w:rsid w:val="00D22A18"/>
    <w:rsid w:val="00D31975"/>
    <w:rsid w:val="00D33E0C"/>
    <w:rsid w:val="00D35A2C"/>
    <w:rsid w:val="00D41A10"/>
    <w:rsid w:val="00D44766"/>
    <w:rsid w:val="00D5114B"/>
    <w:rsid w:val="00D66192"/>
    <w:rsid w:val="00D66ECF"/>
    <w:rsid w:val="00D67F1F"/>
    <w:rsid w:val="00D70F4C"/>
    <w:rsid w:val="00D76F22"/>
    <w:rsid w:val="00D77C9B"/>
    <w:rsid w:val="00D8453B"/>
    <w:rsid w:val="00D855AA"/>
    <w:rsid w:val="00D86597"/>
    <w:rsid w:val="00D94F19"/>
    <w:rsid w:val="00D95767"/>
    <w:rsid w:val="00DA0B36"/>
    <w:rsid w:val="00DA348D"/>
    <w:rsid w:val="00DA3C93"/>
    <w:rsid w:val="00DB0A25"/>
    <w:rsid w:val="00DB46CC"/>
    <w:rsid w:val="00DB53FB"/>
    <w:rsid w:val="00DC4670"/>
    <w:rsid w:val="00DC5110"/>
    <w:rsid w:val="00DD4C24"/>
    <w:rsid w:val="00DD657E"/>
    <w:rsid w:val="00DD6A23"/>
    <w:rsid w:val="00DD7190"/>
    <w:rsid w:val="00DD72B2"/>
    <w:rsid w:val="00DE207C"/>
    <w:rsid w:val="00DE745A"/>
    <w:rsid w:val="00DF173D"/>
    <w:rsid w:val="00E00AD2"/>
    <w:rsid w:val="00E02A2F"/>
    <w:rsid w:val="00E05264"/>
    <w:rsid w:val="00E136B5"/>
    <w:rsid w:val="00E14ADF"/>
    <w:rsid w:val="00E17726"/>
    <w:rsid w:val="00E2127B"/>
    <w:rsid w:val="00E225C6"/>
    <w:rsid w:val="00E235C1"/>
    <w:rsid w:val="00E26E3C"/>
    <w:rsid w:val="00E32751"/>
    <w:rsid w:val="00E3370E"/>
    <w:rsid w:val="00E3380F"/>
    <w:rsid w:val="00E33EAB"/>
    <w:rsid w:val="00E340EE"/>
    <w:rsid w:val="00E3514F"/>
    <w:rsid w:val="00E3707A"/>
    <w:rsid w:val="00E40115"/>
    <w:rsid w:val="00E40567"/>
    <w:rsid w:val="00E406BB"/>
    <w:rsid w:val="00E4546F"/>
    <w:rsid w:val="00E5631A"/>
    <w:rsid w:val="00E5772B"/>
    <w:rsid w:val="00E61154"/>
    <w:rsid w:val="00E80126"/>
    <w:rsid w:val="00E83148"/>
    <w:rsid w:val="00E870F4"/>
    <w:rsid w:val="00E947A8"/>
    <w:rsid w:val="00EA5547"/>
    <w:rsid w:val="00EA6390"/>
    <w:rsid w:val="00EA6454"/>
    <w:rsid w:val="00EA794F"/>
    <w:rsid w:val="00EB04C1"/>
    <w:rsid w:val="00EB67EB"/>
    <w:rsid w:val="00EB708E"/>
    <w:rsid w:val="00EB789F"/>
    <w:rsid w:val="00EC0BCC"/>
    <w:rsid w:val="00EC0C7F"/>
    <w:rsid w:val="00EC1778"/>
    <w:rsid w:val="00ED12B6"/>
    <w:rsid w:val="00ED3A65"/>
    <w:rsid w:val="00ED753A"/>
    <w:rsid w:val="00EE02E1"/>
    <w:rsid w:val="00EE421A"/>
    <w:rsid w:val="00EF083E"/>
    <w:rsid w:val="00EF0FC1"/>
    <w:rsid w:val="00EF2D1C"/>
    <w:rsid w:val="00EF391B"/>
    <w:rsid w:val="00F014A2"/>
    <w:rsid w:val="00F02DBB"/>
    <w:rsid w:val="00F035C0"/>
    <w:rsid w:val="00F04D76"/>
    <w:rsid w:val="00F12A51"/>
    <w:rsid w:val="00F1322B"/>
    <w:rsid w:val="00F3151F"/>
    <w:rsid w:val="00F32BFD"/>
    <w:rsid w:val="00F41226"/>
    <w:rsid w:val="00F45E9C"/>
    <w:rsid w:val="00F471E2"/>
    <w:rsid w:val="00F47785"/>
    <w:rsid w:val="00F65E11"/>
    <w:rsid w:val="00F673C0"/>
    <w:rsid w:val="00F7147F"/>
    <w:rsid w:val="00F71CBA"/>
    <w:rsid w:val="00F86E95"/>
    <w:rsid w:val="00F92F84"/>
    <w:rsid w:val="00F93DC0"/>
    <w:rsid w:val="00F97A5A"/>
    <w:rsid w:val="00FA1219"/>
    <w:rsid w:val="00FA58FE"/>
    <w:rsid w:val="00FA64E1"/>
    <w:rsid w:val="00FB01BB"/>
    <w:rsid w:val="00FB0914"/>
    <w:rsid w:val="00FB353A"/>
    <w:rsid w:val="00FB60AE"/>
    <w:rsid w:val="00FB6309"/>
    <w:rsid w:val="00FC25DD"/>
    <w:rsid w:val="00FC3704"/>
    <w:rsid w:val="00FC4EBB"/>
    <w:rsid w:val="00FD2081"/>
    <w:rsid w:val="00FD4F36"/>
    <w:rsid w:val="00FD540F"/>
    <w:rsid w:val="00FE0943"/>
    <w:rsid w:val="00FE28CF"/>
    <w:rsid w:val="00FE505D"/>
    <w:rsid w:val="00FF5957"/>
    <w:rsid w:val="00FF5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t.gov.au/international-relations/security/sanctions/consolidated-list" TargetMode="External"/><Relationship Id="rId18" Type="http://schemas.openxmlformats.org/officeDocument/2006/relationships/hyperlink" Target="https://www.defence.gov.au/business-industry/export/controls/export-controls/defence-strategic-goods-list" TargetMode="External"/><Relationship Id="rId26" Type="http://schemas.openxmlformats.org/officeDocument/2006/relationships/hyperlink" Target="https://sharepointpubstor.blob.core.windows.net/policylibrary-prod/Responsible%20Conduct%20of%20Research%20Policy.pdf" TargetMode="External"/><Relationship Id="rId3" Type="http://schemas.openxmlformats.org/officeDocument/2006/relationships/customXml" Target="../customXml/item3.xml"/><Relationship Id="rId21" Type="http://schemas.openxmlformats.org/officeDocument/2006/relationships/hyperlink" Target="https://www.legislation.gov.au/Details/C2016C01072"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efence.gov.au/business-industry/export/controls/compliance/approach" TargetMode="External"/><Relationship Id="rId17" Type="http://schemas.openxmlformats.org/officeDocument/2006/relationships/hyperlink" Target="https://www.legislation.gov.au/Details/C2021C00581" TargetMode="External"/><Relationship Id="rId25" Type="http://schemas.openxmlformats.org/officeDocument/2006/relationships/hyperlink" Target="https://sharepointpubstor.blob.core.windows.net/policylibrary-prod/Research%20Entity%20Policy.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dustry.gov.au/publications/action-plan-critical-technologies/list-critical-technologies-national-interest/about-list-critical-technologies-national-interest" TargetMode="External"/><Relationship Id="rId20" Type="http://schemas.openxmlformats.org/officeDocument/2006/relationships/hyperlink" Target="https://www.legislation.gov.au/Details/C2016C00742" TargetMode="External"/><Relationship Id="rId29" Type="http://schemas.openxmlformats.org/officeDocument/2006/relationships/hyperlink" Target="https://sharepointpubstor.blob.core.windows.net/policylibrary-prod/Assessment%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international-relations/security/sanctions/sanctions-regimes" TargetMode="External"/><Relationship Id="rId24" Type="http://schemas.openxmlformats.org/officeDocument/2006/relationships/hyperlink" Target="https://www.nhmrc.gov.au/about-us/publications/australian-code-responsible-conduct-research-2018" TargetMode="External"/><Relationship Id="rId32" Type="http://schemas.openxmlformats.org/officeDocument/2006/relationships/hyperlink" Target="https://intranet.secure.griffith.edu.au/audit-insurance-risk-compliance/complian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dustry.gov.au/publications/action-plan-critical-technologies/list-critical-technologies-national-interest" TargetMode="External"/><Relationship Id="rId23" Type="http://schemas.openxmlformats.org/officeDocument/2006/relationships/hyperlink" Target="https://www.industry.gov.au/publications/list-critical-technologies-national-interest" TargetMode="External"/><Relationship Id="rId28" Type="http://schemas.openxmlformats.org/officeDocument/2006/relationships/hyperlink" Target="https://sharepointpubstor.blob.core.windows.net/policylibrary-prod/Admission%20Policy.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au/Details/C2018C00318" TargetMode="External"/><Relationship Id="rId31" Type="http://schemas.openxmlformats.org/officeDocument/2006/relationships/hyperlink" Target="https://sharepointpubstor.blob.core.windows.net/policylibrary-prod/Assessment%20Procedure%20for%20Stud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research/research-services/research-policy-performance/export-trade-controls" TargetMode="External"/><Relationship Id="rId22" Type="http://schemas.openxmlformats.org/officeDocument/2006/relationships/hyperlink" Target="https://www.dfat.gov.au/international-relations/security/sanctions/consolidated-list" TargetMode="External"/><Relationship Id="rId27" Type="http://schemas.openxmlformats.org/officeDocument/2006/relationships/hyperlink" Target="https://sharepointpubstor.blob.core.windows.net/policylibrary-prod/Risk%20and%20Resilience%20Management%20Policy.pdf" TargetMode="External"/><Relationship Id="rId30" Type="http://schemas.openxmlformats.org/officeDocument/2006/relationships/hyperlink" Target="https://sharepointpubstor.blob.core.windows.net/policylibrary-prod/Higher%20Degree%20by%20Research%20Policy.pdf"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518</Value>
      <Value>543</Value>
      <Value>242</Value>
      <Value>162</Value>
      <Value>77</Value>
    </TaxCatchAll>
    <PublishOn xmlns="2f261a70-825f-4a37-b7b5-f6ecc2f4c5fa">2023-09-21T04:43:31+00:00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document sets out the procedure for managing Higher Degree Research Admissions, and any changes to HDR research topics or activities to ensure that HDR activity conducted at Griffith University does not contravene or breach the legislative framework underpinning Australia's system of export controls and sanctions.</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21/09/2023 - the Chief of Staff advised (via email) that Council approved the new Procedure (2023/0000373) and that the Vice Chancellor delegated the new Procedure to the Dean, Griffith Graduate Research School as the Approving Authority as per Academic Committee's (03/2023 meeting 20 July) endorsement.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11/04/2024 - Standing COO Admin Update - update of rescinded policies to current policies.</doccomments>
    <datedeclared xmlns="2f261a70-825f-4a37-b7b5-f6ecc2f4c5fa">2023-08-13T14:00:00+00:00</datedeclared>
    <PrivatePolicy xmlns="2f261a70-825f-4a37-b7b5-f6ecc2f4c5fa">false</PrivatePolicy>
    <policyadvisor xmlns="2f261a70-825f-4a37-b7b5-f6ecc2f4c5fa">
      <UserInfo>
        <DisplayName>Claudia Arango</DisplayName>
        <AccountId>117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15E13953-1E49-46C5-A32E-2D1503019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22</TotalTime>
  <Pages>6</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Managing Assessment of HDR Applicants Sanctions and Export Controls Compliance Procedure</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Assessment of HDR Applicants Sanctions and Export Controls Compliance Procedure</dc:title>
  <dc:subject/>
  <dc:creator>Rebecca Voisey</dc:creator>
  <cp:keywords/>
  <dc:description/>
  <cp:lastModifiedBy>Donna Kalaentzis</cp:lastModifiedBy>
  <cp:revision>4</cp:revision>
  <cp:lastPrinted>2023-07-12T06:46:00Z</cp:lastPrinted>
  <dcterms:created xsi:type="dcterms:W3CDTF">2024-04-11T02:22:00Z</dcterms:created>
  <dcterms:modified xsi:type="dcterms:W3CDTF">2024-04-11T02:48:00Z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policysection">
    <vt:lpwstr/>
  </property>
  <property fmtid="{D5CDD505-2E9C-101B-9397-08002B2CF9AE}" pid="12" name="appauthority">
    <vt:lpwstr>543;#DVC (Research)|43b40559-8059-4e74-80b6-439260334b1b</vt:lpwstr>
  </property>
  <property fmtid="{D5CDD505-2E9C-101B-9397-08002B2CF9AE}" pid="13" name="policycategory">
    <vt:lpwstr/>
  </property>
  <property fmtid="{D5CDD505-2E9C-101B-9397-08002B2CF9AE}" pid="14" name="officearea">
    <vt:lpwstr>162;#GGRS|9998683f-6a66-407c-9d64-f95cccd304fa</vt:lpwstr>
  </property>
  <property fmtid="{D5CDD505-2E9C-101B-9397-08002B2CF9AE}" pid="15" name="Managed_Testing_Field">
    <vt:lpwstr/>
  </property>
  <property fmtid="{D5CDD505-2E9C-101B-9397-08002B2CF9AE}" pid="16" name="policy-category">
    <vt:lpwstr>518;#Learning and Teaching|446e0cdd-d096-4b26-b8f8-0a6485e32142</vt:lpwstr>
  </property>
  <property fmtid="{D5CDD505-2E9C-101B-9397-08002B2CF9AE}" pid="17" name="glossaryterms">
    <vt:lpwstr/>
  </property>
  <property fmtid="{D5CDD505-2E9C-101B-9397-08002B2CF9AE}" pid="18" name="policyaudience">
    <vt:lpwstr>77;#Staff|45ee306d-49ae-43fa-a3ef-02f70754fd2d</vt:lpwstr>
  </property>
  <property fmtid="{D5CDD505-2E9C-101B-9397-08002B2CF9AE}" pid="19" name="policyreview">
    <vt:lpwstr>242;#2026|0e39d474-4c22-40b4-8b37-f0e7c9e0e124</vt:lpwstr>
  </property>
</Properties>
</file>