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492BDAA7" w:rsidR="00ED6047" w:rsidRPr="000C7000" w:rsidRDefault="00F25D0A" w:rsidP="00A144B2">
      <w:pPr>
        <w:pStyle w:val="Heading1"/>
        <w:spacing w:before="0" w:after="240"/>
        <w:rPr>
          <w:rFonts w:ascii="Griffith Sans Text" w:hAnsi="Griffith Sans Text"/>
          <w:sz w:val="52"/>
          <w:szCs w:val="32"/>
        </w:rPr>
      </w:pPr>
      <w:r>
        <w:rPr>
          <w:rFonts w:ascii="Griffith Sans Text" w:hAnsi="Griffith Sans Text"/>
          <w:sz w:val="52"/>
          <w:szCs w:val="32"/>
        </w:rPr>
        <w:t>Legislative Compliance</w:t>
      </w:r>
    </w:p>
    <w:p w14:paraId="4B56D564" w14:textId="33010313" w:rsidR="00A144B2" w:rsidRPr="000C7000" w:rsidRDefault="00495F56"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495F56"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2655DE31" w14:textId="5740A809" w:rsidR="00C76573" w:rsidRPr="000C7000" w:rsidRDefault="00FF586B" w:rsidP="00A82B7B">
      <w:pPr>
        <w:pStyle w:val="Heading2"/>
        <w:spacing w:before="0" w:after="0" w:line="240" w:lineRule="auto"/>
        <w:rPr>
          <w:rFonts w:ascii="Griffith Sans Text" w:hAnsi="Griffith Sans Text"/>
          <w:b w:val="0"/>
          <w:bCs w:val="0"/>
          <w:sz w:val="24"/>
          <w:szCs w:val="18"/>
        </w:rPr>
      </w:pPr>
      <w:hyperlink w:anchor="_3.0_Policy_statement" w:history="1">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hyperlink>
      <w:r w:rsidR="00A82B7B">
        <w:rPr>
          <w:rFonts w:ascii="Griffith Sans Text" w:hAnsi="Griffith Sans Text"/>
          <w:b w:val="0"/>
          <w:bCs w:val="0"/>
          <w:sz w:val="24"/>
          <w:szCs w:val="18"/>
        </w:rPr>
        <w:t xml:space="preserve"> </w:t>
      </w:r>
    </w:p>
    <w:p w14:paraId="574A747E" w14:textId="02E495AE" w:rsidR="00A144B2" w:rsidRPr="000C7000" w:rsidRDefault="0055499E" w:rsidP="00E166E0">
      <w:pPr>
        <w:pStyle w:val="Heading2"/>
        <w:spacing w:before="0" w:after="0" w:line="240" w:lineRule="auto"/>
        <w:rPr>
          <w:rFonts w:ascii="Griffith Sans Text" w:hAnsi="Griffith Sans Text"/>
          <w:b w:val="0"/>
          <w:bCs w:val="0"/>
          <w:sz w:val="24"/>
          <w:szCs w:val="18"/>
        </w:rPr>
      </w:pPr>
      <w:hyperlink w:anchor="_4.0_Roles_and" w:history="1">
        <w:r w:rsidR="007418A5" w:rsidRPr="0055499E">
          <w:rPr>
            <w:rStyle w:val="Hyperlink"/>
            <w:rFonts w:ascii="Griffith Sans Text" w:hAnsi="Griffith Sans Text"/>
            <w:b w:val="0"/>
            <w:bCs w:val="0"/>
            <w:sz w:val="24"/>
            <w:szCs w:val="18"/>
          </w:rPr>
          <w:t>4</w:t>
        </w:r>
        <w:r w:rsidR="00732202" w:rsidRPr="0055499E">
          <w:rPr>
            <w:rStyle w:val="Hyperlink"/>
            <w:rFonts w:ascii="Griffith Sans Text" w:hAnsi="Griffith Sans Text"/>
            <w:b w:val="0"/>
            <w:bCs w:val="0"/>
            <w:sz w:val="24"/>
            <w:szCs w:val="18"/>
          </w:rPr>
          <w:t xml:space="preserve">.0 </w:t>
        </w:r>
        <w:r w:rsidR="001A2FF3" w:rsidRPr="0055499E">
          <w:rPr>
            <w:rStyle w:val="Hyperlink"/>
            <w:rFonts w:ascii="Griffith Sans Text" w:hAnsi="Griffith Sans Text"/>
            <w:b w:val="0"/>
            <w:bCs w:val="0"/>
            <w:sz w:val="24"/>
            <w:szCs w:val="18"/>
          </w:rPr>
          <w:t>Roles and Responsibilities</w:t>
        </w:r>
      </w:hyperlink>
    </w:p>
    <w:p w14:paraId="32D7B4FF" w14:textId="15132FAD" w:rsidR="001A2FF3" w:rsidRDefault="0055499E" w:rsidP="00E166E0">
      <w:pPr>
        <w:pStyle w:val="Heading2"/>
        <w:spacing w:before="0" w:after="0" w:line="240" w:lineRule="auto"/>
        <w:rPr>
          <w:rFonts w:ascii="Griffith Sans Text" w:hAnsi="Griffith Sans Text"/>
          <w:b w:val="0"/>
          <w:bCs w:val="0"/>
          <w:sz w:val="24"/>
          <w:szCs w:val="18"/>
        </w:rPr>
      </w:pPr>
      <w:hyperlink w:anchor="_4.0_Roles,_responsibilities" w:history="1">
        <w:r w:rsidR="001A2FF3" w:rsidRPr="0055499E">
          <w:rPr>
            <w:rStyle w:val="Hyperlink"/>
            <w:rFonts w:ascii="Griffith Sans Text" w:hAnsi="Griffith Sans Text"/>
            <w:b w:val="0"/>
            <w:bCs w:val="0"/>
            <w:sz w:val="24"/>
            <w:szCs w:val="18"/>
          </w:rPr>
          <w:t>5.0 Definitions</w:t>
        </w:r>
      </w:hyperlink>
    </w:p>
    <w:p w14:paraId="55C75591" w14:textId="0334411A" w:rsidR="00FC349F" w:rsidRPr="0055499E" w:rsidRDefault="0055499E" w:rsidP="00E166E0">
      <w:pPr>
        <w:pStyle w:val="Heading2"/>
        <w:spacing w:before="0" w:after="0" w:line="240" w:lineRule="auto"/>
        <w:rPr>
          <w:rFonts w:ascii="Griffith Sans Text" w:hAnsi="Griffith Sans Text"/>
          <w:b w:val="0"/>
          <w:bCs w:val="0"/>
          <w:sz w:val="24"/>
          <w:szCs w:val="18"/>
        </w:rPr>
      </w:pPr>
      <w:hyperlink w:anchor="_6.0_Information" w:history="1">
        <w:r w:rsidR="001A2FF3" w:rsidRPr="0055499E">
          <w:rPr>
            <w:rStyle w:val="Hyperlink"/>
            <w:rFonts w:ascii="Griffith Sans Text" w:hAnsi="Griffith Sans Text"/>
            <w:b w:val="0"/>
            <w:bCs w:val="0"/>
            <w:sz w:val="24"/>
            <w:szCs w:val="18"/>
          </w:rPr>
          <w:t>6</w:t>
        </w:r>
        <w:r w:rsidR="00FC349F" w:rsidRPr="0055499E">
          <w:rPr>
            <w:rStyle w:val="Hyperlink"/>
            <w:rFonts w:ascii="Griffith Sans Text" w:hAnsi="Griffith Sans Text"/>
            <w:b w:val="0"/>
            <w:bCs w:val="0"/>
            <w:sz w:val="24"/>
            <w:szCs w:val="18"/>
          </w:rPr>
          <w:t>.0</w:t>
        </w:r>
        <w:r w:rsidR="00274580" w:rsidRPr="0055499E">
          <w:rPr>
            <w:rStyle w:val="Hyperlink"/>
            <w:rFonts w:ascii="Griffith Sans Text" w:hAnsi="Griffith Sans Text"/>
            <w:b w:val="0"/>
            <w:bCs w:val="0"/>
            <w:sz w:val="24"/>
            <w:szCs w:val="18"/>
          </w:rPr>
          <w:t xml:space="preserve"> Information</w:t>
        </w:r>
      </w:hyperlink>
    </w:p>
    <w:p w14:paraId="3005F60D" w14:textId="3A3110ED" w:rsidR="00D434E9" w:rsidRPr="00495F56" w:rsidRDefault="00495F56" w:rsidP="00E166E0">
      <w:pPr>
        <w:pStyle w:val="Heading2"/>
        <w:spacing w:before="0" w:after="0" w:line="240" w:lineRule="auto"/>
        <w:rPr>
          <w:rStyle w:val="Hyperlink"/>
          <w:rFonts w:ascii="Griffith Sans Text" w:hAnsi="Griffith Sans Text"/>
          <w:b w:val="0"/>
          <w:bCs w:val="0"/>
          <w:sz w:val="24"/>
          <w:szCs w:val="18"/>
        </w:rPr>
      </w:pPr>
      <w:r>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"_7.0_Related_Policy"</w:instrText>
      </w:r>
      <w:r>
        <w:rPr>
          <w:rFonts w:ascii="Griffith Sans Text" w:hAnsi="Griffith Sans Text"/>
          <w:b w:val="0"/>
          <w:bCs w:val="0"/>
          <w:sz w:val="24"/>
          <w:szCs w:val="18"/>
        </w:rPr>
      </w:r>
      <w:r>
        <w:rPr>
          <w:rFonts w:ascii="Griffith Sans Text" w:hAnsi="Griffith Sans Text"/>
          <w:b w:val="0"/>
          <w:bCs w:val="0"/>
          <w:sz w:val="24"/>
          <w:szCs w:val="18"/>
        </w:rPr>
        <w:fldChar w:fldCharType="separate"/>
      </w:r>
      <w:r w:rsidR="001A2FF3" w:rsidRPr="00495F56">
        <w:rPr>
          <w:rStyle w:val="Hyperlink"/>
          <w:rFonts w:ascii="Griffith Sans Text" w:hAnsi="Griffith Sans Text"/>
          <w:b w:val="0"/>
          <w:bCs w:val="0"/>
          <w:sz w:val="24"/>
          <w:szCs w:val="18"/>
        </w:rPr>
        <w:t>7</w:t>
      </w:r>
      <w:r w:rsidR="00274580" w:rsidRPr="00495F56">
        <w:rPr>
          <w:rStyle w:val="Hyperlink"/>
          <w:rFonts w:ascii="Griffith Sans Text" w:hAnsi="Griffith Sans Text"/>
          <w:b w:val="0"/>
          <w:bCs w:val="0"/>
          <w:sz w:val="24"/>
          <w:szCs w:val="18"/>
        </w:rPr>
        <w:t xml:space="preserve">.0 Related </w:t>
      </w:r>
      <w:r w:rsidR="00456A0E" w:rsidRPr="00495F56">
        <w:rPr>
          <w:rStyle w:val="Hyperlink"/>
          <w:rFonts w:ascii="Griffith Sans Text" w:hAnsi="Griffith Sans Text"/>
          <w:b w:val="0"/>
          <w:bCs w:val="0"/>
          <w:sz w:val="24"/>
          <w:szCs w:val="18"/>
        </w:rPr>
        <w:t>policy documents and supporting documents</w:t>
      </w:r>
      <w:r w:rsidR="00613014" w:rsidRPr="00495F56">
        <w:rPr>
          <w:rStyle w:val="Hyperlink"/>
          <w:rFonts w:ascii="Griffith Sans Text" w:hAnsi="Griffith Sans Text"/>
          <w:b w:val="0"/>
          <w:bCs w:val="0"/>
          <w:sz w:val="24"/>
          <w:szCs w:val="18"/>
        </w:rPr>
        <w:t xml:space="preserve"> </w:t>
      </w:r>
    </w:p>
    <w:bookmarkStart w:id="0" w:name="_1.0_Purpose"/>
    <w:bookmarkEnd w:id="0"/>
    <w:p w14:paraId="2DF7559D" w14:textId="5ABEE7FB" w:rsidR="00A144B2" w:rsidRPr="00237AB3" w:rsidRDefault="00495F56" w:rsidP="00CA6AC5">
      <w:pPr>
        <w:pStyle w:val="Heading2"/>
        <w:rPr>
          <w:rFonts w:ascii="Griffith Sans Text" w:hAnsi="Griffith Sans Text"/>
        </w:rPr>
      </w:pPr>
      <w:r>
        <w:rPr>
          <w:rFonts w:ascii="Griffith Sans Text" w:hAnsi="Griffith Sans Text"/>
          <w:b w:val="0"/>
          <w:bCs w:val="0"/>
          <w:sz w:val="24"/>
          <w:szCs w:val="18"/>
        </w:rPr>
        <w:fldChar w:fldCharType="end"/>
      </w:r>
      <w:r w:rsidR="00A144B2" w:rsidRPr="00237AB3">
        <w:rPr>
          <w:rFonts w:ascii="Griffith Sans Text" w:hAnsi="Griffith Sans Text"/>
        </w:rPr>
        <w:t>1.0 Purpose</w:t>
      </w:r>
    </w:p>
    <w:p w14:paraId="5841146F" w14:textId="6C15ACCC" w:rsidR="00820F73" w:rsidRDefault="008D57B3" w:rsidP="00F25D0A">
      <w:pPr>
        <w:spacing w:before="120" w:after="120" w:line="240" w:lineRule="auto"/>
        <w:rPr>
          <w:rFonts w:ascii="Arial" w:hAnsi="Arial" w:cs="Arial"/>
          <w:sz w:val="22"/>
        </w:rPr>
      </w:pPr>
      <w:r w:rsidRPr="004922AF">
        <w:rPr>
          <w:rFonts w:ascii="Arial" w:hAnsi="Arial" w:cs="Arial"/>
          <w:sz w:val="22"/>
        </w:rPr>
        <w:t xml:space="preserve">This </w:t>
      </w:r>
      <w:r w:rsidR="00F25D0A">
        <w:rPr>
          <w:rFonts w:ascii="Arial" w:hAnsi="Arial" w:cs="Arial"/>
          <w:sz w:val="22"/>
        </w:rPr>
        <w:t>procedure describes the Compliance Management Program which:</w:t>
      </w:r>
    </w:p>
    <w:p w14:paraId="515D6013" w14:textId="5D547E90" w:rsidR="00F25D0A" w:rsidRDefault="00F25D0A" w:rsidP="00F25D0A">
      <w:pPr>
        <w:pStyle w:val="NormalWhite"/>
        <w:numPr>
          <w:ilvl w:val="0"/>
          <w:numId w:val="35"/>
        </w:numPr>
        <w:spacing w:before="120" w:after="120" w:line="240" w:lineRule="auto"/>
        <w:ind w:left="641" w:hanging="357"/>
        <w:jc w:val="left"/>
        <w:rPr>
          <w:rFonts w:cs="Arial"/>
          <w:color w:val="auto"/>
          <w:sz w:val="22"/>
        </w:rPr>
      </w:pPr>
      <w:r>
        <w:rPr>
          <w:rFonts w:cs="Arial"/>
          <w:color w:val="auto"/>
          <w:sz w:val="22"/>
        </w:rPr>
        <w:t xml:space="preserve">details how the objectives and principles of the </w:t>
      </w:r>
      <w:r w:rsidRPr="00F25D0A">
        <w:rPr>
          <w:rFonts w:cs="Arial"/>
          <w:color w:val="auto"/>
          <w:sz w:val="22"/>
        </w:rPr>
        <w:t>Griffith University</w:t>
      </w:r>
      <w:r>
        <w:rPr>
          <w:rFonts w:cs="Arial"/>
          <w:color w:val="auto"/>
          <w:sz w:val="22"/>
        </w:rPr>
        <w:t xml:space="preserve"> Legislative Compliance Policy will be achieved, and </w:t>
      </w:r>
    </w:p>
    <w:p w14:paraId="2A4E4724" w14:textId="4FE5CCCD" w:rsidR="00F25D0A" w:rsidRPr="00F25D0A" w:rsidRDefault="00F25D0A" w:rsidP="00F25D0A">
      <w:pPr>
        <w:pStyle w:val="NormalWhite"/>
        <w:numPr>
          <w:ilvl w:val="0"/>
          <w:numId w:val="35"/>
        </w:numPr>
        <w:spacing w:before="120" w:after="120" w:line="240" w:lineRule="auto"/>
        <w:ind w:left="641" w:hanging="357"/>
        <w:jc w:val="left"/>
        <w:rPr>
          <w:rFonts w:cs="Arial"/>
          <w:sz w:val="22"/>
        </w:rPr>
      </w:pPr>
      <w:r w:rsidRPr="00F25D0A">
        <w:rPr>
          <w:rFonts w:cs="Arial"/>
          <w:color w:val="auto"/>
          <w:sz w:val="22"/>
        </w:rPr>
        <w:t xml:space="preserve">describes how the University will manage its compliance obligations through a risk-based approach integrated with the Enterprise Risk Management Framework. </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146028CE" w14:textId="2AE167E4" w:rsidR="00F25D0A" w:rsidRPr="004922AF" w:rsidRDefault="00F25D0A" w:rsidP="00E118E6">
      <w:pPr>
        <w:spacing w:before="120" w:after="120" w:line="240" w:lineRule="auto"/>
        <w:rPr>
          <w:rFonts w:ascii="Arial" w:eastAsia="Calibri" w:hAnsi="Arial" w:cs="Arial"/>
          <w:sz w:val="22"/>
        </w:rPr>
      </w:pPr>
      <w:r>
        <w:rPr>
          <w:rFonts w:ascii="Arial" w:hAnsi="Arial" w:cs="Arial"/>
          <w:sz w:val="22"/>
        </w:rPr>
        <w:t xml:space="preserve">This procedure applies to all areas of the University’s operations, including its staff, appointees of the University, its controlled entities, and to all activities authorised and conducted by or on behalf of the University. </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6261EA18" w14:textId="29C3E593" w:rsidR="00F25D0A" w:rsidRDefault="00F25D0A" w:rsidP="004922AF">
      <w:pPr>
        <w:pStyle w:val="NormalWhite"/>
        <w:spacing w:before="120" w:after="120" w:line="240" w:lineRule="auto"/>
        <w:jc w:val="left"/>
        <w:rPr>
          <w:rFonts w:cs="Arial"/>
          <w:color w:val="auto"/>
          <w:sz w:val="22"/>
        </w:rPr>
      </w:pPr>
      <w:r>
        <w:rPr>
          <w:rFonts w:cs="Arial"/>
          <w:color w:val="auto"/>
          <w:sz w:val="22"/>
        </w:rPr>
        <w:t xml:space="preserve">The diagram below shows how the Compliance Management Program employs a Prevent, Detect and Respond model, how ethical culture underpins all action, and provides a guide to navigate this document. </w:t>
      </w:r>
    </w:p>
    <w:p w14:paraId="41EC7CCC" w14:textId="4EB7A1C4" w:rsidR="00987992" w:rsidRDefault="00987992" w:rsidP="004922AF">
      <w:pPr>
        <w:pStyle w:val="NormalWhite"/>
        <w:spacing w:before="120" w:after="120" w:line="240" w:lineRule="auto"/>
        <w:jc w:val="left"/>
        <w:rPr>
          <w:rFonts w:cs="Arial"/>
          <w:color w:val="auto"/>
          <w:sz w:val="22"/>
        </w:rPr>
      </w:pPr>
      <w:r w:rsidRPr="00413659">
        <w:rPr>
          <w:noProof/>
        </w:rPr>
        <w:drawing>
          <wp:inline distT="0" distB="0" distL="0" distR="0" wp14:anchorId="75C5B298" wp14:editId="54E14722">
            <wp:extent cx="6522544" cy="27432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a:stretch>
                      <a:fillRect/>
                    </a:stretch>
                  </pic:blipFill>
                  <pic:spPr>
                    <a:xfrm>
                      <a:off x="0" y="0"/>
                      <a:ext cx="6528799" cy="2745831"/>
                    </a:xfrm>
                    <a:prstGeom prst="rect">
                      <a:avLst/>
                    </a:prstGeom>
                  </pic:spPr>
                </pic:pic>
              </a:graphicData>
            </a:graphic>
          </wp:inline>
        </w:drawing>
      </w:r>
    </w:p>
    <w:p w14:paraId="1A9FCCA8" w14:textId="77777777" w:rsidR="00987992" w:rsidRDefault="00987992" w:rsidP="004922AF">
      <w:pPr>
        <w:pStyle w:val="NormalWhite"/>
        <w:spacing w:before="120" w:after="120" w:line="240" w:lineRule="auto"/>
        <w:jc w:val="left"/>
        <w:rPr>
          <w:rFonts w:cs="Arial"/>
          <w:color w:val="auto"/>
          <w:sz w:val="22"/>
        </w:rPr>
      </w:pPr>
    </w:p>
    <w:p w14:paraId="32E973E9" w14:textId="77777777" w:rsidR="00987992" w:rsidRDefault="00987992" w:rsidP="004922AF">
      <w:pPr>
        <w:pStyle w:val="NormalWhite"/>
        <w:spacing w:before="120" w:after="120" w:line="240" w:lineRule="auto"/>
        <w:jc w:val="left"/>
        <w:rPr>
          <w:rFonts w:cs="Arial"/>
          <w:color w:val="auto"/>
          <w:sz w:val="22"/>
        </w:rPr>
      </w:pPr>
    </w:p>
    <w:p w14:paraId="2EF8516F" w14:textId="0B6DF55E" w:rsidR="00987992" w:rsidRDefault="00987992" w:rsidP="004922AF">
      <w:pPr>
        <w:pStyle w:val="NormalWhite"/>
        <w:spacing w:before="120" w:after="120" w:line="240" w:lineRule="auto"/>
        <w:jc w:val="left"/>
        <w:rPr>
          <w:rFonts w:cs="Arial"/>
          <w:color w:val="auto"/>
          <w:sz w:val="22"/>
        </w:rPr>
      </w:pPr>
      <w:r>
        <w:rPr>
          <w:rFonts w:cs="Arial"/>
          <w:color w:val="auto"/>
          <w:sz w:val="22"/>
        </w:rPr>
        <w:lastRenderedPageBreak/>
        <w:t xml:space="preserve">In brief, the key process is as follows: </w:t>
      </w:r>
    </w:p>
    <w:p w14:paraId="5E1A82BF" w14:textId="25E204C7" w:rsidR="00987992" w:rsidRDefault="004E7999" w:rsidP="004922AF">
      <w:pPr>
        <w:pStyle w:val="NormalWhite"/>
        <w:spacing w:before="120" w:after="120" w:line="240" w:lineRule="auto"/>
        <w:jc w:val="left"/>
        <w:rPr>
          <w:rFonts w:cs="Arial"/>
          <w:color w:val="auto"/>
          <w:sz w:val="22"/>
        </w:rPr>
      </w:pPr>
      <w:r w:rsidRPr="00C00F2B">
        <w:rPr>
          <w:rFonts w:cs="Arial"/>
          <w:noProof/>
        </w:rPr>
        <w:drawing>
          <wp:inline distT="0" distB="0" distL="0" distR="0" wp14:anchorId="6ADE0CF3" wp14:editId="63A3AB21">
            <wp:extent cx="6259830" cy="2609215"/>
            <wp:effectExtent l="0" t="0" r="7620" b="635"/>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1"/>
                    <a:stretch>
                      <a:fillRect/>
                    </a:stretch>
                  </pic:blipFill>
                  <pic:spPr>
                    <a:xfrm>
                      <a:off x="0" y="0"/>
                      <a:ext cx="6259830" cy="2609215"/>
                    </a:xfrm>
                    <a:prstGeom prst="rect">
                      <a:avLst/>
                    </a:prstGeom>
                  </pic:spPr>
                </pic:pic>
              </a:graphicData>
            </a:graphic>
          </wp:inline>
        </w:drawing>
      </w:r>
    </w:p>
    <w:p w14:paraId="301FA844" w14:textId="5C2C1A43" w:rsidR="00A144B2" w:rsidRDefault="00A144B2" w:rsidP="001520D3">
      <w:pPr>
        <w:pStyle w:val="Heading3"/>
        <w:ind w:left="567"/>
        <w:rPr>
          <w:rFonts w:ascii="Griffith Sans Text" w:hAnsi="Griffith Sans Text"/>
        </w:rPr>
      </w:pPr>
      <w:bookmarkStart w:id="4" w:name="_3.1_[Insert_sub-heading]"/>
      <w:bookmarkEnd w:id="4"/>
      <w:r w:rsidRPr="001520D3">
        <w:rPr>
          <w:rFonts w:ascii="Griffith Sans Text" w:hAnsi="Griffith Sans Text"/>
        </w:rPr>
        <w:t xml:space="preserve">3.1 </w:t>
      </w:r>
      <w:r w:rsidR="004E7999">
        <w:rPr>
          <w:rFonts w:ascii="Griffith Sans Text" w:hAnsi="Griffith Sans Text"/>
        </w:rPr>
        <w:t>Identify and Communicate Obligations</w:t>
      </w:r>
    </w:p>
    <w:p w14:paraId="23A942CA" w14:textId="229A88DE" w:rsidR="0059325A" w:rsidRDefault="002456C3" w:rsidP="00E118E6">
      <w:pPr>
        <w:spacing w:before="120" w:after="120" w:line="240" w:lineRule="auto"/>
        <w:ind w:left="567"/>
        <w:rPr>
          <w:rFonts w:ascii="Arial" w:hAnsi="Arial" w:cs="Arial"/>
          <w:sz w:val="22"/>
        </w:rPr>
      </w:pPr>
      <w:r>
        <w:rPr>
          <w:rFonts w:ascii="Arial" w:hAnsi="Arial" w:cs="Arial"/>
          <w:sz w:val="22"/>
        </w:rPr>
        <w:t xml:space="preserve">All identified legislative compliance obligations that are applicable to </w:t>
      </w:r>
      <w:r w:rsidRPr="002456C3">
        <w:rPr>
          <w:rFonts w:ascii="Arial" w:hAnsi="Arial" w:cs="Arial"/>
          <w:sz w:val="22"/>
        </w:rPr>
        <w:t>Griffith University</w:t>
      </w:r>
      <w:r>
        <w:rPr>
          <w:rFonts w:ascii="Arial" w:hAnsi="Arial" w:cs="Arial"/>
          <w:sz w:val="22"/>
        </w:rPr>
        <w:t xml:space="preserve"> must be captured in the Register of Compliance Obligations (ROCO). The ROCO will capture:</w:t>
      </w:r>
    </w:p>
    <w:p w14:paraId="595DC5AE" w14:textId="55437E79" w:rsidR="000760A1" w:rsidRDefault="002456C3" w:rsidP="004922A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 xml:space="preserve">the title of the Compliance Obligation (usually an Act, </w:t>
      </w:r>
      <w:proofErr w:type="gramStart"/>
      <w:r>
        <w:rPr>
          <w:rFonts w:cs="Arial"/>
          <w:color w:val="auto"/>
          <w:sz w:val="22"/>
        </w:rPr>
        <w:t>Regulation</w:t>
      </w:r>
      <w:proofErr w:type="gramEnd"/>
      <w:r>
        <w:rPr>
          <w:rFonts w:cs="Arial"/>
          <w:color w:val="auto"/>
          <w:sz w:val="22"/>
        </w:rPr>
        <w:t xml:space="preserve"> or associated Policy).</w:t>
      </w:r>
    </w:p>
    <w:p w14:paraId="562E46BB" w14:textId="3532469D" w:rsidR="002456C3" w:rsidRDefault="002456C3" w:rsidP="004922A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the jurisdiction (usually Queensland or the Commonwealth).</w:t>
      </w:r>
    </w:p>
    <w:p w14:paraId="792E2028" w14:textId="41150CAD" w:rsidR="002456C3" w:rsidRDefault="002456C3" w:rsidP="004922A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 xml:space="preserve">the objective/s of the legislative compliance obligation. </w:t>
      </w:r>
    </w:p>
    <w:p w14:paraId="4F1241FB" w14:textId="768AC962" w:rsidR="002456C3" w:rsidRDefault="002456C3" w:rsidP="004922A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a summary of the requirements within the compliance obligations relevant to the University.</w:t>
      </w:r>
    </w:p>
    <w:p w14:paraId="2FC90B40" w14:textId="5F0256E7" w:rsidR="002456C3" w:rsidRDefault="002456C3" w:rsidP="004922A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 xml:space="preserve">the regulator who is responsible for enforcing the compliance obligations. </w:t>
      </w:r>
    </w:p>
    <w:p w14:paraId="7BB1A94A" w14:textId="77777777" w:rsidR="002456C3" w:rsidRDefault="002456C3" w:rsidP="004922A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 xml:space="preserve">where staff can find more information about the compliance obligations. </w:t>
      </w:r>
    </w:p>
    <w:p w14:paraId="089E93D7" w14:textId="3692EE41" w:rsidR="00E118E6" w:rsidRPr="00E118E6" w:rsidRDefault="002456C3" w:rsidP="00E118E6">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 xml:space="preserve">the tier that the compliance obligation is classified into. </w:t>
      </w:r>
    </w:p>
    <w:p w14:paraId="074DE062" w14:textId="0F569BAA" w:rsidR="002456C3" w:rsidRDefault="00E118E6" w:rsidP="00E118E6">
      <w:pPr>
        <w:pStyle w:val="NormalWhite"/>
        <w:spacing w:before="120" w:after="120" w:line="240" w:lineRule="auto"/>
        <w:ind w:left="567"/>
        <w:jc w:val="left"/>
        <w:rPr>
          <w:rFonts w:cs="Arial"/>
          <w:color w:val="auto"/>
          <w:kern w:val="2"/>
          <w:sz w:val="22"/>
        </w:rPr>
      </w:pPr>
      <w:r w:rsidRPr="00E118E6">
        <w:rPr>
          <w:rFonts w:cs="Arial"/>
          <w:color w:val="auto"/>
          <w:kern w:val="2"/>
          <w:sz w:val="22"/>
        </w:rPr>
        <w:t xml:space="preserve">The ROCO, </w:t>
      </w:r>
      <w:r w:rsidRPr="00E118E6">
        <w:rPr>
          <w:rFonts w:cs="Arial"/>
          <w:color w:val="auto"/>
          <w:kern w:val="2"/>
          <w:sz w:val="22"/>
        </w:rPr>
        <w:t>as well as other relevant compliance documents and materials, will be made available to all staff through the Griffith University Compliance Intranet page.</w:t>
      </w:r>
    </w:p>
    <w:p w14:paraId="48F6D3D4" w14:textId="77777777" w:rsidR="00E118E6" w:rsidRDefault="00E118E6" w:rsidP="00E118E6">
      <w:pPr>
        <w:pStyle w:val="NormalWhite"/>
        <w:spacing w:before="120" w:after="120" w:line="240" w:lineRule="auto"/>
        <w:ind w:left="567"/>
        <w:jc w:val="left"/>
        <w:rPr>
          <w:rFonts w:cs="Arial"/>
          <w:color w:val="auto"/>
          <w:kern w:val="2"/>
          <w:sz w:val="22"/>
        </w:rPr>
      </w:pPr>
    </w:p>
    <w:p w14:paraId="0B134C9B" w14:textId="3A76D50A" w:rsidR="00E118E6" w:rsidRPr="00E118E6" w:rsidRDefault="00E118E6" w:rsidP="00E118E6">
      <w:pPr>
        <w:pStyle w:val="NormalWhite"/>
        <w:spacing w:before="120" w:after="120" w:line="240" w:lineRule="auto"/>
        <w:ind w:left="567"/>
        <w:jc w:val="left"/>
        <w:rPr>
          <w:rFonts w:cs="Arial"/>
          <w:b/>
          <w:bCs/>
          <w:color w:val="auto"/>
          <w:kern w:val="2"/>
          <w:sz w:val="22"/>
          <w:u w:val="single"/>
        </w:rPr>
      </w:pPr>
      <w:r w:rsidRPr="00E118E6">
        <w:rPr>
          <w:rFonts w:cs="Arial"/>
          <w:b/>
          <w:bCs/>
          <w:color w:val="auto"/>
          <w:kern w:val="2"/>
          <w:sz w:val="22"/>
          <w:u w:val="single"/>
        </w:rPr>
        <w:t>Classification of Obligation by Tiers</w:t>
      </w:r>
    </w:p>
    <w:p w14:paraId="47F6B53B" w14:textId="313ED51B" w:rsidR="005B4915" w:rsidRDefault="005B4915" w:rsidP="005B4915">
      <w:pPr>
        <w:pStyle w:val="NormalWhite"/>
        <w:spacing w:before="120" w:after="120" w:line="240" w:lineRule="auto"/>
        <w:ind w:left="567"/>
        <w:jc w:val="left"/>
        <w:rPr>
          <w:rFonts w:cs="Arial"/>
          <w:color w:val="auto"/>
          <w:kern w:val="2"/>
          <w:sz w:val="22"/>
        </w:rPr>
      </w:pPr>
      <w:r>
        <w:rPr>
          <w:rFonts w:cs="Arial"/>
          <w:color w:val="auto"/>
          <w:kern w:val="2"/>
          <w:sz w:val="22"/>
        </w:rPr>
        <w:t xml:space="preserve">As a </w:t>
      </w:r>
      <w:r w:rsidRPr="005B4915">
        <w:rPr>
          <w:rFonts w:cs="Arial"/>
          <w:color w:val="auto"/>
          <w:kern w:val="2"/>
          <w:sz w:val="22"/>
        </w:rPr>
        <w:t>higher education provider with diverse operations and fields of research, Griffith University has a large and complex body of legislation that it must comply with. The application and implications of legislative compliance obligations will vary significantly, for example:</w:t>
      </w:r>
    </w:p>
    <w:p w14:paraId="7E1258FC" w14:textId="5D9707FB" w:rsidR="005B4915" w:rsidRDefault="005B4915" w:rsidP="005B4915">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 xml:space="preserve">Applying </w:t>
      </w:r>
      <w:r w:rsidRPr="005B4915">
        <w:rPr>
          <w:rFonts w:cs="Arial"/>
          <w:color w:val="auto"/>
          <w:sz w:val="22"/>
        </w:rPr>
        <w:t>to the University due to the nature of its legal entity, or due to the nature of its specific operations</w:t>
      </w:r>
      <w:r>
        <w:rPr>
          <w:rFonts w:cs="Arial"/>
          <w:color w:val="auto"/>
          <w:sz w:val="22"/>
        </w:rPr>
        <w:t>.</w:t>
      </w:r>
    </w:p>
    <w:p w14:paraId="1D86E51C" w14:textId="17BE0345" w:rsidR="005B4915" w:rsidRPr="005B4915" w:rsidRDefault="005B4915" w:rsidP="005B4915">
      <w:pPr>
        <w:pStyle w:val="NormalWhite"/>
        <w:numPr>
          <w:ilvl w:val="0"/>
          <w:numId w:val="30"/>
        </w:numPr>
        <w:spacing w:before="120" w:after="120" w:line="240" w:lineRule="auto"/>
        <w:ind w:left="924" w:hanging="357"/>
        <w:jc w:val="left"/>
        <w:rPr>
          <w:rFonts w:cs="Arial"/>
          <w:color w:val="auto"/>
          <w:sz w:val="22"/>
        </w:rPr>
      </w:pPr>
      <w:r w:rsidRPr="005B4915">
        <w:rPr>
          <w:rFonts w:cs="Arial"/>
          <w:color w:val="auto"/>
          <w:sz w:val="22"/>
        </w:rPr>
        <w:t>Having widespread implications for all areas of the University, or only affecting a specific Elemen</w:t>
      </w:r>
      <w:r>
        <w:rPr>
          <w:rFonts w:cs="Arial"/>
          <w:color w:val="auto"/>
          <w:sz w:val="22"/>
        </w:rPr>
        <w:t>t.</w:t>
      </w:r>
    </w:p>
    <w:p w14:paraId="572E9479" w14:textId="77777777" w:rsidR="005B4915" w:rsidRDefault="005B4915" w:rsidP="005B4915">
      <w:pPr>
        <w:pStyle w:val="NormalWhite"/>
        <w:numPr>
          <w:ilvl w:val="0"/>
          <w:numId w:val="30"/>
        </w:numPr>
        <w:spacing w:before="120" w:after="120" w:line="240" w:lineRule="auto"/>
        <w:ind w:left="924" w:hanging="357"/>
        <w:jc w:val="left"/>
        <w:rPr>
          <w:rFonts w:cs="Arial"/>
          <w:color w:val="auto"/>
          <w:sz w:val="22"/>
        </w:rPr>
      </w:pPr>
      <w:r w:rsidRPr="005B4915">
        <w:rPr>
          <w:rFonts w:cs="Arial"/>
          <w:color w:val="auto"/>
          <w:sz w:val="22"/>
        </w:rPr>
        <w:t>The consequences of breaching compliance obligations may be severe for the University, or may be relatively minor, depending on the circumstances of each breach and the legislation governing it.</w:t>
      </w:r>
    </w:p>
    <w:p w14:paraId="73A36752" w14:textId="6017A556" w:rsidR="005B4915" w:rsidRDefault="005B4915" w:rsidP="005B4915">
      <w:pPr>
        <w:pStyle w:val="NormalWhite"/>
        <w:spacing w:before="120" w:after="120" w:line="240" w:lineRule="auto"/>
        <w:ind w:left="567"/>
        <w:jc w:val="left"/>
        <w:rPr>
          <w:rFonts w:cs="Arial"/>
          <w:color w:val="auto"/>
          <w:sz w:val="22"/>
        </w:rPr>
      </w:pPr>
      <w:r w:rsidRPr="005B4915">
        <w:rPr>
          <w:rFonts w:cs="Arial"/>
          <w:color w:val="auto"/>
          <w:sz w:val="22"/>
        </w:rPr>
        <w:t xml:space="preserve">Accordingly, legislative compliance obligations are classified into a set of Tiers as described by Table 1. The purpose of this classification is to prioritise and focus the assurance provided by the </w:t>
      </w:r>
      <w:r w:rsidRPr="005B4915">
        <w:rPr>
          <w:rFonts w:cs="Arial"/>
          <w:color w:val="auto"/>
          <w:sz w:val="22"/>
        </w:rPr>
        <w:lastRenderedPageBreak/>
        <w:t>Compliance Management Program using a high-level assessment of the consequences of breaching an obligation.</w:t>
      </w:r>
    </w:p>
    <w:p w14:paraId="6C489FA7" w14:textId="41727C5A" w:rsidR="00EC59A7" w:rsidRPr="001076F2" w:rsidRDefault="00EC59A7" w:rsidP="005B4915">
      <w:pPr>
        <w:pStyle w:val="NormalWhite"/>
        <w:spacing w:before="120" w:after="120" w:line="240" w:lineRule="auto"/>
        <w:ind w:left="567"/>
        <w:jc w:val="left"/>
        <w:rPr>
          <w:rFonts w:cs="Arial"/>
          <w:b/>
          <w:bCs/>
          <w:color w:val="auto"/>
          <w:sz w:val="22"/>
        </w:rPr>
      </w:pPr>
      <w:r w:rsidRPr="001076F2">
        <w:rPr>
          <w:rFonts w:cs="Arial"/>
          <w:b/>
          <w:bCs/>
          <w:color w:val="auto"/>
          <w:sz w:val="22"/>
        </w:rPr>
        <w:t>Table 1 – Tier Classifications</w:t>
      </w:r>
    </w:p>
    <w:tbl>
      <w:tblPr>
        <w:tblStyle w:val="TableGrid"/>
        <w:tblW w:w="0" w:type="auto"/>
        <w:tblLook w:val="04A0" w:firstRow="1" w:lastRow="0" w:firstColumn="1" w:lastColumn="0" w:noHBand="0" w:noVBand="1"/>
      </w:tblPr>
      <w:tblGrid>
        <w:gridCol w:w="993"/>
        <w:gridCol w:w="9543"/>
      </w:tblGrid>
      <w:tr w:rsidR="00F9164B" w14:paraId="72B0A71E" w14:textId="77777777" w:rsidTr="00D66E46">
        <w:trPr>
          <w:trHeight w:val="566"/>
        </w:trPr>
        <w:tc>
          <w:tcPr>
            <w:tcW w:w="993" w:type="dxa"/>
            <w:shd w:val="clear" w:color="auto" w:fill="595959" w:themeFill="text1" w:themeFillTint="A6"/>
          </w:tcPr>
          <w:p w14:paraId="28929EE5" w14:textId="77777777" w:rsidR="00F9164B" w:rsidRPr="00F9164B" w:rsidRDefault="00F9164B" w:rsidP="004627D8">
            <w:pPr>
              <w:spacing w:before="120" w:after="120"/>
              <w:rPr>
                <w:rFonts w:ascii="Arial" w:hAnsi="Arial" w:cs="Arial"/>
                <w:b/>
                <w:bCs/>
                <w:color w:val="FFFFFF" w:themeColor="background1"/>
                <w:sz w:val="22"/>
              </w:rPr>
            </w:pPr>
            <w:r w:rsidRPr="00F9164B">
              <w:rPr>
                <w:rFonts w:ascii="Arial" w:hAnsi="Arial" w:cs="Arial"/>
                <w:b/>
                <w:bCs/>
                <w:color w:val="FFFFFF" w:themeColor="background1"/>
                <w:sz w:val="22"/>
              </w:rPr>
              <w:t>TIER</w:t>
            </w:r>
          </w:p>
        </w:tc>
        <w:tc>
          <w:tcPr>
            <w:tcW w:w="9553" w:type="dxa"/>
            <w:shd w:val="clear" w:color="auto" w:fill="595959" w:themeFill="text1" w:themeFillTint="A6"/>
          </w:tcPr>
          <w:p w14:paraId="1BE67203" w14:textId="77777777" w:rsidR="00F9164B" w:rsidRPr="00F9164B" w:rsidRDefault="00F9164B" w:rsidP="004627D8">
            <w:pPr>
              <w:spacing w:before="120" w:after="120"/>
              <w:rPr>
                <w:rFonts w:ascii="Arial" w:hAnsi="Arial" w:cs="Arial"/>
                <w:sz w:val="22"/>
              </w:rPr>
            </w:pPr>
            <w:r w:rsidRPr="00F9164B">
              <w:rPr>
                <w:rFonts w:ascii="Arial" w:hAnsi="Arial" w:cs="Arial"/>
                <w:b/>
                <w:bCs/>
                <w:color w:val="FFFFFF" w:themeColor="background1"/>
                <w:sz w:val="22"/>
              </w:rPr>
              <w:t>CRITERIA</w:t>
            </w:r>
          </w:p>
        </w:tc>
      </w:tr>
      <w:tr w:rsidR="00F9164B" w14:paraId="58D18369" w14:textId="77777777" w:rsidTr="00D66E46">
        <w:trPr>
          <w:trHeight w:val="626"/>
        </w:trPr>
        <w:tc>
          <w:tcPr>
            <w:tcW w:w="993" w:type="dxa"/>
          </w:tcPr>
          <w:p w14:paraId="7E08156B" w14:textId="77777777" w:rsidR="00F9164B" w:rsidRPr="00F9164B" w:rsidRDefault="00F9164B" w:rsidP="004627D8">
            <w:pPr>
              <w:spacing w:before="120" w:after="120"/>
              <w:rPr>
                <w:rFonts w:ascii="Arial" w:hAnsi="Arial" w:cs="Arial"/>
                <w:sz w:val="22"/>
              </w:rPr>
            </w:pPr>
            <w:r w:rsidRPr="00F9164B">
              <w:rPr>
                <w:rFonts w:ascii="Arial" w:hAnsi="Arial" w:cs="Arial"/>
                <w:sz w:val="22"/>
              </w:rPr>
              <w:t>Tier 1</w:t>
            </w:r>
          </w:p>
        </w:tc>
        <w:tc>
          <w:tcPr>
            <w:tcW w:w="9553" w:type="dxa"/>
          </w:tcPr>
          <w:p w14:paraId="172A9CE4" w14:textId="77777777" w:rsidR="00F9164B" w:rsidRPr="00F9164B" w:rsidRDefault="00F9164B" w:rsidP="004627D8">
            <w:pPr>
              <w:spacing w:before="120" w:after="120"/>
              <w:rPr>
                <w:rFonts w:ascii="Arial" w:hAnsi="Arial" w:cs="Arial"/>
                <w:sz w:val="22"/>
              </w:rPr>
            </w:pPr>
            <w:r w:rsidRPr="00F9164B">
              <w:rPr>
                <w:rFonts w:ascii="Arial" w:hAnsi="Arial" w:cs="Arial"/>
                <w:sz w:val="22"/>
              </w:rPr>
              <w:t>University-wide compliance obligation with potential for breaches to have Major or above consequences</w:t>
            </w:r>
          </w:p>
        </w:tc>
      </w:tr>
      <w:tr w:rsidR="00F9164B" w14:paraId="3D2F0C8B" w14:textId="77777777" w:rsidTr="00D66E46">
        <w:trPr>
          <w:trHeight w:val="626"/>
        </w:trPr>
        <w:tc>
          <w:tcPr>
            <w:tcW w:w="993" w:type="dxa"/>
            <w:shd w:val="clear" w:color="auto" w:fill="E6E7E8"/>
          </w:tcPr>
          <w:p w14:paraId="78AB2FE7" w14:textId="77777777" w:rsidR="00F9164B" w:rsidRPr="00F9164B" w:rsidRDefault="00F9164B" w:rsidP="004627D8">
            <w:pPr>
              <w:spacing w:before="120" w:after="120"/>
              <w:rPr>
                <w:rFonts w:ascii="Arial" w:hAnsi="Arial" w:cs="Arial"/>
                <w:sz w:val="22"/>
              </w:rPr>
            </w:pPr>
            <w:r w:rsidRPr="00F9164B">
              <w:rPr>
                <w:rFonts w:ascii="Arial" w:hAnsi="Arial" w:cs="Arial"/>
                <w:sz w:val="22"/>
              </w:rPr>
              <w:t>Tier 2</w:t>
            </w:r>
          </w:p>
        </w:tc>
        <w:tc>
          <w:tcPr>
            <w:tcW w:w="9553" w:type="dxa"/>
            <w:shd w:val="clear" w:color="auto" w:fill="E6E7E8"/>
          </w:tcPr>
          <w:p w14:paraId="5A59AC2C" w14:textId="77777777" w:rsidR="00F9164B" w:rsidRPr="00F9164B" w:rsidRDefault="00F9164B" w:rsidP="004627D8">
            <w:pPr>
              <w:spacing w:before="120" w:after="120"/>
              <w:rPr>
                <w:rFonts w:ascii="Arial" w:hAnsi="Arial" w:cs="Arial"/>
                <w:sz w:val="22"/>
              </w:rPr>
            </w:pPr>
            <w:r w:rsidRPr="00F9164B">
              <w:rPr>
                <w:rFonts w:ascii="Arial" w:hAnsi="Arial" w:cs="Arial"/>
                <w:sz w:val="22"/>
              </w:rPr>
              <w:t>Compliance obligations relevant to specific University Element/s with potential for breaches to have Major or above consequences.</w:t>
            </w:r>
          </w:p>
        </w:tc>
      </w:tr>
      <w:tr w:rsidR="00F9164B" w14:paraId="24A63CFD" w14:textId="77777777" w:rsidTr="00D66E46">
        <w:trPr>
          <w:trHeight w:val="626"/>
        </w:trPr>
        <w:tc>
          <w:tcPr>
            <w:tcW w:w="993" w:type="dxa"/>
            <w:shd w:val="clear" w:color="auto" w:fill="FFFFFF" w:themeFill="background1"/>
          </w:tcPr>
          <w:p w14:paraId="5101144D" w14:textId="77777777" w:rsidR="00F9164B" w:rsidRPr="00F9164B" w:rsidRDefault="00F9164B" w:rsidP="004627D8">
            <w:pPr>
              <w:spacing w:before="120" w:after="120"/>
              <w:rPr>
                <w:rFonts w:ascii="Arial" w:hAnsi="Arial" w:cs="Arial"/>
                <w:sz w:val="22"/>
              </w:rPr>
            </w:pPr>
            <w:r w:rsidRPr="00F9164B">
              <w:rPr>
                <w:rFonts w:ascii="Arial" w:hAnsi="Arial" w:cs="Arial"/>
                <w:sz w:val="22"/>
              </w:rPr>
              <w:t>Tier 3</w:t>
            </w:r>
          </w:p>
        </w:tc>
        <w:tc>
          <w:tcPr>
            <w:tcW w:w="9553" w:type="dxa"/>
            <w:shd w:val="clear" w:color="auto" w:fill="FFFFFF" w:themeFill="background1"/>
          </w:tcPr>
          <w:p w14:paraId="3174A5B7" w14:textId="77777777" w:rsidR="00F9164B" w:rsidRPr="00F9164B" w:rsidRDefault="00F9164B" w:rsidP="004627D8">
            <w:pPr>
              <w:spacing w:before="120" w:after="120"/>
              <w:rPr>
                <w:rFonts w:ascii="Arial" w:hAnsi="Arial" w:cs="Arial"/>
                <w:sz w:val="22"/>
              </w:rPr>
            </w:pPr>
            <w:r w:rsidRPr="00F9164B">
              <w:rPr>
                <w:rFonts w:ascii="Arial" w:hAnsi="Arial" w:cs="Arial"/>
                <w:sz w:val="22"/>
              </w:rPr>
              <w:t>University-wide obligation:</w:t>
            </w:r>
          </w:p>
          <w:p w14:paraId="63062BDB" w14:textId="77777777" w:rsidR="00F9164B" w:rsidRPr="00F9164B" w:rsidRDefault="00F9164B" w:rsidP="00F9164B">
            <w:pPr>
              <w:pStyle w:val="ListParagraph"/>
              <w:numPr>
                <w:ilvl w:val="0"/>
                <w:numId w:val="37"/>
              </w:numPr>
              <w:spacing w:before="120" w:after="120"/>
              <w:contextualSpacing/>
              <w:rPr>
                <w:rFonts w:ascii="Arial" w:hAnsi="Arial" w:cs="Arial"/>
                <w:sz w:val="22"/>
              </w:rPr>
            </w:pPr>
            <w:r w:rsidRPr="00F9164B">
              <w:rPr>
                <w:rFonts w:ascii="Arial" w:hAnsi="Arial" w:cs="Arial"/>
                <w:sz w:val="22"/>
              </w:rPr>
              <w:t>with potential for breaches to have Minor to Moderate consequences, or</w:t>
            </w:r>
          </w:p>
          <w:p w14:paraId="7ECD4A3F" w14:textId="77777777" w:rsidR="00F9164B" w:rsidRPr="00F9164B" w:rsidRDefault="00F9164B" w:rsidP="00F9164B">
            <w:pPr>
              <w:pStyle w:val="ListParagraph"/>
              <w:numPr>
                <w:ilvl w:val="0"/>
                <w:numId w:val="37"/>
              </w:numPr>
              <w:spacing w:before="120" w:after="120"/>
              <w:contextualSpacing/>
              <w:rPr>
                <w:rFonts w:ascii="Arial" w:hAnsi="Arial" w:cs="Arial"/>
                <w:sz w:val="22"/>
              </w:rPr>
            </w:pPr>
            <w:r w:rsidRPr="00F9164B">
              <w:rPr>
                <w:rFonts w:ascii="Arial" w:hAnsi="Arial" w:cs="Arial"/>
                <w:sz w:val="22"/>
              </w:rPr>
              <w:t>that is relevant to the University and may need to be considered in identifying and assessing compliance risk.</w:t>
            </w:r>
          </w:p>
        </w:tc>
      </w:tr>
      <w:tr w:rsidR="00F9164B" w14:paraId="5326ABE6" w14:textId="77777777" w:rsidTr="00D66E46">
        <w:trPr>
          <w:trHeight w:val="626"/>
        </w:trPr>
        <w:tc>
          <w:tcPr>
            <w:tcW w:w="993" w:type="dxa"/>
            <w:shd w:val="clear" w:color="auto" w:fill="E6E7E8"/>
          </w:tcPr>
          <w:p w14:paraId="187E712E" w14:textId="77777777" w:rsidR="00F9164B" w:rsidRPr="00F9164B" w:rsidRDefault="00F9164B" w:rsidP="004627D8">
            <w:pPr>
              <w:spacing w:before="120" w:after="120"/>
              <w:rPr>
                <w:rFonts w:ascii="Arial" w:hAnsi="Arial" w:cs="Arial"/>
                <w:sz w:val="22"/>
              </w:rPr>
            </w:pPr>
            <w:r w:rsidRPr="00F9164B">
              <w:rPr>
                <w:rFonts w:ascii="Arial" w:hAnsi="Arial" w:cs="Arial"/>
                <w:sz w:val="22"/>
              </w:rPr>
              <w:t>Tier 4</w:t>
            </w:r>
          </w:p>
        </w:tc>
        <w:tc>
          <w:tcPr>
            <w:tcW w:w="9553" w:type="dxa"/>
            <w:shd w:val="clear" w:color="auto" w:fill="E6E7E8"/>
          </w:tcPr>
          <w:p w14:paraId="45C8BF30" w14:textId="77777777" w:rsidR="00F9164B" w:rsidRPr="00F9164B" w:rsidRDefault="00F9164B" w:rsidP="004627D8">
            <w:pPr>
              <w:spacing w:before="120" w:after="120"/>
              <w:rPr>
                <w:rFonts w:ascii="Arial" w:hAnsi="Arial" w:cs="Arial"/>
                <w:sz w:val="22"/>
              </w:rPr>
            </w:pPr>
            <w:r w:rsidRPr="00F9164B">
              <w:rPr>
                <w:rFonts w:ascii="Arial" w:hAnsi="Arial" w:cs="Arial"/>
                <w:sz w:val="22"/>
              </w:rPr>
              <w:t>Compliance obligations relevant to specific University Element/s:</w:t>
            </w:r>
          </w:p>
          <w:p w14:paraId="415B673C" w14:textId="77777777" w:rsidR="00F9164B" w:rsidRPr="00F9164B" w:rsidRDefault="00F9164B" w:rsidP="00F9164B">
            <w:pPr>
              <w:pStyle w:val="ListParagraph"/>
              <w:numPr>
                <w:ilvl w:val="0"/>
                <w:numId w:val="37"/>
              </w:numPr>
              <w:spacing w:before="120" w:after="120"/>
              <w:contextualSpacing/>
              <w:rPr>
                <w:rFonts w:ascii="Arial" w:hAnsi="Arial" w:cs="Arial"/>
                <w:sz w:val="22"/>
              </w:rPr>
            </w:pPr>
            <w:r w:rsidRPr="00F9164B">
              <w:rPr>
                <w:rFonts w:ascii="Arial" w:hAnsi="Arial" w:cs="Arial"/>
                <w:sz w:val="22"/>
              </w:rPr>
              <w:t>with potential for breaches to have Minor to Moderate consequences, or</w:t>
            </w:r>
          </w:p>
          <w:p w14:paraId="6A94379F" w14:textId="77777777" w:rsidR="00F9164B" w:rsidRPr="00F9164B" w:rsidRDefault="00F9164B" w:rsidP="00F9164B">
            <w:pPr>
              <w:pStyle w:val="ListParagraph"/>
              <w:numPr>
                <w:ilvl w:val="0"/>
                <w:numId w:val="37"/>
              </w:numPr>
              <w:spacing w:before="120" w:after="120"/>
              <w:contextualSpacing/>
              <w:rPr>
                <w:rFonts w:ascii="Arial" w:hAnsi="Arial" w:cs="Arial"/>
                <w:sz w:val="22"/>
              </w:rPr>
            </w:pPr>
            <w:r w:rsidRPr="00F9164B">
              <w:rPr>
                <w:rFonts w:ascii="Arial" w:hAnsi="Arial" w:cs="Arial"/>
                <w:sz w:val="22"/>
              </w:rPr>
              <w:t>that is relevant to the University and may need to be considered in identifying and assessing compliance risk.</w:t>
            </w:r>
          </w:p>
        </w:tc>
      </w:tr>
    </w:tbl>
    <w:p w14:paraId="2E849516" w14:textId="0C55C068" w:rsidR="005B4915" w:rsidRDefault="00085D7B" w:rsidP="00085D7B">
      <w:pPr>
        <w:pStyle w:val="NormalWhite"/>
        <w:spacing w:before="120" w:after="120" w:line="240" w:lineRule="auto"/>
        <w:ind w:left="567"/>
        <w:jc w:val="left"/>
        <w:rPr>
          <w:rFonts w:cs="Arial"/>
          <w:color w:val="auto"/>
          <w:sz w:val="22"/>
        </w:rPr>
      </w:pPr>
      <w:r>
        <w:rPr>
          <w:rFonts w:cs="Arial"/>
          <w:color w:val="auto"/>
          <w:sz w:val="22"/>
        </w:rPr>
        <w:t>Note that:</w:t>
      </w:r>
    </w:p>
    <w:p w14:paraId="2E0029F1" w14:textId="77777777" w:rsidR="00241C1B" w:rsidRPr="00241C1B" w:rsidRDefault="00241C1B" w:rsidP="00241C1B">
      <w:pPr>
        <w:pStyle w:val="NormalWhite"/>
        <w:spacing w:before="120" w:after="120" w:line="240" w:lineRule="auto"/>
        <w:ind w:left="567"/>
        <w:jc w:val="left"/>
        <w:rPr>
          <w:rFonts w:cs="Arial"/>
          <w:color w:val="auto"/>
          <w:sz w:val="22"/>
        </w:rPr>
      </w:pPr>
      <w:r w:rsidRPr="00241C1B">
        <w:rPr>
          <w:rFonts w:cs="Arial"/>
          <w:b/>
          <w:bCs/>
          <w:color w:val="auto"/>
          <w:sz w:val="22"/>
        </w:rPr>
        <w:t>University-wide</w:t>
      </w:r>
      <w:r w:rsidRPr="00241C1B">
        <w:rPr>
          <w:rFonts w:cs="Arial"/>
          <w:color w:val="auto"/>
          <w:sz w:val="22"/>
        </w:rPr>
        <w:t xml:space="preserve"> means that the compliance obligation applies to the University because of its legal status and core functions, or because the University as an entity has committed to complying with a certain standard.</w:t>
      </w:r>
    </w:p>
    <w:p w14:paraId="5755BE7E" w14:textId="77777777" w:rsidR="00241C1B" w:rsidRPr="00241C1B" w:rsidRDefault="00241C1B" w:rsidP="00241C1B">
      <w:pPr>
        <w:pStyle w:val="NormalWhite"/>
        <w:spacing w:before="120" w:after="120" w:line="240" w:lineRule="auto"/>
        <w:ind w:left="567"/>
        <w:jc w:val="left"/>
        <w:rPr>
          <w:rFonts w:cs="Arial"/>
          <w:color w:val="auto"/>
          <w:sz w:val="22"/>
        </w:rPr>
      </w:pPr>
      <w:r w:rsidRPr="00241C1B">
        <w:rPr>
          <w:rFonts w:cs="Arial"/>
          <w:b/>
          <w:bCs/>
          <w:color w:val="auto"/>
          <w:sz w:val="22"/>
        </w:rPr>
        <w:t>Relevant to specific University Elements</w:t>
      </w:r>
      <w:r w:rsidRPr="00241C1B">
        <w:rPr>
          <w:rFonts w:cs="Arial"/>
          <w:color w:val="auto"/>
          <w:sz w:val="22"/>
        </w:rPr>
        <w:t xml:space="preserve"> means that the compliance obligation applies only because an Element/s within the University undertake certain operations and the compliance obligation would not otherwise apply. For example, owning and operating marine vessels to conduct scientific research attracting the application of marine safety laws to those operations.</w:t>
      </w:r>
    </w:p>
    <w:p w14:paraId="0F79CD9B" w14:textId="77777777" w:rsidR="00241C1B" w:rsidRPr="00241C1B" w:rsidRDefault="00241C1B" w:rsidP="00241C1B">
      <w:pPr>
        <w:pStyle w:val="NormalWhite"/>
        <w:spacing w:before="120" w:after="120" w:line="240" w:lineRule="auto"/>
        <w:ind w:left="567"/>
        <w:jc w:val="left"/>
        <w:rPr>
          <w:rFonts w:cs="Arial"/>
          <w:color w:val="auto"/>
          <w:sz w:val="22"/>
        </w:rPr>
      </w:pPr>
      <w:r w:rsidRPr="00241C1B">
        <w:rPr>
          <w:rFonts w:cs="Arial"/>
          <w:b/>
          <w:bCs/>
          <w:color w:val="auto"/>
          <w:sz w:val="22"/>
        </w:rPr>
        <w:t>Minor, Moderate and Major</w:t>
      </w:r>
      <w:r w:rsidRPr="00241C1B">
        <w:rPr>
          <w:rFonts w:cs="Arial"/>
          <w:color w:val="auto"/>
          <w:sz w:val="22"/>
        </w:rPr>
        <w:t xml:space="preserve"> are references to the consequence descriptors used in Griffith’s </w:t>
      </w:r>
      <w:hyperlink r:id="rId12" w:history="1">
        <w:r w:rsidRPr="00241C1B">
          <w:rPr>
            <w:color w:val="auto"/>
            <w:sz w:val="22"/>
          </w:rPr>
          <w:t>Enterprise Risk Management Framework.</w:t>
        </w:r>
      </w:hyperlink>
    </w:p>
    <w:p w14:paraId="4ED16104" w14:textId="538753EB" w:rsidR="00241C1B" w:rsidRPr="00241C1B" w:rsidRDefault="00241C1B" w:rsidP="00241C1B">
      <w:pPr>
        <w:pStyle w:val="NormalWhite"/>
        <w:spacing w:before="120" w:after="120" w:line="240" w:lineRule="auto"/>
        <w:ind w:left="567"/>
        <w:jc w:val="left"/>
        <w:rPr>
          <w:rFonts w:cs="Arial"/>
          <w:color w:val="auto"/>
          <w:sz w:val="22"/>
        </w:rPr>
      </w:pPr>
      <w:r w:rsidRPr="00241C1B">
        <w:rPr>
          <w:rFonts w:cs="Arial"/>
          <w:color w:val="auto"/>
          <w:sz w:val="22"/>
        </w:rPr>
        <w:t xml:space="preserve">The tiering classification of legislative compliance obligations is determined by the </w:t>
      </w:r>
      <w:r w:rsidR="000F1428">
        <w:rPr>
          <w:rFonts w:cs="Arial"/>
          <w:color w:val="auto"/>
          <w:sz w:val="22"/>
        </w:rPr>
        <w:t>c</w:t>
      </w:r>
      <w:r w:rsidRPr="00241C1B">
        <w:rPr>
          <w:rFonts w:cs="Arial"/>
          <w:color w:val="auto"/>
          <w:sz w:val="22"/>
        </w:rPr>
        <w:t xml:space="preserve">ompliance </w:t>
      </w:r>
      <w:r w:rsidR="000F1428">
        <w:rPr>
          <w:rFonts w:cs="Arial"/>
          <w:color w:val="auto"/>
          <w:sz w:val="22"/>
        </w:rPr>
        <w:t>f</w:t>
      </w:r>
      <w:r w:rsidRPr="00241C1B">
        <w:rPr>
          <w:rFonts w:cs="Arial"/>
          <w:color w:val="auto"/>
          <w:sz w:val="22"/>
        </w:rPr>
        <w:t xml:space="preserve">unction in consultation with key stakeholders and is approved by General Counsel. </w:t>
      </w:r>
    </w:p>
    <w:p w14:paraId="63D70B33" w14:textId="77777777" w:rsidR="00085D7B" w:rsidRDefault="00085D7B" w:rsidP="00085D7B">
      <w:pPr>
        <w:pStyle w:val="NormalWhite"/>
        <w:spacing w:before="120" w:after="120" w:line="240" w:lineRule="auto"/>
        <w:ind w:left="567"/>
        <w:jc w:val="left"/>
        <w:rPr>
          <w:rFonts w:cs="Arial"/>
          <w:color w:val="auto"/>
          <w:sz w:val="22"/>
        </w:rPr>
      </w:pPr>
    </w:p>
    <w:p w14:paraId="1FCEA399" w14:textId="29D4B208" w:rsidR="007526FF" w:rsidRDefault="007526FF" w:rsidP="00085D7B">
      <w:pPr>
        <w:pStyle w:val="NormalWhite"/>
        <w:spacing w:before="120" w:after="120" w:line="240" w:lineRule="auto"/>
        <w:ind w:left="567"/>
        <w:jc w:val="left"/>
        <w:rPr>
          <w:rFonts w:cs="Arial"/>
          <w:b/>
          <w:bCs/>
          <w:color w:val="auto"/>
          <w:sz w:val="22"/>
          <w:u w:val="single"/>
        </w:rPr>
      </w:pPr>
      <w:r w:rsidRPr="007526FF">
        <w:rPr>
          <w:rFonts w:cs="Arial"/>
          <w:b/>
          <w:bCs/>
          <w:color w:val="auto"/>
          <w:sz w:val="22"/>
          <w:u w:val="single"/>
        </w:rPr>
        <w:t>Updating the Register of Compliance Obligations</w:t>
      </w:r>
    </w:p>
    <w:p w14:paraId="543515F6" w14:textId="1EC2031C" w:rsidR="002D7967" w:rsidRDefault="002D7967" w:rsidP="00085D7B">
      <w:pPr>
        <w:pStyle w:val="NormalWhite"/>
        <w:spacing w:before="120" w:after="120" w:line="240" w:lineRule="auto"/>
        <w:ind w:left="567"/>
        <w:jc w:val="left"/>
        <w:rPr>
          <w:rFonts w:cs="Arial"/>
          <w:color w:val="auto"/>
          <w:sz w:val="22"/>
        </w:rPr>
      </w:pPr>
      <w:r w:rsidRPr="002D7967">
        <w:rPr>
          <w:rFonts w:cs="Arial"/>
          <w:color w:val="auto"/>
          <w:sz w:val="22"/>
        </w:rPr>
        <w:t xml:space="preserve">Keeping the ROCO comprehensive, accurate and up to date is the responsibility of the </w:t>
      </w:r>
      <w:r w:rsidR="000F1428">
        <w:rPr>
          <w:rFonts w:cs="Arial"/>
          <w:color w:val="auto"/>
          <w:sz w:val="22"/>
        </w:rPr>
        <w:t>c</w:t>
      </w:r>
      <w:r w:rsidRPr="002D7967">
        <w:rPr>
          <w:rFonts w:cs="Arial"/>
          <w:color w:val="auto"/>
          <w:sz w:val="22"/>
        </w:rPr>
        <w:t xml:space="preserve">ompliance </w:t>
      </w:r>
      <w:r w:rsidR="000F1428">
        <w:rPr>
          <w:rFonts w:cs="Arial"/>
          <w:color w:val="auto"/>
          <w:sz w:val="22"/>
        </w:rPr>
        <w:t>f</w:t>
      </w:r>
      <w:r w:rsidRPr="002D7967">
        <w:rPr>
          <w:rFonts w:cs="Arial"/>
          <w:color w:val="auto"/>
          <w:sz w:val="22"/>
        </w:rPr>
        <w:t>unction. A number of measures will be employed to ensure that developments in the legislative environment are captured in the ROCO</w:t>
      </w:r>
      <w:r w:rsidR="00774D85">
        <w:rPr>
          <w:rFonts w:cs="Arial"/>
          <w:color w:val="auto"/>
          <w:sz w:val="22"/>
        </w:rPr>
        <w:t xml:space="preserve">, for example: </w:t>
      </w:r>
    </w:p>
    <w:p w14:paraId="7D808278" w14:textId="52E796B5" w:rsidR="00774D85" w:rsidRPr="00774D85" w:rsidRDefault="00774D85" w:rsidP="00774D85">
      <w:pPr>
        <w:pStyle w:val="NormalWhite"/>
        <w:numPr>
          <w:ilvl w:val="0"/>
          <w:numId w:val="30"/>
        </w:numPr>
        <w:spacing w:before="120" w:after="120" w:line="240" w:lineRule="auto"/>
        <w:ind w:left="924" w:hanging="357"/>
        <w:jc w:val="left"/>
        <w:rPr>
          <w:rFonts w:cs="Arial"/>
          <w:color w:val="auto"/>
          <w:sz w:val="22"/>
        </w:rPr>
      </w:pPr>
      <w:r w:rsidRPr="00774D85">
        <w:rPr>
          <w:rFonts w:cs="Arial"/>
          <w:color w:val="auto"/>
          <w:sz w:val="22"/>
        </w:rPr>
        <w:t>Monitoring of updates through the LexisNexis Compliance Service and other legal update subscriptions</w:t>
      </w:r>
      <w:r>
        <w:rPr>
          <w:rFonts w:cs="Arial"/>
          <w:color w:val="auto"/>
          <w:sz w:val="22"/>
        </w:rPr>
        <w:t>.</w:t>
      </w:r>
    </w:p>
    <w:p w14:paraId="461A2BC1" w14:textId="63293447" w:rsidR="00774D85" w:rsidRPr="00774D85" w:rsidRDefault="00774D85" w:rsidP="00774D85">
      <w:pPr>
        <w:pStyle w:val="NormalWhite"/>
        <w:numPr>
          <w:ilvl w:val="0"/>
          <w:numId w:val="30"/>
        </w:numPr>
        <w:spacing w:before="120" w:after="120" w:line="240" w:lineRule="auto"/>
        <w:ind w:left="924" w:hanging="357"/>
        <w:jc w:val="left"/>
        <w:rPr>
          <w:rFonts w:cs="Arial"/>
          <w:color w:val="auto"/>
          <w:sz w:val="22"/>
        </w:rPr>
      </w:pPr>
      <w:r w:rsidRPr="00774D85">
        <w:rPr>
          <w:rFonts w:cs="Arial"/>
          <w:color w:val="auto"/>
          <w:sz w:val="22"/>
        </w:rPr>
        <w:t>Scanning and monitoring of legal environment by Legal Services</w:t>
      </w:r>
      <w:r>
        <w:rPr>
          <w:rFonts w:cs="Arial"/>
          <w:color w:val="auto"/>
          <w:sz w:val="22"/>
        </w:rPr>
        <w:t>.</w:t>
      </w:r>
    </w:p>
    <w:p w14:paraId="097A32BF" w14:textId="304D0B71" w:rsidR="00774D85" w:rsidRDefault="00774D85" w:rsidP="00774D85">
      <w:pPr>
        <w:pStyle w:val="NormalWhite"/>
        <w:numPr>
          <w:ilvl w:val="0"/>
          <w:numId w:val="30"/>
        </w:numPr>
        <w:spacing w:before="120" w:after="120" w:line="240" w:lineRule="auto"/>
        <w:ind w:left="924" w:hanging="357"/>
        <w:jc w:val="left"/>
        <w:rPr>
          <w:rFonts w:cs="Arial"/>
          <w:color w:val="auto"/>
          <w:sz w:val="22"/>
        </w:rPr>
      </w:pPr>
      <w:r w:rsidRPr="00774D85">
        <w:rPr>
          <w:rFonts w:cs="Arial"/>
          <w:color w:val="auto"/>
          <w:sz w:val="22"/>
        </w:rPr>
        <w:t>Communication with regulators.</w:t>
      </w:r>
    </w:p>
    <w:p w14:paraId="2AF97D71" w14:textId="46CDFC9C" w:rsidR="00852062" w:rsidRPr="00852062" w:rsidRDefault="00852062" w:rsidP="00852062">
      <w:pPr>
        <w:pStyle w:val="NormalWhite"/>
        <w:spacing w:before="120" w:after="120" w:line="240" w:lineRule="auto"/>
        <w:ind w:left="567"/>
        <w:jc w:val="left"/>
        <w:rPr>
          <w:rFonts w:cs="Arial"/>
          <w:color w:val="auto"/>
          <w:sz w:val="22"/>
        </w:rPr>
      </w:pPr>
      <w:r w:rsidRPr="00852062">
        <w:rPr>
          <w:rFonts w:cs="Arial"/>
          <w:color w:val="auto"/>
          <w:sz w:val="22"/>
        </w:rPr>
        <w:t xml:space="preserve">Where staff identify that a legislative compliance obligation is not captured in the ROCO, they should notify the </w:t>
      </w:r>
      <w:r w:rsidR="000F1428">
        <w:rPr>
          <w:rFonts w:cs="Arial"/>
          <w:color w:val="auto"/>
          <w:sz w:val="22"/>
        </w:rPr>
        <w:t>c</w:t>
      </w:r>
      <w:r w:rsidRPr="00852062">
        <w:rPr>
          <w:rFonts w:cs="Arial"/>
          <w:color w:val="auto"/>
          <w:sz w:val="22"/>
        </w:rPr>
        <w:t xml:space="preserve">ompliance </w:t>
      </w:r>
      <w:r w:rsidR="000F1428">
        <w:rPr>
          <w:rFonts w:cs="Arial"/>
          <w:color w:val="auto"/>
          <w:sz w:val="22"/>
        </w:rPr>
        <w:t>f</w:t>
      </w:r>
      <w:r w:rsidRPr="00852062">
        <w:rPr>
          <w:rFonts w:cs="Arial"/>
          <w:color w:val="auto"/>
          <w:sz w:val="22"/>
        </w:rPr>
        <w:t xml:space="preserve">unction. It is also expected that specialist staff should maintain an up-to-date </w:t>
      </w:r>
      <w:r w:rsidRPr="00852062">
        <w:rPr>
          <w:rFonts w:cs="Arial"/>
          <w:color w:val="auto"/>
          <w:sz w:val="22"/>
        </w:rPr>
        <w:lastRenderedPageBreak/>
        <w:t>understanding of legislation relevant to their professional duties, including by subscribing to relevant update services provided by regulators or other relevant bodies.</w:t>
      </w:r>
    </w:p>
    <w:p w14:paraId="404E14D1" w14:textId="77777777" w:rsidR="00852062" w:rsidRPr="00852062" w:rsidRDefault="00852062" w:rsidP="00852062">
      <w:pPr>
        <w:pStyle w:val="NormalWhite"/>
        <w:spacing w:before="120" w:after="120" w:line="240" w:lineRule="auto"/>
        <w:ind w:left="567"/>
        <w:jc w:val="left"/>
        <w:rPr>
          <w:rFonts w:cs="Arial"/>
          <w:color w:val="auto"/>
          <w:sz w:val="22"/>
        </w:rPr>
      </w:pPr>
      <w:r w:rsidRPr="00852062">
        <w:rPr>
          <w:rFonts w:cs="Arial"/>
          <w:color w:val="auto"/>
          <w:sz w:val="22"/>
        </w:rPr>
        <w:t>Griffith University may also incur additional Compliance Obligations through expanded operations or new fields of research. As part of good change management, the relevant manager is responsible for notifying the Compliance Function of the changes and any identified laws for inclusion in the ROCO.</w:t>
      </w:r>
    </w:p>
    <w:p w14:paraId="6F2A9E11" w14:textId="0E817BAF" w:rsidR="00852062" w:rsidRPr="00774D85" w:rsidRDefault="00852062" w:rsidP="00852062">
      <w:pPr>
        <w:pStyle w:val="NormalWhite"/>
        <w:spacing w:before="120" w:after="120" w:line="240" w:lineRule="auto"/>
        <w:ind w:left="567"/>
        <w:jc w:val="left"/>
        <w:rPr>
          <w:rFonts w:cs="Arial"/>
          <w:color w:val="auto"/>
          <w:sz w:val="22"/>
        </w:rPr>
      </w:pPr>
      <w:r w:rsidRPr="00852062">
        <w:rPr>
          <w:rFonts w:cs="Arial"/>
          <w:color w:val="auto"/>
          <w:sz w:val="22"/>
        </w:rPr>
        <w:t>New entries to the ROCO, and the tier classification, are approved by the General Counsel.</w:t>
      </w:r>
    </w:p>
    <w:p w14:paraId="124F75BE" w14:textId="5F7D80E4" w:rsidR="00E77B43" w:rsidRPr="001520D3" w:rsidRDefault="00A144B2" w:rsidP="001520D3">
      <w:pPr>
        <w:pStyle w:val="Heading3"/>
        <w:ind w:left="567"/>
        <w:rPr>
          <w:rFonts w:ascii="Griffith Sans Text" w:hAnsi="Griffith Sans Text"/>
        </w:rPr>
      </w:pPr>
      <w:bookmarkStart w:id="5" w:name="_3.2_[Insert_sub-heading]"/>
      <w:bookmarkEnd w:id="5"/>
      <w:r w:rsidRPr="001520D3">
        <w:rPr>
          <w:rFonts w:ascii="Griffith Sans Text" w:hAnsi="Griffith Sans Text"/>
        </w:rPr>
        <w:t xml:space="preserve">3.2 </w:t>
      </w:r>
      <w:r w:rsidR="00F705D2">
        <w:rPr>
          <w:rFonts w:ascii="Griffith Sans Text" w:hAnsi="Griffith Sans Text"/>
        </w:rPr>
        <w:t>Identify Compliance Risk Owners</w:t>
      </w:r>
    </w:p>
    <w:p w14:paraId="2F24F1C1" w14:textId="77777777" w:rsidR="003328B7" w:rsidRPr="003328B7" w:rsidRDefault="003328B7" w:rsidP="003328B7">
      <w:pPr>
        <w:spacing w:before="120" w:after="120" w:line="240" w:lineRule="auto"/>
        <w:ind w:left="567"/>
        <w:rPr>
          <w:rFonts w:ascii="Arial" w:hAnsi="Arial" w:cs="Arial"/>
          <w:sz w:val="22"/>
        </w:rPr>
      </w:pPr>
      <w:r w:rsidRPr="003328B7">
        <w:rPr>
          <w:rFonts w:ascii="Arial" w:hAnsi="Arial" w:cs="Arial"/>
          <w:sz w:val="22"/>
        </w:rPr>
        <w:t>The appropriate assignment of responsibility is driven by how the compliance obligation/s affects University operations. Tier 1 and 2 compliance obligations will be analysed and broken down to identify how the University could breach the requirements of the obligation and to identify the Compliance Risk Owner.</w:t>
      </w:r>
    </w:p>
    <w:p w14:paraId="50F3D544" w14:textId="375B48FD" w:rsidR="00B508D5" w:rsidRPr="004922AF" w:rsidRDefault="003328B7" w:rsidP="003328B7">
      <w:pPr>
        <w:spacing w:before="120" w:after="120" w:line="240" w:lineRule="auto"/>
        <w:ind w:left="567"/>
        <w:rPr>
          <w:rFonts w:ascii="Arial" w:hAnsi="Arial" w:cs="Arial"/>
          <w:sz w:val="22"/>
        </w:rPr>
      </w:pPr>
      <w:r w:rsidRPr="003328B7">
        <w:rPr>
          <w:rFonts w:ascii="Arial" w:hAnsi="Arial" w:cs="Arial"/>
          <w:sz w:val="22"/>
        </w:rPr>
        <w:t>The Compliance Risk Owner should be the staff member(s) who are best placed to:</w:t>
      </w:r>
    </w:p>
    <w:p w14:paraId="6C0E2691" w14:textId="77777777" w:rsidR="003328B7" w:rsidRDefault="003328B7" w:rsidP="003328B7">
      <w:pPr>
        <w:pStyle w:val="NormalWhite"/>
        <w:numPr>
          <w:ilvl w:val="0"/>
          <w:numId w:val="30"/>
        </w:numPr>
        <w:spacing w:before="120" w:after="120" w:line="240" w:lineRule="auto"/>
        <w:ind w:left="924" w:hanging="357"/>
        <w:jc w:val="left"/>
        <w:rPr>
          <w:rFonts w:cs="Arial"/>
          <w:color w:val="auto"/>
          <w:sz w:val="22"/>
        </w:rPr>
      </w:pPr>
      <w:r w:rsidRPr="003328B7">
        <w:rPr>
          <w:rFonts w:cs="Arial"/>
          <w:color w:val="auto"/>
          <w:sz w:val="22"/>
        </w:rPr>
        <w:t>credibly assess the risk based on their position, responsibilities, and ability to monitor the operation of key internal controls, and</w:t>
      </w:r>
    </w:p>
    <w:p w14:paraId="14D7EA73" w14:textId="77777777" w:rsidR="003328B7" w:rsidRDefault="003328B7" w:rsidP="003328B7">
      <w:pPr>
        <w:pStyle w:val="NormalWhite"/>
        <w:numPr>
          <w:ilvl w:val="0"/>
          <w:numId w:val="30"/>
        </w:numPr>
        <w:spacing w:before="120" w:after="120" w:line="240" w:lineRule="auto"/>
        <w:ind w:left="924" w:hanging="357"/>
        <w:jc w:val="left"/>
        <w:rPr>
          <w:rFonts w:cs="Arial"/>
          <w:color w:val="auto"/>
          <w:sz w:val="22"/>
        </w:rPr>
      </w:pPr>
      <w:r w:rsidRPr="003328B7">
        <w:rPr>
          <w:rFonts w:cs="Arial"/>
          <w:color w:val="auto"/>
          <w:sz w:val="22"/>
        </w:rPr>
        <w:t xml:space="preserve">take action to mitigate a compliance risk when it is not in line with the University’s risk appetite. </w:t>
      </w:r>
    </w:p>
    <w:p w14:paraId="4B87F1E2" w14:textId="2599381F" w:rsidR="00481A84" w:rsidRPr="00481A84" w:rsidRDefault="00481A84" w:rsidP="00481A84">
      <w:pPr>
        <w:spacing w:before="120" w:after="120" w:line="240" w:lineRule="auto"/>
        <w:ind w:left="567"/>
        <w:rPr>
          <w:rFonts w:ascii="Arial" w:hAnsi="Arial" w:cs="Arial"/>
          <w:sz w:val="22"/>
        </w:rPr>
      </w:pPr>
      <w:r w:rsidRPr="00481A84">
        <w:rPr>
          <w:rFonts w:ascii="Arial" w:hAnsi="Arial" w:cs="Arial"/>
          <w:sz w:val="22"/>
        </w:rPr>
        <w:t xml:space="preserve">The role does not imply ownership and responsibility for all compliance controls, as in many cases obligations will have cross-functional implications across the University. Often, the Compliance Risk Owner will need to engage broadly with stakeholders across the University, exercising enterprise leadership with the support of the </w:t>
      </w:r>
      <w:r w:rsidR="000F1428">
        <w:rPr>
          <w:rFonts w:ascii="Arial" w:hAnsi="Arial" w:cs="Arial"/>
          <w:sz w:val="22"/>
        </w:rPr>
        <w:t>c</w:t>
      </w:r>
      <w:r w:rsidRPr="00481A84">
        <w:rPr>
          <w:rFonts w:ascii="Arial" w:hAnsi="Arial" w:cs="Arial"/>
          <w:sz w:val="22"/>
        </w:rPr>
        <w:t xml:space="preserve">ompliance </w:t>
      </w:r>
      <w:r w:rsidR="000F1428">
        <w:rPr>
          <w:rFonts w:ascii="Arial" w:hAnsi="Arial" w:cs="Arial"/>
          <w:sz w:val="22"/>
        </w:rPr>
        <w:t>f</w:t>
      </w:r>
      <w:r w:rsidRPr="00481A84">
        <w:rPr>
          <w:rFonts w:ascii="Arial" w:hAnsi="Arial" w:cs="Arial"/>
          <w:sz w:val="22"/>
        </w:rPr>
        <w:t>unction, to ensure the effective mitigation of compliance risk.</w:t>
      </w:r>
    </w:p>
    <w:p w14:paraId="387EF48D" w14:textId="3957362E" w:rsidR="00481A84" w:rsidRPr="00481A84" w:rsidRDefault="00481A84" w:rsidP="00481A84">
      <w:pPr>
        <w:spacing w:before="120" w:after="120" w:line="240" w:lineRule="auto"/>
        <w:ind w:left="567"/>
        <w:rPr>
          <w:rFonts w:ascii="Arial" w:hAnsi="Arial" w:cs="Arial"/>
          <w:sz w:val="22"/>
        </w:rPr>
      </w:pPr>
      <w:r w:rsidRPr="00481A84">
        <w:rPr>
          <w:rFonts w:ascii="Arial" w:hAnsi="Arial" w:cs="Arial"/>
          <w:sz w:val="22"/>
        </w:rPr>
        <w:t>The designation of Compliance Risk Owner must be approved by the relevant member of Executive Group. They are the key first line role for managing compliance risk.</w:t>
      </w:r>
    </w:p>
    <w:p w14:paraId="4B5FB592" w14:textId="53211698" w:rsidR="006724B2" w:rsidRDefault="006724B2" w:rsidP="006724B2">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Pr>
          <w:rFonts w:ascii="Griffith Sans Text" w:hAnsi="Griffith Sans Text"/>
        </w:rPr>
        <w:t>Compliance Risk Assessment</w:t>
      </w:r>
    </w:p>
    <w:p w14:paraId="50B36009" w14:textId="56210D4A" w:rsidR="00175C40" w:rsidRDefault="00EC2833" w:rsidP="00EC2833">
      <w:pPr>
        <w:spacing w:before="120" w:after="120" w:line="240" w:lineRule="auto"/>
        <w:ind w:left="567"/>
        <w:rPr>
          <w:rFonts w:ascii="Arial" w:hAnsi="Arial" w:cs="Arial"/>
          <w:sz w:val="22"/>
        </w:rPr>
      </w:pPr>
      <w:r w:rsidRPr="00EC2833">
        <w:rPr>
          <w:rFonts w:ascii="Arial" w:hAnsi="Arial" w:cs="Arial"/>
          <w:sz w:val="22"/>
        </w:rPr>
        <w:t>All compliance obligations create the risk of a breach. A risk assessment approach enables the University to:</w:t>
      </w:r>
    </w:p>
    <w:p w14:paraId="2750C50D" w14:textId="47E98443" w:rsidR="00273F42" w:rsidRPr="00273F42" w:rsidRDefault="00273F42" w:rsidP="00273F42">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i</w:t>
      </w:r>
      <w:r w:rsidRPr="00273F42">
        <w:rPr>
          <w:rFonts w:cs="Arial"/>
          <w:color w:val="auto"/>
          <w:sz w:val="22"/>
        </w:rPr>
        <w:t>dentify causal factors for a breach and relevant consequences</w:t>
      </w:r>
      <w:r>
        <w:rPr>
          <w:rFonts w:cs="Arial"/>
          <w:color w:val="auto"/>
          <w:sz w:val="22"/>
        </w:rPr>
        <w:t>.</w:t>
      </w:r>
    </w:p>
    <w:p w14:paraId="60A45C10" w14:textId="124EBA1A" w:rsidR="00273F42" w:rsidRPr="00273F42" w:rsidRDefault="00273F42" w:rsidP="00273F42">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i</w:t>
      </w:r>
      <w:r w:rsidRPr="00273F42">
        <w:rPr>
          <w:rFonts w:cs="Arial"/>
          <w:color w:val="auto"/>
          <w:sz w:val="22"/>
        </w:rPr>
        <w:t>dentify the relevant areas that should be managing the risk of compliance breaches</w:t>
      </w:r>
      <w:r>
        <w:rPr>
          <w:rFonts w:cs="Arial"/>
          <w:color w:val="auto"/>
          <w:sz w:val="22"/>
        </w:rPr>
        <w:t>.</w:t>
      </w:r>
    </w:p>
    <w:p w14:paraId="1C6CB193" w14:textId="6697AD5C" w:rsidR="00273F42" w:rsidRPr="00273F42" w:rsidRDefault="00273F42" w:rsidP="00273F42">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i</w:t>
      </w:r>
      <w:r w:rsidRPr="00273F42">
        <w:rPr>
          <w:rFonts w:cs="Arial"/>
          <w:color w:val="auto"/>
          <w:sz w:val="22"/>
        </w:rPr>
        <w:t xml:space="preserve">dentify internal control measures needed to prevent, </w:t>
      </w:r>
      <w:proofErr w:type="gramStart"/>
      <w:r w:rsidRPr="00273F42">
        <w:rPr>
          <w:rFonts w:cs="Arial"/>
          <w:color w:val="auto"/>
          <w:sz w:val="22"/>
        </w:rPr>
        <w:t>detect</w:t>
      </w:r>
      <w:proofErr w:type="gramEnd"/>
      <w:r w:rsidRPr="00273F42">
        <w:rPr>
          <w:rFonts w:cs="Arial"/>
          <w:color w:val="auto"/>
          <w:sz w:val="22"/>
        </w:rPr>
        <w:t xml:space="preserve"> and correct breaches</w:t>
      </w:r>
      <w:r>
        <w:rPr>
          <w:rFonts w:cs="Arial"/>
          <w:color w:val="auto"/>
          <w:sz w:val="22"/>
        </w:rPr>
        <w:t>.</w:t>
      </w:r>
    </w:p>
    <w:p w14:paraId="10E50D20" w14:textId="33A45DC1" w:rsidR="00273F42" w:rsidRPr="00273F42" w:rsidRDefault="00273F42" w:rsidP="00273F42">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a</w:t>
      </w:r>
      <w:r w:rsidRPr="00273F42">
        <w:rPr>
          <w:rFonts w:cs="Arial"/>
          <w:color w:val="auto"/>
          <w:sz w:val="22"/>
        </w:rPr>
        <w:t>ssess the level of risk and prioritise areas for focus and investment of University’s resources</w:t>
      </w:r>
      <w:r>
        <w:rPr>
          <w:rFonts w:cs="Arial"/>
          <w:color w:val="auto"/>
          <w:sz w:val="22"/>
        </w:rPr>
        <w:t>.</w:t>
      </w:r>
    </w:p>
    <w:p w14:paraId="3E354B5C" w14:textId="55DD485D" w:rsidR="00273F42" w:rsidRPr="00273F42" w:rsidRDefault="00273F42" w:rsidP="00273F42">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i</w:t>
      </w:r>
      <w:r w:rsidRPr="00273F42">
        <w:rPr>
          <w:rFonts w:cs="Arial"/>
          <w:color w:val="auto"/>
          <w:sz w:val="22"/>
        </w:rPr>
        <w:t>ntegrate with the University’s Enterprise Risk Management Framework and systems and templates used to assess risk and put into practice the University’s risk appetite</w:t>
      </w:r>
      <w:r>
        <w:rPr>
          <w:rFonts w:cs="Arial"/>
          <w:color w:val="auto"/>
          <w:sz w:val="22"/>
        </w:rPr>
        <w:t>.</w:t>
      </w:r>
    </w:p>
    <w:p w14:paraId="2D9D69ED" w14:textId="58813FEE" w:rsidR="00273F42" w:rsidRDefault="00273F42" w:rsidP="00273F42">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a</w:t>
      </w:r>
      <w:r w:rsidRPr="00273F42">
        <w:rPr>
          <w:rFonts w:cs="Arial"/>
          <w:color w:val="auto"/>
          <w:sz w:val="22"/>
        </w:rPr>
        <w:t>lign with best practice – the Compliance Management Standard ISO37301.</w:t>
      </w:r>
    </w:p>
    <w:p w14:paraId="28D5BA9A" w14:textId="1DC5E605" w:rsidR="00406FFD" w:rsidRDefault="00406FFD" w:rsidP="00406FFD">
      <w:pPr>
        <w:pStyle w:val="NormalWhite"/>
        <w:spacing w:before="120" w:after="120" w:line="240" w:lineRule="auto"/>
        <w:ind w:left="567"/>
        <w:jc w:val="left"/>
        <w:rPr>
          <w:rFonts w:cs="Arial"/>
          <w:color w:val="auto"/>
          <w:sz w:val="22"/>
        </w:rPr>
      </w:pPr>
      <w:r>
        <w:rPr>
          <w:rFonts w:cs="Arial"/>
          <w:color w:val="auto"/>
          <w:sz w:val="22"/>
        </w:rPr>
        <w:t>The Compliance Risk Owner is responsible for conducting and documenting a risk assessment consistent with the Enterprise Risk Management Framework:</w:t>
      </w:r>
    </w:p>
    <w:p w14:paraId="5D13B0D3" w14:textId="72118183" w:rsidR="0074146A" w:rsidRPr="0074146A" w:rsidRDefault="0074146A" w:rsidP="0074146A">
      <w:pPr>
        <w:pStyle w:val="NormalWhite"/>
        <w:numPr>
          <w:ilvl w:val="0"/>
          <w:numId w:val="30"/>
        </w:numPr>
        <w:spacing w:before="120" w:after="120" w:line="240" w:lineRule="auto"/>
        <w:ind w:left="924" w:hanging="357"/>
        <w:jc w:val="left"/>
        <w:rPr>
          <w:rFonts w:cs="Arial"/>
          <w:color w:val="auto"/>
          <w:sz w:val="22"/>
        </w:rPr>
      </w:pPr>
      <w:r w:rsidRPr="0074146A">
        <w:rPr>
          <w:rFonts w:cs="Arial"/>
          <w:color w:val="auto"/>
          <w:sz w:val="22"/>
        </w:rPr>
        <w:t xml:space="preserve">The documented risk assessment will be stored in accordance with the risk management framework and be available for monitoring by the </w:t>
      </w:r>
      <w:r w:rsidR="000F1428">
        <w:rPr>
          <w:rFonts w:cs="Arial"/>
          <w:color w:val="auto"/>
          <w:sz w:val="22"/>
        </w:rPr>
        <w:t>c</w:t>
      </w:r>
      <w:r w:rsidRPr="0074146A">
        <w:rPr>
          <w:rFonts w:cs="Arial"/>
          <w:color w:val="auto"/>
          <w:sz w:val="22"/>
        </w:rPr>
        <w:t xml:space="preserve">ompliance </w:t>
      </w:r>
      <w:r w:rsidR="000F1428">
        <w:rPr>
          <w:rFonts w:cs="Arial"/>
          <w:color w:val="auto"/>
          <w:sz w:val="22"/>
        </w:rPr>
        <w:t>f</w:t>
      </w:r>
      <w:r w:rsidRPr="0074146A">
        <w:rPr>
          <w:rFonts w:cs="Arial"/>
          <w:color w:val="auto"/>
          <w:sz w:val="22"/>
        </w:rPr>
        <w:t xml:space="preserve">unction and reporting to management and the Audit </w:t>
      </w:r>
      <w:r w:rsidR="00C37C94">
        <w:rPr>
          <w:rFonts w:cs="Arial"/>
          <w:color w:val="auto"/>
          <w:sz w:val="22"/>
        </w:rPr>
        <w:t xml:space="preserve">and Risk </w:t>
      </w:r>
      <w:r w:rsidRPr="0074146A">
        <w:rPr>
          <w:rFonts w:cs="Arial"/>
          <w:color w:val="auto"/>
          <w:sz w:val="22"/>
        </w:rPr>
        <w:t xml:space="preserve">Committee. </w:t>
      </w:r>
    </w:p>
    <w:p w14:paraId="57737AC6" w14:textId="10D4B371" w:rsidR="0074146A" w:rsidRPr="0074146A" w:rsidRDefault="0074146A" w:rsidP="0074146A">
      <w:pPr>
        <w:pStyle w:val="NormalWhite"/>
        <w:numPr>
          <w:ilvl w:val="0"/>
          <w:numId w:val="30"/>
        </w:numPr>
        <w:spacing w:before="120" w:after="120" w:line="240" w:lineRule="auto"/>
        <w:ind w:left="924" w:hanging="357"/>
        <w:jc w:val="left"/>
        <w:rPr>
          <w:rFonts w:cs="Arial"/>
          <w:color w:val="auto"/>
          <w:sz w:val="22"/>
        </w:rPr>
      </w:pPr>
      <w:r w:rsidRPr="0074146A">
        <w:rPr>
          <w:rFonts w:cs="Arial"/>
          <w:color w:val="auto"/>
          <w:sz w:val="22"/>
        </w:rPr>
        <w:t xml:space="preserve">The risk assessment should identify the key internal controls that are relied on to prevent, </w:t>
      </w:r>
      <w:proofErr w:type="gramStart"/>
      <w:r w:rsidRPr="0074146A">
        <w:rPr>
          <w:rFonts w:cs="Arial"/>
          <w:color w:val="auto"/>
          <w:sz w:val="22"/>
        </w:rPr>
        <w:t>detect</w:t>
      </w:r>
      <w:proofErr w:type="gramEnd"/>
      <w:r w:rsidRPr="0074146A">
        <w:rPr>
          <w:rFonts w:cs="Arial"/>
          <w:color w:val="auto"/>
          <w:sz w:val="22"/>
        </w:rPr>
        <w:t xml:space="preserve"> and correct compliance breaches, as well as the relevant area responsible for the internal control.</w:t>
      </w:r>
    </w:p>
    <w:p w14:paraId="4AFB91E3" w14:textId="2D688308" w:rsidR="0074146A" w:rsidRDefault="0074146A" w:rsidP="0074146A">
      <w:pPr>
        <w:pStyle w:val="NormalWhite"/>
        <w:numPr>
          <w:ilvl w:val="0"/>
          <w:numId w:val="30"/>
        </w:numPr>
        <w:spacing w:before="120" w:after="120" w:line="240" w:lineRule="auto"/>
        <w:ind w:left="924" w:hanging="357"/>
        <w:jc w:val="left"/>
        <w:rPr>
          <w:rFonts w:cs="Arial"/>
          <w:color w:val="auto"/>
          <w:sz w:val="22"/>
        </w:rPr>
      </w:pPr>
      <w:r w:rsidRPr="0074146A">
        <w:rPr>
          <w:rFonts w:cs="Arial"/>
          <w:color w:val="auto"/>
          <w:sz w:val="22"/>
        </w:rPr>
        <w:lastRenderedPageBreak/>
        <w:t>The risk assessment should be maintained and updated for changes and events in the external and internal environment, including changes in staffing or structures, new or amended legislation and relevant incidents, as well as being formally reviewed at least annually.</w:t>
      </w:r>
    </w:p>
    <w:p w14:paraId="3DE6B163" w14:textId="77777777" w:rsidR="00FD72AB" w:rsidRPr="00FD72AB" w:rsidRDefault="00FD72AB" w:rsidP="00FD72AB">
      <w:pPr>
        <w:pStyle w:val="NormalWhite"/>
        <w:spacing w:before="120" w:after="120" w:line="240" w:lineRule="auto"/>
        <w:ind w:left="567"/>
        <w:rPr>
          <w:rFonts w:cs="Arial"/>
          <w:color w:val="auto"/>
          <w:sz w:val="22"/>
        </w:rPr>
      </w:pPr>
      <w:r w:rsidRPr="00FD72AB">
        <w:rPr>
          <w:rFonts w:cs="Arial"/>
          <w:color w:val="auto"/>
          <w:sz w:val="22"/>
        </w:rPr>
        <w:t xml:space="preserve">A risk assessment is </w:t>
      </w:r>
      <w:r w:rsidRPr="00FD72AB">
        <w:rPr>
          <w:rFonts w:cs="Arial"/>
          <w:i/>
          <w:iCs/>
          <w:color w:val="auto"/>
          <w:sz w:val="22"/>
        </w:rPr>
        <w:t>required</w:t>
      </w:r>
      <w:r w:rsidRPr="00FD72AB">
        <w:rPr>
          <w:rFonts w:cs="Arial"/>
          <w:color w:val="auto"/>
          <w:sz w:val="22"/>
        </w:rPr>
        <w:t xml:space="preserve"> for all compliance risks identified with Tier 1 and Tier 2 legislation. A risk assessment is </w:t>
      </w:r>
      <w:r w:rsidRPr="00FD72AB">
        <w:rPr>
          <w:rFonts w:cs="Arial"/>
          <w:i/>
          <w:iCs/>
          <w:color w:val="auto"/>
          <w:sz w:val="22"/>
        </w:rPr>
        <w:t>encouraged</w:t>
      </w:r>
      <w:r w:rsidRPr="00FD72AB">
        <w:rPr>
          <w:rFonts w:cs="Arial"/>
          <w:color w:val="auto"/>
          <w:sz w:val="22"/>
        </w:rPr>
        <w:t xml:space="preserve"> for risks within Tier 3 &amp; 4. </w:t>
      </w:r>
    </w:p>
    <w:p w14:paraId="562FEE44" w14:textId="77777777" w:rsidR="00FD72AB" w:rsidRPr="00FD72AB" w:rsidRDefault="00FD72AB" w:rsidP="00FD72AB">
      <w:pPr>
        <w:pStyle w:val="NormalWhite"/>
        <w:spacing w:before="120" w:after="120" w:line="240" w:lineRule="auto"/>
        <w:ind w:left="567"/>
        <w:rPr>
          <w:rFonts w:cs="Arial"/>
          <w:i/>
          <w:iCs/>
          <w:color w:val="auto"/>
          <w:sz w:val="22"/>
        </w:rPr>
      </w:pPr>
      <w:r w:rsidRPr="00FD72AB">
        <w:rPr>
          <w:rFonts w:cs="Arial"/>
          <w:i/>
          <w:iCs/>
          <w:color w:val="auto"/>
          <w:sz w:val="22"/>
        </w:rPr>
        <w:t xml:space="preserve">To be clear, compliance with obligations is mandatory, regardless of which Tier the obligation is classified into. </w:t>
      </w:r>
    </w:p>
    <w:p w14:paraId="16BA1715" w14:textId="05F3E021" w:rsidR="0074146A" w:rsidRPr="00273F42" w:rsidRDefault="00FD72AB" w:rsidP="00FD72AB">
      <w:pPr>
        <w:pStyle w:val="NormalWhite"/>
        <w:spacing w:before="120" w:after="120" w:line="240" w:lineRule="auto"/>
        <w:ind w:left="567"/>
        <w:jc w:val="left"/>
        <w:rPr>
          <w:rFonts w:cs="Arial"/>
          <w:color w:val="auto"/>
          <w:sz w:val="22"/>
        </w:rPr>
      </w:pPr>
      <w:r w:rsidRPr="00FD72AB">
        <w:rPr>
          <w:rFonts w:cs="Arial"/>
          <w:color w:val="auto"/>
          <w:sz w:val="22"/>
        </w:rPr>
        <w:t xml:space="preserve">The role of the </w:t>
      </w:r>
      <w:r w:rsidR="000F1428">
        <w:rPr>
          <w:rFonts w:cs="Arial"/>
          <w:color w:val="auto"/>
          <w:sz w:val="22"/>
        </w:rPr>
        <w:t>c</w:t>
      </w:r>
      <w:r w:rsidRPr="00FD72AB">
        <w:rPr>
          <w:rFonts w:cs="Arial"/>
          <w:color w:val="auto"/>
          <w:sz w:val="22"/>
        </w:rPr>
        <w:t xml:space="preserve">ompliance </w:t>
      </w:r>
      <w:r w:rsidR="000F1428">
        <w:rPr>
          <w:rFonts w:cs="Arial"/>
          <w:color w:val="auto"/>
          <w:sz w:val="22"/>
        </w:rPr>
        <w:t>f</w:t>
      </w:r>
      <w:r w:rsidRPr="00FD72AB">
        <w:rPr>
          <w:rFonts w:cs="Arial"/>
          <w:color w:val="auto"/>
          <w:sz w:val="22"/>
        </w:rPr>
        <w:t xml:space="preserve">unction is to provide a second line of compliance risk management; to constructively question and challenge the risk assessments conducted by Compliance Risk Owners, and to provide advice and support about the compliance obligations and the application of the Enterprise Risk Management Framework and these procedures. The </w:t>
      </w:r>
      <w:r w:rsidR="000F1428">
        <w:rPr>
          <w:rFonts w:cs="Arial"/>
          <w:color w:val="auto"/>
          <w:sz w:val="22"/>
        </w:rPr>
        <w:t>c</w:t>
      </w:r>
      <w:r w:rsidRPr="00FD72AB">
        <w:rPr>
          <w:rFonts w:cs="Arial"/>
          <w:color w:val="auto"/>
          <w:sz w:val="22"/>
        </w:rPr>
        <w:t xml:space="preserve">ompliance </w:t>
      </w:r>
      <w:r w:rsidR="000F1428">
        <w:rPr>
          <w:rFonts w:cs="Arial"/>
          <w:color w:val="auto"/>
          <w:sz w:val="22"/>
        </w:rPr>
        <w:t>f</w:t>
      </w:r>
      <w:r w:rsidRPr="00FD72AB">
        <w:rPr>
          <w:rFonts w:cs="Arial"/>
          <w:color w:val="auto"/>
          <w:sz w:val="22"/>
        </w:rPr>
        <w:t>unction cannot override the assessment made by the Compliance Risk Owner or be delegated the responsibilities of the Compliance Risk Owner.</w:t>
      </w:r>
    </w:p>
    <w:p w14:paraId="656E034A" w14:textId="3AFDE0B3" w:rsidR="0093042E" w:rsidRDefault="0093042E" w:rsidP="0093042E">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Pr>
          <w:rFonts w:ascii="Griffith Sans Text" w:hAnsi="Griffith Sans Text"/>
        </w:rPr>
        <w:t>Annual Sign-off – Tier 1 and 2 Compliance Risks</w:t>
      </w:r>
    </w:p>
    <w:p w14:paraId="6434B206" w14:textId="17912E0B" w:rsidR="002538A8" w:rsidRDefault="00D17890" w:rsidP="00D17890">
      <w:pPr>
        <w:pStyle w:val="NormalWhite"/>
        <w:spacing w:before="120" w:after="120" w:line="240" w:lineRule="auto"/>
        <w:ind w:left="567"/>
        <w:jc w:val="left"/>
        <w:rPr>
          <w:rFonts w:cs="Arial"/>
          <w:color w:val="auto"/>
          <w:sz w:val="22"/>
        </w:rPr>
      </w:pPr>
      <w:r w:rsidRPr="00D17890">
        <w:rPr>
          <w:rFonts w:cs="Arial"/>
          <w:color w:val="auto"/>
          <w:sz w:val="22"/>
        </w:rPr>
        <w:t xml:space="preserve">The </w:t>
      </w:r>
      <w:r w:rsidR="000F1428">
        <w:rPr>
          <w:rFonts w:cs="Arial"/>
          <w:color w:val="auto"/>
          <w:sz w:val="22"/>
        </w:rPr>
        <w:t>c</w:t>
      </w:r>
      <w:r w:rsidRPr="00D17890">
        <w:rPr>
          <w:rFonts w:cs="Arial"/>
          <w:color w:val="auto"/>
          <w:sz w:val="22"/>
        </w:rPr>
        <w:t xml:space="preserve">ompliance </w:t>
      </w:r>
      <w:r w:rsidR="000F1428">
        <w:rPr>
          <w:rFonts w:cs="Arial"/>
          <w:color w:val="auto"/>
          <w:sz w:val="22"/>
        </w:rPr>
        <w:t>f</w:t>
      </w:r>
      <w:r w:rsidRPr="00D17890">
        <w:rPr>
          <w:rFonts w:cs="Arial"/>
          <w:color w:val="auto"/>
          <w:sz w:val="22"/>
        </w:rPr>
        <w:t xml:space="preserve">unction will develop an annual plan to review a set of Tier 1 &amp; 2 compliance risks to provide assurance to management and the Audit </w:t>
      </w:r>
      <w:r w:rsidR="009645DD">
        <w:rPr>
          <w:rFonts w:cs="Arial"/>
          <w:color w:val="auto"/>
          <w:sz w:val="22"/>
        </w:rPr>
        <w:t xml:space="preserve">and Risk </w:t>
      </w:r>
      <w:r w:rsidRPr="00D17890">
        <w:rPr>
          <w:rFonts w:cs="Arial"/>
          <w:color w:val="auto"/>
          <w:sz w:val="22"/>
        </w:rPr>
        <w:t xml:space="preserve">Committee that compliance risks are being adequately managed in line with the University’s risk appetite. The Compliance Risk Owner will be responsible for reviewing and updating the risk assessment in consultation with relevant stakeholder. </w:t>
      </w:r>
    </w:p>
    <w:p w14:paraId="3D9A9DE3" w14:textId="366F3AEF" w:rsidR="0093042E" w:rsidRDefault="00D17890" w:rsidP="00D17890">
      <w:pPr>
        <w:pStyle w:val="NormalWhite"/>
        <w:spacing w:before="120" w:after="120" w:line="240" w:lineRule="auto"/>
        <w:ind w:left="567"/>
        <w:jc w:val="left"/>
        <w:rPr>
          <w:rFonts w:cs="Arial"/>
          <w:color w:val="auto"/>
          <w:sz w:val="22"/>
        </w:rPr>
      </w:pPr>
      <w:r w:rsidRPr="00D17890">
        <w:rPr>
          <w:rFonts w:cs="Arial"/>
          <w:color w:val="auto"/>
          <w:sz w:val="22"/>
        </w:rPr>
        <w:t>As part of the annual review Compliance Risk Owner will need to confirm in writing:</w:t>
      </w:r>
    </w:p>
    <w:p w14:paraId="74ED3DC4" w14:textId="2D5B171C" w:rsidR="002538A8" w:rsidRPr="002538A8" w:rsidRDefault="0094121D" w:rsidP="002538A8">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t</w:t>
      </w:r>
      <w:r w:rsidR="002538A8" w:rsidRPr="002538A8">
        <w:rPr>
          <w:rFonts w:cs="Arial"/>
          <w:color w:val="auto"/>
          <w:sz w:val="22"/>
        </w:rPr>
        <w:t xml:space="preserve">hat internal controls are adequate and operating effectively, </w:t>
      </w:r>
      <w:proofErr w:type="gramStart"/>
      <w:r w:rsidR="002538A8" w:rsidRPr="002538A8">
        <w:rPr>
          <w:rFonts w:cs="Arial"/>
          <w:color w:val="auto"/>
          <w:sz w:val="22"/>
        </w:rPr>
        <w:t>taking into account</w:t>
      </w:r>
      <w:proofErr w:type="gramEnd"/>
      <w:r w:rsidR="002538A8" w:rsidRPr="002538A8">
        <w:rPr>
          <w:rFonts w:cs="Arial"/>
          <w:color w:val="auto"/>
          <w:sz w:val="22"/>
        </w:rPr>
        <w:t xml:space="preserve"> any new or amended requirements</w:t>
      </w:r>
      <w:r>
        <w:rPr>
          <w:rFonts w:cs="Arial"/>
          <w:color w:val="auto"/>
          <w:sz w:val="22"/>
        </w:rPr>
        <w:t>.</w:t>
      </w:r>
    </w:p>
    <w:p w14:paraId="4C676DF5" w14:textId="0145033C" w:rsidR="002538A8" w:rsidRPr="002538A8" w:rsidRDefault="0094121D" w:rsidP="002538A8">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t</w:t>
      </w:r>
      <w:r w:rsidR="002538A8" w:rsidRPr="002538A8">
        <w:rPr>
          <w:rFonts w:cs="Arial"/>
          <w:color w:val="auto"/>
          <w:sz w:val="22"/>
        </w:rPr>
        <w:t>hat the risk rating has been assessed applying the Enterprise Risk Management Framework and is credible and reliable</w:t>
      </w:r>
      <w:r>
        <w:rPr>
          <w:rFonts w:cs="Arial"/>
          <w:color w:val="auto"/>
          <w:sz w:val="22"/>
        </w:rPr>
        <w:t>.</w:t>
      </w:r>
    </w:p>
    <w:p w14:paraId="36F21D41" w14:textId="657D78E2" w:rsidR="002538A8" w:rsidRPr="002538A8" w:rsidRDefault="0094121D" w:rsidP="002538A8">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a</w:t>
      </w:r>
      <w:r w:rsidR="002538A8" w:rsidRPr="002538A8">
        <w:rPr>
          <w:rFonts w:cs="Arial"/>
          <w:color w:val="auto"/>
          <w:sz w:val="22"/>
        </w:rPr>
        <w:t>ll breaches relating to the legislative compliance risk have been reported in accordance with these procedures</w:t>
      </w:r>
      <w:r>
        <w:rPr>
          <w:rFonts w:cs="Arial"/>
          <w:color w:val="auto"/>
          <w:sz w:val="22"/>
        </w:rPr>
        <w:t>.</w:t>
      </w:r>
    </w:p>
    <w:p w14:paraId="5C4D73E0" w14:textId="48C9C489" w:rsidR="002538A8" w:rsidRDefault="0094121D" w:rsidP="002538A8">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w</w:t>
      </w:r>
      <w:r w:rsidR="002538A8" w:rsidRPr="002538A8">
        <w:rPr>
          <w:rFonts w:cs="Arial"/>
          <w:color w:val="auto"/>
          <w:sz w:val="22"/>
        </w:rPr>
        <w:t>here a risk rating is not in line with the University’s risk appetite, that a treatment action plan is in place to bring the risk to an acceptable position, or a risk acceptance is approved (see s.3.8).</w:t>
      </w:r>
    </w:p>
    <w:p w14:paraId="5D91E979" w14:textId="77777777" w:rsidR="00E21E48" w:rsidRPr="00E21E48" w:rsidRDefault="00E21E48" w:rsidP="00E21E48">
      <w:pPr>
        <w:pStyle w:val="NormalWhite"/>
        <w:spacing w:before="120" w:after="120" w:line="240" w:lineRule="auto"/>
        <w:ind w:left="567"/>
        <w:rPr>
          <w:rFonts w:cs="Arial"/>
          <w:color w:val="auto"/>
          <w:sz w:val="22"/>
        </w:rPr>
      </w:pPr>
      <w:r w:rsidRPr="00E21E48">
        <w:rPr>
          <w:rFonts w:cs="Arial"/>
          <w:color w:val="auto"/>
          <w:sz w:val="22"/>
        </w:rPr>
        <w:t>The reviewed compliance risk assessment, and the written confirmation of the above, must be provided to the Compliance Risk Owners’ Executive Group member for review and endorsement. This provides the Executive Group member the opportunity to exercise appropriate oversight and due diligence in relation to key legislative compliance risks managed within their group.</w:t>
      </w:r>
    </w:p>
    <w:p w14:paraId="5BEBBAFF" w14:textId="4BFCFF28" w:rsidR="00E21E48" w:rsidRPr="00D17890" w:rsidRDefault="00E21E48" w:rsidP="00E21E48">
      <w:pPr>
        <w:pStyle w:val="NormalWhite"/>
        <w:spacing w:before="120" w:after="120" w:line="240" w:lineRule="auto"/>
        <w:ind w:left="567"/>
        <w:jc w:val="left"/>
        <w:rPr>
          <w:rFonts w:cs="Arial"/>
          <w:color w:val="auto"/>
          <w:sz w:val="22"/>
        </w:rPr>
      </w:pPr>
      <w:r w:rsidRPr="00E21E48">
        <w:rPr>
          <w:rFonts w:cs="Arial"/>
          <w:color w:val="auto"/>
          <w:sz w:val="22"/>
        </w:rPr>
        <w:t>Following endorsement by the Executive Group member</w:t>
      </w:r>
      <w:r w:rsidR="00480367">
        <w:rPr>
          <w:rFonts w:cs="Arial"/>
          <w:color w:val="auto"/>
          <w:sz w:val="22"/>
        </w:rPr>
        <w:t>,</w:t>
      </w:r>
      <w:r w:rsidRPr="00E21E48">
        <w:rPr>
          <w:rFonts w:cs="Arial"/>
          <w:color w:val="auto"/>
          <w:sz w:val="22"/>
        </w:rPr>
        <w:t xml:space="preserve"> the </w:t>
      </w:r>
      <w:r w:rsidR="000F1428">
        <w:rPr>
          <w:rFonts w:cs="Arial"/>
          <w:color w:val="auto"/>
          <w:sz w:val="22"/>
        </w:rPr>
        <w:t>c</w:t>
      </w:r>
      <w:r w:rsidRPr="00E21E48">
        <w:rPr>
          <w:rFonts w:cs="Arial"/>
          <w:color w:val="auto"/>
          <w:sz w:val="22"/>
        </w:rPr>
        <w:t xml:space="preserve">ompliance </w:t>
      </w:r>
      <w:r w:rsidR="000F1428">
        <w:rPr>
          <w:rFonts w:cs="Arial"/>
          <w:color w:val="auto"/>
          <w:sz w:val="22"/>
        </w:rPr>
        <w:t>r</w:t>
      </w:r>
      <w:r w:rsidRPr="00E21E48">
        <w:rPr>
          <w:rFonts w:cs="Arial"/>
          <w:color w:val="auto"/>
          <w:sz w:val="22"/>
        </w:rPr>
        <w:t xml:space="preserve">isks reviewed will be summarised into an Annual Compliance Report for the Audit </w:t>
      </w:r>
      <w:r w:rsidR="00480367">
        <w:rPr>
          <w:rFonts w:cs="Arial"/>
          <w:color w:val="auto"/>
          <w:sz w:val="22"/>
        </w:rPr>
        <w:t xml:space="preserve">and Risk </w:t>
      </w:r>
      <w:r w:rsidRPr="00E21E48">
        <w:rPr>
          <w:rFonts w:cs="Arial"/>
          <w:color w:val="auto"/>
          <w:sz w:val="22"/>
        </w:rPr>
        <w:t>Committee.</w:t>
      </w:r>
    </w:p>
    <w:p w14:paraId="7D8A76AD" w14:textId="5FEFA002" w:rsidR="00152E62" w:rsidRDefault="00152E62" w:rsidP="00152E62">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5</w:t>
      </w:r>
      <w:r w:rsidRPr="001520D3">
        <w:rPr>
          <w:rFonts w:ascii="Griffith Sans Text" w:hAnsi="Griffith Sans Text"/>
        </w:rPr>
        <w:t xml:space="preserve"> </w:t>
      </w:r>
      <w:r>
        <w:rPr>
          <w:rFonts w:ascii="Griffith Sans Text" w:hAnsi="Griffith Sans Text"/>
        </w:rPr>
        <w:t>Documentation and Record Keeping</w:t>
      </w:r>
    </w:p>
    <w:p w14:paraId="7EF758AA" w14:textId="61821A72" w:rsidR="00152E62" w:rsidRDefault="008E1620" w:rsidP="008E1620">
      <w:pPr>
        <w:pStyle w:val="NormalWhite"/>
        <w:spacing w:before="120" w:after="120" w:line="240" w:lineRule="auto"/>
        <w:ind w:left="567"/>
        <w:rPr>
          <w:rFonts w:cs="Arial"/>
          <w:color w:val="auto"/>
          <w:sz w:val="22"/>
        </w:rPr>
      </w:pPr>
      <w:r w:rsidRPr="008E1620">
        <w:rPr>
          <w:rFonts w:cs="Arial"/>
          <w:color w:val="auto"/>
          <w:sz w:val="22"/>
        </w:rPr>
        <w:t>Regardless of what tier classification a compliance obligation falls in, internal controls for compliance should be documented and auditable, enabling the University to:</w:t>
      </w:r>
    </w:p>
    <w:p w14:paraId="2D61EDA4" w14:textId="37DFF738" w:rsidR="0094121D" w:rsidRPr="0094121D" w:rsidRDefault="0094121D" w:rsidP="00723D62">
      <w:pPr>
        <w:pStyle w:val="NormalWhite"/>
        <w:numPr>
          <w:ilvl w:val="0"/>
          <w:numId w:val="30"/>
        </w:numPr>
        <w:spacing w:before="120" w:after="120" w:line="240" w:lineRule="auto"/>
        <w:ind w:left="924" w:hanging="357"/>
        <w:jc w:val="left"/>
        <w:rPr>
          <w:rFonts w:cs="Arial"/>
          <w:color w:val="auto"/>
          <w:sz w:val="22"/>
        </w:rPr>
      </w:pPr>
      <w:r w:rsidRPr="0094121D">
        <w:rPr>
          <w:rFonts w:cs="Arial"/>
          <w:color w:val="auto"/>
          <w:sz w:val="22"/>
        </w:rPr>
        <w:t>communicate required processes, practices, or actions to relevant parties</w:t>
      </w:r>
      <w:r w:rsidR="00723D62">
        <w:rPr>
          <w:rFonts w:cs="Arial"/>
          <w:color w:val="auto"/>
          <w:sz w:val="22"/>
        </w:rPr>
        <w:t>.</w:t>
      </w:r>
    </w:p>
    <w:p w14:paraId="20E669B9" w14:textId="25E6CD4D" w:rsidR="0094121D" w:rsidRPr="0094121D" w:rsidRDefault="0094121D" w:rsidP="00723D62">
      <w:pPr>
        <w:pStyle w:val="NormalWhite"/>
        <w:numPr>
          <w:ilvl w:val="0"/>
          <w:numId w:val="30"/>
        </w:numPr>
        <w:spacing w:before="120" w:after="120" w:line="240" w:lineRule="auto"/>
        <w:ind w:left="924" w:hanging="357"/>
        <w:jc w:val="left"/>
        <w:rPr>
          <w:rFonts w:cs="Arial"/>
          <w:color w:val="auto"/>
          <w:sz w:val="22"/>
        </w:rPr>
      </w:pPr>
      <w:r w:rsidRPr="0094121D">
        <w:rPr>
          <w:rFonts w:cs="Arial"/>
          <w:color w:val="auto"/>
          <w:sz w:val="22"/>
        </w:rPr>
        <w:t xml:space="preserve">demonstrate how it responds to compliance requirements, and </w:t>
      </w:r>
    </w:p>
    <w:p w14:paraId="6BA367CB" w14:textId="274DA2A8" w:rsidR="0094121D" w:rsidRDefault="0094121D" w:rsidP="00723D62">
      <w:pPr>
        <w:pStyle w:val="NormalWhite"/>
        <w:numPr>
          <w:ilvl w:val="0"/>
          <w:numId w:val="30"/>
        </w:numPr>
        <w:spacing w:before="120" w:after="120" w:line="240" w:lineRule="auto"/>
        <w:ind w:left="924" w:hanging="357"/>
        <w:jc w:val="left"/>
        <w:rPr>
          <w:rFonts w:cs="Arial"/>
          <w:color w:val="auto"/>
          <w:sz w:val="22"/>
        </w:rPr>
      </w:pPr>
      <w:r w:rsidRPr="0094121D">
        <w:rPr>
          <w:rFonts w:cs="Arial"/>
          <w:color w:val="auto"/>
          <w:sz w:val="22"/>
        </w:rPr>
        <w:t>enable the adequacy of that response to be reviewed and tested (e.g. by an incoming manager or internal audit).</w:t>
      </w:r>
    </w:p>
    <w:p w14:paraId="1949F772" w14:textId="77777777" w:rsidR="00236856" w:rsidRPr="00236856" w:rsidRDefault="00236856" w:rsidP="00236856">
      <w:pPr>
        <w:pStyle w:val="NormalWhite"/>
        <w:spacing w:before="120" w:after="120" w:line="240" w:lineRule="auto"/>
        <w:ind w:left="567"/>
        <w:rPr>
          <w:rFonts w:cs="Arial"/>
          <w:color w:val="auto"/>
          <w:sz w:val="22"/>
        </w:rPr>
      </w:pPr>
      <w:r w:rsidRPr="00236856">
        <w:rPr>
          <w:rFonts w:cs="Arial"/>
          <w:color w:val="auto"/>
          <w:sz w:val="22"/>
        </w:rPr>
        <w:t xml:space="preserve">The documentation should be appropriate to the specific operating environment that the obligation applies to. It does not need to be a formal policy or procedure and may take the form of, for example: </w:t>
      </w:r>
      <w:r w:rsidRPr="00236856">
        <w:rPr>
          <w:rFonts w:cs="Arial"/>
          <w:color w:val="auto"/>
          <w:sz w:val="22"/>
        </w:rPr>
        <w:lastRenderedPageBreak/>
        <w:t>local manuals or protocols, training materials, contractual clauses, process maps, meeting agendas, papers or minutes, and workplace communication materials such as posters or reports.</w:t>
      </w:r>
    </w:p>
    <w:p w14:paraId="611A1BB5" w14:textId="107BBCF7" w:rsidR="00236856" w:rsidRPr="008E1620" w:rsidRDefault="00236856" w:rsidP="00236856">
      <w:pPr>
        <w:pStyle w:val="NormalWhite"/>
        <w:spacing w:before="120" w:after="120" w:line="240" w:lineRule="auto"/>
        <w:ind w:left="567"/>
        <w:jc w:val="left"/>
        <w:rPr>
          <w:rFonts w:cs="Arial"/>
          <w:color w:val="auto"/>
          <w:sz w:val="22"/>
        </w:rPr>
      </w:pPr>
      <w:r w:rsidRPr="00236856">
        <w:rPr>
          <w:rFonts w:cs="Arial"/>
          <w:color w:val="auto"/>
          <w:sz w:val="22"/>
        </w:rPr>
        <w:t>Good record</w:t>
      </w:r>
      <w:r w:rsidR="0007221B">
        <w:rPr>
          <w:rFonts w:cs="Arial"/>
          <w:color w:val="auto"/>
          <w:sz w:val="22"/>
        </w:rPr>
        <w:t xml:space="preserve"> </w:t>
      </w:r>
      <w:r w:rsidRPr="00236856">
        <w:rPr>
          <w:rFonts w:cs="Arial"/>
          <w:color w:val="auto"/>
          <w:sz w:val="22"/>
        </w:rPr>
        <w:t xml:space="preserve">keeping practices – important for all University activities – takes on added importance when conducting activities regulated by legislation. In addition to general obligations under the </w:t>
      </w:r>
      <w:r w:rsidRPr="0007221B">
        <w:rPr>
          <w:rFonts w:cs="Arial"/>
          <w:i/>
          <w:iCs/>
          <w:color w:val="auto"/>
          <w:sz w:val="22"/>
        </w:rPr>
        <w:t>Public Records Act 2002 (Qld)</w:t>
      </w:r>
      <w:r w:rsidRPr="00236856">
        <w:rPr>
          <w:rFonts w:cs="Arial"/>
          <w:color w:val="auto"/>
          <w:sz w:val="22"/>
        </w:rPr>
        <w:t>, legislation commonly creates specific record keeping requirements including penalties for non-compliance. See the Information Management Policy for more detail.</w:t>
      </w:r>
    </w:p>
    <w:p w14:paraId="7F041E77" w14:textId="62B1D911" w:rsidR="00CA66CE" w:rsidRDefault="00CA66CE" w:rsidP="00CA66CE">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6</w:t>
      </w:r>
      <w:r w:rsidRPr="001520D3">
        <w:rPr>
          <w:rFonts w:ascii="Griffith Sans Text" w:hAnsi="Griffith Sans Text"/>
        </w:rPr>
        <w:t xml:space="preserve"> </w:t>
      </w:r>
      <w:r>
        <w:rPr>
          <w:rFonts w:ascii="Griffith Sans Text" w:hAnsi="Griffith Sans Text"/>
        </w:rPr>
        <w:t>Reporting of Legislative Compliance Breaches</w:t>
      </w:r>
    </w:p>
    <w:p w14:paraId="2AEFFA72" w14:textId="4F995B45" w:rsidR="00D246FF" w:rsidRPr="00D246FF" w:rsidRDefault="00D246FF" w:rsidP="00D246FF">
      <w:pPr>
        <w:pStyle w:val="NormalWhite"/>
        <w:spacing w:before="120" w:after="120" w:line="240" w:lineRule="auto"/>
        <w:ind w:left="567"/>
        <w:rPr>
          <w:rFonts w:cs="Arial"/>
          <w:color w:val="auto"/>
          <w:sz w:val="22"/>
        </w:rPr>
      </w:pPr>
      <w:r w:rsidRPr="00D246FF">
        <w:rPr>
          <w:rFonts w:cs="Arial"/>
          <w:color w:val="auto"/>
          <w:sz w:val="22"/>
        </w:rPr>
        <w:t xml:space="preserve">All staff should report suspected, </w:t>
      </w:r>
      <w:proofErr w:type="gramStart"/>
      <w:r w:rsidRPr="00D246FF">
        <w:rPr>
          <w:rFonts w:cs="Arial"/>
          <w:color w:val="auto"/>
          <w:sz w:val="22"/>
        </w:rPr>
        <w:t>actual</w:t>
      </w:r>
      <w:proofErr w:type="gramEnd"/>
      <w:r w:rsidRPr="00D246FF">
        <w:rPr>
          <w:rFonts w:cs="Arial"/>
          <w:color w:val="auto"/>
          <w:sz w:val="22"/>
        </w:rPr>
        <w:t xml:space="preserve"> or potential breaches to the staff’s line manager in first instance, to be escalated to the respective Head of Element. The Head of Element is responsible for investigating and when a breach or near miss is established</w:t>
      </w:r>
      <w:r w:rsidR="00A02EB6">
        <w:rPr>
          <w:rFonts w:cs="Arial"/>
          <w:color w:val="auto"/>
          <w:sz w:val="22"/>
        </w:rPr>
        <w:t xml:space="preserve"> </w:t>
      </w:r>
      <w:r w:rsidRPr="00D246FF">
        <w:rPr>
          <w:rFonts w:cs="Arial"/>
          <w:color w:val="auto"/>
          <w:sz w:val="22"/>
        </w:rPr>
        <w:t>(in consultation with Legal Services, as required), reporting the matter using the Compliance Breach Reporting Form which will be available through the Griffith University Compliance Intranet page.</w:t>
      </w:r>
    </w:p>
    <w:p w14:paraId="5367B68A" w14:textId="508B8F99" w:rsidR="00D246FF" w:rsidRPr="00D246FF" w:rsidRDefault="00D246FF" w:rsidP="00D246FF">
      <w:pPr>
        <w:pStyle w:val="NormalWhite"/>
        <w:spacing w:before="120" w:after="120" w:line="240" w:lineRule="auto"/>
        <w:ind w:left="567"/>
        <w:rPr>
          <w:rFonts w:cs="Arial"/>
          <w:color w:val="auto"/>
          <w:sz w:val="22"/>
        </w:rPr>
      </w:pPr>
      <w:r w:rsidRPr="00D246FF">
        <w:rPr>
          <w:rFonts w:cs="Arial"/>
          <w:color w:val="auto"/>
          <w:sz w:val="22"/>
        </w:rPr>
        <w:t xml:space="preserve">Breaches which fall within Table 2 below must be reported through to the </w:t>
      </w:r>
      <w:r w:rsidR="002E2B97">
        <w:rPr>
          <w:rFonts w:cs="Arial"/>
          <w:color w:val="auto"/>
          <w:sz w:val="22"/>
        </w:rPr>
        <w:t>c</w:t>
      </w:r>
      <w:r w:rsidRPr="00D246FF">
        <w:rPr>
          <w:rFonts w:cs="Arial"/>
          <w:color w:val="auto"/>
          <w:sz w:val="22"/>
        </w:rPr>
        <w:t xml:space="preserve">ompliance </w:t>
      </w:r>
      <w:r w:rsidR="002E2B97">
        <w:rPr>
          <w:rFonts w:cs="Arial"/>
          <w:color w:val="auto"/>
          <w:sz w:val="22"/>
        </w:rPr>
        <w:t>f</w:t>
      </w:r>
      <w:r w:rsidRPr="00D246FF">
        <w:rPr>
          <w:rFonts w:cs="Arial"/>
          <w:color w:val="auto"/>
          <w:sz w:val="22"/>
        </w:rPr>
        <w:t>unction and General Counsel as head of that function. The purpose is to ensure that the General Counsel is aware of any breach of legislation and is able to ensure that appropriate remediation action is being taken by the University.</w:t>
      </w:r>
    </w:p>
    <w:p w14:paraId="1D9E30E9" w14:textId="4CD29EC7" w:rsidR="00D246FF" w:rsidRPr="001076F2" w:rsidRDefault="00D246FF" w:rsidP="00D246FF">
      <w:pPr>
        <w:pStyle w:val="NormalWhite"/>
        <w:spacing w:before="120" w:after="120" w:line="240" w:lineRule="auto"/>
        <w:ind w:left="567"/>
        <w:rPr>
          <w:rFonts w:cs="Arial"/>
          <w:b/>
          <w:bCs/>
          <w:color w:val="auto"/>
          <w:sz w:val="22"/>
        </w:rPr>
      </w:pPr>
      <w:r w:rsidRPr="001076F2">
        <w:rPr>
          <w:rFonts w:cs="Arial"/>
          <w:b/>
          <w:bCs/>
          <w:color w:val="auto"/>
          <w:sz w:val="22"/>
        </w:rPr>
        <w:t>Table 2 – Scope of Breach Reporting under this Procedure</w:t>
      </w:r>
    </w:p>
    <w:tbl>
      <w:tblPr>
        <w:tblStyle w:val="TableGrid"/>
        <w:tblW w:w="0" w:type="auto"/>
        <w:tblLook w:val="04A0" w:firstRow="1" w:lastRow="0" w:firstColumn="1" w:lastColumn="0" w:noHBand="0" w:noVBand="1"/>
      </w:tblPr>
      <w:tblGrid>
        <w:gridCol w:w="5098"/>
        <w:gridCol w:w="5438"/>
      </w:tblGrid>
      <w:tr w:rsidR="00800172" w14:paraId="1BCF11F1" w14:textId="77777777" w:rsidTr="00FE1850">
        <w:trPr>
          <w:trHeight w:val="432"/>
        </w:trPr>
        <w:tc>
          <w:tcPr>
            <w:tcW w:w="5098" w:type="dxa"/>
            <w:shd w:val="clear" w:color="auto" w:fill="595959" w:themeFill="text1" w:themeFillTint="A6"/>
          </w:tcPr>
          <w:p w14:paraId="76FABE2B" w14:textId="77777777" w:rsidR="00800172" w:rsidRPr="00800172" w:rsidRDefault="00800172" w:rsidP="004627D8">
            <w:pPr>
              <w:spacing w:before="120" w:after="120"/>
              <w:rPr>
                <w:rFonts w:ascii="Arial" w:hAnsi="Arial" w:cs="Arial"/>
                <w:b/>
                <w:bCs/>
                <w:color w:val="FFFFFF" w:themeColor="background1"/>
                <w:sz w:val="22"/>
              </w:rPr>
            </w:pPr>
            <w:r w:rsidRPr="00800172">
              <w:rPr>
                <w:rFonts w:ascii="Arial" w:hAnsi="Arial" w:cs="Arial"/>
                <w:b/>
                <w:bCs/>
                <w:color w:val="FFFFFF" w:themeColor="background1"/>
                <w:sz w:val="22"/>
              </w:rPr>
              <w:t>IN SCOPE</w:t>
            </w:r>
          </w:p>
        </w:tc>
        <w:tc>
          <w:tcPr>
            <w:tcW w:w="5438" w:type="dxa"/>
            <w:shd w:val="clear" w:color="auto" w:fill="595959" w:themeFill="text1" w:themeFillTint="A6"/>
          </w:tcPr>
          <w:p w14:paraId="0C5E6180" w14:textId="77777777" w:rsidR="00800172" w:rsidRPr="00800172" w:rsidRDefault="00800172" w:rsidP="004627D8">
            <w:pPr>
              <w:spacing w:before="120" w:after="120"/>
              <w:rPr>
                <w:rFonts w:ascii="Arial" w:hAnsi="Arial" w:cs="Arial"/>
                <w:sz w:val="22"/>
              </w:rPr>
            </w:pPr>
            <w:r w:rsidRPr="00800172">
              <w:rPr>
                <w:rFonts w:ascii="Arial" w:hAnsi="Arial" w:cs="Arial"/>
                <w:b/>
                <w:bCs/>
                <w:color w:val="FFFFFF" w:themeColor="background1"/>
                <w:sz w:val="22"/>
              </w:rPr>
              <w:t>OUT OF SCOPE</w:t>
            </w:r>
          </w:p>
        </w:tc>
      </w:tr>
      <w:tr w:rsidR="00800172" w14:paraId="778C2A9E" w14:textId="77777777" w:rsidTr="00FE1850">
        <w:trPr>
          <w:trHeight w:val="1907"/>
        </w:trPr>
        <w:tc>
          <w:tcPr>
            <w:tcW w:w="5098" w:type="dxa"/>
          </w:tcPr>
          <w:p w14:paraId="71F004FE" w14:textId="77777777" w:rsidR="00800172" w:rsidRPr="00800172" w:rsidRDefault="00800172" w:rsidP="00800172">
            <w:pPr>
              <w:pStyle w:val="ListParagraph"/>
              <w:numPr>
                <w:ilvl w:val="0"/>
                <w:numId w:val="38"/>
              </w:numPr>
              <w:spacing w:before="120"/>
              <w:contextualSpacing/>
              <w:rPr>
                <w:rFonts w:ascii="Arial" w:hAnsi="Arial" w:cs="Arial"/>
                <w:sz w:val="22"/>
                <w:lang w:eastAsia="en-GB"/>
              </w:rPr>
            </w:pPr>
            <w:r w:rsidRPr="00800172">
              <w:rPr>
                <w:rFonts w:ascii="Arial" w:hAnsi="Arial" w:cs="Arial"/>
                <w:sz w:val="22"/>
                <w:lang w:eastAsia="en-GB"/>
              </w:rPr>
              <w:t>Breaches of legislative compliance obligations by the University, regardless of the Tier</w:t>
            </w:r>
          </w:p>
          <w:p w14:paraId="1FFC7831" w14:textId="77777777" w:rsidR="00800172" w:rsidRPr="00800172" w:rsidRDefault="00800172" w:rsidP="00800172">
            <w:pPr>
              <w:pStyle w:val="ListParagraph"/>
              <w:numPr>
                <w:ilvl w:val="0"/>
                <w:numId w:val="38"/>
              </w:numPr>
              <w:contextualSpacing/>
              <w:rPr>
                <w:rFonts w:ascii="Arial" w:hAnsi="Arial" w:cs="Arial"/>
                <w:sz w:val="22"/>
                <w:lang w:eastAsia="en-GB"/>
              </w:rPr>
            </w:pPr>
            <w:r w:rsidRPr="00800172">
              <w:rPr>
                <w:rFonts w:ascii="Arial" w:hAnsi="Arial" w:cs="Arial"/>
                <w:sz w:val="22"/>
                <w:lang w:eastAsia="en-GB"/>
              </w:rPr>
              <w:t>Near miss incidents, where a breach would have occurred but for a fortunate set of circumstances, indicating a weakness in compliance controls.</w:t>
            </w:r>
          </w:p>
          <w:p w14:paraId="339BA347" w14:textId="77777777" w:rsidR="00800172" w:rsidRPr="00800172" w:rsidRDefault="00800172" w:rsidP="004627D8">
            <w:pPr>
              <w:spacing w:after="100" w:afterAutospacing="1"/>
              <w:rPr>
                <w:rFonts w:ascii="Arial" w:hAnsi="Arial" w:cs="Arial"/>
                <w:sz w:val="22"/>
              </w:rPr>
            </w:pPr>
          </w:p>
        </w:tc>
        <w:tc>
          <w:tcPr>
            <w:tcW w:w="5438" w:type="dxa"/>
          </w:tcPr>
          <w:p w14:paraId="74D3AC76" w14:textId="77777777" w:rsidR="00800172" w:rsidRPr="00800172" w:rsidRDefault="00800172" w:rsidP="00800172">
            <w:pPr>
              <w:pStyle w:val="ListParagraph"/>
              <w:numPr>
                <w:ilvl w:val="0"/>
                <w:numId w:val="38"/>
              </w:numPr>
              <w:spacing w:before="120" w:after="120"/>
              <w:contextualSpacing/>
              <w:rPr>
                <w:rFonts w:ascii="Arial" w:hAnsi="Arial" w:cs="Arial"/>
                <w:sz w:val="22"/>
              </w:rPr>
            </w:pPr>
            <w:r w:rsidRPr="00800172">
              <w:rPr>
                <w:rFonts w:ascii="Arial" w:hAnsi="Arial" w:cs="Arial"/>
                <w:sz w:val="22"/>
                <w:lang w:eastAsia="en-GB"/>
              </w:rPr>
              <w:t xml:space="preserve">Breaches of internal policies and procedures by staff or </w:t>
            </w:r>
            <w:proofErr w:type="gramStart"/>
            <w:r w:rsidRPr="00800172">
              <w:rPr>
                <w:rFonts w:ascii="Arial" w:hAnsi="Arial" w:cs="Arial"/>
                <w:sz w:val="22"/>
                <w:lang w:eastAsia="en-GB"/>
              </w:rPr>
              <w:t>students, unless</w:t>
            </w:r>
            <w:proofErr w:type="gramEnd"/>
            <w:r w:rsidRPr="00800172">
              <w:rPr>
                <w:rFonts w:ascii="Arial" w:hAnsi="Arial" w:cs="Arial"/>
                <w:sz w:val="22"/>
                <w:lang w:eastAsia="en-GB"/>
              </w:rPr>
              <w:t xml:space="preserve"> the breach also amounts to a breach of law.</w:t>
            </w:r>
          </w:p>
        </w:tc>
      </w:tr>
    </w:tbl>
    <w:p w14:paraId="7D5D14FA" w14:textId="3997069A" w:rsidR="00800172" w:rsidRPr="00BB7314" w:rsidRDefault="00BB7314" w:rsidP="00D246FF">
      <w:pPr>
        <w:pStyle w:val="NormalWhite"/>
        <w:spacing w:before="120" w:after="120" w:line="240" w:lineRule="auto"/>
        <w:ind w:left="567"/>
        <w:rPr>
          <w:rFonts w:cs="Arial"/>
          <w:i/>
          <w:iCs/>
          <w:color w:val="auto"/>
          <w:sz w:val="22"/>
        </w:rPr>
      </w:pPr>
      <w:r w:rsidRPr="00BB7314">
        <w:rPr>
          <w:rFonts w:cs="Arial"/>
          <w:i/>
          <w:iCs/>
          <w:color w:val="auto"/>
          <w:sz w:val="22"/>
        </w:rPr>
        <w:t>Reports should be made promptly, ensuring that the appropriate University officers are aware and so that actions can be put in plan to prevent the breach or lessen the consequence of the breach.</w:t>
      </w:r>
    </w:p>
    <w:p w14:paraId="25246759" w14:textId="4075ED5D" w:rsidR="00481A84" w:rsidRDefault="00A57DF9" w:rsidP="00A57DF9">
      <w:pPr>
        <w:pStyle w:val="NormalWhite"/>
        <w:spacing w:before="120" w:after="120" w:line="240" w:lineRule="auto"/>
        <w:ind w:left="567"/>
        <w:rPr>
          <w:rFonts w:cs="Arial"/>
          <w:color w:val="auto"/>
          <w:sz w:val="22"/>
        </w:rPr>
      </w:pPr>
      <w:r w:rsidRPr="00A57DF9">
        <w:rPr>
          <w:rFonts w:cs="Arial"/>
          <w:color w:val="auto"/>
          <w:sz w:val="22"/>
        </w:rPr>
        <w:t>Volunteers, visitors, guests, students, subcontractors are encouraged to report breaches through the YourCall hotline.</w:t>
      </w:r>
    </w:p>
    <w:p w14:paraId="3B37BF0B" w14:textId="0DA5835B" w:rsidR="0014590D" w:rsidRDefault="0014590D" w:rsidP="00A57DF9">
      <w:pPr>
        <w:pStyle w:val="NormalWhite"/>
        <w:spacing w:before="120" w:after="120" w:line="240" w:lineRule="auto"/>
        <w:ind w:left="567"/>
        <w:rPr>
          <w:rFonts w:cs="Arial"/>
          <w:color w:val="auto"/>
          <w:sz w:val="22"/>
        </w:rPr>
      </w:pPr>
      <w:r w:rsidRPr="0014590D">
        <w:rPr>
          <w:rFonts w:cs="Arial"/>
          <w:color w:val="auto"/>
          <w:sz w:val="22"/>
        </w:rPr>
        <w:t xml:space="preserve">A central register of compliance breaches will be maintained by the </w:t>
      </w:r>
      <w:r>
        <w:rPr>
          <w:rFonts w:cs="Arial"/>
          <w:color w:val="auto"/>
          <w:sz w:val="22"/>
        </w:rPr>
        <w:t>c</w:t>
      </w:r>
      <w:r w:rsidRPr="0014590D">
        <w:rPr>
          <w:rFonts w:cs="Arial"/>
          <w:color w:val="auto"/>
          <w:sz w:val="22"/>
        </w:rPr>
        <w:t xml:space="preserve">ompliance </w:t>
      </w:r>
      <w:r>
        <w:rPr>
          <w:rFonts w:cs="Arial"/>
          <w:color w:val="auto"/>
          <w:sz w:val="22"/>
        </w:rPr>
        <w:t>f</w:t>
      </w:r>
      <w:r w:rsidRPr="0014590D">
        <w:rPr>
          <w:rFonts w:cs="Arial"/>
          <w:color w:val="auto"/>
          <w:sz w:val="22"/>
        </w:rPr>
        <w:t>unction detailing:</w:t>
      </w:r>
    </w:p>
    <w:p w14:paraId="65B2C8A5" w14:textId="1DE6E161" w:rsidR="00D92A2A" w:rsidRPr="00D92A2A" w:rsidRDefault="00D92A2A" w:rsidP="00D92A2A">
      <w:pPr>
        <w:pStyle w:val="NormalWhite"/>
        <w:numPr>
          <w:ilvl w:val="0"/>
          <w:numId w:val="30"/>
        </w:numPr>
        <w:spacing w:before="120" w:after="120" w:line="240" w:lineRule="auto"/>
        <w:ind w:left="924" w:hanging="357"/>
        <w:jc w:val="left"/>
        <w:rPr>
          <w:rFonts w:cs="Arial"/>
          <w:color w:val="auto"/>
          <w:sz w:val="22"/>
        </w:rPr>
      </w:pPr>
      <w:r w:rsidRPr="00D92A2A">
        <w:rPr>
          <w:rFonts w:cs="Arial"/>
          <w:color w:val="auto"/>
          <w:sz w:val="22"/>
        </w:rPr>
        <w:t>the relevant compliance obligation</w:t>
      </w:r>
    </w:p>
    <w:p w14:paraId="16C858B5" w14:textId="4EFC34C3" w:rsidR="00D92A2A" w:rsidRPr="00D92A2A" w:rsidRDefault="00D92A2A" w:rsidP="00D92A2A">
      <w:pPr>
        <w:pStyle w:val="NormalWhite"/>
        <w:numPr>
          <w:ilvl w:val="0"/>
          <w:numId w:val="30"/>
        </w:numPr>
        <w:spacing w:before="120" w:after="120" w:line="240" w:lineRule="auto"/>
        <w:ind w:left="924" w:hanging="357"/>
        <w:jc w:val="left"/>
        <w:rPr>
          <w:rFonts w:cs="Arial"/>
          <w:color w:val="auto"/>
          <w:sz w:val="22"/>
        </w:rPr>
      </w:pPr>
      <w:r w:rsidRPr="00D92A2A">
        <w:rPr>
          <w:rFonts w:cs="Arial"/>
          <w:color w:val="auto"/>
          <w:sz w:val="22"/>
        </w:rPr>
        <w:t>the date the breach or near miss was identified</w:t>
      </w:r>
    </w:p>
    <w:p w14:paraId="1EFFC769" w14:textId="390BB3D3" w:rsidR="00D92A2A" w:rsidRPr="00D92A2A" w:rsidRDefault="00D92A2A" w:rsidP="00D92A2A">
      <w:pPr>
        <w:pStyle w:val="NormalWhite"/>
        <w:numPr>
          <w:ilvl w:val="0"/>
          <w:numId w:val="30"/>
        </w:numPr>
        <w:spacing w:before="120" w:after="120" w:line="240" w:lineRule="auto"/>
        <w:ind w:left="924" w:hanging="357"/>
        <w:jc w:val="left"/>
        <w:rPr>
          <w:rFonts w:cs="Arial"/>
          <w:color w:val="auto"/>
          <w:sz w:val="22"/>
        </w:rPr>
      </w:pPr>
      <w:r w:rsidRPr="00D92A2A">
        <w:rPr>
          <w:rFonts w:cs="Arial"/>
          <w:color w:val="auto"/>
          <w:sz w:val="22"/>
        </w:rPr>
        <w:t>a description of the circumstances</w:t>
      </w:r>
    </w:p>
    <w:p w14:paraId="5591CEB3" w14:textId="0EC6F271" w:rsidR="00D92A2A" w:rsidRPr="00D92A2A" w:rsidRDefault="00D92A2A" w:rsidP="00D92A2A">
      <w:pPr>
        <w:pStyle w:val="NormalWhite"/>
        <w:numPr>
          <w:ilvl w:val="0"/>
          <w:numId w:val="30"/>
        </w:numPr>
        <w:spacing w:before="120" w:after="120" w:line="240" w:lineRule="auto"/>
        <w:ind w:left="924" w:hanging="357"/>
        <w:jc w:val="left"/>
        <w:rPr>
          <w:rFonts w:cs="Arial"/>
          <w:color w:val="auto"/>
          <w:sz w:val="22"/>
        </w:rPr>
      </w:pPr>
      <w:r w:rsidRPr="00D92A2A">
        <w:rPr>
          <w:rFonts w:cs="Arial"/>
          <w:color w:val="auto"/>
          <w:sz w:val="22"/>
        </w:rPr>
        <w:t>a consequence rating based on the Enterprise Risk Management Framework</w:t>
      </w:r>
    </w:p>
    <w:p w14:paraId="55B394C6" w14:textId="61D7DF58" w:rsidR="00D92A2A" w:rsidRPr="00D92A2A" w:rsidRDefault="00D92A2A" w:rsidP="00D92A2A">
      <w:pPr>
        <w:pStyle w:val="NormalWhite"/>
        <w:numPr>
          <w:ilvl w:val="0"/>
          <w:numId w:val="30"/>
        </w:numPr>
        <w:spacing w:before="120" w:after="120" w:line="240" w:lineRule="auto"/>
        <w:ind w:left="924" w:hanging="357"/>
        <w:jc w:val="left"/>
        <w:rPr>
          <w:rFonts w:cs="Arial"/>
          <w:color w:val="auto"/>
          <w:sz w:val="22"/>
        </w:rPr>
      </w:pPr>
      <w:r w:rsidRPr="00D92A2A">
        <w:rPr>
          <w:rFonts w:cs="Arial"/>
          <w:color w:val="auto"/>
          <w:sz w:val="22"/>
        </w:rPr>
        <w:t>action taken to mitigate</w:t>
      </w:r>
    </w:p>
    <w:p w14:paraId="6F86A0E7" w14:textId="29F4EC8E" w:rsidR="00D92A2A" w:rsidRDefault="00D92A2A" w:rsidP="00D92A2A">
      <w:pPr>
        <w:pStyle w:val="NormalWhite"/>
        <w:numPr>
          <w:ilvl w:val="0"/>
          <w:numId w:val="30"/>
        </w:numPr>
        <w:spacing w:before="120" w:after="120" w:line="240" w:lineRule="auto"/>
        <w:ind w:left="924" w:hanging="357"/>
        <w:jc w:val="left"/>
        <w:rPr>
          <w:rFonts w:cs="Arial"/>
          <w:color w:val="auto"/>
          <w:sz w:val="22"/>
        </w:rPr>
      </w:pPr>
      <w:r w:rsidRPr="00D92A2A">
        <w:rPr>
          <w:rFonts w:cs="Arial"/>
          <w:color w:val="auto"/>
          <w:sz w:val="22"/>
        </w:rPr>
        <w:t>the status of the breach (open or closed)</w:t>
      </w:r>
      <w:r>
        <w:rPr>
          <w:rFonts w:cs="Arial"/>
          <w:color w:val="auto"/>
          <w:sz w:val="22"/>
        </w:rPr>
        <w:t>.</w:t>
      </w:r>
    </w:p>
    <w:p w14:paraId="0A1AD7B5" w14:textId="6A182F3F" w:rsidR="005730BC" w:rsidRPr="003328B7" w:rsidRDefault="005730BC" w:rsidP="005730BC">
      <w:pPr>
        <w:pStyle w:val="NormalWhite"/>
        <w:spacing w:before="120" w:after="120" w:line="240" w:lineRule="auto"/>
        <w:ind w:left="567"/>
        <w:rPr>
          <w:rFonts w:cs="Arial"/>
          <w:color w:val="auto"/>
          <w:sz w:val="22"/>
        </w:rPr>
      </w:pPr>
      <w:r w:rsidRPr="005730BC">
        <w:rPr>
          <w:rFonts w:cs="Arial"/>
          <w:color w:val="auto"/>
          <w:sz w:val="22"/>
        </w:rPr>
        <w:t>The register of compliance breaches will be used to report to senior management and the Audit</w:t>
      </w:r>
      <w:r w:rsidR="00F511F1">
        <w:rPr>
          <w:rFonts w:cs="Arial"/>
          <w:color w:val="auto"/>
          <w:sz w:val="22"/>
        </w:rPr>
        <w:t xml:space="preserve"> and Risk</w:t>
      </w:r>
      <w:r w:rsidRPr="005730BC">
        <w:rPr>
          <w:rFonts w:cs="Arial"/>
          <w:color w:val="auto"/>
          <w:sz w:val="22"/>
        </w:rPr>
        <w:t xml:space="preserve"> Committee about any serious breaches and actions taken to respond. The register will be a confidential document managed within the </w:t>
      </w:r>
      <w:r>
        <w:rPr>
          <w:rFonts w:cs="Arial"/>
          <w:color w:val="auto"/>
          <w:sz w:val="22"/>
        </w:rPr>
        <w:t>c</w:t>
      </w:r>
      <w:r w:rsidRPr="005730BC">
        <w:rPr>
          <w:rFonts w:cs="Arial"/>
          <w:color w:val="auto"/>
          <w:sz w:val="22"/>
        </w:rPr>
        <w:t xml:space="preserve">ompliance </w:t>
      </w:r>
      <w:r>
        <w:rPr>
          <w:rFonts w:cs="Arial"/>
          <w:color w:val="auto"/>
          <w:sz w:val="22"/>
        </w:rPr>
        <w:t>f</w:t>
      </w:r>
      <w:r w:rsidRPr="005730BC">
        <w:rPr>
          <w:rFonts w:cs="Arial"/>
          <w:color w:val="auto"/>
          <w:sz w:val="22"/>
        </w:rPr>
        <w:t>unction.</w:t>
      </w:r>
    </w:p>
    <w:p w14:paraId="73A61265" w14:textId="7DD799E3" w:rsidR="00383C2C" w:rsidRDefault="00383C2C" w:rsidP="00383C2C">
      <w:pPr>
        <w:pStyle w:val="Heading3"/>
        <w:ind w:left="567"/>
        <w:rPr>
          <w:rFonts w:ascii="Griffith Sans Text" w:hAnsi="Griffith Sans Text"/>
        </w:rPr>
      </w:pPr>
      <w:r w:rsidRPr="001520D3">
        <w:rPr>
          <w:rFonts w:ascii="Griffith Sans Text" w:hAnsi="Griffith Sans Text"/>
        </w:rPr>
        <w:lastRenderedPageBreak/>
        <w:t>3.</w:t>
      </w:r>
      <w:r>
        <w:rPr>
          <w:rFonts w:ascii="Griffith Sans Text" w:hAnsi="Griffith Sans Text"/>
        </w:rPr>
        <w:t>7</w:t>
      </w:r>
      <w:r w:rsidRPr="001520D3">
        <w:rPr>
          <w:rFonts w:ascii="Griffith Sans Text" w:hAnsi="Griffith Sans Text"/>
        </w:rPr>
        <w:t xml:space="preserve"> </w:t>
      </w:r>
      <w:r>
        <w:rPr>
          <w:rFonts w:ascii="Griffith Sans Text" w:hAnsi="Griffith Sans Text"/>
        </w:rPr>
        <w:t xml:space="preserve">Monitoring Regulatory </w:t>
      </w:r>
      <w:r w:rsidR="00F74570">
        <w:rPr>
          <w:rFonts w:ascii="Griffith Sans Text" w:hAnsi="Griffith Sans Text"/>
        </w:rPr>
        <w:t>Correspondence</w:t>
      </w:r>
    </w:p>
    <w:p w14:paraId="396A1A47" w14:textId="54E20515" w:rsidR="002777E3" w:rsidRDefault="002777E3" w:rsidP="002777E3">
      <w:pPr>
        <w:pStyle w:val="NormalWhite"/>
        <w:spacing w:before="120" w:after="120" w:line="240" w:lineRule="auto"/>
        <w:ind w:left="567"/>
        <w:rPr>
          <w:rFonts w:cs="Arial"/>
          <w:color w:val="auto"/>
          <w:sz w:val="22"/>
        </w:rPr>
      </w:pPr>
      <w:r w:rsidRPr="002777E3">
        <w:rPr>
          <w:rFonts w:cs="Arial"/>
          <w:color w:val="auto"/>
          <w:sz w:val="22"/>
        </w:rPr>
        <w:t xml:space="preserve">Good compliance risk management involves having a clear and appropriate process for interacting with Griffith’s key regulators with matters raised in correspondence communicated to appropriate parties within Griffith. Correspondence with regulators will also often alert the University to trends, issues, </w:t>
      </w:r>
      <w:proofErr w:type="gramStart"/>
      <w:r w:rsidRPr="002777E3">
        <w:rPr>
          <w:rFonts w:cs="Arial"/>
          <w:color w:val="auto"/>
          <w:sz w:val="22"/>
        </w:rPr>
        <w:t>incidents</w:t>
      </w:r>
      <w:proofErr w:type="gramEnd"/>
      <w:r w:rsidRPr="002777E3">
        <w:rPr>
          <w:rFonts w:cs="Arial"/>
          <w:color w:val="auto"/>
          <w:sz w:val="22"/>
        </w:rPr>
        <w:t xml:space="preserve"> or areas of focus relevant to managing compliance risk. To ensure there is transparency to regulator correspondence and enable the </w:t>
      </w:r>
      <w:r w:rsidR="00E16F96">
        <w:rPr>
          <w:rFonts w:cs="Arial"/>
          <w:color w:val="auto"/>
          <w:sz w:val="22"/>
        </w:rPr>
        <w:t>c</w:t>
      </w:r>
      <w:r w:rsidRPr="002777E3">
        <w:rPr>
          <w:rFonts w:cs="Arial"/>
          <w:color w:val="auto"/>
          <w:sz w:val="22"/>
        </w:rPr>
        <w:t xml:space="preserve">ompliance </w:t>
      </w:r>
      <w:r w:rsidR="00E16F96">
        <w:rPr>
          <w:rFonts w:cs="Arial"/>
          <w:color w:val="auto"/>
          <w:sz w:val="22"/>
        </w:rPr>
        <w:t>f</w:t>
      </w:r>
      <w:r w:rsidRPr="002777E3">
        <w:rPr>
          <w:rFonts w:cs="Arial"/>
          <w:color w:val="auto"/>
          <w:sz w:val="22"/>
        </w:rPr>
        <w:t xml:space="preserve">unction to detect new, </w:t>
      </w:r>
      <w:proofErr w:type="gramStart"/>
      <w:r w:rsidRPr="002777E3">
        <w:rPr>
          <w:rFonts w:cs="Arial"/>
          <w:color w:val="auto"/>
          <w:sz w:val="22"/>
        </w:rPr>
        <w:t>emerging</w:t>
      </w:r>
      <w:proofErr w:type="gramEnd"/>
      <w:r w:rsidRPr="002777E3">
        <w:rPr>
          <w:rFonts w:cs="Arial"/>
          <w:color w:val="auto"/>
          <w:sz w:val="22"/>
        </w:rPr>
        <w:t xml:space="preserve"> or changing compliance risks through this key information source - and able to act on it – a set of key regulators is identified and approved by the General Counsel. The register details:</w:t>
      </w:r>
    </w:p>
    <w:p w14:paraId="209EEFF8" w14:textId="58AA8960" w:rsidR="00EE12EC" w:rsidRPr="00EE12EC" w:rsidRDefault="00EE12EC" w:rsidP="00EE12EC">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t</w:t>
      </w:r>
      <w:r w:rsidRPr="00EE12EC">
        <w:rPr>
          <w:rFonts w:cs="Arial"/>
          <w:color w:val="auto"/>
          <w:sz w:val="22"/>
        </w:rPr>
        <w:t>he regulator and the legislation they administer</w:t>
      </w:r>
      <w:r>
        <w:rPr>
          <w:rFonts w:cs="Arial"/>
          <w:color w:val="auto"/>
          <w:sz w:val="22"/>
        </w:rPr>
        <w:t>.</w:t>
      </w:r>
    </w:p>
    <w:p w14:paraId="0C68BECF" w14:textId="1B9EE822" w:rsidR="00EE12EC" w:rsidRPr="00EE12EC" w:rsidRDefault="00EE12EC" w:rsidP="00EE12EC">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w</w:t>
      </w:r>
      <w:r w:rsidRPr="00EE12EC">
        <w:rPr>
          <w:rFonts w:cs="Arial"/>
          <w:color w:val="auto"/>
          <w:sz w:val="22"/>
        </w:rPr>
        <w:t>ho is Griffith University’s primary point of contact/s for liaising with the regulators about compliance matters and whether that person is nominated with the regulators as the contact point</w:t>
      </w:r>
      <w:r>
        <w:rPr>
          <w:rFonts w:cs="Arial"/>
          <w:color w:val="auto"/>
          <w:sz w:val="22"/>
        </w:rPr>
        <w:t>.</w:t>
      </w:r>
    </w:p>
    <w:p w14:paraId="296CCA24" w14:textId="445E01C3" w:rsidR="00EE12EC" w:rsidRPr="00EE12EC" w:rsidRDefault="00EE12EC" w:rsidP="00EE12EC">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e</w:t>
      </w:r>
      <w:r w:rsidRPr="00EE12EC">
        <w:rPr>
          <w:rFonts w:cs="Arial"/>
          <w:color w:val="auto"/>
          <w:sz w:val="22"/>
        </w:rPr>
        <w:t>xamples of the types of compliance correspondence made</w:t>
      </w:r>
      <w:r>
        <w:rPr>
          <w:rFonts w:cs="Arial"/>
          <w:color w:val="auto"/>
          <w:sz w:val="22"/>
        </w:rPr>
        <w:t>.</w:t>
      </w:r>
    </w:p>
    <w:p w14:paraId="2340F734" w14:textId="2576B286" w:rsidR="00E10FF6" w:rsidRDefault="00EE12EC" w:rsidP="00EE12EC">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t</w:t>
      </w:r>
      <w:r w:rsidRPr="00EE12EC">
        <w:rPr>
          <w:rFonts w:cs="Arial"/>
          <w:color w:val="auto"/>
          <w:sz w:val="22"/>
        </w:rPr>
        <w:t xml:space="preserve">he process for storing correspondence and how this is monitored as a source of risk information. This will be achieved through establishing Key Risk Indicators that will be reported to and monitored by the </w:t>
      </w:r>
      <w:r>
        <w:rPr>
          <w:rFonts w:cs="Arial"/>
          <w:color w:val="auto"/>
          <w:sz w:val="22"/>
        </w:rPr>
        <w:t>c</w:t>
      </w:r>
      <w:r w:rsidRPr="00EE12EC">
        <w:rPr>
          <w:rFonts w:cs="Arial"/>
          <w:color w:val="auto"/>
          <w:sz w:val="22"/>
        </w:rPr>
        <w:t xml:space="preserve">ompliance </w:t>
      </w:r>
      <w:r>
        <w:rPr>
          <w:rFonts w:cs="Arial"/>
          <w:color w:val="auto"/>
          <w:sz w:val="22"/>
        </w:rPr>
        <w:t>f</w:t>
      </w:r>
      <w:r w:rsidRPr="00EE12EC">
        <w:rPr>
          <w:rFonts w:cs="Arial"/>
          <w:color w:val="auto"/>
          <w:sz w:val="22"/>
        </w:rPr>
        <w:t>unction.</w:t>
      </w:r>
    </w:p>
    <w:p w14:paraId="3191170C" w14:textId="55619D67" w:rsidR="000D5C83" w:rsidRDefault="00DF5D41" w:rsidP="00DF5D41">
      <w:pPr>
        <w:pStyle w:val="NormalWhite"/>
        <w:spacing w:before="120" w:after="120" w:line="240" w:lineRule="auto"/>
        <w:ind w:left="567"/>
        <w:jc w:val="left"/>
        <w:rPr>
          <w:rFonts w:cs="Arial"/>
          <w:color w:val="auto"/>
          <w:sz w:val="22"/>
        </w:rPr>
      </w:pPr>
      <w:r w:rsidRPr="00DF5D41">
        <w:rPr>
          <w:rFonts w:cs="Arial"/>
          <w:color w:val="auto"/>
          <w:sz w:val="22"/>
        </w:rPr>
        <w:t xml:space="preserve">Records of regulator correspondence relating to compliance matters will need to be accessible and monitored by the </w:t>
      </w:r>
      <w:r w:rsidR="001665DF">
        <w:rPr>
          <w:rFonts w:cs="Arial"/>
          <w:color w:val="auto"/>
          <w:sz w:val="22"/>
        </w:rPr>
        <w:t>c</w:t>
      </w:r>
      <w:r w:rsidRPr="00DF5D41">
        <w:rPr>
          <w:rFonts w:cs="Arial"/>
          <w:color w:val="auto"/>
          <w:sz w:val="22"/>
        </w:rPr>
        <w:t xml:space="preserve">ompliance </w:t>
      </w:r>
      <w:r w:rsidR="001665DF">
        <w:rPr>
          <w:rFonts w:cs="Arial"/>
          <w:color w:val="auto"/>
          <w:sz w:val="22"/>
        </w:rPr>
        <w:t>f</w:t>
      </w:r>
      <w:r w:rsidRPr="00DF5D41">
        <w:rPr>
          <w:rFonts w:cs="Arial"/>
          <w:color w:val="auto"/>
          <w:sz w:val="22"/>
        </w:rPr>
        <w:t>unction. This will include, for example:</w:t>
      </w:r>
    </w:p>
    <w:p w14:paraId="2B555FBB" w14:textId="4132359B" w:rsidR="00F21753" w:rsidRPr="00F21753" w:rsidRDefault="00F21753" w:rsidP="00F21753">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n</w:t>
      </w:r>
      <w:r w:rsidRPr="00F21753">
        <w:rPr>
          <w:rFonts w:cs="Arial"/>
          <w:color w:val="auto"/>
          <w:sz w:val="22"/>
        </w:rPr>
        <w:t>otification of incidents to regulators (</w:t>
      </w:r>
      <w:r w:rsidRPr="00F21753">
        <w:rPr>
          <w:rFonts w:cs="Arial"/>
          <w:color w:val="auto"/>
          <w:sz w:val="22"/>
        </w:rPr>
        <w:t>e.g.</w:t>
      </w:r>
      <w:r w:rsidRPr="00F21753">
        <w:rPr>
          <w:rFonts w:cs="Arial"/>
          <w:color w:val="auto"/>
          <w:sz w:val="22"/>
        </w:rPr>
        <w:t xml:space="preserve"> material change notifications, workplace incidents)</w:t>
      </w:r>
      <w:r>
        <w:rPr>
          <w:rFonts w:cs="Arial"/>
          <w:color w:val="auto"/>
          <w:sz w:val="22"/>
        </w:rPr>
        <w:t>.</w:t>
      </w:r>
      <w:r w:rsidRPr="00F21753">
        <w:rPr>
          <w:rFonts w:cs="Arial"/>
          <w:color w:val="auto"/>
          <w:sz w:val="22"/>
        </w:rPr>
        <w:t xml:space="preserve"> </w:t>
      </w:r>
    </w:p>
    <w:p w14:paraId="05465CC8" w14:textId="7B091959" w:rsidR="00F21753" w:rsidRPr="00F21753" w:rsidRDefault="00F21753" w:rsidP="00F21753">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w:t>
      </w:r>
      <w:r w:rsidRPr="00F21753">
        <w:rPr>
          <w:rFonts w:cs="Arial"/>
          <w:color w:val="auto"/>
          <w:sz w:val="22"/>
        </w:rPr>
        <w:t xml:space="preserve">egulator notices about taking, </w:t>
      </w:r>
      <w:proofErr w:type="gramStart"/>
      <w:r w:rsidRPr="00F21753">
        <w:rPr>
          <w:rFonts w:cs="Arial"/>
          <w:color w:val="auto"/>
          <w:sz w:val="22"/>
        </w:rPr>
        <w:t>planning</w:t>
      </w:r>
      <w:proofErr w:type="gramEnd"/>
      <w:r w:rsidRPr="00F21753">
        <w:rPr>
          <w:rFonts w:cs="Arial"/>
          <w:color w:val="auto"/>
          <w:sz w:val="22"/>
        </w:rPr>
        <w:t xml:space="preserve"> or considering enforcement action against Griffith University</w:t>
      </w:r>
      <w:r>
        <w:rPr>
          <w:rFonts w:cs="Arial"/>
          <w:color w:val="auto"/>
          <w:sz w:val="22"/>
        </w:rPr>
        <w:t>.</w:t>
      </w:r>
    </w:p>
    <w:p w14:paraId="776221F2" w14:textId="1A7376C6" w:rsidR="00F21753" w:rsidRPr="00F21753" w:rsidRDefault="00F21753" w:rsidP="00F21753">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w:t>
      </w:r>
      <w:r w:rsidRPr="00F21753">
        <w:rPr>
          <w:rFonts w:cs="Arial"/>
          <w:color w:val="auto"/>
          <w:sz w:val="22"/>
        </w:rPr>
        <w:t>egulator notices invoking investigation powers in relation to a matter, or alerting Griffith University to a compliance matter affecting the higher education sector</w:t>
      </w:r>
      <w:r>
        <w:rPr>
          <w:rFonts w:cs="Arial"/>
          <w:color w:val="auto"/>
          <w:sz w:val="22"/>
        </w:rPr>
        <w:t>.</w:t>
      </w:r>
      <w:r w:rsidRPr="00F21753">
        <w:rPr>
          <w:rFonts w:cs="Arial"/>
          <w:color w:val="auto"/>
          <w:sz w:val="22"/>
        </w:rPr>
        <w:t xml:space="preserve"> </w:t>
      </w:r>
    </w:p>
    <w:p w14:paraId="4B2817C8" w14:textId="01187A7B" w:rsidR="00F21753" w:rsidRDefault="00F21753" w:rsidP="00F21753">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w:t>
      </w:r>
      <w:r w:rsidRPr="00F21753">
        <w:rPr>
          <w:rFonts w:cs="Arial"/>
          <w:color w:val="auto"/>
          <w:sz w:val="22"/>
        </w:rPr>
        <w:t>eports by the regulator sent to Griffith University about compliance assessments undertaken.</w:t>
      </w:r>
    </w:p>
    <w:p w14:paraId="3B85638E" w14:textId="61A5BCCD" w:rsidR="005C57C5" w:rsidRDefault="005C57C5" w:rsidP="005C57C5">
      <w:pPr>
        <w:pStyle w:val="NormalWhite"/>
        <w:spacing w:before="120" w:after="120" w:line="240" w:lineRule="auto"/>
        <w:ind w:left="567"/>
        <w:rPr>
          <w:rFonts w:cs="Arial"/>
          <w:color w:val="auto"/>
          <w:sz w:val="22"/>
        </w:rPr>
      </w:pPr>
      <w:r w:rsidRPr="005C57C5">
        <w:rPr>
          <w:rFonts w:cs="Arial"/>
          <w:color w:val="auto"/>
          <w:sz w:val="22"/>
        </w:rPr>
        <w:t xml:space="preserve">The </w:t>
      </w:r>
      <w:r>
        <w:rPr>
          <w:rFonts w:cs="Arial"/>
          <w:color w:val="auto"/>
          <w:sz w:val="22"/>
        </w:rPr>
        <w:t>c</w:t>
      </w:r>
      <w:r w:rsidRPr="005C57C5">
        <w:rPr>
          <w:rFonts w:cs="Arial"/>
          <w:color w:val="auto"/>
          <w:sz w:val="22"/>
        </w:rPr>
        <w:t xml:space="preserve">ompliance </w:t>
      </w:r>
      <w:r>
        <w:rPr>
          <w:rFonts w:cs="Arial"/>
          <w:color w:val="auto"/>
          <w:sz w:val="22"/>
        </w:rPr>
        <w:t>f</w:t>
      </w:r>
      <w:r w:rsidRPr="005C57C5">
        <w:rPr>
          <w:rFonts w:cs="Arial"/>
          <w:color w:val="auto"/>
          <w:sz w:val="22"/>
        </w:rPr>
        <w:t>unction will report to Executive Group and Audit</w:t>
      </w:r>
      <w:r>
        <w:rPr>
          <w:rFonts w:cs="Arial"/>
          <w:color w:val="auto"/>
          <w:sz w:val="22"/>
        </w:rPr>
        <w:t xml:space="preserve"> and Risk</w:t>
      </w:r>
      <w:r w:rsidRPr="005C57C5">
        <w:rPr>
          <w:rFonts w:cs="Arial"/>
          <w:color w:val="auto"/>
          <w:sz w:val="22"/>
        </w:rPr>
        <w:t xml:space="preserve"> Committee about the level and nature of correspondence received to provide assurance that risk is being actively monitored.</w:t>
      </w:r>
    </w:p>
    <w:p w14:paraId="21810E45" w14:textId="5EE91910" w:rsidR="00B0485A" w:rsidRDefault="00B0485A" w:rsidP="00B0485A">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8</w:t>
      </w:r>
      <w:r w:rsidRPr="001520D3">
        <w:rPr>
          <w:rFonts w:ascii="Griffith Sans Text" w:hAnsi="Griffith Sans Text"/>
        </w:rPr>
        <w:t xml:space="preserve"> </w:t>
      </w:r>
      <w:r>
        <w:rPr>
          <w:rFonts w:ascii="Griffith Sans Text" w:hAnsi="Griffith Sans Text"/>
        </w:rPr>
        <w:t>Risk and Issue Treatment</w:t>
      </w:r>
    </w:p>
    <w:p w14:paraId="792C0E4D" w14:textId="292DEA05" w:rsidR="000D2C00" w:rsidRPr="000D2C00" w:rsidRDefault="000D2C00" w:rsidP="000D2C00">
      <w:pPr>
        <w:pStyle w:val="NormalWhite"/>
        <w:spacing w:before="120" w:after="120" w:line="240" w:lineRule="auto"/>
        <w:ind w:left="567"/>
        <w:rPr>
          <w:rFonts w:cs="Arial"/>
          <w:color w:val="auto"/>
          <w:sz w:val="22"/>
        </w:rPr>
      </w:pPr>
      <w:r w:rsidRPr="000D2C00">
        <w:rPr>
          <w:rFonts w:cs="Arial"/>
          <w:color w:val="auto"/>
          <w:sz w:val="22"/>
        </w:rPr>
        <w:t xml:space="preserve">When a risk assessment identifies that the risk of a breach is not consistent with the Universities risk appetite statement, then the Compliance Risk Owner must document a risk treatment plan, detailing </w:t>
      </w:r>
      <w:r w:rsidRPr="000D2C00">
        <w:rPr>
          <w:rFonts w:cs="Arial"/>
          <w:color w:val="auto"/>
          <w:sz w:val="22"/>
        </w:rPr>
        <w:t>responsibilities,</w:t>
      </w:r>
      <w:r w:rsidRPr="000D2C00">
        <w:rPr>
          <w:rFonts w:cs="Arial"/>
          <w:color w:val="auto"/>
          <w:sz w:val="22"/>
        </w:rPr>
        <w:t xml:space="preserve"> and timeframes, for mitigating the compliance risk. This treatment plan must be recorded with the risk assessment and be able to be tracked and monitored by the </w:t>
      </w:r>
      <w:r>
        <w:rPr>
          <w:rFonts w:cs="Arial"/>
          <w:color w:val="auto"/>
          <w:sz w:val="22"/>
        </w:rPr>
        <w:t>c</w:t>
      </w:r>
      <w:r w:rsidRPr="000D2C00">
        <w:rPr>
          <w:rFonts w:cs="Arial"/>
          <w:color w:val="auto"/>
          <w:sz w:val="22"/>
        </w:rPr>
        <w:t xml:space="preserve">ompliance </w:t>
      </w:r>
      <w:r>
        <w:rPr>
          <w:rFonts w:cs="Arial"/>
          <w:color w:val="auto"/>
          <w:sz w:val="22"/>
        </w:rPr>
        <w:t>f</w:t>
      </w:r>
      <w:r w:rsidRPr="000D2C00">
        <w:rPr>
          <w:rFonts w:cs="Arial"/>
          <w:color w:val="auto"/>
          <w:sz w:val="22"/>
        </w:rPr>
        <w:t xml:space="preserve">unction. </w:t>
      </w:r>
    </w:p>
    <w:p w14:paraId="7B06E859" w14:textId="2A2D972F" w:rsidR="00B0485A" w:rsidRDefault="000D2C00" w:rsidP="000D2C00">
      <w:pPr>
        <w:pStyle w:val="NormalWhite"/>
        <w:spacing w:before="120" w:after="120" w:line="240" w:lineRule="auto"/>
        <w:ind w:left="567"/>
        <w:rPr>
          <w:rFonts w:cs="Arial"/>
          <w:color w:val="auto"/>
          <w:sz w:val="22"/>
        </w:rPr>
      </w:pPr>
      <w:r w:rsidRPr="000D2C00">
        <w:rPr>
          <w:rFonts w:cs="Arial"/>
          <w:color w:val="auto"/>
          <w:sz w:val="22"/>
        </w:rPr>
        <w:t>Alternatively, and only in exceptional circumstances where it is impractical to reduce the risk, a ‘risk acceptance’ can be sought. A risk acceptance is an informed, documented decision to take no further action to modify the level of risk. It should be considered a temporary position, to be reviewed at intervals to account for changed circumstances. As an exceptional position, it must be approved by senior management and reported to an appropriate University Committee. Relevant levels of approval for risk acceptance are defined in the Enterprise Risk Management Framework.</w:t>
      </w:r>
    </w:p>
    <w:p w14:paraId="2CB5A99F" w14:textId="77777777" w:rsidR="00FD34A0" w:rsidRPr="00FD34A0" w:rsidRDefault="00FD34A0" w:rsidP="00FD34A0">
      <w:pPr>
        <w:pStyle w:val="NormalWhite"/>
        <w:spacing w:before="120" w:after="120" w:line="240" w:lineRule="auto"/>
        <w:ind w:left="567"/>
        <w:rPr>
          <w:rFonts w:cs="Arial"/>
          <w:color w:val="auto"/>
          <w:sz w:val="22"/>
        </w:rPr>
      </w:pPr>
      <w:r w:rsidRPr="00FD34A0">
        <w:rPr>
          <w:rFonts w:cs="Arial"/>
          <w:color w:val="auto"/>
          <w:sz w:val="22"/>
        </w:rPr>
        <w:t>When a compliance breach is identified, through a risk assessment or otherwise, it represents an issue that needs to be rectified by:</w:t>
      </w:r>
    </w:p>
    <w:p w14:paraId="50390B42" w14:textId="4A25A02B" w:rsidR="00FD34A0" w:rsidRPr="00FD34A0" w:rsidRDefault="00FD34A0" w:rsidP="003B3FF9">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f</w:t>
      </w:r>
      <w:r w:rsidRPr="00FD34A0">
        <w:rPr>
          <w:rFonts w:cs="Arial"/>
          <w:color w:val="auto"/>
          <w:sz w:val="22"/>
        </w:rPr>
        <w:t>ollowing the reporting procedure at 3.6, and</w:t>
      </w:r>
    </w:p>
    <w:p w14:paraId="3771BC4B" w14:textId="301ADAF1" w:rsidR="00FD34A0" w:rsidRPr="00FD34A0" w:rsidRDefault="00FD34A0" w:rsidP="003B3FF9">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t</w:t>
      </w:r>
      <w:r w:rsidRPr="00FD34A0">
        <w:rPr>
          <w:rFonts w:cs="Arial"/>
          <w:color w:val="auto"/>
          <w:sz w:val="22"/>
        </w:rPr>
        <w:t xml:space="preserve">he Compliance Risk Owner, or other responsible staff member, developing an appropriate and robust treatment action/s including responsibilities and timeframes. The treatment action will be recorded in the compliance breach register and will be monitored and followed up by the </w:t>
      </w:r>
      <w:r>
        <w:rPr>
          <w:rFonts w:cs="Arial"/>
          <w:color w:val="auto"/>
          <w:sz w:val="22"/>
        </w:rPr>
        <w:t>c</w:t>
      </w:r>
      <w:r w:rsidRPr="00FD34A0">
        <w:rPr>
          <w:rFonts w:cs="Arial"/>
          <w:color w:val="auto"/>
          <w:sz w:val="22"/>
        </w:rPr>
        <w:t xml:space="preserve">ompliance </w:t>
      </w:r>
      <w:r>
        <w:rPr>
          <w:rFonts w:cs="Arial"/>
          <w:color w:val="auto"/>
          <w:sz w:val="22"/>
        </w:rPr>
        <w:t>f</w:t>
      </w:r>
      <w:r w:rsidRPr="00FD34A0">
        <w:rPr>
          <w:rFonts w:cs="Arial"/>
          <w:color w:val="auto"/>
          <w:sz w:val="22"/>
        </w:rPr>
        <w:t>unction.</w:t>
      </w:r>
    </w:p>
    <w:p w14:paraId="7308581F" w14:textId="316450ED" w:rsidR="00FD34A0" w:rsidRPr="000D2C00" w:rsidRDefault="00FD34A0" w:rsidP="00FD34A0">
      <w:pPr>
        <w:pStyle w:val="NormalWhite"/>
        <w:spacing w:before="120" w:after="120" w:line="240" w:lineRule="auto"/>
        <w:ind w:left="567"/>
        <w:rPr>
          <w:rFonts w:cs="Arial"/>
          <w:color w:val="auto"/>
          <w:sz w:val="22"/>
        </w:rPr>
      </w:pPr>
      <w:r w:rsidRPr="00FD34A0">
        <w:rPr>
          <w:rFonts w:cs="Arial"/>
          <w:color w:val="auto"/>
          <w:sz w:val="22"/>
        </w:rPr>
        <w:lastRenderedPageBreak/>
        <w:t xml:space="preserve">The </w:t>
      </w:r>
      <w:r>
        <w:rPr>
          <w:rFonts w:cs="Arial"/>
          <w:color w:val="auto"/>
          <w:sz w:val="22"/>
        </w:rPr>
        <w:t>c</w:t>
      </w:r>
      <w:r w:rsidRPr="00FD34A0">
        <w:rPr>
          <w:rFonts w:cs="Arial"/>
          <w:color w:val="auto"/>
          <w:sz w:val="22"/>
        </w:rPr>
        <w:t xml:space="preserve">ompliance </w:t>
      </w:r>
      <w:r>
        <w:rPr>
          <w:rFonts w:cs="Arial"/>
          <w:color w:val="auto"/>
          <w:sz w:val="22"/>
        </w:rPr>
        <w:t>f</w:t>
      </w:r>
      <w:r w:rsidRPr="00FD34A0">
        <w:rPr>
          <w:rFonts w:cs="Arial"/>
          <w:color w:val="auto"/>
          <w:sz w:val="22"/>
        </w:rPr>
        <w:t xml:space="preserve">unction will ensure remediation action is appropriate, followed through, and for Tier 1 </w:t>
      </w:r>
      <w:r>
        <w:rPr>
          <w:rFonts w:cs="Arial"/>
          <w:color w:val="auto"/>
          <w:sz w:val="22"/>
        </w:rPr>
        <w:t>and</w:t>
      </w:r>
      <w:r w:rsidRPr="00FD34A0">
        <w:rPr>
          <w:rFonts w:cs="Arial"/>
          <w:color w:val="auto"/>
          <w:sz w:val="22"/>
        </w:rPr>
        <w:t xml:space="preserve"> 2 compliance obligations, that the risk assessment is updated as appropriate.</w:t>
      </w:r>
    </w:p>
    <w:p w14:paraId="504F920E" w14:textId="31F07D84" w:rsidR="00FF52FA" w:rsidRDefault="00FF52FA" w:rsidP="00FF52FA">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9</w:t>
      </w:r>
      <w:r w:rsidRPr="001520D3">
        <w:rPr>
          <w:rFonts w:ascii="Griffith Sans Text" w:hAnsi="Griffith Sans Text"/>
        </w:rPr>
        <w:t xml:space="preserve"> </w:t>
      </w:r>
      <w:r>
        <w:rPr>
          <w:rFonts w:ascii="Griffith Sans Text" w:hAnsi="Griffith Sans Text"/>
        </w:rPr>
        <w:t>Executive, Committee and Council Compliance Reporting</w:t>
      </w:r>
    </w:p>
    <w:p w14:paraId="51D34D41" w14:textId="193DBCD2" w:rsidR="00FF52FA" w:rsidRPr="00876C2F" w:rsidRDefault="00876C2F" w:rsidP="00876C2F">
      <w:pPr>
        <w:pStyle w:val="NormalWhite"/>
        <w:spacing w:before="120" w:after="120" w:line="240" w:lineRule="auto"/>
        <w:ind w:left="567"/>
        <w:rPr>
          <w:rFonts w:cs="Arial"/>
          <w:color w:val="auto"/>
          <w:sz w:val="22"/>
        </w:rPr>
      </w:pPr>
      <w:r w:rsidRPr="00876C2F">
        <w:rPr>
          <w:rFonts w:cs="Arial"/>
          <w:color w:val="auto"/>
          <w:sz w:val="22"/>
        </w:rPr>
        <w:t xml:space="preserve">An Annual Compliance Report will be prepared for the Executive Group and the Audit </w:t>
      </w:r>
      <w:r w:rsidRPr="00876C2F">
        <w:rPr>
          <w:rFonts w:cs="Arial"/>
          <w:color w:val="auto"/>
          <w:sz w:val="22"/>
        </w:rPr>
        <w:t xml:space="preserve">and Risk </w:t>
      </w:r>
      <w:r w:rsidRPr="00876C2F">
        <w:rPr>
          <w:rFonts w:cs="Arial"/>
          <w:color w:val="auto"/>
          <w:sz w:val="22"/>
        </w:rPr>
        <w:t xml:space="preserve">Committee. The objective of the report is to inform the Committee about the status of the University’s compliance risk profile and the operations of the </w:t>
      </w:r>
      <w:r>
        <w:rPr>
          <w:rFonts w:cs="Arial"/>
          <w:color w:val="auto"/>
          <w:sz w:val="22"/>
        </w:rPr>
        <w:t>c</w:t>
      </w:r>
      <w:r w:rsidRPr="00876C2F">
        <w:rPr>
          <w:rFonts w:cs="Arial"/>
          <w:color w:val="auto"/>
          <w:sz w:val="22"/>
        </w:rPr>
        <w:t xml:space="preserve">ompliance </w:t>
      </w:r>
      <w:r>
        <w:rPr>
          <w:rFonts w:cs="Arial"/>
          <w:color w:val="auto"/>
          <w:sz w:val="22"/>
        </w:rPr>
        <w:t>f</w:t>
      </w:r>
      <w:r w:rsidRPr="00876C2F">
        <w:rPr>
          <w:rFonts w:cs="Arial"/>
          <w:color w:val="auto"/>
          <w:sz w:val="22"/>
        </w:rPr>
        <w:t xml:space="preserve">unction. In addition, the </w:t>
      </w:r>
      <w:r>
        <w:rPr>
          <w:rFonts w:cs="Arial"/>
          <w:color w:val="auto"/>
          <w:sz w:val="22"/>
        </w:rPr>
        <w:t>c</w:t>
      </w:r>
      <w:r w:rsidRPr="00876C2F">
        <w:rPr>
          <w:rFonts w:cs="Arial"/>
          <w:color w:val="auto"/>
          <w:sz w:val="22"/>
        </w:rPr>
        <w:t xml:space="preserve">ompliance </w:t>
      </w:r>
      <w:r>
        <w:rPr>
          <w:rFonts w:cs="Arial"/>
          <w:color w:val="auto"/>
          <w:sz w:val="22"/>
        </w:rPr>
        <w:t>f</w:t>
      </w:r>
      <w:r w:rsidRPr="00876C2F">
        <w:rPr>
          <w:rFonts w:cs="Arial"/>
          <w:color w:val="auto"/>
          <w:sz w:val="22"/>
        </w:rPr>
        <w:t>unction will report on significant compliance breaches and action being taken to remediate. The Office of the General Counsel will also provide regular reporting on legal and compliance matters.</w:t>
      </w:r>
    </w:p>
    <w:p w14:paraId="006888BC" w14:textId="6C577A47" w:rsidR="0080196C" w:rsidRDefault="0080196C" w:rsidP="0080196C">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10</w:t>
      </w:r>
      <w:r w:rsidRPr="001520D3">
        <w:rPr>
          <w:rFonts w:ascii="Griffith Sans Text" w:hAnsi="Griffith Sans Text"/>
        </w:rPr>
        <w:t xml:space="preserve"> </w:t>
      </w:r>
      <w:r>
        <w:rPr>
          <w:rFonts w:ascii="Griffith Sans Text" w:hAnsi="Griffith Sans Text"/>
        </w:rPr>
        <w:t>Continuous Improvement</w:t>
      </w:r>
    </w:p>
    <w:p w14:paraId="1BD6C1C6" w14:textId="0DD552A0" w:rsidR="0080196C" w:rsidRDefault="00B602CB" w:rsidP="00B602CB">
      <w:pPr>
        <w:pStyle w:val="NormalWhite"/>
        <w:spacing w:before="120" w:after="120" w:line="240" w:lineRule="auto"/>
        <w:ind w:left="567"/>
        <w:rPr>
          <w:rFonts w:cs="Arial"/>
          <w:color w:val="auto"/>
          <w:sz w:val="22"/>
        </w:rPr>
      </w:pPr>
      <w:r w:rsidRPr="00B602CB">
        <w:rPr>
          <w:rFonts w:cs="Arial"/>
          <w:color w:val="auto"/>
          <w:sz w:val="22"/>
        </w:rPr>
        <w:t xml:space="preserve">The </w:t>
      </w:r>
      <w:r w:rsidRPr="00B602CB">
        <w:rPr>
          <w:rFonts w:cs="Arial"/>
          <w:color w:val="auto"/>
          <w:sz w:val="22"/>
        </w:rPr>
        <w:t>c</w:t>
      </w:r>
      <w:r w:rsidRPr="00B602CB">
        <w:rPr>
          <w:rFonts w:cs="Arial"/>
          <w:color w:val="auto"/>
          <w:sz w:val="22"/>
        </w:rPr>
        <w:t xml:space="preserve">ompliance </w:t>
      </w:r>
      <w:r w:rsidRPr="00B602CB">
        <w:rPr>
          <w:rFonts w:cs="Arial"/>
          <w:color w:val="auto"/>
          <w:sz w:val="22"/>
        </w:rPr>
        <w:t>f</w:t>
      </w:r>
      <w:r w:rsidRPr="00B602CB">
        <w:rPr>
          <w:rFonts w:cs="Arial"/>
          <w:color w:val="auto"/>
          <w:sz w:val="22"/>
        </w:rPr>
        <w:t>unction will review information gathered through risk assessment and use insights from the risk profile to develop a Compliance Improvement Plan which will outline the key initiatives for addressing high risk compliance areas. This may include detailed and targeted second line risk reviews, control improvement support and the development of training and communication material, depending on the risk-based priorities of the University.</w:t>
      </w:r>
    </w:p>
    <w:p w14:paraId="5578EBA7" w14:textId="378FBB37" w:rsidR="00340172" w:rsidRDefault="00340172" w:rsidP="00340172">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1</w:t>
      </w:r>
      <w:r>
        <w:rPr>
          <w:rFonts w:ascii="Griffith Sans Text" w:hAnsi="Griffith Sans Text"/>
        </w:rPr>
        <w:t>1</w:t>
      </w:r>
      <w:r w:rsidRPr="001520D3">
        <w:rPr>
          <w:rFonts w:ascii="Griffith Sans Text" w:hAnsi="Griffith Sans Text"/>
        </w:rPr>
        <w:t xml:space="preserve"> </w:t>
      </w:r>
      <w:r>
        <w:rPr>
          <w:rFonts w:ascii="Griffith Sans Text" w:hAnsi="Griffith Sans Text"/>
        </w:rPr>
        <w:t>Review of Compliance Program</w:t>
      </w:r>
    </w:p>
    <w:p w14:paraId="513D4518" w14:textId="1A6DE2CC" w:rsidR="00340172" w:rsidRDefault="00170C6E" w:rsidP="00170C6E">
      <w:pPr>
        <w:pStyle w:val="NormalWhite"/>
        <w:spacing w:before="120" w:after="120" w:line="240" w:lineRule="auto"/>
        <w:ind w:left="567"/>
        <w:rPr>
          <w:rFonts w:cs="Arial"/>
          <w:color w:val="auto"/>
          <w:sz w:val="22"/>
        </w:rPr>
      </w:pPr>
      <w:r w:rsidRPr="00170C6E">
        <w:rPr>
          <w:rFonts w:cs="Arial"/>
          <w:color w:val="auto"/>
          <w:sz w:val="22"/>
        </w:rPr>
        <w:t xml:space="preserve">The Compliance Program and these procedures will be subject to continual improvement and formal review every </w:t>
      </w:r>
      <w:r w:rsidR="00227257">
        <w:rPr>
          <w:rFonts w:cs="Arial"/>
          <w:color w:val="auto"/>
          <w:sz w:val="22"/>
        </w:rPr>
        <w:t>three</w:t>
      </w:r>
      <w:r w:rsidRPr="00170C6E">
        <w:rPr>
          <w:rFonts w:cs="Arial"/>
          <w:color w:val="auto"/>
          <w:sz w:val="22"/>
        </w:rPr>
        <w:t xml:space="preserve"> years. This management review should be conducted with the assistance of an operationally independent, appropriately </w:t>
      </w:r>
      <w:proofErr w:type="gramStart"/>
      <w:r w:rsidRPr="00170C6E">
        <w:rPr>
          <w:rFonts w:cs="Arial"/>
          <w:color w:val="auto"/>
          <w:sz w:val="22"/>
        </w:rPr>
        <w:t>trained</w:t>
      </w:r>
      <w:proofErr w:type="gramEnd"/>
      <w:r w:rsidRPr="00170C6E">
        <w:rPr>
          <w:rFonts w:cs="Arial"/>
          <w:color w:val="auto"/>
          <w:sz w:val="22"/>
        </w:rPr>
        <w:t xml:space="preserve"> and competent person/s, and address the appropriateness, effectiveness and adequacy of the Compliance Management Program.</w:t>
      </w:r>
    </w:p>
    <w:p w14:paraId="30337A32" w14:textId="2F028E57" w:rsidR="00227257" w:rsidRDefault="00227257" w:rsidP="00227257">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1</w:t>
      </w:r>
      <w:r>
        <w:rPr>
          <w:rFonts w:ascii="Griffith Sans Text" w:hAnsi="Griffith Sans Text"/>
        </w:rPr>
        <w:t>2</w:t>
      </w:r>
      <w:r w:rsidRPr="001520D3">
        <w:rPr>
          <w:rFonts w:ascii="Griffith Sans Text" w:hAnsi="Griffith Sans Text"/>
        </w:rPr>
        <w:t xml:space="preserve"> </w:t>
      </w:r>
      <w:r>
        <w:rPr>
          <w:rFonts w:ascii="Griffith Sans Text" w:hAnsi="Griffith Sans Text"/>
        </w:rPr>
        <w:t>Summary of Requirements</w:t>
      </w:r>
    </w:p>
    <w:p w14:paraId="05012AC7" w14:textId="5B442ABB" w:rsidR="00227257" w:rsidRDefault="00AD1A60" w:rsidP="00AD1A60">
      <w:pPr>
        <w:pStyle w:val="NormalWhite"/>
        <w:spacing w:before="120" w:after="120" w:line="240" w:lineRule="auto"/>
        <w:ind w:left="567"/>
        <w:rPr>
          <w:rFonts w:cs="Arial"/>
          <w:color w:val="auto"/>
          <w:sz w:val="22"/>
        </w:rPr>
      </w:pPr>
      <w:r w:rsidRPr="00AD1A60">
        <w:rPr>
          <w:rFonts w:cs="Arial"/>
          <w:color w:val="auto"/>
          <w:sz w:val="22"/>
        </w:rPr>
        <w:t>The table below identifies the requirements for compliance risk management at the first line across the Tiers</w:t>
      </w:r>
      <w:r w:rsidRPr="00AD1A60">
        <w:rPr>
          <w:rFonts w:cs="Arial"/>
          <w:color w:val="auto"/>
          <w:sz w:val="22"/>
        </w:rPr>
        <w:t>.</w:t>
      </w:r>
    </w:p>
    <w:p w14:paraId="03E28673" w14:textId="4E9A0FF8" w:rsidR="001076F2" w:rsidRPr="001076F2" w:rsidRDefault="001076F2" w:rsidP="00AD1A60">
      <w:pPr>
        <w:pStyle w:val="NormalWhite"/>
        <w:spacing w:before="120" w:after="120" w:line="240" w:lineRule="auto"/>
        <w:ind w:left="567"/>
        <w:rPr>
          <w:rFonts w:cs="Arial"/>
          <w:b/>
          <w:bCs/>
          <w:color w:val="auto"/>
          <w:sz w:val="22"/>
        </w:rPr>
      </w:pPr>
      <w:r w:rsidRPr="001076F2">
        <w:rPr>
          <w:rFonts w:cs="Arial"/>
          <w:b/>
          <w:bCs/>
          <w:color w:val="auto"/>
          <w:sz w:val="22"/>
        </w:rPr>
        <w:t>Table 3 – Summary of First Line Compliance Program Requirements by Tier</w:t>
      </w:r>
    </w:p>
    <w:tbl>
      <w:tblPr>
        <w:tblStyle w:val="TableGrid"/>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2056"/>
        <w:gridCol w:w="2122"/>
        <w:gridCol w:w="2612"/>
        <w:gridCol w:w="2543"/>
      </w:tblGrid>
      <w:tr w:rsidR="007F1CFA" w:rsidRPr="00311F29" w14:paraId="16F7F7AB" w14:textId="77777777" w:rsidTr="004627D8">
        <w:trPr>
          <w:trHeight w:val="454"/>
        </w:trPr>
        <w:tc>
          <w:tcPr>
            <w:tcW w:w="540" w:type="pct"/>
            <w:shd w:val="clear" w:color="auto" w:fill="FFFFFF" w:themeFill="background1"/>
          </w:tcPr>
          <w:p w14:paraId="4EF57D7F" w14:textId="77777777" w:rsidR="007F1CFA" w:rsidRDefault="007F1CFA" w:rsidP="004627D8">
            <w:pPr>
              <w:spacing w:before="120" w:after="120"/>
              <w:rPr>
                <w:rFonts w:cs="Arial"/>
                <w:b/>
                <w:bCs/>
                <w:color w:val="FFFFFF" w:themeColor="background1"/>
                <w:sz w:val="24"/>
                <w:szCs w:val="24"/>
              </w:rPr>
            </w:pPr>
          </w:p>
          <w:p w14:paraId="3ADC576A" w14:textId="77777777" w:rsidR="007F1CFA" w:rsidRPr="00102B8A" w:rsidRDefault="007F1CFA" w:rsidP="004627D8">
            <w:pPr>
              <w:spacing w:before="120" w:after="120"/>
              <w:rPr>
                <w:rFonts w:cs="Arial"/>
                <w:b/>
                <w:bCs/>
                <w:color w:val="FFFFFF" w:themeColor="background1"/>
                <w:sz w:val="24"/>
                <w:szCs w:val="24"/>
              </w:rPr>
            </w:pPr>
          </w:p>
        </w:tc>
        <w:tc>
          <w:tcPr>
            <w:tcW w:w="982" w:type="pct"/>
            <w:shd w:val="clear" w:color="auto" w:fill="595959" w:themeFill="text1" w:themeFillTint="A6"/>
          </w:tcPr>
          <w:p w14:paraId="32125506" w14:textId="77777777" w:rsidR="007F1CFA" w:rsidRPr="007F1CFA" w:rsidRDefault="007F1CFA" w:rsidP="004627D8">
            <w:pPr>
              <w:spacing w:before="120" w:after="120"/>
              <w:jc w:val="center"/>
              <w:rPr>
                <w:rFonts w:ascii="Arial" w:hAnsi="Arial" w:cs="Arial"/>
                <w:b/>
                <w:bCs/>
                <w:color w:val="FFFFFF" w:themeColor="background1"/>
                <w:sz w:val="22"/>
              </w:rPr>
            </w:pPr>
            <w:r w:rsidRPr="007F1CFA">
              <w:rPr>
                <w:rFonts w:ascii="Arial" w:hAnsi="Arial" w:cs="Arial"/>
                <w:b/>
                <w:bCs/>
                <w:color w:val="FFFFFF" w:themeColor="background1"/>
                <w:sz w:val="22"/>
              </w:rPr>
              <w:t>Risk Assessment</w:t>
            </w:r>
          </w:p>
          <w:p w14:paraId="0454A704" w14:textId="77777777" w:rsidR="007F1CFA" w:rsidRPr="007F1CFA" w:rsidRDefault="007F1CFA" w:rsidP="004627D8">
            <w:pPr>
              <w:spacing w:before="120" w:after="120"/>
              <w:jc w:val="center"/>
              <w:rPr>
                <w:rFonts w:ascii="Arial" w:hAnsi="Arial" w:cs="Arial"/>
                <w:b/>
                <w:bCs/>
                <w:color w:val="FFFFFF" w:themeColor="background1"/>
                <w:sz w:val="22"/>
              </w:rPr>
            </w:pPr>
            <w:r w:rsidRPr="007F1CFA">
              <w:rPr>
                <w:rFonts w:ascii="Arial" w:hAnsi="Arial" w:cs="Arial"/>
                <w:b/>
                <w:bCs/>
                <w:color w:val="FFFFFF" w:themeColor="background1"/>
                <w:sz w:val="22"/>
              </w:rPr>
              <w:t>(See 3.3)</w:t>
            </w:r>
          </w:p>
        </w:tc>
        <w:tc>
          <w:tcPr>
            <w:tcW w:w="1014" w:type="pct"/>
            <w:shd w:val="clear" w:color="auto" w:fill="595959" w:themeFill="text1" w:themeFillTint="A6"/>
          </w:tcPr>
          <w:p w14:paraId="3E980425" w14:textId="77777777" w:rsidR="007F1CFA" w:rsidRPr="007F1CFA" w:rsidRDefault="007F1CFA" w:rsidP="004627D8">
            <w:pPr>
              <w:spacing w:before="120" w:after="120"/>
              <w:jc w:val="center"/>
              <w:rPr>
                <w:rFonts w:ascii="Arial" w:hAnsi="Arial" w:cs="Arial"/>
                <w:b/>
                <w:bCs/>
                <w:color w:val="FFFFFF" w:themeColor="background1"/>
                <w:sz w:val="22"/>
              </w:rPr>
            </w:pPr>
            <w:r w:rsidRPr="007F1CFA">
              <w:rPr>
                <w:rFonts w:ascii="Arial" w:hAnsi="Arial" w:cs="Arial"/>
                <w:b/>
                <w:bCs/>
                <w:color w:val="FFFFFF" w:themeColor="background1"/>
                <w:sz w:val="22"/>
              </w:rPr>
              <w:t xml:space="preserve">Annual Review of Risk </w:t>
            </w:r>
          </w:p>
          <w:p w14:paraId="68E3C20D" w14:textId="77777777" w:rsidR="007F1CFA" w:rsidRPr="007F1CFA" w:rsidRDefault="007F1CFA" w:rsidP="004627D8">
            <w:pPr>
              <w:spacing w:before="120" w:after="120"/>
              <w:jc w:val="center"/>
              <w:rPr>
                <w:rFonts w:ascii="Arial" w:hAnsi="Arial" w:cs="Arial"/>
                <w:b/>
                <w:bCs/>
                <w:color w:val="FFFFFF" w:themeColor="background1"/>
                <w:sz w:val="22"/>
              </w:rPr>
            </w:pPr>
            <w:r w:rsidRPr="007F1CFA">
              <w:rPr>
                <w:rFonts w:ascii="Arial" w:hAnsi="Arial" w:cs="Arial"/>
                <w:b/>
                <w:bCs/>
                <w:color w:val="FFFFFF" w:themeColor="background1"/>
                <w:sz w:val="22"/>
              </w:rPr>
              <w:t>(See 3.4)</w:t>
            </w:r>
          </w:p>
        </w:tc>
        <w:tc>
          <w:tcPr>
            <w:tcW w:w="1248" w:type="pct"/>
            <w:shd w:val="clear" w:color="auto" w:fill="595959" w:themeFill="text1" w:themeFillTint="A6"/>
          </w:tcPr>
          <w:p w14:paraId="049858EC" w14:textId="77777777" w:rsidR="007F1CFA" w:rsidRPr="007F1CFA" w:rsidRDefault="007F1CFA" w:rsidP="004627D8">
            <w:pPr>
              <w:spacing w:before="120" w:after="120"/>
              <w:jc w:val="center"/>
              <w:rPr>
                <w:rFonts w:ascii="Arial" w:hAnsi="Arial" w:cs="Arial"/>
                <w:b/>
                <w:bCs/>
                <w:color w:val="FFFFFF" w:themeColor="background1"/>
                <w:sz w:val="22"/>
              </w:rPr>
            </w:pPr>
            <w:r w:rsidRPr="007F1CFA">
              <w:rPr>
                <w:rFonts w:ascii="Arial" w:hAnsi="Arial" w:cs="Arial"/>
                <w:b/>
                <w:bCs/>
                <w:color w:val="FFFFFF" w:themeColor="background1"/>
                <w:sz w:val="22"/>
              </w:rPr>
              <w:t>Documentation and Record Keeping</w:t>
            </w:r>
          </w:p>
          <w:p w14:paraId="6398144C" w14:textId="77777777" w:rsidR="007F1CFA" w:rsidRPr="007F1CFA" w:rsidRDefault="007F1CFA" w:rsidP="004627D8">
            <w:pPr>
              <w:spacing w:before="120" w:after="120"/>
              <w:jc w:val="center"/>
              <w:rPr>
                <w:rFonts w:ascii="Arial" w:hAnsi="Arial" w:cs="Arial"/>
                <w:b/>
                <w:bCs/>
                <w:color w:val="FFFFFF" w:themeColor="background1"/>
                <w:sz w:val="22"/>
              </w:rPr>
            </w:pPr>
            <w:r w:rsidRPr="007F1CFA">
              <w:rPr>
                <w:rFonts w:ascii="Arial" w:hAnsi="Arial" w:cs="Arial"/>
                <w:b/>
                <w:bCs/>
                <w:color w:val="FFFFFF" w:themeColor="background1"/>
                <w:sz w:val="22"/>
              </w:rPr>
              <w:t>(See 3.5)</w:t>
            </w:r>
          </w:p>
        </w:tc>
        <w:tc>
          <w:tcPr>
            <w:tcW w:w="1215" w:type="pct"/>
            <w:shd w:val="clear" w:color="auto" w:fill="595959" w:themeFill="text1" w:themeFillTint="A6"/>
          </w:tcPr>
          <w:p w14:paraId="5C4F9B26" w14:textId="77777777" w:rsidR="007F1CFA" w:rsidRPr="007F1CFA" w:rsidRDefault="007F1CFA" w:rsidP="004627D8">
            <w:pPr>
              <w:spacing w:before="120" w:after="120"/>
              <w:jc w:val="center"/>
              <w:rPr>
                <w:rFonts w:ascii="Arial" w:hAnsi="Arial" w:cs="Arial"/>
                <w:b/>
                <w:bCs/>
                <w:color w:val="FFFFFF" w:themeColor="background1"/>
                <w:sz w:val="22"/>
              </w:rPr>
            </w:pPr>
            <w:r w:rsidRPr="007F1CFA">
              <w:rPr>
                <w:rFonts w:ascii="Arial" w:hAnsi="Arial" w:cs="Arial"/>
                <w:b/>
                <w:bCs/>
                <w:color w:val="FFFFFF" w:themeColor="background1"/>
                <w:sz w:val="22"/>
              </w:rPr>
              <w:t>Breach Reporting</w:t>
            </w:r>
          </w:p>
          <w:p w14:paraId="74FFDE16" w14:textId="77777777" w:rsidR="007F1CFA" w:rsidRPr="007F1CFA" w:rsidRDefault="007F1CFA" w:rsidP="004627D8">
            <w:pPr>
              <w:spacing w:before="120" w:after="120"/>
              <w:jc w:val="center"/>
              <w:rPr>
                <w:rFonts w:ascii="Arial" w:hAnsi="Arial" w:cs="Arial"/>
                <w:b/>
                <w:bCs/>
                <w:color w:val="FFFFFF" w:themeColor="background1"/>
                <w:sz w:val="22"/>
              </w:rPr>
            </w:pPr>
            <w:r w:rsidRPr="007F1CFA">
              <w:rPr>
                <w:rFonts w:ascii="Arial" w:hAnsi="Arial" w:cs="Arial"/>
                <w:b/>
                <w:bCs/>
                <w:color w:val="FFFFFF" w:themeColor="background1"/>
                <w:sz w:val="22"/>
              </w:rPr>
              <w:t>(See 3.6)</w:t>
            </w:r>
          </w:p>
        </w:tc>
      </w:tr>
      <w:tr w:rsidR="007F1CFA" w:rsidRPr="00311F29" w14:paraId="23B71A68" w14:textId="77777777" w:rsidTr="004627D8">
        <w:tc>
          <w:tcPr>
            <w:tcW w:w="540" w:type="pct"/>
            <w:shd w:val="clear" w:color="auto" w:fill="595959" w:themeFill="text1" w:themeFillTint="A6"/>
          </w:tcPr>
          <w:p w14:paraId="41E51065" w14:textId="77777777" w:rsidR="007F1CFA" w:rsidRPr="007F1CFA" w:rsidRDefault="007F1CFA" w:rsidP="004627D8">
            <w:pPr>
              <w:spacing w:before="120" w:after="120"/>
              <w:rPr>
                <w:rFonts w:ascii="Arial" w:hAnsi="Arial" w:cs="Arial"/>
                <w:b/>
                <w:bCs/>
                <w:color w:val="FFFFFF" w:themeColor="background1"/>
                <w:sz w:val="22"/>
              </w:rPr>
            </w:pPr>
            <w:r w:rsidRPr="007F1CFA">
              <w:rPr>
                <w:rFonts w:ascii="Arial" w:hAnsi="Arial" w:cs="Arial"/>
                <w:b/>
                <w:bCs/>
                <w:color w:val="FFFFFF" w:themeColor="background1"/>
                <w:sz w:val="22"/>
              </w:rPr>
              <w:t>TIER 1</w:t>
            </w:r>
          </w:p>
        </w:tc>
        <w:tc>
          <w:tcPr>
            <w:tcW w:w="982" w:type="pct"/>
          </w:tcPr>
          <w:p w14:paraId="0BB2D227"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c>
          <w:tcPr>
            <w:tcW w:w="1014" w:type="pct"/>
          </w:tcPr>
          <w:p w14:paraId="6634E560"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c>
          <w:tcPr>
            <w:tcW w:w="1248" w:type="pct"/>
          </w:tcPr>
          <w:p w14:paraId="16509175"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c>
          <w:tcPr>
            <w:tcW w:w="1215" w:type="pct"/>
          </w:tcPr>
          <w:p w14:paraId="2BE8F977"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r>
      <w:tr w:rsidR="007F1CFA" w:rsidRPr="00311F29" w14:paraId="05E95A15" w14:textId="77777777" w:rsidTr="004627D8">
        <w:tc>
          <w:tcPr>
            <w:tcW w:w="540" w:type="pct"/>
            <w:shd w:val="clear" w:color="auto" w:fill="595959" w:themeFill="text1" w:themeFillTint="A6"/>
          </w:tcPr>
          <w:p w14:paraId="427CC8E5" w14:textId="77777777" w:rsidR="007F1CFA" w:rsidRPr="007F1CFA" w:rsidRDefault="007F1CFA" w:rsidP="004627D8">
            <w:pPr>
              <w:spacing w:before="120" w:after="120"/>
              <w:rPr>
                <w:rFonts w:ascii="Arial" w:hAnsi="Arial" w:cs="Arial"/>
                <w:b/>
                <w:bCs/>
                <w:color w:val="FFFFFF" w:themeColor="background1"/>
                <w:sz w:val="22"/>
              </w:rPr>
            </w:pPr>
            <w:r w:rsidRPr="007F1CFA">
              <w:rPr>
                <w:rFonts w:ascii="Arial" w:hAnsi="Arial" w:cs="Arial"/>
                <w:b/>
                <w:bCs/>
                <w:color w:val="FFFFFF" w:themeColor="background1"/>
                <w:sz w:val="22"/>
              </w:rPr>
              <w:t>TIER 2</w:t>
            </w:r>
          </w:p>
        </w:tc>
        <w:tc>
          <w:tcPr>
            <w:tcW w:w="982" w:type="pct"/>
            <w:shd w:val="clear" w:color="auto" w:fill="F2F2F2" w:themeFill="background1" w:themeFillShade="F2"/>
          </w:tcPr>
          <w:p w14:paraId="4833CD1C"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c>
          <w:tcPr>
            <w:tcW w:w="1014" w:type="pct"/>
            <w:shd w:val="clear" w:color="auto" w:fill="F2F2F2" w:themeFill="background1" w:themeFillShade="F2"/>
          </w:tcPr>
          <w:p w14:paraId="065095CC"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c>
          <w:tcPr>
            <w:tcW w:w="1248" w:type="pct"/>
            <w:shd w:val="clear" w:color="auto" w:fill="F2F2F2" w:themeFill="background1" w:themeFillShade="F2"/>
          </w:tcPr>
          <w:p w14:paraId="5C8F78CB"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c>
          <w:tcPr>
            <w:tcW w:w="1215" w:type="pct"/>
            <w:shd w:val="clear" w:color="auto" w:fill="F2F2F2" w:themeFill="background1" w:themeFillShade="F2"/>
          </w:tcPr>
          <w:p w14:paraId="0719DABE"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r>
      <w:tr w:rsidR="007F1CFA" w:rsidRPr="00311F29" w14:paraId="171CF9A3" w14:textId="77777777" w:rsidTr="004627D8">
        <w:tc>
          <w:tcPr>
            <w:tcW w:w="540" w:type="pct"/>
            <w:shd w:val="clear" w:color="auto" w:fill="595959" w:themeFill="text1" w:themeFillTint="A6"/>
          </w:tcPr>
          <w:p w14:paraId="64318DCD" w14:textId="77777777" w:rsidR="007F1CFA" w:rsidRPr="007F1CFA" w:rsidRDefault="007F1CFA" w:rsidP="004627D8">
            <w:pPr>
              <w:spacing w:before="120" w:after="120"/>
              <w:rPr>
                <w:rFonts w:ascii="Arial" w:hAnsi="Arial" w:cs="Arial"/>
                <w:b/>
                <w:bCs/>
                <w:color w:val="FFFFFF" w:themeColor="background1"/>
                <w:sz w:val="22"/>
              </w:rPr>
            </w:pPr>
            <w:r w:rsidRPr="007F1CFA">
              <w:rPr>
                <w:rFonts w:ascii="Arial" w:hAnsi="Arial" w:cs="Arial"/>
                <w:b/>
                <w:bCs/>
                <w:color w:val="FFFFFF" w:themeColor="background1"/>
                <w:sz w:val="22"/>
              </w:rPr>
              <w:t>TIER 3</w:t>
            </w:r>
          </w:p>
        </w:tc>
        <w:tc>
          <w:tcPr>
            <w:tcW w:w="982" w:type="pct"/>
          </w:tcPr>
          <w:p w14:paraId="5C19D7D3"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Encouraged</w:t>
            </w:r>
          </w:p>
        </w:tc>
        <w:tc>
          <w:tcPr>
            <w:tcW w:w="1014" w:type="pct"/>
          </w:tcPr>
          <w:p w14:paraId="66799823"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No</w:t>
            </w:r>
          </w:p>
        </w:tc>
        <w:tc>
          <w:tcPr>
            <w:tcW w:w="1248" w:type="pct"/>
          </w:tcPr>
          <w:p w14:paraId="61CE526D"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c>
          <w:tcPr>
            <w:tcW w:w="1215" w:type="pct"/>
          </w:tcPr>
          <w:p w14:paraId="433D0606"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r>
      <w:tr w:rsidR="007F1CFA" w:rsidRPr="00311F29" w14:paraId="1933AEAD" w14:textId="77777777" w:rsidTr="004627D8">
        <w:tc>
          <w:tcPr>
            <w:tcW w:w="540" w:type="pct"/>
            <w:shd w:val="clear" w:color="auto" w:fill="595959" w:themeFill="text1" w:themeFillTint="A6"/>
          </w:tcPr>
          <w:p w14:paraId="4DA19371" w14:textId="77777777" w:rsidR="007F1CFA" w:rsidRPr="007F1CFA" w:rsidRDefault="007F1CFA" w:rsidP="004627D8">
            <w:pPr>
              <w:spacing w:before="120" w:after="120"/>
              <w:rPr>
                <w:rFonts w:ascii="Arial" w:hAnsi="Arial" w:cs="Arial"/>
                <w:b/>
                <w:bCs/>
                <w:color w:val="FFFFFF" w:themeColor="background1"/>
                <w:sz w:val="22"/>
              </w:rPr>
            </w:pPr>
            <w:r w:rsidRPr="007F1CFA">
              <w:rPr>
                <w:rFonts w:ascii="Arial" w:hAnsi="Arial" w:cs="Arial"/>
                <w:b/>
                <w:bCs/>
                <w:color w:val="FFFFFF" w:themeColor="background1"/>
                <w:sz w:val="22"/>
              </w:rPr>
              <w:t>TIER 4</w:t>
            </w:r>
          </w:p>
        </w:tc>
        <w:tc>
          <w:tcPr>
            <w:tcW w:w="982" w:type="pct"/>
            <w:shd w:val="clear" w:color="auto" w:fill="E6E7E8"/>
          </w:tcPr>
          <w:p w14:paraId="4AA23CDA"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Encouraged</w:t>
            </w:r>
          </w:p>
        </w:tc>
        <w:tc>
          <w:tcPr>
            <w:tcW w:w="1014" w:type="pct"/>
            <w:shd w:val="clear" w:color="auto" w:fill="E6E7E8"/>
          </w:tcPr>
          <w:p w14:paraId="4D055920"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No</w:t>
            </w:r>
          </w:p>
        </w:tc>
        <w:tc>
          <w:tcPr>
            <w:tcW w:w="1248" w:type="pct"/>
            <w:shd w:val="clear" w:color="auto" w:fill="E6E7E8"/>
          </w:tcPr>
          <w:p w14:paraId="613909F9"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c>
          <w:tcPr>
            <w:tcW w:w="1215" w:type="pct"/>
            <w:shd w:val="clear" w:color="auto" w:fill="E6E7E8"/>
          </w:tcPr>
          <w:p w14:paraId="64407E21" w14:textId="77777777" w:rsidR="007F1CFA" w:rsidRPr="007F1CFA" w:rsidRDefault="007F1CFA" w:rsidP="004627D8">
            <w:pPr>
              <w:spacing w:before="120" w:after="120"/>
              <w:jc w:val="center"/>
              <w:rPr>
                <w:rFonts w:ascii="Arial" w:hAnsi="Arial" w:cs="Arial"/>
                <w:sz w:val="22"/>
              </w:rPr>
            </w:pPr>
            <w:r w:rsidRPr="007F1CFA">
              <w:rPr>
                <w:rFonts w:ascii="Arial" w:hAnsi="Arial" w:cs="Arial"/>
                <w:sz w:val="22"/>
              </w:rPr>
              <w:t>Required</w:t>
            </w:r>
          </w:p>
        </w:tc>
      </w:tr>
    </w:tbl>
    <w:p w14:paraId="0CBCCD2C" w14:textId="77777777" w:rsidR="001076F2" w:rsidRPr="00AD1A60" w:rsidRDefault="001076F2" w:rsidP="00AD1A60">
      <w:pPr>
        <w:pStyle w:val="NormalWhite"/>
        <w:spacing w:before="120" w:after="120" w:line="240" w:lineRule="auto"/>
        <w:ind w:left="567"/>
        <w:rPr>
          <w:rFonts w:cs="Arial"/>
          <w:color w:val="auto"/>
          <w:sz w:val="22"/>
        </w:rPr>
      </w:pPr>
    </w:p>
    <w:p w14:paraId="3CFD6640" w14:textId="35A216F4" w:rsidR="001A2FF3" w:rsidRPr="00237AB3" w:rsidRDefault="001A2FF3" w:rsidP="001A2FF3">
      <w:pPr>
        <w:pStyle w:val="Heading2"/>
        <w:rPr>
          <w:rFonts w:ascii="Griffith Sans Text" w:hAnsi="Griffith Sans Text"/>
        </w:rPr>
      </w:pPr>
      <w:bookmarkStart w:id="6" w:name="_4.0_Roles_and"/>
      <w:bookmarkEnd w:id="6"/>
      <w:r w:rsidRPr="00237AB3">
        <w:rPr>
          <w:rFonts w:ascii="Griffith Sans Text" w:hAnsi="Griffith Sans Text"/>
        </w:rPr>
        <w:t xml:space="preserve">4.0 </w:t>
      </w:r>
      <w:r>
        <w:rPr>
          <w:rFonts w:ascii="Griffith Sans Text" w:hAnsi="Griffith Sans Text"/>
        </w:rPr>
        <w:t>Roles and Responsibilities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7513"/>
      </w:tblGrid>
      <w:tr w:rsidR="008F2B91" w:rsidRPr="00BA6219" w14:paraId="08AB5369" w14:textId="77777777" w:rsidTr="008F2B91">
        <w:trPr>
          <w:trHeight w:val="454"/>
        </w:trPr>
        <w:tc>
          <w:tcPr>
            <w:tcW w:w="1438" w:type="pct"/>
            <w:tcBorders>
              <w:bottom w:val="single" w:sz="8" w:space="0" w:color="E30918"/>
            </w:tcBorders>
            <w:shd w:val="clear" w:color="auto" w:fill="auto"/>
          </w:tcPr>
          <w:p w14:paraId="4B11A705" w14:textId="77777777" w:rsidR="008F2B91" w:rsidRPr="00FC5552" w:rsidRDefault="008F2B91" w:rsidP="004627D8">
            <w:pPr>
              <w:spacing w:before="120" w:after="120"/>
              <w:rPr>
                <w:rFonts w:cs="Arial"/>
                <w:b/>
                <w:bCs/>
                <w:color w:val="000000" w:themeColor="text1"/>
                <w:sz w:val="24"/>
                <w:szCs w:val="24"/>
              </w:rPr>
            </w:pPr>
            <w:r>
              <w:rPr>
                <w:rFonts w:cs="Arial"/>
                <w:b/>
                <w:bCs/>
                <w:color w:val="E30918"/>
                <w:sz w:val="24"/>
                <w:szCs w:val="24"/>
              </w:rPr>
              <w:t xml:space="preserve">ROLE </w:t>
            </w:r>
          </w:p>
        </w:tc>
        <w:tc>
          <w:tcPr>
            <w:tcW w:w="3562" w:type="pct"/>
            <w:tcBorders>
              <w:bottom w:val="single" w:sz="8" w:space="0" w:color="E30918"/>
            </w:tcBorders>
            <w:shd w:val="clear" w:color="auto" w:fill="auto"/>
          </w:tcPr>
          <w:p w14:paraId="7F4156C9" w14:textId="77777777" w:rsidR="008F2B91" w:rsidRPr="00BA6219" w:rsidRDefault="008F2B91" w:rsidP="004627D8">
            <w:pPr>
              <w:spacing w:before="120" w:after="120"/>
              <w:rPr>
                <w:rFonts w:cs="Arial"/>
                <w:color w:val="000000" w:themeColor="text1"/>
                <w:szCs w:val="20"/>
              </w:rPr>
            </w:pPr>
            <w:r>
              <w:rPr>
                <w:rFonts w:cs="Arial"/>
                <w:b/>
                <w:bCs/>
                <w:color w:val="E30918"/>
                <w:sz w:val="24"/>
                <w:szCs w:val="24"/>
              </w:rPr>
              <w:t>RESPONSIBILITY</w:t>
            </w:r>
          </w:p>
        </w:tc>
      </w:tr>
      <w:tr w:rsidR="008F2B91" w:rsidRPr="008F2B91" w14:paraId="1F4C1E95" w14:textId="77777777" w:rsidTr="008F2B91">
        <w:tc>
          <w:tcPr>
            <w:tcW w:w="1438" w:type="pct"/>
            <w:tcBorders>
              <w:top w:val="single" w:sz="8" w:space="0" w:color="E30918"/>
              <w:bottom w:val="single" w:sz="4" w:space="0" w:color="auto"/>
              <w:right w:val="single" w:sz="4" w:space="0" w:color="auto"/>
            </w:tcBorders>
            <w:shd w:val="clear" w:color="auto" w:fill="auto"/>
          </w:tcPr>
          <w:p w14:paraId="2FAB9652" w14:textId="77777777" w:rsidR="008F2B91" w:rsidRPr="008F2B91" w:rsidRDefault="008F2B91" w:rsidP="004627D8">
            <w:pPr>
              <w:spacing w:before="120" w:after="120"/>
              <w:rPr>
                <w:rFonts w:ascii="Arial" w:hAnsi="Arial" w:cs="Arial"/>
                <w:b/>
                <w:bCs/>
                <w:sz w:val="22"/>
              </w:rPr>
            </w:pPr>
            <w:r w:rsidRPr="008F2B91">
              <w:rPr>
                <w:rFonts w:ascii="Arial" w:hAnsi="Arial" w:cs="Arial"/>
                <w:b/>
                <w:bCs/>
                <w:sz w:val="22"/>
              </w:rPr>
              <w:t>Vice Chancellor and Executive Management</w:t>
            </w:r>
          </w:p>
        </w:tc>
        <w:tc>
          <w:tcPr>
            <w:tcW w:w="3562" w:type="pct"/>
            <w:tcBorders>
              <w:top w:val="single" w:sz="8" w:space="0" w:color="E30918"/>
              <w:left w:val="single" w:sz="4" w:space="0" w:color="auto"/>
              <w:bottom w:val="single" w:sz="4" w:space="0" w:color="auto"/>
            </w:tcBorders>
            <w:shd w:val="clear" w:color="auto" w:fill="auto"/>
          </w:tcPr>
          <w:p w14:paraId="64B2A3F3" w14:textId="77777777" w:rsidR="008F2B91" w:rsidRPr="008F2B91" w:rsidRDefault="008F2B91" w:rsidP="004627D8">
            <w:pPr>
              <w:spacing w:before="120" w:after="120"/>
              <w:rPr>
                <w:rFonts w:ascii="Arial" w:hAnsi="Arial" w:cs="Arial"/>
                <w:sz w:val="22"/>
              </w:rPr>
            </w:pPr>
            <w:r w:rsidRPr="008F2B91">
              <w:rPr>
                <w:rFonts w:ascii="Arial" w:hAnsi="Arial" w:cs="Arial"/>
                <w:sz w:val="22"/>
              </w:rPr>
              <w:t>Promote the Compliance Program and a positive compliance culture across the University.</w:t>
            </w:r>
          </w:p>
          <w:p w14:paraId="34488B27" w14:textId="77777777" w:rsidR="008F2B91" w:rsidRPr="008F2B91" w:rsidRDefault="008F2B91" w:rsidP="004627D8">
            <w:pPr>
              <w:spacing w:before="120" w:after="120"/>
              <w:rPr>
                <w:rFonts w:ascii="Arial" w:hAnsi="Arial" w:cs="Arial"/>
                <w:sz w:val="22"/>
              </w:rPr>
            </w:pPr>
            <w:r w:rsidRPr="008F2B91">
              <w:rPr>
                <w:rFonts w:ascii="Arial" w:hAnsi="Arial" w:cs="Arial"/>
                <w:sz w:val="22"/>
              </w:rPr>
              <w:lastRenderedPageBreak/>
              <w:t>Be aware of, and exercise, legislative duties as executive officers with responsibility to take reasonable steps to ensure compliance by the University.</w:t>
            </w:r>
          </w:p>
          <w:p w14:paraId="5E0F23E5" w14:textId="77777777" w:rsidR="008F2B91" w:rsidRPr="008F2B91" w:rsidRDefault="008F2B91" w:rsidP="004627D8">
            <w:pPr>
              <w:spacing w:before="120" w:after="120"/>
              <w:rPr>
                <w:rFonts w:ascii="Arial" w:hAnsi="Arial" w:cs="Arial"/>
                <w:sz w:val="22"/>
              </w:rPr>
            </w:pPr>
            <w:r w:rsidRPr="008F2B91">
              <w:rPr>
                <w:rFonts w:ascii="Arial" w:hAnsi="Arial" w:cs="Arial"/>
                <w:sz w:val="22"/>
              </w:rPr>
              <w:t>Ensure Compliance Risk Owners have the appropriate resources to effectively manage compliance risk, consistent with the University’s Risk Appetite.</w:t>
            </w:r>
          </w:p>
          <w:p w14:paraId="05E0E209" w14:textId="77777777" w:rsidR="008F2B91" w:rsidRPr="008F2B91" w:rsidRDefault="008F2B91" w:rsidP="004627D8">
            <w:pPr>
              <w:spacing w:before="120" w:after="120"/>
              <w:rPr>
                <w:rFonts w:ascii="Arial" w:hAnsi="Arial" w:cs="Arial"/>
                <w:sz w:val="22"/>
              </w:rPr>
            </w:pPr>
            <w:r w:rsidRPr="008F2B91">
              <w:rPr>
                <w:rFonts w:ascii="Arial" w:hAnsi="Arial" w:cs="Arial"/>
                <w:sz w:val="22"/>
              </w:rPr>
              <w:t xml:space="preserve">Challenge and question risk assessments to ensure that assessments are robust, </w:t>
            </w:r>
            <w:proofErr w:type="gramStart"/>
            <w:r w:rsidRPr="008F2B91">
              <w:rPr>
                <w:rFonts w:ascii="Arial" w:hAnsi="Arial" w:cs="Arial"/>
                <w:sz w:val="22"/>
              </w:rPr>
              <w:t>comprehensive</w:t>
            </w:r>
            <w:proofErr w:type="gramEnd"/>
            <w:r w:rsidRPr="008F2B91">
              <w:rPr>
                <w:rFonts w:ascii="Arial" w:hAnsi="Arial" w:cs="Arial"/>
                <w:sz w:val="22"/>
              </w:rPr>
              <w:t xml:space="preserve"> and appropriate stakeholders have been engaged.</w:t>
            </w:r>
          </w:p>
        </w:tc>
      </w:tr>
      <w:tr w:rsidR="008F2B91" w:rsidRPr="008F2B91" w14:paraId="6CDE0F3A" w14:textId="77777777" w:rsidTr="008F2B91">
        <w:tc>
          <w:tcPr>
            <w:tcW w:w="1438" w:type="pct"/>
            <w:tcBorders>
              <w:top w:val="single" w:sz="4" w:space="0" w:color="auto"/>
              <w:bottom w:val="single" w:sz="4" w:space="0" w:color="auto"/>
              <w:right w:val="single" w:sz="4" w:space="0" w:color="auto"/>
            </w:tcBorders>
            <w:shd w:val="clear" w:color="auto" w:fill="auto"/>
          </w:tcPr>
          <w:p w14:paraId="463DED28" w14:textId="77777777" w:rsidR="008F2B91" w:rsidRPr="008F2B91" w:rsidRDefault="008F2B91" w:rsidP="004627D8">
            <w:pPr>
              <w:spacing w:before="120" w:after="120"/>
              <w:rPr>
                <w:rFonts w:ascii="Arial" w:hAnsi="Arial" w:cs="Arial"/>
                <w:b/>
                <w:bCs/>
                <w:sz w:val="22"/>
              </w:rPr>
            </w:pPr>
            <w:r w:rsidRPr="008F2B91">
              <w:rPr>
                <w:rFonts w:ascii="Arial" w:hAnsi="Arial" w:cs="Arial"/>
                <w:b/>
                <w:bCs/>
                <w:sz w:val="22"/>
              </w:rPr>
              <w:lastRenderedPageBreak/>
              <w:t>Chief Operating Officer</w:t>
            </w:r>
          </w:p>
        </w:tc>
        <w:tc>
          <w:tcPr>
            <w:tcW w:w="3562" w:type="pct"/>
            <w:tcBorders>
              <w:top w:val="single" w:sz="4" w:space="0" w:color="auto"/>
              <w:left w:val="single" w:sz="4" w:space="0" w:color="auto"/>
              <w:bottom w:val="single" w:sz="4" w:space="0" w:color="auto"/>
            </w:tcBorders>
            <w:shd w:val="clear" w:color="auto" w:fill="auto"/>
          </w:tcPr>
          <w:p w14:paraId="50BFE5C1" w14:textId="77777777" w:rsidR="008F2B91" w:rsidRPr="008F2B91" w:rsidRDefault="008F2B91" w:rsidP="004627D8">
            <w:pPr>
              <w:spacing w:before="120" w:after="120"/>
              <w:rPr>
                <w:rFonts w:ascii="Arial" w:hAnsi="Arial" w:cs="Arial"/>
                <w:sz w:val="22"/>
              </w:rPr>
            </w:pPr>
            <w:r w:rsidRPr="008F2B91">
              <w:rPr>
                <w:rFonts w:ascii="Arial" w:hAnsi="Arial" w:cs="Arial"/>
                <w:sz w:val="22"/>
              </w:rPr>
              <w:t>Accountable for the Legislative Compliance Policy and the implementation of the Compliance Management Program.</w:t>
            </w:r>
          </w:p>
        </w:tc>
      </w:tr>
      <w:tr w:rsidR="008F2B91" w:rsidRPr="008F2B91" w14:paraId="48847F3D" w14:textId="77777777" w:rsidTr="008F2B91">
        <w:tc>
          <w:tcPr>
            <w:tcW w:w="1438" w:type="pct"/>
            <w:tcBorders>
              <w:top w:val="single" w:sz="4" w:space="0" w:color="auto"/>
              <w:bottom w:val="single" w:sz="4" w:space="0" w:color="auto"/>
              <w:right w:val="single" w:sz="4" w:space="0" w:color="auto"/>
            </w:tcBorders>
            <w:shd w:val="clear" w:color="auto" w:fill="auto"/>
          </w:tcPr>
          <w:p w14:paraId="1DFB166A" w14:textId="77777777" w:rsidR="008F2B91" w:rsidRPr="008F2B91" w:rsidRDefault="008F2B91" w:rsidP="004627D8">
            <w:pPr>
              <w:spacing w:before="120" w:after="120"/>
              <w:rPr>
                <w:rFonts w:ascii="Arial" w:hAnsi="Arial" w:cs="Arial"/>
                <w:b/>
                <w:bCs/>
                <w:sz w:val="22"/>
              </w:rPr>
            </w:pPr>
            <w:r w:rsidRPr="008F2B91">
              <w:rPr>
                <w:rFonts w:ascii="Arial" w:hAnsi="Arial" w:cs="Arial"/>
                <w:b/>
                <w:bCs/>
                <w:sz w:val="22"/>
              </w:rPr>
              <w:t>General Counsel</w:t>
            </w:r>
          </w:p>
        </w:tc>
        <w:tc>
          <w:tcPr>
            <w:tcW w:w="3562" w:type="pct"/>
            <w:tcBorders>
              <w:top w:val="single" w:sz="4" w:space="0" w:color="auto"/>
              <w:left w:val="single" w:sz="4" w:space="0" w:color="auto"/>
              <w:bottom w:val="single" w:sz="4" w:space="0" w:color="auto"/>
            </w:tcBorders>
            <w:shd w:val="clear" w:color="auto" w:fill="auto"/>
          </w:tcPr>
          <w:p w14:paraId="44979B2D" w14:textId="77777777" w:rsidR="008F2B91" w:rsidRPr="008F2B91" w:rsidRDefault="008F2B91" w:rsidP="004627D8">
            <w:pPr>
              <w:spacing w:before="120" w:after="120"/>
              <w:rPr>
                <w:rFonts w:ascii="Arial" w:hAnsi="Arial" w:cs="Arial"/>
                <w:sz w:val="22"/>
              </w:rPr>
            </w:pPr>
            <w:r w:rsidRPr="008F2B91">
              <w:rPr>
                <w:rFonts w:ascii="Arial" w:hAnsi="Arial" w:cs="Arial"/>
                <w:sz w:val="22"/>
              </w:rPr>
              <w:t xml:space="preserve">Responsible for the development and implementation of the Compliance Management Program. </w:t>
            </w:r>
          </w:p>
          <w:p w14:paraId="0728EFCF" w14:textId="77777777" w:rsidR="008F2B91" w:rsidRPr="008F2B91" w:rsidRDefault="008F2B91" w:rsidP="004627D8">
            <w:pPr>
              <w:spacing w:before="120" w:after="120"/>
              <w:rPr>
                <w:rFonts w:ascii="Arial" w:hAnsi="Arial" w:cs="Arial"/>
                <w:sz w:val="22"/>
              </w:rPr>
            </w:pPr>
            <w:r w:rsidRPr="008F2B91">
              <w:rPr>
                <w:rFonts w:ascii="Arial" w:hAnsi="Arial" w:cs="Arial"/>
                <w:sz w:val="22"/>
              </w:rPr>
              <w:t>Head of the Compliance function.</w:t>
            </w:r>
          </w:p>
        </w:tc>
      </w:tr>
      <w:tr w:rsidR="008F2B91" w:rsidRPr="008F2B91" w14:paraId="133FE45D" w14:textId="77777777" w:rsidTr="008F2B91">
        <w:tc>
          <w:tcPr>
            <w:tcW w:w="1438" w:type="pct"/>
            <w:tcBorders>
              <w:top w:val="single" w:sz="4" w:space="0" w:color="auto"/>
              <w:bottom w:val="single" w:sz="4" w:space="0" w:color="auto"/>
              <w:right w:val="single" w:sz="4" w:space="0" w:color="auto"/>
            </w:tcBorders>
            <w:shd w:val="clear" w:color="auto" w:fill="auto"/>
          </w:tcPr>
          <w:p w14:paraId="1E1212FD" w14:textId="77777777" w:rsidR="008F2B91" w:rsidRPr="008F2B91" w:rsidRDefault="008F2B91" w:rsidP="004627D8">
            <w:pPr>
              <w:spacing w:before="120" w:after="120"/>
              <w:rPr>
                <w:rFonts w:ascii="Arial" w:hAnsi="Arial" w:cs="Arial"/>
                <w:b/>
                <w:bCs/>
                <w:sz w:val="22"/>
              </w:rPr>
            </w:pPr>
            <w:r w:rsidRPr="008F2B91">
              <w:rPr>
                <w:rFonts w:ascii="Arial" w:hAnsi="Arial" w:cs="Arial"/>
                <w:b/>
                <w:bCs/>
                <w:sz w:val="22"/>
              </w:rPr>
              <w:t>Compliance Risk Owners</w:t>
            </w:r>
          </w:p>
        </w:tc>
        <w:tc>
          <w:tcPr>
            <w:tcW w:w="3562" w:type="pct"/>
            <w:tcBorders>
              <w:top w:val="single" w:sz="4" w:space="0" w:color="auto"/>
              <w:left w:val="single" w:sz="4" w:space="0" w:color="auto"/>
              <w:bottom w:val="single" w:sz="4" w:space="0" w:color="auto"/>
            </w:tcBorders>
            <w:shd w:val="clear" w:color="auto" w:fill="auto"/>
          </w:tcPr>
          <w:p w14:paraId="366F46DB" w14:textId="77777777" w:rsidR="008F2B91" w:rsidRPr="008F2B91" w:rsidRDefault="008F2B91" w:rsidP="004627D8">
            <w:pPr>
              <w:spacing w:before="120" w:after="120"/>
              <w:rPr>
                <w:rFonts w:ascii="Arial" w:hAnsi="Arial" w:cs="Arial"/>
                <w:sz w:val="22"/>
              </w:rPr>
            </w:pPr>
            <w:r w:rsidRPr="008F2B91">
              <w:rPr>
                <w:rFonts w:ascii="Arial" w:hAnsi="Arial" w:cs="Arial"/>
                <w:sz w:val="22"/>
              </w:rPr>
              <w:t>Conduct and keep up to date a documented risk assessment. This includes reviewing the risk assessment when there are changes in the underpinning legislation, or in response to relevant changes in the University, or when relevant incidents are detected.</w:t>
            </w:r>
          </w:p>
          <w:p w14:paraId="65FE1C51" w14:textId="77777777" w:rsidR="008F2B91" w:rsidRPr="008F2B91" w:rsidRDefault="008F2B91" w:rsidP="004627D8">
            <w:pPr>
              <w:spacing w:before="120" w:after="120"/>
              <w:rPr>
                <w:rFonts w:ascii="Arial" w:hAnsi="Arial" w:cs="Arial"/>
                <w:sz w:val="22"/>
              </w:rPr>
            </w:pPr>
            <w:r w:rsidRPr="008F2B91">
              <w:rPr>
                <w:rFonts w:ascii="Arial" w:hAnsi="Arial" w:cs="Arial"/>
                <w:sz w:val="22"/>
              </w:rPr>
              <w:t xml:space="preserve">Ensure the implementation and maintenance of adequate, </w:t>
            </w:r>
            <w:proofErr w:type="gramStart"/>
            <w:r w:rsidRPr="008F2B91">
              <w:rPr>
                <w:rFonts w:ascii="Arial" w:hAnsi="Arial" w:cs="Arial"/>
                <w:sz w:val="22"/>
              </w:rPr>
              <w:t>effective</w:t>
            </w:r>
            <w:proofErr w:type="gramEnd"/>
            <w:r w:rsidRPr="008F2B91">
              <w:rPr>
                <w:rFonts w:ascii="Arial" w:hAnsi="Arial" w:cs="Arial"/>
                <w:sz w:val="22"/>
              </w:rPr>
              <w:t xml:space="preserve"> and economical internal controls for meeting relevant compliance obligations.</w:t>
            </w:r>
          </w:p>
          <w:p w14:paraId="60914AAE" w14:textId="77777777" w:rsidR="008F2B91" w:rsidRPr="008F2B91" w:rsidRDefault="008F2B91" w:rsidP="004627D8">
            <w:pPr>
              <w:spacing w:before="120" w:after="120"/>
              <w:rPr>
                <w:rFonts w:ascii="Arial" w:hAnsi="Arial" w:cs="Arial"/>
                <w:sz w:val="22"/>
              </w:rPr>
            </w:pPr>
            <w:r w:rsidRPr="008F2B91">
              <w:rPr>
                <w:rFonts w:ascii="Arial" w:hAnsi="Arial" w:cs="Arial"/>
                <w:sz w:val="22"/>
              </w:rPr>
              <w:t>Conduct an annual review of compliance risk assessments.</w:t>
            </w:r>
          </w:p>
          <w:p w14:paraId="40EAEDB2" w14:textId="77777777" w:rsidR="008F2B91" w:rsidRPr="008F2B91" w:rsidRDefault="008F2B91" w:rsidP="004627D8">
            <w:pPr>
              <w:spacing w:before="120" w:after="120"/>
              <w:rPr>
                <w:rFonts w:ascii="Arial" w:hAnsi="Arial" w:cs="Arial"/>
                <w:sz w:val="22"/>
              </w:rPr>
            </w:pPr>
            <w:r w:rsidRPr="008F2B91">
              <w:rPr>
                <w:rFonts w:ascii="Arial" w:hAnsi="Arial" w:cs="Arial"/>
                <w:sz w:val="22"/>
              </w:rPr>
              <w:t>Ensure that any treatment actions to mitigate unacceptable compliance risks are appropriate, documented, tracked and effectively resources.</w:t>
            </w:r>
          </w:p>
          <w:p w14:paraId="0FADA281" w14:textId="77777777" w:rsidR="008F2B91" w:rsidRPr="008F2B91" w:rsidRDefault="008F2B91" w:rsidP="004627D8">
            <w:pPr>
              <w:spacing w:before="120" w:after="120"/>
              <w:rPr>
                <w:rFonts w:ascii="Arial" w:hAnsi="Arial" w:cs="Arial"/>
                <w:sz w:val="22"/>
              </w:rPr>
            </w:pPr>
            <w:r w:rsidRPr="008F2B91">
              <w:rPr>
                <w:rFonts w:ascii="Arial" w:hAnsi="Arial" w:cs="Arial"/>
                <w:sz w:val="22"/>
              </w:rPr>
              <w:t xml:space="preserve">Take reasonable steps to document your process for managing compliance within your area and ensuring an appropriate handover process is undertaken if the person undertaking the Compliance Risk Owner’s function changes, including notifying the relevant Executive Group member of the handover. </w:t>
            </w:r>
          </w:p>
        </w:tc>
      </w:tr>
      <w:tr w:rsidR="008F2B91" w:rsidRPr="008F2B91" w14:paraId="1A0214C7" w14:textId="77777777" w:rsidTr="008F2B91">
        <w:tc>
          <w:tcPr>
            <w:tcW w:w="1438" w:type="pct"/>
            <w:tcBorders>
              <w:top w:val="single" w:sz="4" w:space="0" w:color="auto"/>
              <w:bottom w:val="single" w:sz="4" w:space="0" w:color="auto"/>
              <w:right w:val="single" w:sz="4" w:space="0" w:color="auto"/>
            </w:tcBorders>
            <w:shd w:val="clear" w:color="auto" w:fill="auto"/>
          </w:tcPr>
          <w:p w14:paraId="152891CA" w14:textId="77777777" w:rsidR="008F2B91" w:rsidRPr="008F2B91" w:rsidRDefault="008F2B91" w:rsidP="004627D8">
            <w:pPr>
              <w:spacing w:before="120" w:after="120"/>
              <w:rPr>
                <w:rFonts w:ascii="Arial" w:hAnsi="Arial" w:cs="Arial"/>
                <w:b/>
                <w:bCs/>
                <w:sz w:val="22"/>
              </w:rPr>
            </w:pPr>
            <w:r w:rsidRPr="008F2B91">
              <w:rPr>
                <w:rFonts w:ascii="Arial" w:hAnsi="Arial" w:cs="Arial"/>
                <w:b/>
                <w:bCs/>
                <w:sz w:val="22"/>
              </w:rPr>
              <w:t>Compliance Control Owner</w:t>
            </w:r>
          </w:p>
        </w:tc>
        <w:tc>
          <w:tcPr>
            <w:tcW w:w="3562" w:type="pct"/>
            <w:tcBorders>
              <w:top w:val="single" w:sz="4" w:space="0" w:color="auto"/>
              <w:left w:val="single" w:sz="4" w:space="0" w:color="auto"/>
              <w:bottom w:val="single" w:sz="4" w:space="0" w:color="auto"/>
            </w:tcBorders>
            <w:shd w:val="clear" w:color="auto" w:fill="auto"/>
          </w:tcPr>
          <w:p w14:paraId="506DA93B" w14:textId="77777777" w:rsidR="008F2B91" w:rsidRPr="008F2B91" w:rsidRDefault="008F2B91" w:rsidP="004627D8">
            <w:pPr>
              <w:spacing w:before="120" w:after="120"/>
              <w:rPr>
                <w:rFonts w:ascii="Arial" w:hAnsi="Arial" w:cs="Arial"/>
                <w:sz w:val="22"/>
              </w:rPr>
            </w:pPr>
            <w:r w:rsidRPr="008F2B91">
              <w:rPr>
                <w:rFonts w:ascii="Arial" w:hAnsi="Arial" w:cs="Arial"/>
                <w:sz w:val="22"/>
              </w:rPr>
              <w:t xml:space="preserve">Responsible for designing, </w:t>
            </w:r>
            <w:proofErr w:type="gramStart"/>
            <w:r w:rsidRPr="008F2B91">
              <w:rPr>
                <w:rFonts w:ascii="Arial" w:hAnsi="Arial" w:cs="Arial"/>
                <w:sz w:val="22"/>
              </w:rPr>
              <w:t>implementing</w:t>
            </w:r>
            <w:proofErr w:type="gramEnd"/>
            <w:r w:rsidRPr="008F2B91">
              <w:rPr>
                <w:rFonts w:ascii="Arial" w:hAnsi="Arial" w:cs="Arial"/>
                <w:sz w:val="22"/>
              </w:rPr>
              <w:t xml:space="preserve"> and monitoring the effectiveness of a control. This includes informing the risk owner about the status of the control.</w:t>
            </w:r>
          </w:p>
        </w:tc>
      </w:tr>
      <w:tr w:rsidR="008F2B91" w:rsidRPr="008F2B91" w14:paraId="091E23E4" w14:textId="77777777" w:rsidTr="008F2B91">
        <w:tc>
          <w:tcPr>
            <w:tcW w:w="1438" w:type="pct"/>
            <w:tcBorders>
              <w:top w:val="single" w:sz="4" w:space="0" w:color="auto"/>
              <w:bottom w:val="single" w:sz="4" w:space="0" w:color="auto"/>
              <w:right w:val="single" w:sz="4" w:space="0" w:color="auto"/>
            </w:tcBorders>
            <w:shd w:val="clear" w:color="auto" w:fill="auto"/>
          </w:tcPr>
          <w:p w14:paraId="5CE3CFB0" w14:textId="77777777" w:rsidR="008F2B91" w:rsidRPr="008F2B91" w:rsidRDefault="008F2B91" w:rsidP="004627D8">
            <w:pPr>
              <w:spacing w:before="120" w:after="120"/>
              <w:rPr>
                <w:rFonts w:ascii="Arial" w:hAnsi="Arial" w:cs="Arial"/>
                <w:b/>
                <w:bCs/>
                <w:sz w:val="22"/>
              </w:rPr>
            </w:pPr>
            <w:r w:rsidRPr="008F2B91">
              <w:rPr>
                <w:rFonts w:ascii="Arial" w:hAnsi="Arial" w:cs="Arial"/>
                <w:b/>
                <w:bCs/>
                <w:sz w:val="22"/>
              </w:rPr>
              <w:t>Compliance Manager</w:t>
            </w:r>
          </w:p>
        </w:tc>
        <w:tc>
          <w:tcPr>
            <w:tcW w:w="3562" w:type="pct"/>
            <w:tcBorders>
              <w:top w:val="single" w:sz="4" w:space="0" w:color="auto"/>
              <w:left w:val="single" w:sz="4" w:space="0" w:color="auto"/>
              <w:bottom w:val="single" w:sz="4" w:space="0" w:color="auto"/>
            </w:tcBorders>
            <w:shd w:val="clear" w:color="auto" w:fill="auto"/>
          </w:tcPr>
          <w:p w14:paraId="2AA37206" w14:textId="77777777" w:rsidR="008F2B91" w:rsidRPr="008F2B91" w:rsidRDefault="008F2B91" w:rsidP="004627D8">
            <w:pPr>
              <w:spacing w:before="120" w:after="120"/>
              <w:rPr>
                <w:rFonts w:ascii="Arial" w:hAnsi="Arial" w:cs="Arial"/>
                <w:sz w:val="22"/>
              </w:rPr>
            </w:pPr>
            <w:r w:rsidRPr="008F2B91">
              <w:rPr>
                <w:rFonts w:ascii="Arial" w:hAnsi="Arial" w:cs="Arial"/>
                <w:sz w:val="22"/>
              </w:rPr>
              <w:t>Act as an advisor to Compliance Risk Owners and provide decentralised compliance risk management leadership.</w:t>
            </w:r>
          </w:p>
          <w:p w14:paraId="5B5A16E9" w14:textId="77777777" w:rsidR="008F2B91" w:rsidRPr="008F2B91" w:rsidRDefault="008F2B91" w:rsidP="004627D8">
            <w:pPr>
              <w:spacing w:before="120" w:after="120"/>
              <w:rPr>
                <w:rFonts w:ascii="Arial" w:hAnsi="Arial" w:cs="Arial"/>
                <w:sz w:val="22"/>
              </w:rPr>
            </w:pPr>
            <w:r w:rsidRPr="008F2B91">
              <w:rPr>
                <w:rFonts w:ascii="Arial" w:hAnsi="Arial" w:cs="Arial"/>
                <w:sz w:val="22"/>
              </w:rPr>
              <w:t>Maintain the Register of Compliance Obligations, in consultation with relevant stakeholders.</w:t>
            </w:r>
          </w:p>
          <w:p w14:paraId="2A2DD478" w14:textId="77777777" w:rsidR="008F2B91" w:rsidRPr="008F2B91" w:rsidRDefault="008F2B91" w:rsidP="004627D8">
            <w:pPr>
              <w:spacing w:before="120" w:after="120"/>
              <w:rPr>
                <w:rFonts w:ascii="Arial" w:hAnsi="Arial" w:cs="Arial"/>
                <w:sz w:val="22"/>
              </w:rPr>
            </w:pPr>
            <w:r w:rsidRPr="008F2B91">
              <w:rPr>
                <w:rFonts w:ascii="Arial" w:hAnsi="Arial" w:cs="Arial"/>
                <w:sz w:val="22"/>
              </w:rPr>
              <w:t>Monitor and review compliance risk assessments and treatment actions.</w:t>
            </w:r>
          </w:p>
          <w:p w14:paraId="3B3CC1AE" w14:textId="77777777" w:rsidR="008F2B91" w:rsidRPr="008F2B91" w:rsidRDefault="008F2B91" w:rsidP="004627D8">
            <w:pPr>
              <w:spacing w:before="120" w:after="120"/>
              <w:rPr>
                <w:rFonts w:ascii="Arial" w:hAnsi="Arial" w:cs="Arial"/>
                <w:sz w:val="22"/>
              </w:rPr>
            </w:pPr>
            <w:r w:rsidRPr="008F2B91">
              <w:rPr>
                <w:rFonts w:ascii="Arial" w:hAnsi="Arial" w:cs="Arial"/>
                <w:sz w:val="22"/>
              </w:rPr>
              <w:t>Facilitate the annual review of Tier 1 and 2 compliance risks.</w:t>
            </w:r>
          </w:p>
          <w:p w14:paraId="24DF11FF" w14:textId="77777777" w:rsidR="008F2B91" w:rsidRPr="008F2B91" w:rsidRDefault="008F2B91" w:rsidP="004627D8">
            <w:pPr>
              <w:spacing w:before="120" w:after="120"/>
              <w:rPr>
                <w:rFonts w:ascii="Arial" w:hAnsi="Arial" w:cs="Arial"/>
                <w:sz w:val="22"/>
              </w:rPr>
            </w:pPr>
            <w:r w:rsidRPr="008F2B91">
              <w:rPr>
                <w:rFonts w:ascii="Arial" w:hAnsi="Arial" w:cs="Arial"/>
                <w:sz w:val="22"/>
              </w:rPr>
              <w:t>Report to senior management and the Audit Committee on compliance risks and breaches.</w:t>
            </w:r>
          </w:p>
          <w:p w14:paraId="1CC218B0" w14:textId="77777777" w:rsidR="008F2B91" w:rsidRPr="008F2B91" w:rsidRDefault="008F2B91" w:rsidP="004627D8">
            <w:pPr>
              <w:spacing w:before="120" w:after="120"/>
              <w:rPr>
                <w:rFonts w:ascii="Arial" w:hAnsi="Arial" w:cs="Arial"/>
                <w:sz w:val="22"/>
              </w:rPr>
            </w:pPr>
            <w:r w:rsidRPr="008F2B91">
              <w:rPr>
                <w:rFonts w:ascii="Arial" w:hAnsi="Arial" w:cs="Arial"/>
                <w:sz w:val="22"/>
              </w:rPr>
              <w:t>Maintain the Compliance Breach Register and educate and advise on corrective action, secure commitment for action plans and follow up to ensure accountability.</w:t>
            </w:r>
          </w:p>
          <w:p w14:paraId="5D39E27D" w14:textId="77777777" w:rsidR="008F2B91" w:rsidRPr="008F2B91" w:rsidRDefault="008F2B91" w:rsidP="004627D8">
            <w:pPr>
              <w:autoSpaceDE w:val="0"/>
              <w:autoSpaceDN w:val="0"/>
              <w:adjustRightInd w:val="0"/>
              <w:rPr>
                <w:rFonts w:ascii="Arial" w:hAnsi="Arial" w:cs="Arial"/>
                <w:sz w:val="22"/>
                <w:lang w:eastAsia="en-US"/>
              </w:rPr>
            </w:pPr>
            <w:r w:rsidRPr="008F2B91">
              <w:rPr>
                <w:rFonts w:ascii="Arial" w:hAnsi="Arial" w:cs="Arial"/>
                <w:sz w:val="22"/>
                <w:lang w:eastAsia="en-US"/>
              </w:rPr>
              <w:t>Proactively address and resolve enterprise-wide</w:t>
            </w:r>
          </w:p>
          <w:p w14:paraId="10B2CB5A" w14:textId="77777777" w:rsidR="008F2B91" w:rsidRPr="008F2B91" w:rsidRDefault="008F2B91" w:rsidP="004627D8">
            <w:pPr>
              <w:autoSpaceDE w:val="0"/>
              <w:autoSpaceDN w:val="0"/>
              <w:adjustRightInd w:val="0"/>
              <w:rPr>
                <w:rFonts w:ascii="Arial" w:hAnsi="Arial" w:cs="Arial"/>
                <w:sz w:val="22"/>
                <w:lang w:eastAsia="en-US"/>
              </w:rPr>
            </w:pPr>
            <w:r w:rsidRPr="008F2B91">
              <w:rPr>
                <w:rFonts w:ascii="Arial" w:hAnsi="Arial" w:cs="Arial"/>
                <w:sz w:val="22"/>
                <w:lang w:eastAsia="en-US"/>
              </w:rPr>
              <w:lastRenderedPageBreak/>
              <w:t>compliance areas of concern, strengthen compliance processes/controls and generally promote the objectives of the Compliance Program, including by identifying and participating, as appropriate, on University working groups and compliance governing committees</w:t>
            </w:r>
          </w:p>
          <w:p w14:paraId="362FEB6D" w14:textId="77777777" w:rsidR="008F2B91" w:rsidRPr="008F2B91" w:rsidRDefault="008F2B91" w:rsidP="004627D8">
            <w:pPr>
              <w:pStyle w:val="Default"/>
              <w:spacing w:before="120" w:after="120" w:line="276" w:lineRule="auto"/>
              <w:rPr>
                <w:color w:val="auto"/>
                <w:sz w:val="22"/>
                <w:szCs w:val="22"/>
              </w:rPr>
            </w:pPr>
            <w:r w:rsidRPr="008F2B91">
              <w:rPr>
                <w:sz w:val="22"/>
                <w:szCs w:val="22"/>
              </w:rPr>
              <w:t>Assist Internal Audit in developing an annual audit plan to provide assurance about key areas of</w:t>
            </w:r>
            <w:r w:rsidRPr="008F2B91">
              <w:rPr>
                <w:color w:val="auto"/>
                <w:sz w:val="22"/>
                <w:szCs w:val="22"/>
              </w:rPr>
              <w:t xml:space="preserve"> compliance vulnerability and risk. </w:t>
            </w:r>
          </w:p>
          <w:p w14:paraId="6767831F" w14:textId="77777777" w:rsidR="008F2B91" w:rsidRPr="008F2B91" w:rsidRDefault="008F2B91" w:rsidP="004627D8">
            <w:pPr>
              <w:pStyle w:val="Default"/>
              <w:spacing w:before="120" w:after="120" w:line="276" w:lineRule="auto"/>
              <w:rPr>
                <w:sz w:val="22"/>
                <w:szCs w:val="22"/>
              </w:rPr>
            </w:pPr>
            <w:r w:rsidRPr="008F2B91">
              <w:rPr>
                <w:sz w:val="22"/>
                <w:szCs w:val="22"/>
              </w:rPr>
              <w:t>Develop and deliver training and communication materials about compliance obligations.</w:t>
            </w:r>
          </w:p>
        </w:tc>
      </w:tr>
      <w:tr w:rsidR="008F2B91" w:rsidRPr="008F2B91" w14:paraId="646BC593" w14:textId="77777777" w:rsidTr="008F2B91">
        <w:tc>
          <w:tcPr>
            <w:tcW w:w="1438" w:type="pct"/>
            <w:tcBorders>
              <w:top w:val="single" w:sz="4" w:space="0" w:color="auto"/>
              <w:bottom w:val="single" w:sz="4" w:space="0" w:color="auto"/>
              <w:right w:val="single" w:sz="4" w:space="0" w:color="auto"/>
            </w:tcBorders>
            <w:shd w:val="clear" w:color="auto" w:fill="auto"/>
          </w:tcPr>
          <w:p w14:paraId="64539D52" w14:textId="77777777" w:rsidR="008F2B91" w:rsidRPr="008F2B91" w:rsidRDefault="008F2B91" w:rsidP="004627D8">
            <w:pPr>
              <w:spacing w:before="120" w:after="120"/>
              <w:rPr>
                <w:rFonts w:ascii="Arial" w:hAnsi="Arial" w:cs="Arial"/>
                <w:b/>
                <w:bCs/>
                <w:sz w:val="22"/>
              </w:rPr>
            </w:pPr>
            <w:r w:rsidRPr="008F2B91">
              <w:rPr>
                <w:rFonts w:ascii="Arial" w:hAnsi="Arial" w:cs="Arial"/>
                <w:b/>
                <w:bCs/>
                <w:sz w:val="22"/>
              </w:rPr>
              <w:lastRenderedPageBreak/>
              <w:t>All Staff</w:t>
            </w:r>
          </w:p>
        </w:tc>
        <w:tc>
          <w:tcPr>
            <w:tcW w:w="3562" w:type="pct"/>
            <w:tcBorders>
              <w:top w:val="single" w:sz="4" w:space="0" w:color="auto"/>
              <w:left w:val="single" w:sz="4" w:space="0" w:color="auto"/>
              <w:bottom w:val="single" w:sz="4" w:space="0" w:color="auto"/>
            </w:tcBorders>
            <w:shd w:val="clear" w:color="auto" w:fill="auto"/>
          </w:tcPr>
          <w:p w14:paraId="76C7352B" w14:textId="77777777" w:rsidR="008F2B91" w:rsidRPr="008F2B91" w:rsidRDefault="008F2B91" w:rsidP="004627D8">
            <w:pPr>
              <w:spacing w:before="120" w:after="120"/>
              <w:rPr>
                <w:rFonts w:ascii="Arial" w:hAnsi="Arial" w:cs="Arial"/>
                <w:sz w:val="22"/>
              </w:rPr>
            </w:pPr>
            <w:r w:rsidRPr="008F2B91">
              <w:rPr>
                <w:rFonts w:ascii="Arial" w:hAnsi="Arial" w:cs="Arial"/>
                <w:sz w:val="22"/>
              </w:rPr>
              <w:t>Comply with compliance obligations relevant to their position and duties.</w:t>
            </w:r>
          </w:p>
          <w:p w14:paraId="534F9F6B" w14:textId="77777777" w:rsidR="008F2B91" w:rsidRPr="008F2B91" w:rsidRDefault="008F2B91" w:rsidP="004627D8">
            <w:pPr>
              <w:spacing w:before="120" w:after="120"/>
              <w:rPr>
                <w:rFonts w:ascii="Arial" w:hAnsi="Arial" w:cs="Arial"/>
                <w:sz w:val="22"/>
              </w:rPr>
            </w:pPr>
            <w:r w:rsidRPr="008F2B91">
              <w:rPr>
                <w:rFonts w:ascii="Arial" w:hAnsi="Arial" w:cs="Arial"/>
                <w:sz w:val="22"/>
              </w:rPr>
              <w:t>Accept and value the duty to uphold the law as part of an ethical principle of working for a statutory body in Queensland.</w:t>
            </w:r>
          </w:p>
          <w:p w14:paraId="30A39BD2" w14:textId="77777777" w:rsidR="008F2B91" w:rsidRPr="008F2B91" w:rsidRDefault="008F2B91" w:rsidP="004627D8">
            <w:pPr>
              <w:spacing w:before="120" w:after="120"/>
              <w:rPr>
                <w:rFonts w:ascii="Arial" w:hAnsi="Arial" w:cs="Arial"/>
                <w:sz w:val="22"/>
              </w:rPr>
            </w:pPr>
            <w:r w:rsidRPr="008F2B91">
              <w:rPr>
                <w:rFonts w:ascii="Arial" w:hAnsi="Arial" w:cs="Arial"/>
                <w:sz w:val="22"/>
              </w:rPr>
              <w:t>Report compliance breaches in accordance with Procedures.</w:t>
            </w:r>
          </w:p>
          <w:p w14:paraId="0F9D99DD" w14:textId="77777777" w:rsidR="008F2B91" w:rsidRPr="008F2B91" w:rsidRDefault="008F2B91" w:rsidP="004627D8">
            <w:pPr>
              <w:spacing w:before="120" w:after="120"/>
              <w:rPr>
                <w:rFonts w:ascii="Arial" w:hAnsi="Arial" w:cs="Arial"/>
                <w:sz w:val="22"/>
              </w:rPr>
            </w:pPr>
            <w:r w:rsidRPr="008F2B91">
              <w:rPr>
                <w:rFonts w:ascii="Arial" w:hAnsi="Arial" w:cs="Arial"/>
                <w:sz w:val="22"/>
              </w:rPr>
              <w:t>Comply with the Code of Conduct and your employment agreement.</w:t>
            </w:r>
          </w:p>
          <w:p w14:paraId="2C246D35" w14:textId="77777777" w:rsidR="008F2B91" w:rsidRPr="008F2B91" w:rsidRDefault="008F2B91" w:rsidP="004627D8">
            <w:pPr>
              <w:spacing w:before="120" w:after="120"/>
              <w:rPr>
                <w:rFonts w:ascii="Arial" w:hAnsi="Arial" w:cs="Arial"/>
                <w:sz w:val="22"/>
              </w:rPr>
            </w:pPr>
            <w:r w:rsidRPr="008F2B91">
              <w:rPr>
                <w:rFonts w:ascii="Arial" w:hAnsi="Arial" w:cs="Arial"/>
                <w:sz w:val="22"/>
              </w:rPr>
              <w:t>Participate in risk assessments when required.</w:t>
            </w:r>
          </w:p>
          <w:p w14:paraId="0C7E4D65" w14:textId="77777777" w:rsidR="008F2B91" w:rsidRPr="008F2B91" w:rsidRDefault="008F2B91" w:rsidP="004627D8">
            <w:pPr>
              <w:spacing w:before="120" w:after="120"/>
              <w:rPr>
                <w:rFonts w:ascii="Arial" w:hAnsi="Arial" w:cs="Arial"/>
                <w:sz w:val="22"/>
              </w:rPr>
            </w:pPr>
            <w:r w:rsidRPr="008F2B91">
              <w:rPr>
                <w:rFonts w:ascii="Arial" w:hAnsi="Arial" w:cs="Arial"/>
                <w:sz w:val="22"/>
              </w:rPr>
              <w:t>Maintain knowledge and understanding of compliance obligations relevant to a staff member’s professional duties at the University.</w:t>
            </w:r>
          </w:p>
        </w:tc>
      </w:tr>
    </w:tbl>
    <w:p w14:paraId="5EB8F927" w14:textId="342B0742" w:rsidR="00A144B2" w:rsidRPr="00237AB3" w:rsidRDefault="00F44DD9" w:rsidP="00CA6AC5">
      <w:pPr>
        <w:pStyle w:val="Heading2"/>
        <w:rPr>
          <w:rFonts w:ascii="Griffith Sans Text" w:hAnsi="Griffith Sans Text"/>
        </w:rPr>
      </w:pPr>
      <w:bookmarkStart w:id="7" w:name="_4.0_Roles,_responsibilities"/>
      <w:bookmarkStart w:id="8" w:name="_5.0_Definitions"/>
      <w:bookmarkStart w:id="9" w:name="_4.0_Definitions"/>
      <w:bookmarkEnd w:id="7"/>
      <w:bookmarkEnd w:id="8"/>
      <w:bookmarkEnd w:id="9"/>
      <w:r>
        <w:rPr>
          <w:rFonts w:ascii="Griffith Sans Text" w:hAnsi="Griffith Sans Text"/>
        </w:rPr>
        <w:t>5</w:t>
      </w:r>
      <w:r w:rsidR="00A144B2" w:rsidRPr="00237AB3">
        <w:rPr>
          <w:rFonts w:ascii="Griffith Sans Text" w:hAnsi="Griffith Sans Text"/>
        </w:rPr>
        <w:t>.0 Definitions</w:t>
      </w:r>
    </w:p>
    <w:p w14:paraId="70CCABAF" w14:textId="00AA3E6D" w:rsidR="00B42BD2" w:rsidRPr="004922AF" w:rsidRDefault="00B42BD2" w:rsidP="004922AF">
      <w:pPr>
        <w:spacing w:before="120" w:after="120" w:line="240" w:lineRule="auto"/>
        <w:rPr>
          <w:rFonts w:ascii="Arial" w:hAnsi="Arial" w:cs="Arial"/>
          <w:sz w:val="22"/>
        </w:rPr>
      </w:pPr>
      <w:r w:rsidRPr="004922AF">
        <w:rPr>
          <w:rFonts w:ascii="Arial" w:hAnsi="Arial" w:cs="Arial"/>
          <w:sz w:val="22"/>
        </w:rPr>
        <w:t xml:space="preserve">For the purposes of this </w:t>
      </w:r>
      <w:r w:rsidR="00F44DD9">
        <w:rPr>
          <w:rFonts w:ascii="Arial" w:hAnsi="Arial" w:cs="Arial"/>
          <w:sz w:val="22"/>
        </w:rPr>
        <w:t>procedure</w:t>
      </w:r>
      <w:r w:rsidRPr="004922AF">
        <w:rPr>
          <w:rFonts w:ascii="Arial" w:hAnsi="Arial" w:cs="Arial"/>
          <w:sz w:val="22"/>
        </w:rPr>
        <w:t xml:space="preserve"> and related documents, the following definitions apply: </w:t>
      </w:r>
    </w:p>
    <w:p w14:paraId="6D8B244E" w14:textId="77777777" w:rsidR="00F33491" w:rsidRPr="00F44DD9" w:rsidRDefault="00F33491" w:rsidP="00F33491">
      <w:pPr>
        <w:spacing w:before="120" w:after="120" w:line="240" w:lineRule="auto"/>
        <w:rPr>
          <w:rFonts w:ascii="Arial" w:hAnsi="Arial" w:cs="Arial"/>
          <w:sz w:val="22"/>
        </w:rPr>
      </w:pPr>
      <w:r w:rsidRPr="00F44DD9">
        <w:rPr>
          <w:rFonts w:ascii="Arial" w:hAnsi="Arial" w:cs="Arial"/>
          <w:b/>
          <w:bCs/>
          <w:sz w:val="22"/>
        </w:rPr>
        <w:t xml:space="preserve">Adequate and Operating Effectively </w:t>
      </w:r>
      <w:r w:rsidRPr="00F44DD9">
        <w:rPr>
          <w:rFonts w:ascii="Arial" w:hAnsi="Arial" w:cs="Arial"/>
          <w:sz w:val="22"/>
        </w:rPr>
        <w:t>means that an internal control:</w:t>
      </w:r>
    </w:p>
    <w:p w14:paraId="0DFCADD7" w14:textId="77777777" w:rsidR="00F33491" w:rsidRPr="00694B65" w:rsidRDefault="00F33491" w:rsidP="00F3349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i</w:t>
      </w:r>
      <w:r w:rsidRPr="00694B65">
        <w:rPr>
          <w:rFonts w:cs="Arial"/>
          <w:color w:val="auto"/>
          <w:sz w:val="22"/>
        </w:rPr>
        <w:t>s designed to address the risk/s that it is intended to mitigate</w:t>
      </w:r>
      <w:r>
        <w:rPr>
          <w:rFonts w:cs="Arial"/>
          <w:color w:val="auto"/>
          <w:sz w:val="22"/>
        </w:rPr>
        <w:t>.</w:t>
      </w:r>
    </w:p>
    <w:p w14:paraId="31A5BAFE" w14:textId="77777777" w:rsidR="00F33491" w:rsidRPr="00694B65" w:rsidRDefault="00F33491" w:rsidP="00F3349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i</w:t>
      </w:r>
      <w:r w:rsidRPr="00694B65">
        <w:rPr>
          <w:rFonts w:cs="Arial"/>
          <w:color w:val="auto"/>
          <w:sz w:val="22"/>
        </w:rPr>
        <w:t xml:space="preserve">s implemented as designed with appropriate communication, </w:t>
      </w:r>
      <w:proofErr w:type="gramStart"/>
      <w:r w:rsidRPr="00694B65">
        <w:rPr>
          <w:rFonts w:cs="Arial"/>
          <w:color w:val="auto"/>
          <w:sz w:val="22"/>
        </w:rPr>
        <w:t>training</w:t>
      </w:r>
      <w:proofErr w:type="gramEnd"/>
      <w:r w:rsidRPr="00694B65">
        <w:rPr>
          <w:rFonts w:cs="Arial"/>
          <w:color w:val="auto"/>
          <w:sz w:val="22"/>
        </w:rPr>
        <w:t xml:space="preserve"> and documentation</w:t>
      </w:r>
      <w:r>
        <w:rPr>
          <w:rFonts w:cs="Arial"/>
          <w:color w:val="auto"/>
          <w:sz w:val="22"/>
        </w:rPr>
        <w:t>.</w:t>
      </w:r>
    </w:p>
    <w:p w14:paraId="3E036A5B" w14:textId="77777777" w:rsidR="00F33491" w:rsidRPr="00694B65" w:rsidRDefault="00F33491" w:rsidP="00F3349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h</w:t>
      </w:r>
      <w:r w:rsidRPr="00694B65">
        <w:rPr>
          <w:rFonts w:cs="Arial"/>
          <w:color w:val="auto"/>
          <w:sz w:val="22"/>
        </w:rPr>
        <w:t>as evidence that can demonstrate the operation of the control.</w:t>
      </w:r>
    </w:p>
    <w:p w14:paraId="0B81C181" w14:textId="77777777" w:rsidR="00F33491" w:rsidRPr="00F44DD9" w:rsidRDefault="00F33491" w:rsidP="00F33491">
      <w:pPr>
        <w:spacing w:before="120" w:after="120" w:line="240" w:lineRule="auto"/>
        <w:rPr>
          <w:rFonts w:ascii="Arial" w:hAnsi="Arial" w:cs="Arial"/>
          <w:sz w:val="22"/>
        </w:rPr>
      </w:pPr>
      <w:r w:rsidRPr="00F44DD9">
        <w:rPr>
          <w:rFonts w:ascii="Arial" w:hAnsi="Arial" w:cs="Arial"/>
          <w:b/>
          <w:bCs/>
          <w:sz w:val="22"/>
        </w:rPr>
        <w:t>Auditable</w:t>
      </w:r>
      <w:r w:rsidRPr="00F44DD9">
        <w:rPr>
          <w:rFonts w:ascii="Arial" w:hAnsi="Arial" w:cs="Arial"/>
          <w:sz w:val="22"/>
        </w:rPr>
        <w:t xml:space="preserve"> means that an internal control can be audited; able to be examined by an independent party to ascertain what the internal control aims to achieve, how that objective is to be achieved, and form an opinion as to whether the internal control is operating effectively to achieve its purpose.</w:t>
      </w:r>
    </w:p>
    <w:p w14:paraId="7854F933" w14:textId="77777777" w:rsidR="00F33491" w:rsidRPr="00F44DD9" w:rsidRDefault="00F33491" w:rsidP="00F33491">
      <w:pPr>
        <w:spacing w:before="120" w:after="120" w:line="240" w:lineRule="auto"/>
        <w:rPr>
          <w:rFonts w:ascii="Arial" w:hAnsi="Arial" w:cs="Arial"/>
          <w:sz w:val="22"/>
        </w:rPr>
      </w:pPr>
      <w:r w:rsidRPr="00F44DD9">
        <w:rPr>
          <w:rFonts w:ascii="Arial" w:hAnsi="Arial" w:cs="Arial"/>
          <w:b/>
          <w:bCs/>
          <w:sz w:val="22"/>
        </w:rPr>
        <w:t>Compliance Breach</w:t>
      </w:r>
      <w:r w:rsidRPr="00F44DD9">
        <w:rPr>
          <w:rFonts w:ascii="Arial" w:hAnsi="Arial" w:cs="Arial"/>
          <w:sz w:val="22"/>
        </w:rPr>
        <w:t xml:space="preserve"> means an event where Griffith University has demonstrably failed to achieve the requirements of a compliance obligation.</w:t>
      </w:r>
    </w:p>
    <w:p w14:paraId="7E6EE982" w14:textId="77777777" w:rsidR="00F33491" w:rsidRPr="00F44DD9" w:rsidRDefault="00F33491" w:rsidP="00F33491">
      <w:pPr>
        <w:spacing w:before="120" w:after="120" w:line="240" w:lineRule="auto"/>
        <w:rPr>
          <w:rFonts w:ascii="Arial" w:hAnsi="Arial" w:cs="Arial"/>
          <w:sz w:val="22"/>
        </w:rPr>
      </w:pPr>
      <w:r w:rsidRPr="00F44DD9">
        <w:rPr>
          <w:rFonts w:ascii="Arial" w:hAnsi="Arial" w:cs="Arial"/>
          <w:b/>
          <w:bCs/>
          <w:sz w:val="22"/>
        </w:rPr>
        <w:t>Compliance Control</w:t>
      </w:r>
      <w:r w:rsidRPr="00F44DD9">
        <w:rPr>
          <w:rFonts w:ascii="Arial" w:hAnsi="Arial" w:cs="Arial"/>
          <w:sz w:val="22"/>
        </w:rPr>
        <w:t xml:space="preserve"> means a measure taken by the University with the purpose or effect of mitigating a compliance risk.</w:t>
      </w:r>
    </w:p>
    <w:p w14:paraId="3C9826CE" w14:textId="77777777" w:rsidR="00F33491" w:rsidRDefault="00F33491" w:rsidP="00F44DD9">
      <w:pPr>
        <w:spacing w:before="120" w:after="120" w:line="240" w:lineRule="auto"/>
        <w:rPr>
          <w:rFonts w:ascii="Arial" w:hAnsi="Arial" w:cs="Arial"/>
          <w:sz w:val="22"/>
        </w:rPr>
      </w:pPr>
      <w:r w:rsidRPr="00F44DD9">
        <w:rPr>
          <w:rFonts w:ascii="Arial" w:hAnsi="Arial" w:cs="Arial"/>
          <w:b/>
          <w:bCs/>
          <w:sz w:val="22"/>
        </w:rPr>
        <w:t>Compliance Function</w:t>
      </w:r>
      <w:r w:rsidRPr="00F44DD9">
        <w:rPr>
          <w:rFonts w:ascii="Arial" w:hAnsi="Arial" w:cs="Arial"/>
          <w:sz w:val="22"/>
        </w:rPr>
        <w:t xml:space="preserve"> means the staff within the Office of the General Counsel with designated responsibility and authority for the operation of the Compliance Management System. The role of the function is to assist senior management in effectively managing compliance risks.</w:t>
      </w:r>
    </w:p>
    <w:p w14:paraId="343488BD" w14:textId="1FE202F5" w:rsidR="00F44DD9" w:rsidRPr="00F44DD9" w:rsidRDefault="00F44DD9" w:rsidP="00F44DD9">
      <w:pPr>
        <w:spacing w:before="120" w:after="120" w:line="240" w:lineRule="auto"/>
        <w:rPr>
          <w:rFonts w:ascii="Arial" w:hAnsi="Arial" w:cs="Arial"/>
          <w:sz w:val="22"/>
        </w:rPr>
      </w:pPr>
      <w:r w:rsidRPr="00F44DD9">
        <w:rPr>
          <w:rFonts w:ascii="Arial" w:hAnsi="Arial" w:cs="Arial"/>
          <w:b/>
          <w:bCs/>
          <w:sz w:val="22"/>
        </w:rPr>
        <w:t>Compliance Obligations</w:t>
      </w:r>
      <w:r w:rsidRPr="00F44DD9">
        <w:rPr>
          <w:rFonts w:ascii="Arial" w:hAnsi="Arial" w:cs="Arial"/>
          <w:sz w:val="22"/>
        </w:rPr>
        <w:t xml:space="preserve"> are a law, or other instrument/document made binding on Griffith University by a law, that regulates the University and its operations.</w:t>
      </w:r>
    </w:p>
    <w:p w14:paraId="5E6E9253" w14:textId="77777777" w:rsidR="00F44DD9" w:rsidRDefault="00F44DD9" w:rsidP="00F44DD9">
      <w:pPr>
        <w:spacing w:before="120" w:after="120" w:line="240" w:lineRule="auto"/>
        <w:rPr>
          <w:rFonts w:ascii="Arial" w:hAnsi="Arial" w:cs="Arial"/>
          <w:sz w:val="22"/>
        </w:rPr>
      </w:pPr>
      <w:r w:rsidRPr="00F44DD9">
        <w:rPr>
          <w:rFonts w:ascii="Arial" w:hAnsi="Arial" w:cs="Arial"/>
          <w:b/>
          <w:bCs/>
          <w:sz w:val="22"/>
        </w:rPr>
        <w:t>Compliance Risk</w:t>
      </w:r>
      <w:r w:rsidRPr="00F44DD9">
        <w:rPr>
          <w:rFonts w:ascii="Arial" w:hAnsi="Arial" w:cs="Arial"/>
          <w:sz w:val="22"/>
        </w:rPr>
        <w:t xml:space="preserve"> is the likelihood of an event that is a breach of a compliance obligation/s and the consequences of that event for achieving the objectives of Griffith University.</w:t>
      </w:r>
    </w:p>
    <w:p w14:paraId="035C4907" w14:textId="77777777" w:rsidR="00F33491" w:rsidRDefault="00F33491" w:rsidP="00F33491">
      <w:pPr>
        <w:spacing w:before="120" w:after="120" w:line="240" w:lineRule="auto"/>
        <w:rPr>
          <w:rFonts w:ascii="Arial" w:hAnsi="Arial" w:cs="Arial"/>
          <w:sz w:val="22"/>
        </w:rPr>
      </w:pPr>
      <w:r w:rsidRPr="00F44DD9">
        <w:rPr>
          <w:rFonts w:ascii="Arial" w:hAnsi="Arial" w:cs="Arial"/>
          <w:b/>
          <w:bCs/>
          <w:sz w:val="22"/>
        </w:rPr>
        <w:t>Compliance Risk Profile</w:t>
      </w:r>
      <w:r w:rsidRPr="00F44DD9">
        <w:rPr>
          <w:rFonts w:ascii="Arial" w:hAnsi="Arial" w:cs="Arial"/>
          <w:sz w:val="22"/>
        </w:rPr>
        <w:t xml:space="preserve"> means the collection of data, metrics and information that provides an enterprise view of the organisation’s exposure to compliance risk; for example, identifying areas of Low, </w:t>
      </w:r>
      <w:proofErr w:type="gramStart"/>
      <w:r w:rsidRPr="00F44DD9">
        <w:rPr>
          <w:rFonts w:ascii="Arial" w:hAnsi="Arial" w:cs="Arial"/>
          <w:sz w:val="22"/>
        </w:rPr>
        <w:t>Medium</w:t>
      </w:r>
      <w:proofErr w:type="gramEnd"/>
      <w:r w:rsidRPr="00F44DD9">
        <w:rPr>
          <w:rFonts w:ascii="Arial" w:hAnsi="Arial" w:cs="Arial"/>
          <w:sz w:val="22"/>
        </w:rPr>
        <w:t xml:space="preserve"> and High risk.</w:t>
      </w:r>
    </w:p>
    <w:p w14:paraId="159904C3" w14:textId="77777777" w:rsidR="00F33491" w:rsidRPr="00F44DD9" w:rsidRDefault="00F33491" w:rsidP="00F33491">
      <w:pPr>
        <w:spacing w:before="120" w:after="120" w:line="240" w:lineRule="auto"/>
        <w:rPr>
          <w:rFonts w:ascii="Arial" w:hAnsi="Arial" w:cs="Arial"/>
          <w:sz w:val="22"/>
        </w:rPr>
      </w:pPr>
      <w:r w:rsidRPr="00F44DD9">
        <w:rPr>
          <w:rFonts w:ascii="Arial" w:hAnsi="Arial" w:cs="Arial"/>
          <w:b/>
          <w:bCs/>
          <w:sz w:val="22"/>
        </w:rPr>
        <w:t>First, Second and Third Lines</w:t>
      </w:r>
      <w:r w:rsidRPr="00F44DD9">
        <w:rPr>
          <w:rFonts w:ascii="Arial" w:hAnsi="Arial" w:cs="Arial"/>
          <w:sz w:val="22"/>
        </w:rPr>
        <w:t xml:space="preserve"> refers to the different roles in the 3 Lines Risk Management Model:</w:t>
      </w:r>
    </w:p>
    <w:p w14:paraId="2A5877B2" w14:textId="77777777" w:rsidR="00F33491" w:rsidRPr="00F44DD9" w:rsidRDefault="00F33491" w:rsidP="00F33491">
      <w:pPr>
        <w:pStyle w:val="NormalWhite"/>
        <w:numPr>
          <w:ilvl w:val="0"/>
          <w:numId w:val="30"/>
        </w:numPr>
        <w:spacing w:before="120" w:after="120" w:line="240" w:lineRule="auto"/>
        <w:ind w:left="924" w:hanging="357"/>
        <w:jc w:val="left"/>
        <w:rPr>
          <w:rFonts w:cs="Arial"/>
          <w:color w:val="auto"/>
          <w:sz w:val="22"/>
        </w:rPr>
      </w:pPr>
      <w:r w:rsidRPr="00F44DD9">
        <w:rPr>
          <w:rFonts w:cs="Arial"/>
          <w:color w:val="auto"/>
          <w:sz w:val="22"/>
        </w:rPr>
        <w:lastRenderedPageBreak/>
        <w:t>1st Line – owns and is accountable for identifying and managing risk and issues.</w:t>
      </w:r>
    </w:p>
    <w:p w14:paraId="1EF4ACC0" w14:textId="77777777" w:rsidR="00F33491" w:rsidRDefault="00F33491" w:rsidP="00F33491">
      <w:pPr>
        <w:pStyle w:val="NormalWhite"/>
        <w:numPr>
          <w:ilvl w:val="0"/>
          <w:numId w:val="30"/>
        </w:numPr>
        <w:spacing w:before="120" w:after="120" w:line="240" w:lineRule="auto"/>
        <w:ind w:left="924" w:hanging="357"/>
        <w:jc w:val="left"/>
        <w:rPr>
          <w:rFonts w:cs="Arial"/>
          <w:color w:val="auto"/>
          <w:sz w:val="22"/>
        </w:rPr>
      </w:pPr>
      <w:r w:rsidRPr="00F44DD9">
        <w:rPr>
          <w:rFonts w:cs="Arial"/>
          <w:color w:val="auto"/>
          <w:sz w:val="22"/>
        </w:rPr>
        <w:t>2nd Line – reviews and effectively challenges the management of risk with independent oversight over risk profiles and responsibility to appropriately escalate issues when required. In this context is the Compliance Function.</w:t>
      </w:r>
    </w:p>
    <w:p w14:paraId="2B94075C" w14:textId="77777777" w:rsidR="00F33491" w:rsidRPr="00F44DD9" w:rsidRDefault="00F33491" w:rsidP="00F33491">
      <w:pPr>
        <w:pStyle w:val="NormalWhite"/>
        <w:numPr>
          <w:ilvl w:val="0"/>
          <w:numId w:val="30"/>
        </w:numPr>
        <w:spacing w:before="120" w:after="120" w:line="240" w:lineRule="auto"/>
        <w:ind w:left="924" w:hanging="357"/>
        <w:jc w:val="left"/>
        <w:rPr>
          <w:rFonts w:cs="Arial"/>
          <w:color w:val="auto"/>
          <w:sz w:val="22"/>
        </w:rPr>
      </w:pPr>
      <w:r w:rsidRPr="00F44DD9">
        <w:rPr>
          <w:rFonts w:cs="Arial"/>
          <w:color w:val="auto"/>
          <w:sz w:val="22"/>
        </w:rPr>
        <w:t>3rd Line – provides independent assurance that frameworks for managing risk are adequate, have been implemented, and are operating effectively. In this context this is the Internal Audit team as well as any external assurance activity conducted by regulators.</w:t>
      </w:r>
    </w:p>
    <w:p w14:paraId="4622A592" w14:textId="77777777" w:rsidR="00F44DD9" w:rsidRPr="00F44DD9" w:rsidRDefault="00F44DD9" w:rsidP="00F44DD9">
      <w:pPr>
        <w:spacing w:before="120" w:after="120" w:line="240" w:lineRule="auto"/>
        <w:rPr>
          <w:rFonts w:ascii="Arial" w:hAnsi="Arial" w:cs="Arial"/>
          <w:sz w:val="22"/>
        </w:rPr>
      </w:pPr>
      <w:r w:rsidRPr="00F44DD9">
        <w:rPr>
          <w:rFonts w:ascii="Arial" w:hAnsi="Arial" w:cs="Arial"/>
          <w:b/>
          <w:bCs/>
          <w:sz w:val="22"/>
        </w:rPr>
        <w:t>Internal Controls</w:t>
      </w:r>
      <w:r w:rsidRPr="00F44DD9">
        <w:rPr>
          <w:rFonts w:ascii="Arial" w:hAnsi="Arial" w:cs="Arial"/>
          <w:sz w:val="22"/>
        </w:rPr>
        <w:t xml:space="preserve"> means measures taken to mitigate the risk that, in the context of this procedure, compliance obligations are not breached, or to detect and remediate a breach when it occurs. For example, it includes policies, procedures, training programs, delegations and approval processes, reporting, and inspections. Note: audits are not properly considered controls, rather they operate to provide assurance about internal controls.</w:t>
      </w:r>
    </w:p>
    <w:p w14:paraId="453A3E2F" w14:textId="77777777" w:rsidR="00F44DD9" w:rsidRPr="00F44DD9" w:rsidRDefault="00F44DD9" w:rsidP="00F44DD9">
      <w:pPr>
        <w:spacing w:before="120" w:after="120" w:line="240" w:lineRule="auto"/>
        <w:rPr>
          <w:rFonts w:ascii="Arial" w:hAnsi="Arial" w:cs="Arial"/>
          <w:sz w:val="22"/>
        </w:rPr>
      </w:pPr>
      <w:r w:rsidRPr="00F44DD9">
        <w:rPr>
          <w:rFonts w:ascii="Arial" w:hAnsi="Arial" w:cs="Arial"/>
          <w:sz w:val="22"/>
        </w:rPr>
        <w:t>The Enterprise Risk Management Framework includes a diagram outlining the 3 Lines Risk Management Model at Griffith University.</w:t>
      </w:r>
    </w:p>
    <w:p w14:paraId="12A3BF87" w14:textId="0FCB3B0C" w:rsidR="00811F90" w:rsidRPr="00237AB3" w:rsidRDefault="0055499E" w:rsidP="00CA6AC5">
      <w:pPr>
        <w:pStyle w:val="Heading2"/>
        <w:rPr>
          <w:rFonts w:ascii="Griffith Sans Text" w:hAnsi="Griffith Sans Text"/>
        </w:rPr>
      </w:pPr>
      <w:bookmarkStart w:id="10" w:name="_6.0_Information"/>
      <w:bookmarkStart w:id="11" w:name="_5.0_Information"/>
      <w:bookmarkEnd w:id="10"/>
      <w:bookmarkEnd w:id="11"/>
      <w:r>
        <w:rPr>
          <w:rFonts w:ascii="Griffith Sans Text" w:hAnsi="Griffith Sans Text"/>
        </w:rPr>
        <w:t>6</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59A6E869" w:rsidR="00786706" w:rsidRPr="004922AF" w:rsidRDefault="00F33491" w:rsidP="004922AF">
            <w:pPr>
              <w:spacing w:before="120" w:after="120"/>
              <w:rPr>
                <w:rFonts w:ascii="Arial" w:hAnsi="Arial" w:cs="Arial"/>
                <w:sz w:val="22"/>
                <w:szCs w:val="28"/>
                <w:lang w:val="en-GB"/>
              </w:rPr>
            </w:pPr>
            <w:r>
              <w:rPr>
                <w:rFonts w:ascii="Arial" w:hAnsi="Arial" w:cs="Arial"/>
                <w:sz w:val="22"/>
                <w:szCs w:val="28"/>
                <w:lang w:val="en-GB"/>
              </w:rPr>
              <w:t>Legislative Compliance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43B5E878" w:rsidR="00786706" w:rsidRPr="004922AF" w:rsidRDefault="00F33491" w:rsidP="004922AF">
            <w:pPr>
              <w:spacing w:before="120" w:after="120"/>
              <w:rPr>
                <w:rFonts w:ascii="Arial" w:hAnsi="Arial" w:cs="Arial"/>
                <w:sz w:val="22"/>
                <w:szCs w:val="28"/>
                <w:lang w:val="en-GB"/>
              </w:rPr>
            </w:pPr>
            <w:r>
              <w:rPr>
                <w:rFonts w:ascii="Arial" w:hAnsi="Arial" w:cs="Arial"/>
                <w:sz w:val="22"/>
                <w:szCs w:val="28"/>
              </w:rPr>
              <w:t>2023/0001191</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23A5BC0C" w:rsidR="00786706" w:rsidRPr="004922AF" w:rsidRDefault="00F33491" w:rsidP="004922AF">
            <w:pPr>
              <w:spacing w:before="120" w:after="120"/>
              <w:rPr>
                <w:rFonts w:ascii="Arial" w:hAnsi="Arial" w:cs="Arial"/>
                <w:sz w:val="22"/>
                <w:szCs w:val="28"/>
                <w:lang w:val="en-GB"/>
              </w:rPr>
            </w:pPr>
            <w:r w:rsidRPr="00F33491">
              <w:rPr>
                <w:rFonts w:ascii="Arial" w:hAnsi="Arial" w:cs="Arial"/>
                <w:sz w:val="22"/>
                <w:szCs w:val="28"/>
                <w:lang w:val="en-GB"/>
              </w:rPr>
              <w:t>Th</w:t>
            </w:r>
            <w:r>
              <w:rPr>
                <w:rFonts w:ascii="Arial" w:hAnsi="Arial" w:cs="Arial"/>
                <w:sz w:val="22"/>
                <w:szCs w:val="28"/>
                <w:lang w:val="en-GB"/>
              </w:rPr>
              <w:t>is</w:t>
            </w:r>
            <w:r w:rsidRPr="00F33491">
              <w:rPr>
                <w:rFonts w:ascii="Arial" w:hAnsi="Arial" w:cs="Arial"/>
                <w:sz w:val="22"/>
                <w:szCs w:val="28"/>
                <w:lang w:val="en-GB"/>
              </w:rPr>
              <w:t xml:space="preserve"> procedure describe</w:t>
            </w:r>
            <w:r>
              <w:rPr>
                <w:rFonts w:ascii="Arial" w:hAnsi="Arial" w:cs="Arial"/>
                <w:sz w:val="22"/>
                <w:szCs w:val="28"/>
                <w:lang w:val="en-GB"/>
              </w:rPr>
              <w:t>s</w:t>
            </w:r>
            <w:r w:rsidRPr="00F33491">
              <w:rPr>
                <w:rFonts w:ascii="Arial" w:hAnsi="Arial" w:cs="Arial"/>
                <w:sz w:val="22"/>
                <w:szCs w:val="28"/>
                <w:lang w:val="en-GB"/>
              </w:rPr>
              <w:t xml:space="preserve"> the Compliance Management Program, detailing how the objectives and principles of the Griffith University Compliance Policy will be achieved.</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05601E5B" w:rsidR="00786706" w:rsidRPr="004922AF" w:rsidRDefault="00621DA1"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6F364CDE" w:rsidR="00786706" w:rsidRPr="004922AF" w:rsidRDefault="00621DA1" w:rsidP="004922AF">
                <w:pPr>
                  <w:spacing w:before="120" w:after="120"/>
                  <w:rPr>
                    <w:rFonts w:ascii="Arial" w:hAnsi="Arial" w:cs="Arial"/>
                    <w:sz w:val="22"/>
                    <w:szCs w:val="28"/>
                  </w:rPr>
                </w:pPr>
                <w:r>
                  <w:rPr>
                    <w:rFonts w:ascii="Arial" w:hAnsi="Arial" w:cs="Arial"/>
                    <w:sz w:val="22"/>
                    <w:szCs w:val="28"/>
                  </w:rPr>
                  <w:t>Governance</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p w14:paraId="617C1518" w14:textId="6AE06E2F" w:rsidR="007512F5" w:rsidRPr="004922AF" w:rsidRDefault="00621DA1" w:rsidP="004922AF">
                <w:pPr>
                  <w:spacing w:before="120" w:after="120"/>
                  <w:rPr>
                    <w:rFonts w:ascii="Arial" w:hAnsi="Arial" w:cs="Arial"/>
                    <w:sz w:val="22"/>
                    <w:szCs w:val="28"/>
                    <w:lang w:val="en-GB"/>
                  </w:rPr>
                </w:pPr>
                <w:r>
                  <w:rPr>
                    <w:rFonts w:ascii="Arial" w:hAnsi="Arial" w:cs="Arial"/>
                    <w:sz w:val="22"/>
                    <w:szCs w:val="28"/>
                    <w:lang w:val="en-GB"/>
                  </w:rPr>
                  <w:t>Risk &amp; Integrity</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3EEFDF7C"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59CD7F3F" w:rsidR="00B25332" w:rsidRPr="004922AF" w:rsidRDefault="00621DA1" w:rsidP="004922AF">
                <w:pPr>
                  <w:spacing w:before="120" w:after="120"/>
                  <w:rPr>
                    <w:rFonts w:ascii="Arial" w:hAnsi="Arial" w:cs="Arial"/>
                    <w:sz w:val="22"/>
                    <w:szCs w:val="28"/>
                  </w:rPr>
                </w:pPr>
                <w:r>
                  <w:rPr>
                    <w:rFonts w:ascii="Arial" w:hAnsi="Arial" w:cs="Arial"/>
                    <w:sz w:val="22"/>
                    <w:szCs w:val="28"/>
                  </w:rPr>
                  <w:t>4: Quality Education</w:t>
                </w:r>
              </w:p>
            </w:sdtContent>
          </w:sdt>
          <w:sdt>
            <w:sdtPr>
              <w:rPr>
                <w:rFonts w:ascii="Arial" w:hAnsi="Arial" w:cs="Arial"/>
                <w:sz w:val="22"/>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1799D182" w:rsidR="00067836" w:rsidRPr="004922AF" w:rsidRDefault="00621DA1" w:rsidP="004922AF">
                <w:pPr>
                  <w:spacing w:before="120" w:after="120"/>
                  <w:rPr>
                    <w:rFonts w:ascii="Arial" w:hAnsi="Arial" w:cs="Arial"/>
                    <w:sz w:val="22"/>
                    <w:szCs w:val="28"/>
                  </w:rPr>
                </w:pPr>
                <w:r>
                  <w:rPr>
                    <w:rFonts w:ascii="Arial" w:hAnsi="Arial" w:cs="Arial"/>
                    <w:sz w:val="22"/>
                    <w:szCs w:val="28"/>
                  </w:rPr>
                  <w:t>16: Peace, Justice and Strong Institutions</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32252B60" w:rsidR="00786706" w:rsidRPr="004922AF" w:rsidRDefault="00621DA1" w:rsidP="004922AF">
            <w:pPr>
              <w:spacing w:before="120" w:after="120"/>
              <w:rPr>
                <w:rFonts w:ascii="Arial" w:hAnsi="Arial" w:cs="Arial"/>
                <w:sz w:val="22"/>
                <w:szCs w:val="28"/>
              </w:rPr>
            </w:pPr>
            <w:r>
              <w:rPr>
                <w:rFonts w:ascii="Arial" w:hAnsi="Arial" w:cs="Arial"/>
                <w:sz w:val="22"/>
                <w:szCs w:val="28"/>
              </w:rPr>
              <w:t>8 December 2022</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7F499185" w:rsidR="00786706" w:rsidRPr="004922AF" w:rsidRDefault="00621DA1" w:rsidP="004922AF">
            <w:pPr>
              <w:spacing w:before="120" w:after="120"/>
              <w:rPr>
                <w:rFonts w:ascii="Arial" w:hAnsi="Arial" w:cs="Arial"/>
                <w:sz w:val="22"/>
                <w:szCs w:val="28"/>
              </w:rPr>
            </w:pPr>
            <w:r>
              <w:rPr>
                <w:rFonts w:ascii="Arial" w:hAnsi="Arial" w:cs="Arial"/>
                <w:sz w:val="22"/>
                <w:szCs w:val="28"/>
              </w:rPr>
              <w:t>8 December 2022</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490D7B83" w:rsidR="00786706" w:rsidRPr="004922AF" w:rsidRDefault="00621DA1" w:rsidP="004922AF">
            <w:pPr>
              <w:spacing w:before="120" w:after="120"/>
              <w:rPr>
                <w:rFonts w:ascii="Arial" w:hAnsi="Arial" w:cs="Arial"/>
                <w:sz w:val="22"/>
                <w:szCs w:val="28"/>
              </w:rPr>
            </w:pPr>
            <w:r>
              <w:rPr>
                <w:rFonts w:ascii="Arial" w:hAnsi="Arial" w:cs="Arial"/>
                <w:sz w:val="22"/>
                <w:szCs w:val="28"/>
              </w:rPr>
              <w:t>2025</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lastRenderedPageBreak/>
              <w:t>Policy advisor</w:t>
            </w:r>
          </w:p>
        </w:tc>
        <w:tc>
          <w:tcPr>
            <w:tcW w:w="7147" w:type="dxa"/>
          </w:tcPr>
          <w:p w14:paraId="0CB94D75" w14:textId="114E2346" w:rsidR="00786706" w:rsidRPr="004922AF" w:rsidRDefault="00621DA1" w:rsidP="004922AF">
            <w:pPr>
              <w:spacing w:before="120" w:after="120"/>
              <w:rPr>
                <w:rFonts w:ascii="Arial" w:hAnsi="Arial" w:cs="Arial"/>
                <w:sz w:val="22"/>
                <w:szCs w:val="28"/>
              </w:rPr>
            </w:pPr>
            <w:r>
              <w:rPr>
                <w:rFonts w:ascii="Arial" w:hAnsi="Arial" w:cs="Arial"/>
                <w:sz w:val="22"/>
                <w:szCs w:val="28"/>
              </w:rPr>
              <w:t>Compliance Manager</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4494CFC1" w:rsidR="00786706" w:rsidRPr="004922AF" w:rsidRDefault="00621DA1" w:rsidP="004922AF">
            <w:pPr>
              <w:spacing w:before="120" w:after="120"/>
              <w:rPr>
                <w:rFonts w:ascii="Arial" w:hAnsi="Arial" w:cs="Arial"/>
                <w:sz w:val="22"/>
                <w:szCs w:val="28"/>
              </w:rPr>
            </w:pPr>
            <w:r>
              <w:rPr>
                <w:rFonts w:ascii="Arial" w:hAnsi="Arial" w:cs="Arial"/>
                <w:sz w:val="22"/>
                <w:szCs w:val="28"/>
              </w:rPr>
              <w:t>General Counsel</w:t>
            </w:r>
          </w:p>
        </w:tc>
      </w:tr>
    </w:tbl>
    <w:p w14:paraId="07DD10BA" w14:textId="0FA127FA" w:rsidR="00811F90" w:rsidRDefault="00811F90">
      <w:pPr>
        <w:rPr>
          <w:rFonts w:ascii="Arial" w:hAnsi="Arial" w:cs="Arial"/>
          <w:sz w:val="20"/>
          <w:szCs w:val="20"/>
        </w:rPr>
      </w:pPr>
    </w:p>
    <w:p w14:paraId="605F990D" w14:textId="7E190CEA" w:rsidR="00C22059" w:rsidRPr="00237AB3" w:rsidRDefault="0055499E" w:rsidP="00CA6AC5">
      <w:pPr>
        <w:pStyle w:val="Heading2"/>
        <w:rPr>
          <w:rFonts w:ascii="Griffith Sans Text" w:hAnsi="Griffith Sans Text"/>
        </w:rPr>
      </w:pPr>
      <w:bookmarkStart w:id="12" w:name="_7.0_Related_Policy"/>
      <w:bookmarkStart w:id="13" w:name="_6.0_Related_Policy"/>
      <w:bookmarkEnd w:id="12"/>
      <w:bookmarkEnd w:id="13"/>
      <w:r>
        <w:rPr>
          <w:rFonts w:ascii="Griffith Sans Text" w:hAnsi="Griffith Sans Text"/>
        </w:rPr>
        <w:t>7</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1D95EE8D" w14:textId="5750260F" w:rsidR="00746A0E" w:rsidRPr="00A34A71" w:rsidRDefault="00A34A71" w:rsidP="004922AF">
            <w:pPr>
              <w:spacing w:before="120" w:after="120"/>
              <w:rPr>
                <w:rFonts w:ascii="Arial" w:hAnsi="Arial" w:cs="Arial"/>
                <w:i/>
                <w:iCs/>
                <w:sz w:val="22"/>
                <w:lang w:val="en-GB"/>
              </w:rPr>
            </w:pPr>
            <w:hyperlink r:id="rId13" w:history="1">
              <w:r w:rsidRPr="00A34A71">
                <w:rPr>
                  <w:rStyle w:val="Hyperlink"/>
                  <w:rFonts w:ascii="Arial" w:hAnsi="Arial" w:cs="Arial"/>
                  <w:i/>
                  <w:iCs/>
                  <w:sz w:val="22"/>
                  <w:lang w:val="en-GB"/>
                </w:rPr>
                <w:t>Public Records Act 2002 (Qld)</w:t>
              </w:r>
            </w:hyperlink>
          </w:p>
        </w:tc>
      </w:tr>
      <w:tr w:rsidR="00746A0E" w:rsidRPr="004922AF" w14:paraId="13D635BA" w14:textId="77777777" w:rsidTr="00A677D4">
        <w:trPr>
          <w:trHeight w:val="1796"/>
        </w:trPr>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t>Policy</w:t>
            </w:r>
          </w:p>
        </w:tc>
        <w:tc>
          <w:tcPr>
            <w:tcW w:w="7147" w:type="dxa"/>
          </w:tcPr>
          <w:p w14:paraId="7E5A0D8C" w14:textId="77777777" w:rsidR="00A34A71" w:rsidRDefault="00A34A71" w:rsidP="00A34A71">
            <w:pPr>
              <w:spacing w:before="120" w:after="120"/>
              <w:rPr>
                <w:rStyle w:val="Hyperlink"/>
                <w:rFonts w:ascii="Arial" w:hAnsi="Arial" w:cs="Arial"/>
                <w:sz w:val="22"/>
              </w:rPr>
            </w:pPr>
            <w:hyperlink r:id="rId14" w:history="1">
              <w:r w:rsidRPr="00A34A71">
                <w:rPr>
                  <w:rStyle w:val="Hyperlink"/>
                  <w:rFonts w:ascii="Arial" w:hAnsi="Arial" w:cs="Arial"/>
                  <w:sz w:val="22"/>
                </w:rPr>
                <w:t>Code of Conduct</w:t>
              </w:r>
            </w:hyperlink>
          </w:p>
          <w:p w14:paraId="448A190A" w14:textId="77777777" w:rsidR="00A677D4" w:rsidRPr="00A34A71" w:rsidRDefault="00A677D4" w:rsidP="00A677D4">
            <w:pPr>
              <w:spacing w:before="120" w:after="120"/>
              <w:rPr>
                <w:rFonts w:ascii="Arial" w:hAnsi="Arial" w:cs="Arial"/>
                <w:sz w:val="22"/>
              </w:rPr>
            </w:pPr>
            <w:hyperlink r:id="rId15" w:history="1">
              <w:r w:rsidRPr="00A34A71">
                <w:rPr>
                  <w:rStyle w:val="Hyperlink"/>
                  <w:rFonts w:ascii="Arial" w:hAnsi="Arial" w:cs="Arial"/>
                  <w:sz w:val="22"/>
                </w:rPr>
                <w:t>Enterprise Risk Management Policy</w:t>
              </w:r>
            </w:hyperlink>
          </w:p>
          <w:p w14:paraId="2572EA0F" w14:textId="253E2DF7" w:rsidR="00A677D4" w:rsidRDefault="00A677D4" w:rsidP="00A34A71">
            <w:pPr>
              <w:spacing w:before="120" w:after="120"/>
              <w:rPr>
                <w:rStyle w:val="Hyperlink"/>
                <w:rFonts w:ascii="Arial" w:hAnsi="Arial" w:cs="Arial"/>
                <w:sz w:val="22"/>
              </w:rPr>
            </w:pPr>
            <w:hyperlink r:id="rId16" w:history="1">
              <w:r w:rsidRPr="00A34A71">
                <w:rPr>
                  <w:rStyle w:val="Hyperlink"/>
                  <w:rFonts w:ascii="Arial" w:hAnsi="Arial" w:cs="Arial"/>
                  <w:sz w:val="22"/>
                </w:rPr>
                <w:t>Information Management Policy</w:t>
              </w:r>
            </w:hyperlink>
          </w:p>
          <w:p w14:paraId="2484FEDB" w14:textId="77777777" w:rsidR="00A677D4" w:rsidRPr="00A34A71" w:rsidRDefault="00A677D4" w:rsidP="00A677D4">
            <w:pPr>
              <w:spacing w:before="120" w:after="120"/>
              <w:rPr>
                <w:rFonts w:ascii="Arial" w:hAnsi="Arial" w:cs="Arial"/>
                <w:sz w:val="22"/>
              </w:rPr>
            </w:pPr>
            <w:hyperlink r:id="rId17" w:history="1">
              <w:r w:rsidRPr="00A34A71">
                <w:rPr>
                  <w:rStyle w:val="Hyperlink"/>
                  <w:rFonts w:ascii="Arial" w:hAnsi="Arial" w:cs="Arial"/>
                  <w:sz w:val="22"/>
                </w:rPr>
                <w:t>Legislative Compliance Policy</w:t>
              </w:r>
            </w:hyperlink>
          </w:p>
          <w:p w14:paraId="7A1507B9" w14:textId="1D31E124" w:rsidR="00746A0E" w:rsidRPr="00A677D4" w:rsidRDefault="00A34A71" w:rsidP="00A34A71">
            <w:pPr>
              <w:spacing w:before="120" w:after="120"/>
              <w:rPr>
                <w:rFonts w:ascii="Arial" w:hAnsi="Arial" w:cs="Arial"/>
                <w:sz w:val="22"/>
              </w:rPr>
            </w:pPr>
            <w:hyperlink r:id="rId18" w:history="1">
              <w:r w:rsidRPr="00A34A71">
                <w:rPr>
                  <w:rStyle w:val="Hyperlink"/>
                  <w:rFonts w:ascii="Arial" w:hAnsi="Arial" w:cs="Arial"/>
                  <w:sz w:val="22"/>
                </w:rPr>
                <w:t>Public Interest Disclosure Policy</w:t>
              </w:r>
            </w:hyperlink>
          </w:p>
        </w:tc>
      </w:tr>
      <w:tr w:rsidR="00746A0E" w:rsidRPr="004922AF" w14:paraId="55329BCC" w14:textId="77777777" w:rsidTr="006721EA">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4302959E" w14:textId="54B15A3E" w:rsidR="00746A0E" w:rsidRPr="00A34A71" w:rsidRDefault="00A34A71" w:rsidP="004922AF">
            <w:pPr>
              <w:spacing w:before="120" w:after="120"/>
              <w:rPr>
                <w:rFonts w:ascii="Arial" w:hAnsi="Arial" w:cs="Arial"/>
                <w:sz w:val="22"/>
                <w:szCs w:val="28"/>
                <w:lang w:val="en-GB"/>
              </w:rPr>
            </w:pPr>
            <w:hyperlink r:id="rId19" w:history="1">
              <w:r w:rsidRPr="00A34A71">
                <w:rPr>
                  <w:rStyle w:val="Hyperlink"/>
                  <w:rFonts w:ascii="Arial" w:hAnsi="Arial" w:cs="Arial"/>
                  <w:sz w:val="22"/>
                  <w:szCs w:val="28"/>
                </w:rPr>
                <w:t>Enterprise Risk Management Framework</w:t>
              </w:r>
            </w:hyperlink>
          </w:p>
        </w:tc>
      </w:tr>
      <w:tr w:rsidR="00746A0E" w:rsidRPr="004922AF" w14:paraId="76652B21" w14:textId="77777777" w:rsidTr="006721EA">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4B14E7C0" w:rsidR="00746A0E" w:rsidRPr="004922AF" w:rsidRDefault="00A34A71" w:rsidP="004922AF">
            <w:pPr>
              <w:spacing w:before="120" w:after="120"/>
              <w:rPr>
                <w:rFonts w:ascii="Arial" w:hAnsi="Arial" w:cs="Arial"/>
                <w:sz w:val="22"/>
              </w:rPr>
            </w:pPr>
            <w:r>
              <w:rPr>
                <w:rFonts w:ascii="Arial" w:hAnsi="Arial" w:cs="Arial"/>
                <w:sz w:val="22"/>
              </w:rPr>
              <w:t>N/A</w:t>
            </w:r>
          </w:p>
        </w:tc>
      </w:tr>
      <w:tr w:rsidR="00746A0E" w:rsidRPr="004922AF" w14:paraId="5AB64C6F" w14:textId="77777777" w:rsidTr="006721EA">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1A3119A1" w14:textId="24207091" w:rsidR="00DC689D" w:rsidRDefault="00DC689D" w:rsidP="00A34A71">
            <w:pPr>
              <w:spacing w:before="120" w:after="120"/>
              <w:rPr>
                <w:rFonts w:ascii="Arial" w:hAnsi="Arial" w:cs="Arial"/>
                <w:color w:val="E30918"/>
                <w:sz w:val="22"/>
              </w:rPr>
            </w:pPr>
            <w:hyperlink r:id="rId20" w:history="1">
              <w:r w:rsidRPr="00A677D4">
                <w:rPr>
                  <w:rStyle w:val="Hyperlink"/>
                  <w:rFonts w:ascii="Arial" w:hAnsi="Arial" w:cs="Arial"/>
                  <w:sz w:val="22"/>
                </w:rPr>
                <w:t>Potential Compliance Incident Reporting Form</w:t>
              </w:r>
            </w:hyperlink>
          </w:p>
          <w:p w14:paraId="0EFC3EBF" w14:textId="362CEDE7" w:rsidR="00A34A71" w:rsidRPr="00A34A71" w:rsidRDefault="00A677D4" w:rsidP="00A34A71">
            <w:pPr>
              <w:spacing w:before="120" w:after="120"/>
              <w:rPr>
                <w:rFonts w:ascii="Arial" w:hAnsi="Arial" w:cs="Arial"/>
                <w:color w:val="E30918"/>
                <w:sz w:val="22"/>
              </w:rPr>
            </w:pPr>
            <w:hyperlink r:id="rId21" w:history="1">
              <w:r w:rsidR="00A34A71" w:rsidRPr="00A677D4">
                <w:rPr>
                  <w:rStyle w:val="Hyperlink"/>
                  <w:rFonts w:ascii="Arial" w:hAnsi="Arial" w:cs="Arial"/>
                  <w:sz w:val="22"/>
                </w:rPr>
                <w:t>Register of Compliance Obligations</w:t>
              </w:r>
            </w:hyperlink>
            <w:r w:rsidR="00871C3F">
              <w:rPr>
                <w:rFonts w:ascii="Arial" w:hAnsi="Arial" w:cs="Arial"/>
                <w:color w:val="E30918"/>
                <w:sz w:val="22"/>
              </w:rPr>
              <w:t xml:space="preserve"> (ROCO)</w:t>
            </w:r>
          </w:p>
          <w:p w14:paraId="54F51F15" w14:textId="0B8B3515" w:rsidR="00746A0E" w:rsidRPr="00A677D4" w:rsidRDefault="00A34A71" w:rsidP="00DC689D">
            <w:pPr>
              <w:spacing w:before="120" w:after="120"/>
              <w:rPr>
                <w:rFonts w:ascii="Arial" w:hAnsi="Arial" w:cs="Arial"/>
                <w:sz w:val="22"/>
              </w:rPr>
            </w:pPr>
            <w:r w:rsidRPr="00A34A71">
              <w:rPr>
                <w:rFonts w:ascii="Arial" w:hAnsi="Arial" w:cs="Arial"/>
                <w:color w:val="E30918"/>
                <w:sz w:val="22"/>
              </w:rPr>
              <w:t>Register of Compliance Breaches</w:t>
            </w:r>
          </w:p>
        </w:tc>
      </w:tr>
    </w:tbl>
    <w:p w14:paraId="6BA7652E" w14:textId="26761596" w:rsidR="00A15D12" w:rsidRPr="004922AF" w:rsidRDefault="00A15D12" w:rsidP="004922AF">
      <w:pPr>
        <w:rPr>
          <w:rFonts w:ascii="Arial" w:hAnsi="Arial" w:cs="Arial"/>
          <w:sz w:val="22"/>
        </w:rPr>
      </w:pPr>
    </w:p>
    <w:p w14:paraId="298A2696" w14:textId="7FC27B10" w:rsidR="00AF5791" w:rsidRPr="00A15D12" w:rsidRDefault="00AF5791" w:rsidP="00C22059">
      <w:pPr>
        <w:rPr>
          <w:rFonts w:ascii="Arial" w:hAnsi="Arial" w:cs="Arial"/>
          <w:sz w:val="20"/>
          <w:szCs w:val="24"/>
        </w:rPr>
      </w:pPr>
    </w:p>
    <w:sectPr w:rsidR="00AF5791" w:rsidRPr="00A15D12" w:rsidSect="00E77B43">
      <w:headerReference w:type="default" r:id="rId22"/>
      <w:footerReference w:type="even" r:id="rId23"/>
      <w:footerReference w:type="default" r:id="rId24"/>
      <w:headerReference w:type="first" r:id="rId25"/>
      <w:footerReference w:type="first" r:id="rId26"/>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6355B0FD" w:rsidR="00830B58" w:rsidRPr="00E83FAA" w:rsidRDefault="00E83FAA" w:rsidP="00830B58">
    <w:pPr>
      <w:spacing w:after="0" w:line="240" w:lineRule="auto"/>
      <w:jc w:val="right"/>
      <w:rPr>
        <w:rFonts w:asciiTheme="minorHAnsi" w:hAnsiTheme="minorHAnsi" w:cstheme="minorHAnsi"/>
        <w:color w:val="70787B"/>
        <w:sz w:val="15"/>
        <w:szCs w:val="15"/>
      </w:rPr>
    </w:pPr>
    <w:r w:rsidRPr="00E83FAA">
      <w:rPr>
        <w:rFonts w:asciiTheme="minorHAnsi" w:hAnsiTheme="minorHAnsi" w:cstheme="minorHAnsi"/>
        <w:color w:val="70787B"/>
        <w:sz w:val="15"/>
        <w:szCs w:val="15"/>
      </w:rPr>
      <w:t>Legislative Compliance Procedure</w:t>
    </w:r>
    <w:r w:rsidR="002B29ED" w:rsidRPr="00E83FAA">
      <w:rPr>
        <w:rFonts w:asciiTheme="minorHAnsi" w:hAnsiTheme="minorHAnsi" w:cstheme="minorHAnsi"/>
        <w:color w:val="70787B"/>
        <w:sz w:val="15"/>
        <w:szCs w:val="15"/>
      </w:rPr>
      <w:t xml:space="preserve"> </w:t>
    </w:r>
    <w:r w:rsidR="00830B58" w:rsidRPr="00E83FAA">
      <w:rPr>
        <w:rFonts w:asciiTheme="minorHAnsi" w:hAnsiTheme="minorHAnsi" w:cstheme="minorHAnsi"/>
        <w:color w:val="70787B"/>
        <w:sz w:val="15"/>
        <w:szCs w:val="15"/>
      </w:rPr>
      <w:t>|</w:t>
    </w:r>
    <w:r w:rsidRPr="00E83FAA">
      <w:rPr>
        <w:rFonts w:asciiTheme="minorHAnsi" w:hAnsiTheme="minorHAnsi" w:cstheme="minorHAnsi"/>
        <w:color w:val="70787B"/>
        <w:sz w:val="15"/>
        <w:szCs w:val="15"/>
      </w:rPr>
      <w:t>December</w:t>
    </w:r>
    <w:r w:rsidR="00830B58" w:rsidRPr="00E83FAA">
      <w:rPr>
        <w:rFonts w:asciiTheme="minorHAnsi" w:hAnsiTheme="minorHAnsi" w:cstheme="minorHAnsi"/>
        <w:color w:val="70787B"/>
        <w:sz w:val="15"/>
        <w:szCs w:val="15"/>
      </w:rPr>
      <w:t xml:space="preserve"> 20</w:t>
    </w:r>
    <w:r w:rsidRPr="00E83FAA">
      <w:rPr>
        <w:rFonts w:asciiTheme="minorHAnsi" w:hAnsiTheme="minorHAnsi" w:cstheme="minorHAnsi"/>
        <w:color w:val="70787B"/>
        <w:sz w:val="15"/>
        <w:szCs w:val="15"/>
      </w:rPr>
      <w:t>22</w:t>
    </w:r>
  </w:p>
  <w:p w14:paraId="6521F9B2" w14:textId="57AD9446" w:rsidR="00830B58" w:rsidRPr="00E83FAA" w:rsidRDefault="00830B58" w:rsidP="00830B58">
    <w:pPr>
      <w:spacing w:after="0" w:line="240" w:lineRule="auto"/>
      <w:jc w:val="right"/>
      <w:rPr>
        <w:rFonts w:asciiTheme="minorHAnsi" w:hAnsiTheme="minorHAnsi" w:cstheme="minorHAnsi"/>
        <w:color w:val="70787B"/>
        <w:sz w:val="15"/>
        <w:szCs w:val="15"/>
      </w:rPr>
    </w:pPr>
    <w:r w:rsidRPr="00E83FAA">
      <w:rPr>
        <w:rFonts w:asciiTheme="minorHAnsi" w:hAnsiTheme="minorHAnsi" w:cstheme="minorHAnsi"/>
        <w:color w:val="70787B"/>
        <w:sz w:val="15"/>
        <w:szCs w:val="15"/>
      </w:rPr>
      <w:t xml:space="preserve">Document number: </w:t>
    </w:r>
    <w:r w:rsidR="00E83FAA" w:rsidRPr="00E83FAA">
      <w:rPr>
        <w:rFonts w:asciiTheme="minorHAnsi" w:hAnsiTheme="minorHAnsi" w:cstheme="minorHAnsi"/>
        <w:color w:val="70787B"/>
        <w:sz w:val="15"/>
        <w:szCs w:val="15"/>
      </w:rPr>
      <w:t>2023/0001191</w:t>
    </w:r>
  </w:p>
  <w:p w14:paraId="008E73BC" w14:textId="6B4B677F" w:rsidR="00575CC3" w:rsidRPr="00E83FAA" w:rsidRDefault="00830B58" w:rsidP="00E83FAA">
    <w:pPr>
      <w:spacing w:after="0" w:line="240" w:lineRule="auto"/>
      <w:jc w:val="right"/>
      <w:rPr>
        <w:rFonts w:asciiTheme="minorHAnsi" w:hAnsiTheme="minorHAnsi" w:cstheme="minorHAnsi"/>
        <w:color w:val="70787B"/>
        <w:sz w:val="15"/>
        <w:szCs w:val="15"/>
      </w:rPr>
    </w:pPr>
    <w:r w:rsidRPr="00E83FAA">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592E9B11" w:rsidR="00E77B43" w:rsidRPr="00E83FAA" w:rsidRDefault="00E83FAA" w:rsidP="00E77B43">
    <w:pPr>
      <w:spacing w:after="0" w:line="240" w:lineRule="auto"/>
      <w:jc w:val="right"/>
      <w:rPr>
        <w:rFonts w:asciiTheme="minorHAnsi" w:hAnsiTheme="minorHAnsi" w:cstheme="minorHAnsi"/>
        <w:color w:val="70787B"/>
        <w:sz w:val="15"/>
        <w:szCs w:val="15"/>
      </w:rPr>
    </w:pPr>
    <w:r w:rsidRPr="00E83FAA">
      <w:rPr>
        <w:rFonts w:asciiTheme="minorHAnsi" w:hAnsiTheme="minorHAnsi" w:cstheme="minorHAnsi"/>
        <w:color w:val="70787B"/>
        <w:sz w:val="15"/>
        <w:szCs w:val="15"/>
      </w:rPr>
      <w:t>Legislative Compliance Procedure</w:t>
    </w:r>
    <w:r w:rsidR="00E77B43" w:rsidRPr="00E83FAA">
      <w:rPr>
        <w:rFonts w:asciiTheme="minorHAnsi" w:hAnsiTheme="minorHAnsi" w:cstheme="minorHAnsi"/>
        <w:color w:val="70787B"/>
        <w:sz w:val="15"/>
        <w:szCs w:val="15"/>
      </w:rPr>
      <w:t xml:space="preserve"> | </w:t>
    </w:r>
    <w:r w:rsidRPr="00E83FAA">
      <w:rPr>
        <w:rFonts w:asciiTheme="minorHAnsi" w:hAnsiTheme="minorHAnsi" w:cstheme="minorHAnsi"/>
        <w:color w:val="70787B"/>
        <w:sz w:val="15"/>
        <w:szCs w:val="15"/>
      </w:rPr>
      <w:t>December</w:t>
    </w:r>
    <w:r w:rsidR="00E77B43" w:rsidRPr="00E83FAA">
      <w:rPr>
        <w:rFonts w:asciiTheme="minorHAnsi" w:hAnsiTheme="minorHAnsi" w:cstheme="minorHAnsi"/>
        <w:color w:val="70787B"/>
        <w:sz w:val="15"/>
        <w:szCs w:val="15"/>
      </w:rPr>
      <w:t xml:space="preserve"> </w:t>
    </w:r>
    <w:r w:rsidR="002B29ED" w:rsidRPr="00E83FAA">
      <w:rPr>
        <w:rFonts w:asciiTheme="minorHAnsi" w:hAnsiTheme="minorHAnsi" w:cstheme="minorHAnsi"/>
        <w:color w:val="70787B"/>
        <w:sz w:val="15"/>
        <w:szCs w:val="15"/>
      </w:rPr>
      <w:t>20</w:t>
    </w:r>
    <w:r w:rsidRPr="00E83FAA">
      <w:rPr>
        <w:rFonts w:asciiTheme="minorHAnsi" w:hAnsiTheme="minorHAnsi" w:cstheme="minorHAnsi"/>
        <w:color w:val="70787B"/>
        <w:sz w:val="15"/>
        <w:szCs w:val="15"/>
      </w:rPr>
      <w:t>22</w:t>
    </w:r>
    <w:r w:rsidR="00E77B43" w:rsidRPr="00E83FAA">
      <w:rPr>
        <w:rFonts w:asciiTheme="minorHAnsi" w:hAnsiTheme="minorHAnsi" w:cstheme="minorHAnsi"/>
        <w:color w:val="70787B"/>
        <w:sz w:val="15"/>
        <w:szCs w:val="15"/>
      </w:rPr>
      <w:t xml:space="preserve"> </w:t>
    </w:r>
  </w:p>
  <w:p w14:paraId="69EED422" w14:textId="1D7592B9" w:rsidR="00E77B43" w:rsidRPr="00E83FAA" w:rsidRDefault="00E77B43" w:rsidP="00E77B43">
    <w:pPr>
      <w:spacing w:after="0" w:line="240" w:lineRule="auto"/>
      <w:jc w:val="right"/>
      <w:rPr>
        <w:rFonts w:asciiTheme="minorHAnsi" w:hAnsiTheme="minorHAnsi" w:cstheme="minorHAnsi"/>
        <w:color w:val="70787B"/>
        <w:sz w:val="15"/>
        <w:szCs w:val="15"/>
      </w:rPr>
    </w:pPr>
    <w:r w:rsidRPr="00E83FAA">
      <w:rPr>
        <w:rFonts w:asciiTheme="minorHAnsi" w:hAnsiTheme="minorHAnsi" w:cstheme="minorHAnsi"/>
        <w:color w:val="70787B"/>
        <w:sz w:val="15"/>
        <w:szCs w:val="15"/>
      </w:rPr>
      <w:t xml:space="preserve">Document number: </w:t>
    </w:r>
    <w:r w:rsidR="00E83FAA" w:rsidRPr="00E83FAA">
      <w:rPr>
        <w:rFonts w:asciiTheme="minorHAnsi" w:hAnsiTheme="minorHAnsi" w:cstheme="minorHAnsi"/>
        <w:color w:val="70787B"/>
        <w:sz w:val="15"/>
        <w:szCs w:val="15"/>
      </w:rPr>
      <w:t>2023/0001191</w:t>
    </w:r>
  </w:p>
  <w:p w14:paraId="3471DC75" w14:textId="1F68BE84" w:rsidR="00E77B43" w:rsidRDefault="00E77B43" w:rsidP="00E77B43">
    <w:pPr>
      <w:pStyle w:val="Footer"/>
      <w:jc w:val="right"/>
    </w:pPr>
    <w:r w:rsidRPr="00E83FAA">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747E6FE2"/>
    <w:lvl w:ilvl="0" w:tplc="CD26DD14">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474EC9"/>
    <w:multiLevelType w:val="hybridMultilevel"/>
    <w:tmpl w:val="7A72EF4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74B21426"/>
    <w:multiLevelType w:val="hybridMultilevel"/>
    <w:tmpl w:val="1490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6"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7"/>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2"/>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6"/>
  </w:num>
  <w:num w:numId="30" w16cid:durableId="218833091">
    <w:abstractNumId w:val="15"/>
  </w:num>
  <w:num w:numId="31" w16cid:durableId="66726597">
    <w:abstractNumId w:val="29"/>
  </w:num>
  <w:num w:numId="32" w16cid:durableId="1786579993">
    <w:abstractNumId w:val="35"/>
  </w:num>
  <w:num w:numId="33" w16cid:durableId="1071662295">
    <w:abstractNumId w:val="20"/>
  </w:num>
  <w:num w:numId="34" w16cid:durableId="944117931">
    <w:abstractNumId w:val="19"/>
  </w:num>
  <w:num w:numId="35" w16cid:durableId="754860717">
    <w:abstractNumId w:val="17"/>
  </w:num>
  <w:num w:numId="36" w16cid:durableId="177352507">
    <w:abstractNumId w:val="21"/>
  </w:num>
  <w:num w:numId="37" w16cid:durableId="1403288206">
    <w:abstractNumId w:val="33"/>
  </w:num>
  <w:num w:numId="38" w16cid:durableId="7536247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21B"/>
    <w:rsid w:val="000728E0"/>
    <w:rsid w:val="000760A1"/>
    <w:rsid w:val="00083FFC"/>
    <w:rsid w:val="00085D7B"/>
    <w:rsid w:val="00091E5E"/>
    <w:rsid w:val="000B17D8"/>
    <w:rsid w:val="000B192C"/>
    <w:rsid w:val="000B71D9"/>
    <w:rsid w:val="000C0E96"/>
    <w:rsid w:val="000C57B7"/>
    <w:rsid w:val="000C7000"/>
    <w:rsid w:val="000D2C00"/>
    <w:rsid w:val="000D3B39"/>
    <w:rsid w:val="000D5C83"/>
    <w:rsid w:val="000D5FFF"/>
    <w:rsid w:val="000E01AE"/>
    <w:rsid w:val="000F1428"/>
    <w:rsid w:val="000F1CE9"/>
    <w:rsid w:val="000F5EB6"/>
    <w:rsid w:val="00103826"/>
    <w:rsid w:val="00104FF2"/>
    <w:rsid w:val="001076F2"/>
    <w:rsid w:val="0014590D"/>
    <w:rsid w:val="001520D3"/>
    <w:rsid w:val="00152E62"/>
    <w:rsid w:val="00154994"/>
    <w:rsid w:val="0016404C"/>
    <w:rsid w:val="00164E41"/>
    <w:rsid w:val="0016609B"/>
    <w:rsid w:val="001665DF"/>
    <w:rsid w:val="00170C6E"/>
    <w:rsid w:val="00175C40"/>
    <w:rsid w:val="001800F9"/>
    <w:rsid w:val="001868B0"/>
    <w:rsid w:val="001968C3"/>
    <w:rsid w:val="001A124A"/>
    <w:rsid w:val="001A2FF3"/>
    <w:rsid w:val="001A64A0"/>
    <w:rsid w:val="001E1ED9"/>
    <w:rsid w:val="001F271E"/>
    <w:rsid w:val="001F2B57"/>
    <w:rsid w:val="001F636F"/>
    <w:rsid w:val="00201B8F"/>
    <w:rsid w:val="00207FC2"/>
    <w:rsid w:val="00221E52"/>
    <w:rsid w:val="00221FEC"/>
    <w:rsid w:val="002257C2"/>
    <w:rsid w:val="00225E04"/>
    <w:rsid w:val="00227257"/>
    <w:rsid w:val="00236856"/>
    <w:rsid w:val="00237AB3"/>
    <w:rsid w:val="00241C1B"/>
    <w:rsid w:val="002439DB"/>
    <w:rsid w:val="002456C3"/>
    <w:rsid w:val="002538A8"/>
    <w:rsid w:val="00257D7C"/>
    <w:rsid w:val="00261945"/>
    <w:rsid w:val="002622A9"/>
    <w:rsid w:val="002665AF"/>
    <w:rsid w:val="00267CCA"/>
    <w:rsid w:val="00273F42"/>
    <w:rsid w:val="00274580"/>
    <w:rsid w:val="002777E3"/>
    <w:rsid w:val="00291234"/>
    <w:rsid w:val="002A3E0E"/>
    <w:rsid w:val="002B29ED"/>
    <w:rsid w:val="002B2DAF"/>
    <w:rsid w:val="002B35C9"/>
    <w:rsid w:val="002B6908"/>
    <w:rsid w:val="002C1FB6"/>
    <w:rsid w:val="002D233F"/>
    <w:rsid w:val="002D7967"/>
    <w:rsid w:val="002E2B97"/>
    <w:rsid w:val="002E6FC9"/>
    <w:rsid w:val="002F0131"/>
    <w:rsid w:val="002F186F"/>
    <w:rsid w:val="002F3C8B"/>
    <w:rsid w:val="0031180B"/>
    <w:rsid w:val="0031333E"/>
    <w:rsid w:val="00330E67"/>
    <w:rsid w:val="003328B7"/>
    <w:rsid w:val="00334090"/>
    <w:rsid w:val="00334B56"/>
    <w:rsid w:val="00340172"/>
    <w:rsid w:val="00343D34"/>
    <w:rsid w:val="0035677A"/>
    <w:rsid w:val="00360D4B"/>
    <w:rsid w:val="003654D8"/>
    <w:rsid w:val="00383C2C"/>
    <w:rsid w:val="00395AD8"/>
    <w:rsid w:val="003B3FF9"/>
    <w:rsid w:val="003E0D8B"/>
    <w:rsid w:val="003F7778"/>
    <w:rsid w:val="0040296F"/>
    <w:rsid w:val="004063AB"/>
    <w:rsid w:val="00406FFD"/>
    <w:rsid w:val="00410ED5"/>
    <w:rsid w:val="004344DE"/>
    <w:rsid w:val="00441285"/>
    <w:rsid w:val="004415C7"/>
    <w:rsid w:val="00456A0E"/>
    <w:rsid w:val="0046665F"/>
    <w:rsid w:val="00466DD2"/>
    <w:rsid w:val="00480367"/>
    <w:rsid w:val="00481A84"/>
    <w:rsid w:val="00481C9C"/>
    <w:rsid w:val="00482467"/>
    <w:rsid w:val="0048248F"/>
    <w:rsid w:val="00484C1B"/>
    <w:rsid w:val="004922AF"/>
    <w:rsid w:val="00493EC2"/>
    <w:rsid w:val="00495F56"/>
    <w:rsid w:val="00496A60"/>
    <w:rsid w:val="004A1751"/>
    <w:rsid w:val="004B2C98"/>
    <w:rsid w:val="004B784E"/>
    <w:rsid w:val="004C69B3"/>
    <w:rsid w:val="004C75C6"/>
    <w:rsid w:val="004D24FC"/>
    <w:rsid w:val="004D5E3C"/>
    <w:rsid w:val="004E594B"/>
    <w:rsid w:val="004E7999"/>
    <w:rsid w:val="004E7EF9"/>
    <w:rsid w:val="0050449E"/>
    <w:rsid w:val="005051B1"/>
    <w:rsid w:val="005224CD"/>
    <w:rsid w:val="00522BA9"/>
    <w:rsid w:val="00541A95"/>
    <w:rsid w:val="00552F80"/>
    <w:rsid w:val="00553466"/>
    <w:rsid w:val="0055499E"/>
    <w:rsid w:val="005554CF"/>
    <w:rsid w:val="005572C3"/>
    <w:rsid w:val="005632E8"/>
    <w:rsid w:val="00564540"/>
    <w:rsid w:val="0056680F"/>
    <w:rsid w:val="005730BC"/>
    <w:rsid w:val="005746E7"/>
    <w:rsid w:val="00575CC3"/>
    <w:rsid w:val="00584AE9"/>
    <w:rsid w:val="005926AC"/>
    <w:rsid w:val="0059325A"/>
    <w:rsid w:val="00593F30"/>
    <w:rsid w:val="005B1942"/>
    <w:rsid w:val="005B4915"/>
    <w:rsid w:val="005B6220"/>
    <w:rsid w:val="005C3E98"/>
    <w:rsid w:val="005C57C5"/>
    <w:rsid w:val="005D08AF"/>
    <w:rsid w:val="005D1898"/>
    <w:rsid w:val="005D7EA1"/>
    <w:rsid w:val="005F014A"/>
    <w:rsid w:val="0061147C"/>
    <w:rsid w:val="00613014"/>
    <w:rsid w:val="00621DA1"/>
    <w:rsid w:val="006467E3"/>
    <w:rsid w:val="006519D0"/>
    <w:rsid w:val="00654CFD"/>
    <w:rsid w:val="0065502D"/>
    <w:rsid w:val="006679CD"/>
    <w:rsid w:val="006724B2"/>
    <w:rsid w:val="00694B65"/>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3D62"/>
    <w:rsid w:val="00724189"/>
    <w:rsid w:val="00732202"/>
    <w:rsid w:val="00734916"/>
    <w:rsid w:val="00736216"/>
    <w:rsid w:val="0074146A"/>
    <w:rsid w:val="007418A5"/>
    <w:rsid w:val="00746A0E"/>
    <w:rsid w:val="00751170"/>
    <w:rsid w:val="007512F5"/>
    <w:rsid w:val="007526FF"/>
    <w:rsid w:val="00763E65"/>
    <w:rsid w:val="00764D3B"/>
    <w:rsid w:val="00772928"/>
    <w:rsid w:val="00774D85"/>
    <w:rsid w:val="00785535"/>
    <w:rsid w:val="00786706"/>
    <w:rsid w:val="00790080"/>
    <w:rsid w:val="00791C73"/>
    <w:rsid w:val="007A183B"/>
    <w:rsid w:val="007A1AED"/>
    <w:rsid w:val="007B5079"/>
    <w:rsid w:val="007B5820"/>
    <w:rsid w:val="007B700A"/>
    <w:rsid w:val="007C0260"/>
    <w:rsid w:val="007C37DE"/>
    <w:rsid w:val="007D4084"/>
    <w:rsid w:val="007D4B90"/>
    <w:rsid w:val="007E4E51"/>
    <w:rsid w:val="007F1CFA"/>
    <w:rsid w:val="00800172"/>
    <w:rsid w:val="0080196C"/>
    <w:rsid w:val="00811AE1"/>
    <w:rsid w:val="00811F90"/>
    <w:rsid w:val="008122F0"/>
    <w:rsid w:val="00820F73"/>
    <w:rsid w:val="008239FE"/>
    <w:rsid w:val="00825029"/>
    <w:rsid w:val="00830B58"/>
    <w:rsid w:val="00840C83"/>
    <w:rsid w:val="00852062"/>
    <w:rsid w:val="008605D5"/>
    <w:rsid w:val="00865E12"/>
    <w:rsid w:val="00871911"/>
    <w:rsid w:val="00871C38"/>
    <w:rsid w:val="00871C3F"/>
    <w:rsid w:val="00871D81"/>
    <w:rsid w:val="008735AB"/>
    <w:rsid w:val="00876C2F"/>
    <w:rsid w:val="008776AD"/>
    <w:rsid w:val="008C05CD"/>
    <w:rsid w:val="008C300D"/>
    <w:rsid w:val="008C5983"/>
    <w:rsid w:val="008D0A1C"/>
    <w:rsid w:val="008D2294"/>
    <w:rsid w:val="008D57B3"/>
    <w:rsid w:val="008E1620"/>
    <w:rsid w:val="008F2B91"/>
    <w:rsid w:val="008F2DE0"/>
    <w:rsid w:val="008F588D"/>
    <w:rsid w:val="00904689"/>
    <w:rsid w:val="0092371D"/>
    <w:rsid w:val="0093042E"/>
    <w:rsid w:val="00941205"/>
    <w:rsid w:val="0094121D"/>
    <w:rsid w:val="00947015"/>
    <w:rsid w:val="0095172A"/>
    <w:rsid w:val="009518A2"/>
    <w:rsid w:val="009645DD"/>
    <w:rsid w:val="00966619"/>
    <w:rsid w:val="00987992"/>
    <w:rsid w:val="009933D9"/>
    <w:rsid w:val="00993A5D"/>
    <w:rsid w:val="009A3D72"/>
    <w:rsid w:val="009A4600"/>
    <w:rsid w:val="009B37D4"/>
    <w:rsid w:val="009C10A2"/>
    <w:rsid w:val="009C1E14"/>
    <w:rsid w:val="009C2FEF"/>
    <w:rsid w:val="009C7B84"/>
    <w:rsid w:val="009D2761"/>
    <w:rsid w:val="009E11AD"/>
    <w:rsid w:val="009E2594"/>
    <w:rsid w:val="009F074C"/>
    <w:rsid w:val="009F693D"/>
    <w:rsid w:val="009F6D27"/>
    <w:rsid w:val="00A02EB6"/>
    <w:rsid w:val="00A03B53"/>
    <w:rsid w:val="00A10384"/>
    <w:rsid w:val="00A144B2"/>
    <w:rsid w:val="00A15D12"/>
    <w:rsid w:val="00A3242E"/>
    <w:rsid w:val="00A34A71"/>
    <w:rsid w:val="00A45BDF"/>
    <w:rsid w:val="00A50780"/>
    <w:rsid w:val="00A55F73"/>
    <w:rsid w:val="00A56091"/>
    <w:rsid w:val="00A5683C"/>
    <w:rsid w:val="00A57044"/>
    <w:rsid w:val="00A57DF9"/>
    <w:rsid w:val="00A677D4"/>
    <w:rsid w:val="00A82B7B"/>
    <w:rsid w:val="00AA12A3"/>
    <w:rsid w:val="00AA188E"/>
    <w:rsid w:val="00AA391D"/>
    <w:rsid w:val="00AB00BF"/>
    <w:rsid w:val="00AC1EA9"/>
    <w:rsid w:val="00AD1A60"/>
    <w:rsid w:val="00AE36C9"/>
    <w:rsid w:val="00AE4387"/>
    <w:rsid w:val="00AF5791"/>
    <w:rsid w:val="00AF719E"/>
    <w:rsid w:val="00B0485A"/>
    <w:rsid w:val="00B11F04"/>
    <w:rsid w:val="00B24AD5"/>
    <w:rsid w:val="00B25332"/>
    <w:rsid w:val="00B26F8D"/>
    <w:rsid w:val="00B42BD2"/>
    <w:rsid w:val="00B508D5"/>
    <w:rsid w:val="00B52233"/>
    <w:rsid w:val="00B602CB"/>
    <w:rsid w:val="00B82F08"/>
    <w:rsid w:val="00B9062A"/>
    <w:rsid w:val="00BB58D7"/>
    <w:rsid w:val="00BB7314"/>
    <w:rsid w:val="00BD26DB"/>
    <w:rsid w:val="00BF387D"/>
    <w:rsid w:val="00C00B53"/>
    <w:rsid w:val="00C22059"/>
    <w:rsid w:val="00C2475A"/>
    <w:rsid w:val="00C31251"/>
    <w:rsid w:val="00C32760"/>
    <w:rsid w:val="00C37C94"/>
    <w:rsid w:val="00C577E2"/>
    <w:rsid w:val="00C62871"/>
    <w:rsid w:val="00C76573"/>
    <w:rsid w:val="00C77710"/>
    <w:rsid w:val="00C80060"/>
    <w:rsid w:val="00CA6305"/>
    <w:rsid w:val="00CA66CE"/>
    <w:rsid w:val="00CA6AC5"/>
    <w:rsid w:val="00CA75B5"/>
    <w:rsid w:val="00CD119B"/>
    <w:rsid w:val="00CF611B"/>
    <w:rsid w:val="00CF6FF3"/>
    <w:rsid w:val="00D042D8"/>
    <w:rsid w:val="00D17890"/>
    <w:rsid w:val="00D246FF"/>
    <w:rsid w:val="00D25E65"/>
    <w:rsid w:val="00D434E9"/>
    <w:rsid w:val="00D532D6"/>
    <w:rsid w:val="00D66E46"/>
    <w:rsid w:val="00D92A2A"/>
    <w:rsid w:val="00DA2384"/>
    <w:rsid w:val="00DB0FC8"/>
    <w:rsid w:val="00DB5ED1"/>
    <w:rsid w:val="00DB76F9"/>
    <w:rsid w:val="00DB7E17"/>
    <w:rsid w:val="00DC689D"/>
    <w:rsid w:val="00DD6067"/>
    <w:rsid w:val="00DE45C5"/>
    <w:rsid w:val="00DF3DF3"/>
    <w:rsid w:val="00DF5D41"/>
    <w:rsid w:val="00E10FF6"/>
    <w:rsid w:val="00E118E6"/>
    <w:rsid w:val="00E14D21"/>
    <w:rsid w:val="00E166E0"/>
    <w:rsid w:val="00E16F96"/>
    <w:rsid w:val="00E20D0C"/>
    <w:rsid w:val="00E21C52"/>
    <w:rsid w:val="00E21E48"/>
    <w:rsid w:val="00E34E2C"/>
    <w:rsid w:val="00E633D7"/>
    <w:rsid w:val="00E67BB3"/>
    <w:rsid w:val="00E702F7"/>
    <w:rsid w:val="00E7138A"/>
    <w:rsid w:val="00E77B43"/>
    <w:rsid w:val="00E826C9"/>
    <w:rsid w:val="00E83FAA"/>
    <w:rsid w:val="00E9677E"/>
    <w:rsid w:val="00EA50A4"/>
    <w:rsid w:val="00EA768F"/>
    <w:rsid w:val="00EB67A0"/>
    <w:rsid w:val="00EB7614"/>
    <w:rsid w:val="00EB7EA9"/>
    <w:rsid w:val="00EC2833"/>
    <w:rsid w:val="00EC5612"/>
    <w:rsid w:val="00EC59A7"/>
    <w:rsid w:val="00ED6047"/>
    <w:rsid w:val="00EE12EC"/>
    <w:rsid w:val="00EE1B96"/>
    <w:rsid w:val="00EE310F"/>
    <w:rsid w:val="00EE3570"/>
    <w:rsid w:val="00EE7384"/>
    <w:rsid w:val="00EF0887"/>
    <w:rsid w:val="00F21753"/>
    <w:rsid w:val="00F252F4"/>
    <w:rsid w:val="00F25D0A"/>
    <w:rsid w:val="00F311DC"/>
    <w:rsid w:val="00F33491"/>
    <w:rsid w:val="00F44DD9"/>
    <w:rsid w:val="00F511F1"/>
    <w:rsid w:val="00F54199"/>
    <w:rsid w:val="00F55C18"/>
    <w:rsid w:val="00F705D2"/>
    <w:rsid w:val="00F71CDF"/>
    <w:rsid w:val="00F74238"/>
    <w:rsid w:val="00F7432A"/>
    <w:rsid w:val="00F74570"/>
    <w:rsid w:val="00F80692"/>
    <w:rsid w:val="00F9164B"/>
    <w:rsid w:val="00FA2481"/>
    <w:rsid w:val="00FA2D28"/>
    <w:rsid w:val="00FA6AC6"/>
    <w:rsid w:val="00FB180D"/>
    <w:rsid w:val="00FB329E"/>
    <w:rsid w:val="00FC349F"/>
    <w:rsid w:val="00FD349F"/>
    <w:rsid w:val="00FD34A0"/>
    <w:rsid w:val="00FD72AB"/>
    <w:rsid w:val="00FE1850"/>
    <w:rsid w:val="00FE2B47"/>
    <w:rsid w:val="00FE60E5"/>
    <w:rsid w:val="00FF52FA"/>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Default">
    <w:name w:val="Default"/>
    <w:rsid w:val="008F2B91"/>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pdf/inforce/current/act-2002-011" TargetMode="External"/><Relationship Id="rId18" Type="http://schemas.openxmlformats.org/officeDocument/2006/relationships/hyperlink" Target="https://sharepointpubstor.blob.core.windows.net/policylibrary-prod/Public%20Interest%20Disclosure%20Policy.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apps.powerapps.com/play/e/default-5a7cc8ab-a4dc-4f9b-bf60-66714049ad62/a/261ffc05-6e57-4b88-834a-451346a14f60?tenantId=5a7cc8ab-a4dc-4f9b-bf60-66714049ad62" TargetMode="External"/><Relationship Id="rId7" Type="http://schemas.openxmlformats.org/officeDocument/2006/relationships/webSettings" Target="webSettings.xml"/><Relationship Id="rId12" Type="http://schemas.openxmlformats.org/officeDocument/2006/relationships/hyperlink" Target="https://sharepointpubstor.blob.core.windows.net/policylibrary-prod/Enterprise%20Risk%20Management%20Framework.pdf" TargetMode="External"/><Relationship Id="rId17" Type="http://schemas.openxmlformats.org/officeDocument/2006/relationships/hyperlink" Target="https://sharepointpubstor.blob.core.windows.net/policylibrary-prod/Legislative%20Compliance%20Policy.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harepointpubstor.blob.core.windows.net/policylibrary-prod/Information%20Management%20Policy.pdf" TargetMode="External"/><Relationship Id="rId20" Type="http://schemas.openxmlformats.org/officeDocument/2006/relationships/hyperlink" Target="https://forms.office.com/pages/responsepage.aspx?id=q8h8Wtykm0-_YGZxQEmtYun373nnCVNLhv79xR7cMY1UNlJBMVBQVjhUTzhISUpDQVJEVTRIQkpFTS4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harepointpubstor.blob.core.windows.net/policylibrary-prod/Enterprise%20Risk%20Management%20Policy.pdf"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sharepointpubstor.blob.core.windows.net/policylibrary-prod/Enterprise%20Risk%20Management%20Framewor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Code%20of%20Conduct.pdf"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2D19FA"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2D19FA" w:rsidRDefault="008011BC" w:rsidP="008011BC">
          <w:pPr>
            <w:pStyle w:val="51D200499E654B60842EFC49E62ED95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116</Value>
      <Value>577</Value>
      <Value>578</Value>
      <Value>525</Value>
      <Value>77</Value>
    </TaxCatchAll>
    <SharedWithUsers xmlns="b40c662e-0380-4817-843d-2c7e10d40c39">
      <UserInfo>
        <DisplayName/>
        <AccountId xsi:nil="true"/>
        <AccountType/>
      </UserInfo>
    </SharedWithUsers>
    <PublishOn xmlns="2f261a70-825f-4a37-b7b5-f6ecc2f4c5fa">2022-12-12T01:27:20+00:00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General Counsel</TermName>
          <TermId xmlns="http://schemas.microsoft.com/office/infopath/2007/PartnerControls">e2855b6b-a13a-440d-861b-d6efc37787be</TermId>
        </TermInfo>
      </Terms>
    </l92b321e1c6d4932b3b7fc50f551e57a>
    <policysummary xmlns="2f261a70-825f-4a37-b7b5-f6ecc2f4c5fa">This procedure describes the Compliance Management Program, detailing how the objectives and principles of the Griffith University Compliance Policy will be achieved.</policysummary>
    <PolicyCategoryPath xmlns="2f261a70-825f-4a37-b7b5-f6ecc2f4c5fa">Governance:Risk</PolicyCategoryPath>
    <PolicyCategory0 xmlns="2f261a70-825f-4a37-b7b5-f6ecc2f4c5fa">Risk</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 xsi:nil="true"/>
    <datedeclared xmlns="2f261a70-825f-4a37-b7b5-f6ecc2f4c5fa">2022-12-07T14:00:00+00:00</datedeclared>
    <PrivatePolicy xmlns="2f261a70-825f-4a37-b7b5-f6ecc2f4c5fa">false</PrivatePolicy>
    <policyadvisor xmlns="2f261a70-825f-4a37-b7b5-f6ecc2f4c5fa">
      <UserInfo>
        <DisplayName>Jacob Wild</DisplayName>
        <AccountId>330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Risk</TermName>
          <TermId xmlns="http://schemas.microsoft.com/office/infopath/2007/PartnerControls">1ba84cee-30cf-47e9-9c4b-9276dea75b85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General Counsel</TermName>
          <TermId xmlns="http://schemas.microsoft.com/office/infopath/2007/PartnerControls">9f82c15e-f6e6-4e83-8116-8e577e471e72</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4DBAB05C-1460-4392-B5BC-D30D8F6E2690}"/>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65</TotalTime>
  <Pages>12</Pages>
  <Words>4279</Words>
  <Characters>25210</Characters>
  <Application>Microsoft Office Word</Application>
  <DocSecurity>0</DocSecurity>
  <Lines>2521</Lines>
  <Paragraphs>1134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Compliance Procedure</dc:title>
  <dc:creator>Jen Lofgren</dc:creator>
  <cp:lastModifiedBy>Charlie Partridge</cp:lastModifiedBy>
  <cp:revision>98</cp:revision>
  <dcterms:created xsi:type="dcterms:W3CDTF">2024-04-22T01:35:00Z</dcterms:created>
  <dcterms:modified xsi:type="dcterms:W3CDTF">2024-04-22T05:25:00Z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577;#General Counsel|9f82c15e-f6e6-4e83-8116-8e577e471e72</vt:lpwstr>
  </property>
  <property fmtid="{D5CDD505-2E9C-101B-9397-08002B2CF9AE}" pid="18" name="policycategory">
    <vt:lpwstr/>
  </property>
  <property fmtid="{D5CDD505-2E9C-101B-9397-08002B2CF9AE}" pid="19" name="TemplateUrl">
    <vt:lpwstr/>
  </property>
  <property fmtid="{D5CDD505-2E9C-101B-9397-08002B2CF9AE}" pid="20" name="officearea">
    <vt:lpwstr>578;#General Counsel|e2855b6b-a13a-440d-861b-d6efc37787be</vt:lpwstr>
  </property>
  <property fmtid="{D5CDD505-2E9C-101B-9397-08002B2CF9AE}" pid="21" name="resourcetype">
    <vt:lpwstr>850</vt:lpwstr>
  </property>
  <property fmtid="{D5CDD505-2E9C-101B-9397-08002B2CF9AE}" pid="22" name="policy-category">
    <vt:lpwstr>525;#Risk|1ba84cee-30cf-47e9-9c4b-9276dea75b85</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116;#2025|fa1cf741-e18b-4093-9127-a4b8f49df0e9</vt:lpwstr>
  </property>
  <property fmtid="{D5CDD505-2E9C-101B-9397-08002B2CF9AE}" pid="27" name="policyaudience">
    <vt:lpwstr>77;#Staff|45ee306d-49ae-43fa-a3ef-02f70754fd2d</vt:lpwstr>
  </property>
  <property fmtid="{D5CDD505-2E9C-101B-9397-08002B2CF9AE}" pid="28" name="Managed_Testing_Field">
    <vt:lpwstr/>
  </property>
</Properties>
</file>