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3174368" w:rsidR="00ED6047" w:rsidRPr="000C7000" w:rsidRDefault="00D6757F" w:rsidP="00A144B2">
      <w:pPr>
        <w:pStyle w:val="Heading1"/>
        <w:spacing w:before="0" w:after="240"/>
        <w:rPr>
          <w:rFonts w:ascii="Griffith Sans Text" w:hAnsi="Griffith Sans Text"/>
          <w:sz w:val="52"/>
          <w:szCs w:val="32"/>
        </w:rPr>
      </w:pPr>
      <w:r w:rsidRPr="00D6757F">
        <w:rPr>
          <w:rFonts w:ascii="Griffith Sans Text" w:hAnsi="Griffith Sans Text"/>
          <w:sz w:val="52"/>
          <w:szCs w:val="32"/>
        </w:rPr>
        <w:t>Internal Mobility</w:t>
      </w:r>
    </w:p>
    <w:p w14:paraId="4B56D564" w14:textId="33010313" w:rsidR="00A144B2" w:rsidRPr="000C7000" w:rsidRDefault="0056412A"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56412A"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574A747E" w14:textId="69ED93E3" w:rsidR="00A144B2" w:rsidRPr="000C7000" w:rsidRDefault="00FF586B" w:rsidP="005453DD">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623CE866" w:rsidR="00820F73" w:rsidRPr="004922AF" w:rsidRDefault="002B32E4" w:rsidP="004922AF">
      <w:pPr>
        <w:spacing w:before="120" w:after="120" w:line="240" w:lineRule="auto"/>
        <w:rPr>
          <w:rFonts w:ascii="Arial" w:hAnsi="Arial" w:cs="Arial"/>
          <w:sz w:val="22"/>
        </w:rPr>
      </w:pPr>
      <w:r w:rsidRPr="002B32E4">
        <w:rPr>
          <w:rFonts w:ascii="Arial" w:hAnsi="Arial" w:cs="Arial"/>
          <w:sz w:val="22"/>
        </w:rPr>
        <w:t>This Procedure enables Griffith University’s (the University</w:t>
      </w:r>
      <w:r w:rsidR="00383A27">
        <w:rPr>
          <w:rFonts w:ascii="Arial" w:hAnsi="Arial" w:cs="Arial"/>
          <w:sz w:val="22"/>
        </w:rPr>
        <w:t>’s</w:t>
      </w:r>
      <w:r w:rsidRPr="002B32E4">
        <w:rPr>
          <w:rFonts w:ascii="Arial" w:hAnsi="Arial" w:cs="Arial"/>
          <w:sz w:val="22"/>
        </w:rPr>
        <w:t xml:space="preserve">) strategic goal to </w:t>
      </w:r>
      <w:r w:rsidR="00383A27">
        <w:rPr>
          <w:rFonts w:ascii="Arial" w:hAnsi="Arial" w:cs="Arial"/>
          <w:sz w:val="22"/>
        </w:rPr>
        <w:t>u</w:t>
      </w:r>
      <w:r w:rsidRPr="002B32E4">
        <w:rPr>
          <w:rFonts w:ascii="Arial" w:hAnsi="Arial" w:cs="Arial"/>
          <w:sz w:val="22"/>
        </w:rPr>
        <w:t xml:space="preserve">nleash the potential of our people by outlining the University’s approach to facilitating the career development of our workforce through secondments, </w:t>
      </w:r>
      <w:proofErr w:type="gramStart"/>
      <w:r w:rsidRPr="002B32E4">
        <w:rPr>
          <w:rFonts w:ascii="Arial" w:hAnsi="Arial" w:cs="Arial"/>
          <w:sz w:val="22"/>
        </w:rPr>
        <w:t>transfers</w:t>
      </w:r>
      <w:proofErr w:type="gramEnd"/>
      <w:r w:rsidRPr="002B32E4">
        <w:rPr>
          <w:rFonts w:ascii="Arial" w:hAnsi="Arial" w:cs="Arial"/>
          <w:sz w:val="22"/>
        </w:rPr>
        <w:t xml:space="preserve"> and the recruitment of staff through an internal only process.</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416FBC2C" w14:textId="77777777" w:rsidR="002B32E4" w:rsidRPr="002B32E4" w:rsidRDefault="002B32E4" w:rsidP="002B32E4">
      <w:pPr>
        <w:spacing w:before="120" w:after="120" w:line="240" w:lineRule="auto"/>
        <w:rPr>
          <w:rFonts w:ascii="Arial" w:hAnsi="Arial" w:cs="Arial"/>
          <w:sz w:val="22"/>
        </w:rPr>
      </w:pPr>
      <w:r w:rsidRPr="002B32E4">
        <w:rPr>
          <w:rFonts w:ascii="Arial" w:hAnsi="Arial" w:cs="Arial"/>
          <w:sz w:val="22"/>
        </w:rPr>
        <w:t>This Procedure applies to job opportunities for staff currently employed at the University.</w:t>
      </w:r>
    </w:p>
    <w:p w14:paraId="7692BC06" w14:textId="77777777" w:rsidR="002B32E4" w:rsidRPr="002B32E4" w:rsidRDefault="002B32E4" w:rsidP="002B32E4">
      <w:pPr>
        <w:spacing w:before="120" w:after="120" w:line="240" w:lineRule="auto"/>
        <w:rPr>
          <w:rFonts w:ascii="Arial" w:hAnsi="Arial" w:cs="Arial"/>
          <w:sz w:val="22"/>
        </w:rPr>
      </w:pPr>
      <w:r w:rsidRPr="002B32E4">
        <w:rPr>
          <w:rFonts w:ascii="Arial" w:hAnsi="Arial" w:cs="Arial"/>
          <w:sz w:val="22"/>
        </w:rPr>
        <w:t xml:space="preserve">For academic staff, this is further supported by the Promotion of Academic and Research Only Academic Staff Policy and the Promotion of Academic Staff Procedures. Promotion of Academic Staff Procedures. </w:t>
      </w:r>
    </w:p>
    <w:p w14:paraId="32381DE0" w14:textId="22438FC1" w:rsidR="00A144B2" w:rsidRPr="004922AF" w:rsidRDefault="002B32E4" w:rsidP="002B32E4">
      <w:pPr>
        <w:spacing w:before="120" w:after="120" w:line="240" w:lineRule="auto"/>
        <w:rPr>
          <w:rFonts w:ascii="Arial" w:eastAsia="Calibri" w:hAnsi="Arial" w:cs="Arial"/>
          <w:sz w:val="22"/>
        </w:rPr>
      </w:pPr>
      <w:r w:rsidRPr="002B32E4">
        <w:rPr>
          <w:rFonts w:ascii="Arial" w:hAnsi="Arial" w:cs="Arial"/>
          <w:sz w:val="22"/>
        </w:rPr>
        <w:t>External secondments are handled under the Secondment of Staff to Other Institutions Policy and Procedures.</w:t>
      </w:r>
      <w:r w:rsidR="00B26A63">
        <w:rPr>
          <w:rFonts w:ascii="Arial" w:hAnsi="Arial" w:cs="Arial"/>
          <w:sz w:val="22"/>
        </w:rPr>
        <w:tab/>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77B51C73" w14:textId="3A6F1D88" w:rsidR="0059325A" w:rsidRDefault="000876B7" w:rsidP="004922AF">
      <w:pPr>
        <w:pStyle w:val="NormalWhite"/>
        <w:spacing w:before="120" w:after="120" w:line="240" w:lineRule="auto"/>
        <w:jc w:val="left"/>
        <w:rPr>
          <w:rFonts w:cs="Arial"/>
          <w:color w:val="auto"/>
          <w:sz w:val="22"/>
        </w:rPr>
      </w:pPr>
      <w:r w:rsidRPr="000876B7">
        <w:rPr>
          <w:rFonts w:cs="Arial"/>
          <w:color w:val="auto"/>
          <w:sz w:val="22"/>
        </w:rPr>
        <w:t>This Procedure aims to provide a balance between providing career progression for current employees and ensuring the University can recruit the most suitable candidate for the position. This Procedure provides guidance to Hiring Managers to enable the appropriate consideration of current employees as part of their recruitment strategy and reflect the University’s commitment to career development.</w:t>
      </w:r>
    </w:p>
    <w:p w14:paraId="301FA844" w14:textId="438E734E" w:rsidR="00A144B2" w:rsidRPr="001520D3" w:rsidRDefault="00A144B2" w:rsidP="001520D3">
      <w:pPr>
        <w:pStyle w:val="Heading3"/>
        <w:ind w:left="567"/>
        <w:rPr>
          <w:rFonts w:ascii="Griffith Sans Text" w:hAnsi="Griffith Sans Text"/>
        </w:rPr>
      </w:pPr>
      <w:r w:rsidRPr="001520D3">
        <w:rPr>
          <w:rFonts w:ascii="Griffith Sans Text" w:hAnsi="Griffith Sans Text"/>
        </w:rPr>
        <w:t xml:space="preserve">3.1 </w:t>
      </w:r>
      <w:r w:rsidR="000876B7" w:rsidRPr="000876B7">
        <w:rPr>
          <w:rFonts w:ascii="Griffith Sans Text" w:hAnsi="Griffith Sans Text"/>
        </w:rPr>
        <w:t>Creating a Culture of Internal Mobility</w:t>
      </w:r>
    </w:p>
    <w:p w14:paraId="0D7F6C3D" w14:textId="77777777" w:rsidR="000876B7" w:rsidRPr="00383A27" w:rsidRDefault="000876B7" w:rsidP="000876B7">
      <w:pPr>
        <w:spacing w:before="120" w:after="120" w:line="240" w:lineRule="auto"/>
        <w:ind w:left="567"/>
        <w:rPr>
          <w:rFonts w:ascii="Arial" w:hAnsi="Arial" w:cs="Arial"/>
          <w:b/>
          <w:bCs/>
          <w:sz w:val="22"/>
        </w:rPr>
      </w:pPr>
      <w:r w:rsidRPr="00383A27">
        <w:rPr>
          <w:rFonts w:ascii="Arial" w:hAnsi="Arial" w:cs="Arial"/>
          <w:b/>
          <w:bCs/>
          <w:sz w:val="22"/>
        </w:rPr>
        <w:t>Sharing job opportunities with current employees</w:t>
      </w:r>
    </w:p>
    <w:p w14:paraId="6C682205" w14:textId="1BF894F8" w:rsidR="000876B7" w:rsidRPr="000876B7" w:rsidRDefault="000876B7" w:rsidP="000876B7">
      <w:pPr>
        <w:spacing w:before="120" w:after="120" w:line="240" w:lineRule="auto"/>
        <w:ind w:left="567"/>
        <w:rPr>
          <w:rFonts w:ascii="Arial" w:hAnsi="Arial" w:cs="Arial"/>
          <w:sz w:val="22"/>
        </w:rPr>
      </w:pPr>
      <w:r w:rsidRPr="000876B7">
        <w:rPr>
          <w:rFonts w:ascii="Arial" w:hAnsi="Arial" w:cs="Arial"/>
          <w:sz w:val="22"/>
        </w:rPr>
        <w:t xml:space="preserve">All vacant positions will be advertised internally to ensure </w:t>
      </w:r>
      <w:r w:rsidR="00383A27">
        <w:rPr>
          <w:rFonts w:ascii="Arial" w:hAnsi="Arial" w:cs="Arial"/>
          <w:sz w:val="22"/>
        </w:rPr>
        <w:t>that</w:t>
      </w:r>
      <w:r w:rsidRPr="000876B7">
        <w:rPr>
          <w:rFonts w:ascii="Arial" w:hAnsi="Arial" w:cs="Arial"/>
          <w:sz w:val="22"/>
        </w:rPr>
        <w:t xml:space="preserve"> University employees are informed of vacant positions. </w:t>
      </w:r>
    </w:p>
    <w:p w14:paraId="71EE0D0E" w14:textId="77777777" w:rsidR="000876B7" w:rsidRPr="00383A27" w:rsidRDefault="000876B7" w:rsidP="00383A27">
      <w:pPr>
        <w:spacing w:before="120" w:after="120" w:line="240" w:lineRule="auto"/>
        <w:ind w:left="433" w:firstLine="134"/>
        <w:rPr>
          <w:rFonts w:ascii="Arial" w:hAnsi="Arial" w:cs="Arial"/>
          <w:sz w:val="22"/>
        </w:rPr>
      </w:pPr>
      <w:r w:rsidRPr="00383A27">
        <w:rPr>
          <w:rFonts w:ascii="Arial" w:hAnsi="Arial" w:cs="Arial"/>
          <w:sz w:val="22"/>
        </w:rPr>
        <w:t>Internal job opportunity sharing includes:</w:t>
      </w:r>
    </w:p>
    <w:p w14:paraId="5477BA03" w14:textId="3E0817C9" w:rsidR="000876B7" w:rsidRPr="0023535C" w:rsidRDefault="000876B7" w:rsidP="0023535C">
      <w:pPr>
        <w:pStyle w:val="ListParagraph"/>
        <w:numPr>
          <w:ilvl w:val="0"/>
          <w:numId w:val="37"/>
        </w:numPr>
        <w:spacing w:before="120" w:after="120" w:line="240" w:lineRule="auto"/>
        <w:rPr>
          <w:rFonts w:ascii="Arial" w:hAnsi="Arial" w:cs="Arial"/>
          <w:sz w:val="22"/>
        </w:rPr>
      </w:pPr>
      <w:r w:rsidRPr="0023535C">
        <w:rPr>
          <w:rFonts w:ascii="Arial" w:hAnsi="Arial" w:cs="Arial"/>
          <w:sz w:val="22"/>
        </w:rPr>
        <w:t xml:space="preserve">The internal candidate hub - Internal </w:t>
      </w:r>
      <w:proofErr w:type="spellStart"/>
      <w:r w:rsidRPr="0023535C">
        <w:rPr>
          <w:rFonts w:ascii="Arial" w:hAnsi="Arial" w:cs="Arial"/>
          <w:sz w:val="22"/>
        </w:rPr>
        <w:t>Mobility@Griffith</w:t>
      </w:r>
      <w:proofErr w:type="spellEnd"/>
    </w:p>
    <w:p w14:paraId="1027DC89" w14:textId="02581A0B" w:rsidR="000876B7" w:rsidRPr="0023535C" w:rsidRDefault="000876B7" w:rsidP="0023535C">
      <w:pPr>
        <w:pStyle w:val="ListParagraph"/>
        <w:numPr>
          <w:ilvl w:val="0"/>
          <w:numId w:val="37"/>
        </w:numPr>
        <w:spacing w:before="120" w:after="120" w:line="240" w:lineRule="auto"/>
        <w:rPr>
          <w:rFonts w:ascii="Arial" w:hAnsi="Arial" w:cs="Arial"/>
          <w:sz w:val="22"/>
        </w:rPr>
      </w:pPr>
      <w:r w:rsidRPr="0023535C">
        <w:rPr>
          <w:rFonts w:ascii="Arial" w:hAnsi="Arial" w:cs="Arial"/>
          <w:sz w:val="22"/>
        </w:rPr>
        <w:t xml:space="preserve">Staff can set up a profile and elect to be notified of relevant opportunities. </w:t>
      </w:r>
    </w:p>
    <w:p w14:paraId="64442645" w14:textId="08EBBBE4" w:rsidR="000876B7" w:rsidRPr="0023535C" w:rsidRDefault="000876B7" w:rsidP="0023535C">
      <w:pPr>
        <w:pStyle w:val="ListParagraph"/>
        <w:numPr>
          <w:ilvl w:val="0"/>
          <w:numId w:val="37"/>
        </w:numPr>
        <w:spacing w:before="120" w:after="120" w:line="240" w:lineRule="auto"/>
        <w:rPr>
          <w:rFonts w:ascii="Arial" w:hAnsi="Arial" w:cs="Arial"/>
          <w:sz w:val="22"/>
        </w:rPr>
      </w:pPr>
      <w:r w:rsidRPr="0023535C">
        <w:rPr>
          <w:rFonts w:ascii="Arial" w:hAnsi="Arial" w:cs="Arial"/>
          <w:sz w:val="22"/>
        </w:rPr>
        <w:t>Where applicable, Talent Acquisition may seek to supplement recruitment processes with internal candidates sourced from alternative channels, including the internal mobility talent networks.</w:t>
      </w:r>
    </w:p>
    <w:p w14:paraId="23A942CA" w14:textId="5693CD88" w:rsidR="0059325A" w:rsidRPr="0023535C" w:rsidRDefault="000876B7" w:rsidP="0023535C">
      <w:pPr>
        <w:pStyle w:val="ListParagraph"/>
        <w:numPr>
          <w:ilvl w:val="0"/>
          <w:numId w:val="37"/>
        </w:numPr>
        <w:spacing w:before="120" w:after="120" w:line="240" w:lineRule="auto"/>
        <w:rPr>
          <w:rFonts w:ascii="Arial" w:hAnsi="Arial" w:cs="Arial"/>
          <w:sz w:val="22"/>
        </w:rPr>
      </w:pPr>
      <w:r w:rsidRPr="0023535C">
        <w:rPr>
          <w:rFonts w:ascii="Arial" w:hAnsi="Arial" w:cs="Arial"/>
          <w:sz w:val="22"/>
        </w:rPr>
        <w:t>Select vacancies may be promoted through university wide communication channels.</w:t>
      </w:r>
    </w:p>
    <w:p w14:paraId="2725CB79" w14:textId="3EECC2D5" w:rsidR="00D6757F" w:rsidRPr="00D6757F" w:rsidRDefault="00D6757F" w:rsidP="00D6757F">
      <w:pPr>
        <w:tabs>
          <w:tab w:val="left" w:pos="9290"/>
        </w:tabs>
      </w:pPr>
      <w:bookmarkStart w:id="4" w:name="_3.2_[Insert_sub-heading]"/>
      <w:bookmarkEnd w:id="4"/>
    </w:p>
    <w:p w14:paraId="124F75BE" w14:textId="6BFD701A" w:rsidR="00E77B43" w:rsidRPr="001520D3" w:rsidRDefault="00A144B2" w:rsidP="001520D3">
      <w:pPr>
        <w:pStyle w:val="Heading3"/>
        <w:ind w:left="567"/>
        <w:rPr>
          <w:rFonts w:ascii="Griffith Sans Text" w:hAnsi="Griffith Sans Text"/>
        </w:rPr>
      </w:pPr>
      <w:r w:rsidRPr="001520D3">
        <w:rPr>
          <w:rFonts w:ascii="Griffith Sans Text" w:hAnsi="Griffith Sans Text"/>
        </w:rPr>
        <w:lastRenderedPageBreak/>
        <w:t xml:space="preserve">3.2 </w:t>
      </w:r>
      <w:r w:rsidR="00CD146E" w:rsidRPr="00CD146E">
        <w:rPr>
          <w:rFonts w:ascii="Griffith Sans Text" w:hAnsi="Griffith Sans Text"/>
        </w:rPr>
        <w:t>Types of Internal Mobility</w:t>
      </w:r>
    </w:p>
    <w:p w14:paraId="25415AEB" w14:textId="77777777" w:rsidR="00CD146E" w:rsidRPr="00CD146E" w:rsidRDefault="00CD146E" w:rsidP="00CD146E">
      <w:pPr>
        <w:spacing w:before="120" w:after="120" w:line="240" w:lineRule="auto"/>
        <w:ind w:left="567"/>
        <w:rPr>
          <w:rFonts w:ascii="Arial" w:hAnsi="Arial" w:cs="Arial"/>
          <w:b/>
          <w:bCs/>
          <w:sz w:val="22"/>
        </w:rPr>
      </w:pPr>
      <w:r w:rsidRPr="00CD146E">
        <w:rPr>
          <w:rFonts w:ascii="Arial" w:hAnsi="Arial" w:cs="Arial"/>
          <w:b/>
          <w:bCs/>
          <w:sz w:val="22"/>
        </w:rPr>
        <w:t>Secondment</w:t>
      </w:r>
    </w:p>
    <w:p w14:paraId="5749BC2A" w14:textId="4E208260" w:rsidR="00CD146E" w:rsidRPr="00CD146E" w:rsidRDefault="00CD146E" w:rsidP="00CD146E">
      <w:pPr>
        <w:spacing w:before="120" w:after="120" w:line="240" w:lineRule="auto"/>
        <w:ind w:left="567"/>
        <w:rPr>
          <w:rFonts w:ascii="Arial" w:hAnsi="Arial" w:cs="Arial"/>
          <w:sz w:val="22"/>
        </w:rPr>
      </w:pPr>
      <w:r w:rsidRPr="00CD146E">
        <w:rPr>
          <w:rFonts w:ascii="Arial" w:hAnsi="Arial" w:cs="Arial"/>
          <w:sz w:val="22"/>
        </w:rPr>
        <w:t xml:space="preserve">A secondment occurs when an employee is the successful applicant in a recruitment and selection process for a fixed term position or </w:t>
      </w:r>
      <w:r w:rsidR="00383A27">
        <w:rPr>
          <w:rFonts w:ascii="Arial" w:hAnsi="Arial" w:cs="Arial"/>
          <w:sz w:val="22"/>
        </w:rPr>
        <w:t xml:space="preserve">to </w:t>
      </w:r>
      <w:r w:rsidRPr="00CD146E">
        <w:rPr>
          <w:rFonts w:ascii="Arial" w:hAnsi="Arial" w:cs="Arial"/>
          <w:sz w:val="22"/>
        </w:rPr>
        <w:t>backfill for an ongoing position for a fixed period. It also occurs when an employee is directly approached about a secondment opportunity by either the Hiring Manager or the Talent Acquisition team.</w:t>
      </w:r>
    </w:p>
    <w:p w14:paraId="42C48C72" w14:textId="4ECF8299" w:rsidR="00CD146E" w:rsidRPr="00CD146E" w:rsidRDefault="00CD146E" w:rsidP="00CD146E">
      <w:pPr>
        <w:spacing w:before="120" w:after="120" w:line="240" w:lineRule="auto"/>
        <w:ind w:left="567"/>
        <w:rPr>
          <w:rFonts w:ascii="Arial" w:hAnsi="Arial" w:cs="Arial"/>
          <w:sz w:val="22"/>
        </w:rPr>
      </w:pPr>
      <w:r w:rsidRPr="00CD146E">
        <w:rPr>
          <w:rFonts w:ascii="Arial" w:hAnsi="Arial" w:cs="Arial"/>
          <w:sz w:val="22"/>
        </w:rPr>
        <w:t xml:space="preserve">A </w:t>
      </w:r>
      <w:r w:rsidR="00383A27">
        <w:rPr>
          <w:rFonts w:ascii="Arial" w:hAnsi="Arial" w:cs="Arial"/>
          <w:sz w:val="22"/>
        </w:rPr>
        <w:t>s</w:t>
      </w:r>
      <w:r w:rsidRPr="00CD146E">
        <w:rPr>
          <w:rFonts w:ascii="Arial" w:hAnsi="Arial" w:cs="Arial"/>
          <w:sz w:val="22"/>
        </w:rPr>
        <w:t xml:space="preserve">econdment </w:t>
      </w:r>
      <w:r w:rsidR="00383A27">
        <w:rPr>
          <w:rFonts w:ascii="Arial" w:hAnsi="Arial" w:cs="Arial"/>
          <w:sz w:val="22"/>
        </w:rPr>
        <w:t>as</w:t>
      </w:r>
      <w:r w:rsidRPr="00CD146E">
        <w:rPr>
          <w:rFonts w:ascii="Arial" w:hAnsi="Arial" w:cs="Arial"/>
          <w:sz w:val="22"/>
        </w:rPr>
        <w:t xml:space="preserve"> a key pathway to provide a career development opportunity is generally of a temporary nature.</w:t>
      </w:r>
    </w:p>
    <w:p w14:paraId="094CCE8E" w14:textId="77777777" w:rsidR="00CD146E" w:rsidRPr="00CD146E" w:rsidRDefault="00CD146E" w:rsidP="00CD146E">
      <w:pPr>
        <w:spacing w:before="120" w:after="120" w:line="240" w:lineRule="auto"/>
        <w:ind w:left="567"/>
        <w:rPr>
          <w:rFonts w:ascii="Arial" w:hAnsi="Arial" w:cs="Arial"/>
          <w:b/>
          <w:bCs/>
          <w:sz w:val="22"/>
        </w:rPr>
      </w:pPr>
      <w:r w:rsidRPr="00CD146E">
        <w:rPr>
          <w:rFonts w:ascii="Arial" w:hAnsi="Arial" w:cs="Arial"/>
          <w:b/>
          <w:bCs/>
          <w:sz w:val="22"/>
        </w:rPr>
        <w:t>Transfer</w:t>
      </w:r>
    </w:p>
    <w:p w14:paraId="629CC898" w14:textId="77777777" w:rsidR="00CD146E" w:rsidRPr="00CD146E" w:rsidRDefault="00CD146E" w:rsidP="00CD146E">
      <w:pPr>
        <w:spacing w:before="120" w:after="120" w:line="240" w:lineRule="auto"/>
        <w:ind w:left="567"/>
        <w:rPr>
          <w:rFonts w:ascii="Arial" w:hAnsi="Arial" w:cs="Arial"/>
          <w:sz w:val="22"/>
        </w:rPr>
      </w:pPr>
      <w:r w:rsidRPr="00CD146E">
        <w:rPr>
          <w:rFonts w:ascii="Arial" w:hAnsi="Arial" w:cs="Arial"/>
          <w:sz w:val="22"/>
        </w:rPr>
        <w:t>An internal transfer involves an employee permanently accepting a new position at the same classification level or above and is a continuing position.</w:t>
      </w:r>
    </w:p>
    <w:p w14:paraId="33C85319" w14:textId="77777777" w:rsidR="00CD146E" w:rsidRPr="00CD146E" w:rsidRDefault="00CD146E" w:rsidP="00CD146E">
      <w:pPr>
        <w:spacing w:before="120" w:after="120" w:line="240" w:lineRule="auto"/>
        <w:ind w:left="567"/>
        <w:rPr>
          <w:rFonts w:ascii="Arial" w:hAnsi="Arial" w:cs="Arial"/>
          <w:sz w:val="22"/>
        </w:rPr>
      </w:pPr>
      <w:r w:rsidRPr="00CD146E">
        <w:rPr>
          <w:rFonts w:ascii="Arial" w:hAnsi="Arial" w:cs="Arial"/>
          <w:sz w:val="22"/>
        </w:rPr>
        <w:t>At the commencement of the transfer, the employee will rescind their previous position and they will have a new substantive position. Their original role becomes vacant.</w:t>
      </w:r>
    </w:p>
    <w:p w14:paraId="50F3D544" w14:textId="2728C4CB" w:rsidR="00B508D5" w:rsidRDefault="00CD146E" w:rsidP="00CD146E">
      <w:pPr>
        <w:spacing w:before="120" w:after="120" w:line="240" w:lineRule="auto"/>
        <w:ind w:left="567"/>
        <w:rPr>
          <w:rFonts w:ascii="Arial" w:hAnsi="Arial" w:cs="Arial"/>
          <w:sz w:val="22"/>
        </w:rPr>
      </w:pPr>
      <w:r w:rsidRPr="00CD146E">
        <w:rPr>
          <w:rFonts w:ascii="Arial" w:hAnsi="Arial" w:cs="Arial"/>
          <w:sz w:val="22"/>
        </w:rPr>
        <w:t>In the instance that the new position is substantially different to the employee’s previous role, a new period of probation may apply. The probation period should reflect a reasonable period for the employee to be able to demonstrate appropriate performance in the position.</w:t>
      </w:r>
    </w:p>
    <w:p w14:paraId="53EA58ED" w14:textId="2C4BB955" w:rsidR="00CD146E" w:rsidRPr="001520D3" w:rsidRDefault="00CD146E" w:rsidP="00CD146E">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Pr="00CD146E">
        <w:rPr>
          <w:rFonts w:ascii="Griffith Sans Text" w:hAnsi="Griffith Sans Text"/>
        </w:rPr>
        <w:t>Guidelines for Secondments and Transfers</w:t>
      </w:r>
    </w:p>
    <w:p w14:paraId="5BBC793B"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Ensuring confidentiality for internal candidates</w:t>
      </w:r>
    </w:p>
    <w:p w14:paraId="6883B734"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 xml:space="preserve">Employees may prefer confidentiality when enquiring or applying for an internal position. The Talent Acquisition team will support this preference where appropriate to ensure the employee is able to have appropriately timed discussions with their manager or the Hiring Manager. </w:t>
      </w:r>
    </w:p>
    <w:p w14:paraId="20183FE0" w14:textId="0E2E6538"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The Hiring Manager or Talent Acquisition team member who is aware of an employee</w:t>
      </w:r>
      <w:r w:rsidR="00383A27">
        <w:rPr>
          <w:rFonts w:ascii="Arial" w:hAnsi="Arial" w:cs="Arial"/>
          <w:sz w:val="22"/>
        </w:rPr>
        <w:t>’</w:t>
      </w:r>
      <w:r w:rsidRPr="0051260F">
        <w:rPr>
          <w:rFonts w:ascii="Arial" w:hAnsi="Arial" w:cs="Arial"/>
          <w:sz w:val="22"/>
        </w:rPr>
        <w:t xml:space="preserve">s interest in, or application for, a position must not disclose this information without the candidate’s permission. For example, the Hiring Manager must not contact the candidate’s current manager or supervisor to discuss their application, or for a reference, unless the candidate has given permission. </w:t>
      </w:r>
    </w:p>
    <w:p w14:paraId="5D574320"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The exception to confidentiality is when sharing the information is required for the purposes of recruitment, and at the appropriate time a member of the Talent Acquisition team will provide a list of candidates to the selection panel.</w:t>
      </w:r>
    </w:p>
    <w:p w14:paraId="77B6F8CA"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Informing a candidate’s current manager: Transfer</w:t>
      </w:r>
    </w:p>
    <w:p w14:paraId="4173593D"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An employee is not obliged to inform their manager of their intention to apply for an internal position where they will be resigning from their current role if they are successful, and moving into another role at the University, whether the new role is permanent or fixed term.</w:t>
      </w:r>
    </w:p>
    <w:p w14:paraId="01335CBE" w14:textId="24B02E0C"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An employee should inform their manager at the offer stage of the recruitment process if they intend to accept the position. As part of the offer process, the Hiring Manager will contact the employee’s current manager to negotiate an appropriate notice period after an offer has been provided to the employee.</w:t>
      </w:r>
    </w:p>
    <w:p w14:paraId="2A79A7DC"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Informing a candidate’s current manager: Secondment</w:t>
      </w:r>
    </w:p>
    <w:p w14:paraId="18297DAA"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Employees should be aware that any opportunity to retain their substantive position (whilst undertaking a fixed term role) will require support from their current manager.</w:t>
      </w:r>
    </w:p>
    <w:p w14:paraId="0AC6A077"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lastRenderedPageBreak/>
        <w:t>The Talent Acquisition team will provide advice to the relevant manager to support the transfer or secondment.</w:t>
      </w:r>
    </w:p>
    <w:p w14:paraId="0106ABD2"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Approaching internal staff about potential opportunities</w:t>
      </w:r>
    </w:p>
    <w:p w14:paraId="77FA440E"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 xml:space="preserve">The Talent Acquisition team may approach current employees to discuss internal job opportunities in confidence. </w:t>
      </w:r>
    </w:p>
    <w:p w14:paraId="6129FB0D"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The Talent Acquisition team managing the role will be available for confidential discussions with individuals on specific opportunities at any point during the recruitment process.</w:t>
      </w:r>
    </w:p>
    <w:p w14:paraId="2291036E"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Guidelines for Secondments and Transfers</w:t>
      </w:r>
    </w:p>
    <w:p w14:paraId="303D6768"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If a current employee successfully applies for an internal, fixed term position, they may choose to resign from their current position or seek to undertake the new role via a secondment arrangement.</w:t>
      </w:r>
    </w:p>
    <w:p w14:paraId="3EB4CF75"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Requests for secondments will be considered on a case-by-case basis, considering the benefits for the individual and the work area. A secondment should meet the University’s strategic and operational objectives and not cause any detriment to the operations of an employee’s substantive position.</w:t>
      </w:r>
    </w:p>
    <w:p w14:paraId="39878AB4"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 xml:space="preserve">Requests for secondment should be assessed in a fair, reasonable, and transparent manner. </w:t>
      </w:r>
    </w:p>
    <w:p w14:paraId="1FE0F502"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Secondments may be approved where the opportunity supports at least one of the following:</w:t>
      </w:r>
    </w:p>
    <w:p w14:paraId="14240A7F" w14:textId="62562871" w:rsidR="0051260F" w:rsidRPr="0073181A" w:rsidRDefault="0051260F" w:rsidP="0073181A">
      <w:pPr>
        <w:pStyle w:val="ListParagraph"/>
        <w:numPr>
          <w:ilvl w:val="0"/>
          <w:numId w:val="38"/>
        </w:numPr>
        <w:spacing w:before="120" w:after="120" w:line="240" w:lineRule="auto"/>
        <w:rPr>
          <w:rFonts w:ascii="Arial" w:hAnsi="Arial" w:cs="Arial"/>
          <w:sz w:val="22"/>
        </w:rPr>
      </w:pPr>
      <w:r w:rsidRPr="0073181A">
        <w:rPr>
          <w:rFonts w:ascii="Arial" w:hAnsi="Arial" w:cs="Arial"/>
          <w:sz w:val="22"/>
        </w:rPr>
        <w:t>Meeting staff requirements or making specialised skills available in another part of the University.</w:t>
      </w:r>
    </w:p>
    <w:p w14:paraId="45B36987" w14:textId="0F308F34" w:rsidR="0051260F" w:rsidRPr="0073181A" w:rsidRDefault="0051260F" w:rsidP="0073181A">
      <w:pPr>
        <w:pStyle w:val="ListParagraph"/>
        <w:numPr>
          <w:ilvl w:val="0"/>
          <w:numId w:val="38"/>
        </w:numPr>
        <w:spacing w:before="120" w:after="120" w:line="240" w:lineRule="auto"/>
        <w:rPr>
          <w:rFonts w:ascii="Arial" w:hAnsi="Arial" w:cs="Arial"/>
          <w:sz w:val="22"/>
        </w:rPr>
      </w:pPr>
      <w:r w:rsidRPr="0073181A">
        <w:rPr>
          <w:rFonts w:ascii="Arial" w:hAnsi="Arial" w:cs="Arial"/>
          <w:sz w:val="22"/>
        </w:rPr>
        <w:t>Providing the employee with an opportunity to obtain experience, act at a higher level, or develop skills that they could not easily acquire in their substantive position; or</w:t>
      </w:r>
    </w:p>
    <w:p w14:paraId="0EE42D26" w14:textId="745B7029" w:rsidR="0051260F" w:rsidRPr="0073181A" w:rsidRDefault="0051260F" w:rsidP="0073181A">
      <w:pPr>
        <w:pStyle w:val="ListParagraph"/>
        <w:numPr>
          <w:ilvl w:val="0"/>
          <w:numId w:val="38"/>
        </w:numPr>
        <w:spacing w:before="120" w:after="120" w:line="240" w:lineRule="auto"/>
        <w:rPr>
          <w:rFonts w:ascii="Arial" w:hAnsi="Arial" w:cs="Arial"/>
          <w:sz w:val="22"/>
        </w:rPr>
      </w:pPr>
      <w:r w:rsidRPr="0073181A">
        <w:rPr>
          <w:rFonts w:ascii="Arial" w:hAnsi="Arial" w:cs="Arial"/>
          <w:sz w:val="22"/>
        </w:rPr>
        <w:t>A reciprocal job exchange between two internal work areas for a fixed term period, for the purpose of staff development or knowledge exchange.</w:t>
      </w:r>
    </w:p>
    <w:p w14:paraId="62A4BAC2" w14:textId="36B029D0" w:rsidR="0051260F" w:rsidRPr="0073181A" w:rsidRDefault="0051260F" w:rsidP="0073181A">
      <w:pPr>
        <w:pStyle w:val="ListParagraph"/>
        <w:numPr>
          <w:ilvl w:val="0"/>
          <w:numId w:val="38"/>
        </w:numPr>
        <w:spacing w:before="120" w:after="120" w:line="240" w:lineRule="auto"/>
        <w:rPr>
          <w:rFonts w:ascii="Arial" w:hAnsi="Arial" w:cs="Arial"/>
          <w:sz w:val="22"/>
        </w:rPr>
      </w:pPr>
      <w:r w:rsidRPr="0073181A">
        <w:rPr>
          <w:rFonts w:ascii="Arial" w:hAnsi="Arial" w:cs="Arial"/>
          <w:sz w:val="22"/>
        </w:rPr>
        <w:t>When a position is left vacant by a secondment arrangement, a manager’s request to backfill that position for the secondment period should be approved. This is to ensure the employee’s substantive team can maintain their immediate workload.</w:t>
      </w:r>
    </w:p>
    <w:p w14:paraId="649D87E8" w14:textId="07323B8B" w:rsidR="0051260F" w:rsidRPr="0073181A" w:rsidRDefault="0051260F" w:rsidP="0073181A">
      <w:pPr>
        <w:pStyle w:val="ListParagraph"/>
        <w:numPr>
          <w:ilvl w:val="0"/>
          <w:numId w:val="38"/>
        </w:numPr>
        <w:spacing w:before="120" w:after="120" w:line="240" w:lineRule="auto"/>
        <w:rPr>
          <w:rFonts w:ascii="Arial" w:hAnsi="Arial" w:cs="Arial"/>
          <w:sz w:val="22"/>
        </w:rPr>
      </w:pPr>
      <w:r w:rsidRPr="0073181A">
        <w:rPr>
          <w:rFonts w:ascii="Arial" w:hAnsi="Arial" w:cs="Arial"/>
          <w:sz w:val="22"/>
        </w:rPr>
        <w:t>If a supervisor wishes to refuse a secondment request, the supervisor should meet with the employee to discuss the reasons and alternatives. This discussion should be followed up in writing, outlining the reasons for the refusal and, if appropriate, the alternative resolution. If the employee feels the refusal is unreasonable, they may raise a complaint about the refusal via the</w:t>
      </w:r>
      <w:r w:rsidR="00383A27">
        <w:rPr>
          <w:rFonts w:ascii="Arial" w:hAnsi="Arial" w:cs="Arial"/>
          <w:sz w:val="22"/>
        </w:rPr>
        <w:t xml:space="preserve"> </w:t>
      </w:r>
      <w:hyperlink r:id="rId10" w:history="1">
        <w:r w:rsidR="00383A27" w:rsidRPr="0073181A">
          <w:rPr>
            <w:rStyle w:val="Hyperlink"/>
            <w:rFonts w:ascii="Arial" w:hAnsi="Arial" w:cs="Arial"/>
            <w:sz w:val="22"/>
          </w:rPr>
          <w:t>Individual</w:t>
        </w:r>
        <w:r w:rsidR="00383A27" w:rsidRPr="0073181A">
          <w:rPr>
            <w:rStyle w:val="Hyperlink"/>
            <w:rFonts w:ascii="Arial" w:hAnsi="Arial" w:cs="Arial"/>
            <w:sz w:val="22"/>
          </w:rPr>
          <w:t xml:space="preserve"> </w:t>
        </w:r>
        <w:r w:rsidR="00383A27" w:rsidRPr="0073181A">
          <w:rPr>
            <w:rStyle w:val="Hyperlink"/>
            <w:rFonts w:ascii="Arial" w:hAnsi="Arial" w:cs="Arial"/>
            <w:sz w:val="22"/>
          </w:rPr>
          <w:t>Grievance Resolution Procedure</w:t>
        </w:r>
      </w:hyperlink>
      <w:r w:rsidR="00383A27">
        <w:rPr>
          <w:rFonts w:ascii="Arial" w:hAnsi="Arial" w:cs="Arial"/>
          <w:sz w:val="22"/>
        </w:rPr>
        <w:t>.</w:t>
      </w:r>
    </w:p>
    <w:p w14:paraId="0A73AA8C"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Conditions of Secondments</w:t>
      </w:r>
    </w:p>
    <w:p w14:paraId="1262797B"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Unless otherwise negotiated, staff are eligible to apply for secondment once they have:</w:t>
      </w:r>
    </w:p>
    <w:p w14:paraId="66DB1522" w14:textId="10768A5A" w:rsidR="0051260F" w:rsidRPr="0073181A" w:rsidRDefault="0051260F" w:rsidP="0073181A">
      <w:pPr>
        <w:pStyle w:val="ListParagraph"/>
        <w:numPr>
          <w:ilvl w:val="0"/>
          <w:numId w:val="39"/>
        </w:numPr>
        <w:spacing w:before="120" w:after="120" w:line="240" w:lineRule="auto"/>
        <w:rPr>
          <w:rFonts w:ascii="Arial" w:hAnsi="Arial" w:cs="Arial"/>
          <w:sz w:val="22"/>
        </w:rPr>
      </w:pPr>
      <w:r w:rsidRPr="0073181A">
        <w:rPr>
          <w:rFonts w:ascii="Arial" w:hAnsi="Arial" w:cs="Arial"/>
          <w:sz w:val="22"/>
        </w:rPr>
        <w:t xml:space="preserve">Satisfactorily completed their probationary period, or </w:t>
      </w:r>
    </w:p>
    <w:p w14:paraId="7DC6B50E" w14:textId="3D7D35BA" w:rsidR="0051260F" w:rsidRPr="0073181A" w:rsidRDefault="0051260F" w:rsidP="0073181A">
      <w:pPr>
        <w:pStyle w:val="ListParagraph"/>
        <w:numPr>
          <w:ilvl w:val="0"/>
          <w:numId w:val="39"/>
        </w:numPr>
        <w:spacing w:before="120" w:after="120" w:line="240" w:lineRule="auto"/>
        <w:rPr>
          <w:rFonts w:ascii="Arial" w:hAnsi="Arial" w:cs="Arial"/>
          <w:sz w:val="22"/>
        </w:rPr>
      </w:pPr>
      <w:r w:rsidRPr="0073181A">
        <w:rPr>
          <w:rFonts w:ascii="Arial" w:hAnsi="Arial" w:cs="Arial"/>
          <w:sz w:val="22"/>
        </w:rPr>
        <w:t>If probation does not apply, have been working in their current position for at least six months.</w:t>
      </w:r>
    </w:p>
    <w:p w14:paraId="4B1CD604"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Secondments are typically granted for a period of up to 12 months. In exceptional circumstances a period of up to two years may be negotiated.</w:t>
      </w:r>
    </w:p>
    <w:p w14:paraId="2C4B4214"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Secondments may be considered where the employee undertakes the secondment on a fractional basis in conjunction with their substantive position. As such, the staff member would effectively have two part-time positions with combined working hours not exceeding a full-time position.</w:t>
      </w:r>
    </w:p>
    <w:p w14:paraId="5E32BEF3"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Secondments are considered as service in accordance with the relevant employment agreement.</w:t>
      </w:r>
    </w:p>
    <w:p w14:paraId="5BD44745"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 xml:space="preserve">A substantive position left vacant can be backfilled for a fixed term period with an end date usually no later than the last day of the secondment period. </w:t>
      </w:r>
    </w:p>
    <w:p w14:paraId="73F1C338" w14:textId="77777777" w:rsidR="0056412A" w:rsidRDefault="0056412A">
      <w:pPr>
        <w:rPr>
          <w:rFonts w:ascii="Arial" w:hAnsi="Arial" w:cs="Arial"/>
          <w:sz w:val="22"/>
        </w:rPr>
      </w:pPr>
      <w:r>
        <w:rPr>
          <w:rFonts w:ascii="Arial" w:hAnsi="Arial" w:cs="Arial"/>
          <w:sz w:val="22"/>
        </w:rPr>
        <w:lastRenderedPageBreak/>
        <w:br w:type="page"/>
      </w:r>
    </w:p>
    <w:p w14:paraId="79BEF77B" w14:textId="2935119F"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At the end of the secondment period, the secondee will return to their substantive position except when:</w:t>
      </w:r>
    </w:p>
    <w:p w14:paraId="2E292C96" w14:textId="27C30BB7" w:rsidR="0051260F" w:rsidRPr="0073181A" w:rsidRDefault="0051260F" w:rsidP="0073181A">
      <w:pPr>
        <w:pStyle w:val="ListParagraph"/>
        <w:numPr>
          <w:ilvl w:val="0"/>
          <w:numId w:val="40"/>
        </w:numPr>
        <w:spacing w:before="120" w:after="120" w:line="240" w:lineRule="auto"/>
        <w:rPr>
          <w:rFonts w:ascii="Arial" w:hAnsi="Arial" w:cs="Arial"/>
          <w:sz w:val="22"/>
        </w:rPr>
      </w:pPr>
      <w:r w:rsidRPr="0073181A">
        <w:rPr>
          <w:rFonts w:ascii="Arial" w:hAnsi="Arial" w:cs="Arial"/>
          <w:sz w:val="22"/>
        </w:rPr>
        <w:t>The substantive position was for a fixed term period which expired during the secondment period; or</w:t>
      </w:r>
    </w:p>
    <w:p w14:paraId="7CA0368D" w14:textId="5D5BC3BD" w:rsidR="0051260F" w:rsidRPr="0073181A" w:rsidRDefault="0051260F" w:rsidP="0073181A">
      <w:pPr>
        <w:pStyle w:val="ListParagraph"/>
        <w:numPr>
          <w:ilvl w:val="0"/>
          <w:numId w:val="40"/>
        </w:numPr>
        <w:spacing w:before="120" w:after="120" w:line="240" w:lineRule="auto"/>
        <w:rPr>
          <w:rFonts w:ascii="Arial" w:hAnsi="Arial" w:cs="Arial"/>
          <w:sz w:val="22"/>
        </w:rPr>
      </w:pPr>
      <w:r w:rsidRPr="0073181A">
        <w:rPr>
          <w:rFonts w:ascii="Arial" w:hAnsi="Arial" w:cs="Arial"/>
          <w:sz w:val="22"/>
        </w:rPr>
        <w:t>The secondee and the seconding work area wish to extend the secondment, as negotiated on a case-by-case basis; or</w:t>
      </w:r>
    </w:p>
    <w:p w14:paraId="2959CB0A" w14:textId="207D4D2C" w:rsidR="0051260F" w:rsidRPr="0073181A" w:rsidRDefault="0051260F" w:rsidP="0073181A">
      <w:pPr>
        <w:pStyle w:val="ListParagraph"/>
        <w:numPr>
          <w:ilvl w:val="0"/>
          <w:numId w:val="40"/>
        </w:numPr>
        <w:spacing w:before="120" w:after="120" w:line="240" w:lineRule="auto"/>
        <w:rPr>
          <w:rFonts w:ascii="Arial" w:hAnsi="Arial" w:cs="Arial"/>
          <w:sz w:val="22"/>
        </w:rPr>
      </w:pPr>
      <w:r w:rsidRPr="0073181A">
        <w:rPr>
          <w:rFonts w:ascii="Arial" w:hAnsi="Arial" w:cs="Arial"/>
          <w:sz w:val="22"/>
        </w:rPr>
        <w:t>The employee resigns from the University or successfully applies for another internal role.</w:t>
      </w:r>
    </w:p>
    <w:p w14:paraId="74CF165F"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 xml:space="preserve">Commencement of Secondment or Transfer </w:t>
      </w:r>
    </w:p>
    <w:p w14:paraId="479A2F40"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Prior to commencing a secondment, the terms and conditions must be determined and agreed to by both the relevant managers and the employee. All documentation must be completed, approved, and provided to Talent Acquisition.</w:t>
      </w:r>
    </w:p>
    <w:p w14:paraId="01138418" w14:textId="6CA0D115"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Internal secondments do not include a probation period as the employee should have already passed a probation period in their substantive role. If an emplo</w:t>
      </w:r>
      <w:r w:rsidR="0056412A">
        <w:rPr>
          <w:rFonts w:ascii="Arial" w:hAnsi="Arial" w:cs="Arial"/>
          <w:sz w:val="22"/>
        </w:rPr>
        <w:t>y</w:t>
      </w:r>
      <w:r w:rsidRPr="0051260F">
        <w:rPr>
          <w:rFonts w:ascii="Arial" w:hAnsi="Arial" w:cs="Arial"/>
          <w:sz w:val="22"/>
        </w:rPr>
        <w:t>ee has not completed an initial probation period with the University, then the secondment will be considered as part of the minimum employment period, as defined by the Fair Work Act 2009 (</w:t>
      </w:r>
      <w:proofErr w:type="spellStart"/>
      <w:r w:rsidRPr="0051260F">
        <w:rPr>
          <w:rFonts w:ascii="Arial" w:hAnsi="Arial" w:cs="Arial"/>
          <w:sz w:val="22"/>
        </w:rPr>
        <w:t>Cth</w:t>
      </w:r>
      <w:proofErr w:type="spellEnd"/>
      <w:r w:rsidRPr="0051260F">
        <w:rPr>
          <w:rFonts w:ascii="Arial" w:hAnsi="Arial" w:cs="Arial"/>
          <w:sz w:val="22"/>
        </w:rPr>
        <w:t>).</w:t>
      </w:r>
    </w:p>
    <w:p w14:paraId="64BF3807"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Talent Acquisition will provide the employee a written offer of employment, if the secondment opportunity arises from a formal recruitment and selection process or provide an email confirmation of the secondment arrangement and provide a copy to the respective supervisors.</w:t>
      </w:r>
    </w:p>
    <w:p w14:paraId="16D53DF0" w14:textId="77777777" w:rsidR="0051260F" w:rsidRPr="0073181A" w:rsidRDefault="0051260F" w:rsidP="0051260F">
      <w:pPr>
        <w:spacing w:before="120" w:after="120" w:line="240" w:lineRule="auto"/>
        <w:ind w:left="567"/>
        <w:rPr>
          <w:rFonts w:ascii="Arial" w:hAnsi="Arial" w:cs="Arial"/>
          <w:b/>
          <w:bCs/>
          <w:sz w:val="22"/>
        </w:rPr>
      </w:pPr>
      <w:r w:rsidRPr="0073181A">
        <w:rPr>
          <w:rFonts w:ascii="Arial" w:hAnsi="Arial" w:cs="Arial"/>
          <w:b/>
          <w:bCs/>
          <w:sz w:val="22"/>
        </w:rPr>
        <w:t>Notice periods during a Secondment</w:t>
      </w:r>
    </w:p>
    <w:p w14:paraId="0DB5D384" w14:textId="77777777" w:rsidR="0051260F" w:rsidRPr="0051260F" w:rsidRDefault="0051260F" w:rsidP="0051260F">
      <w:pPr>
        <w:spacing w:before="120" w:after="120" w:line="240" w:lineRule="auto"/>
        <w:ind w:left="567"/>
        <w:rPr>
          <w:rFonts w:ascii="Arial" w:hAnsi="Arial" w:cs="Arial"/>
          <w:sz w:val="22"/>
        </w:rPr>
      </w:pPr>
      <w:r w:rsidRPr="0051260F">
        <w:rPr>
          <w:rFonts w:ascii="Arial" w:hAnsi="Arial" w:cs="Arial"/>
          <w:sz w:val="22"/>
        </w:rPr>
        <w:t>Employees are required to comply with the following notice periods unless otherwise agreed to by the relevant supervisors:</w:t>
      </w:r>
    </w:p>
    <w:tbl>
      <w:tblPr>
        <w:tblStyle w:val="TableGrid"/>
        <w:tblW w:w="4503" w:type="pct"/>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5984"/>
      </w:tblGrid>
      <w:tr w:rsidR="0073181A" w:rsidRPr="00526ADB" w14:paraId="41E9FDBD" w14:textId="77777777" w:rsidTr="0073181A">
        <w:trPr>
          <w:trHeight w:val="420"/>
        </w:trPr>
        <w:tc>
          <w:tcPr>
            <w:tcW w:w="5000" w:type="pct"/>
            <w:gridSpan w:val="2"/>
            <w:tcBorders>
              <w:bottom w:val="single" w:sz="4" w:space="0" w:color="auto"/>
            </w:tcBorders>
            <w:shd w:val="clear" w:color="auto" w:fill="auto"/>
          </w:tcPr>
          <w:p w14:paraId="1117321B" w14:textId="4F4BF3D2" w:rsidR="0073181A" w:rsidRPr="00526ADB" w:rsidRDefault="0073181A" w:rsidP="00EB4CB7">
            <w:pPr>
              <w:pStyle w:val="IntroCopy"/>
              <w:spacing w:before="120" w:after="120"/>
              <w:rPr>
                <w:rFonts w:ascii="Arial" w:hAnsi="Arial" w:cs="Arial"/>
                <w:sz w:val="22"/>
                <w:szCs w:val="24"/>
              </w:rPr>
            </w:pPr>
            <w:r w:rsidRPr="1BFEE485">
              <w:rPr>
                <w:rFonts w:ascii="Arial" w:hAnsi="Arial" w:cs="Arial"/>
              </w:rPr>
              <w:t xml:space="preserve">Secondment notice </w:t>
            </w:r>
            <w:r>
              <w:rPr>
                <w:rFonts w:ascii="Arial" w:hAnsi="Arial" w:cs="Arial"/>
              </w:rPr>
              <w:t>p</w:t>
            </w:r>
            <w:r w:rsidRPr="1BFEE485">
              <w:rPr>
                <w:rFonts w:ascii="Arial" w:hAnsi="Arial" w:cs="Arial"/>
              </w:rPr>
              <w:t>eriod</w:t>
            </w:r>
          </w:p>
        </w:tc>
      </w:tr>
      <w:tr w:rsidR="0073181A" w:rsidRPr="00526ADB" w14:paraId="158C5962" w14:textId="77777777" w:rsidTr="0073181A">
        <w:trPr>
          <w:trHeight w:val="710"/>
        </w:trPr>
        <w:tc>
          <w:tcPr>
            <w:tcW w:w="1850" w:type="pct"/>
            <w:tcBorders>
              <w:top w:val="single" w:sz="4" w:space="0" w:color="auto"/>
              <w:left w:val="single" w:sz="4" w:space="0" w:color="auto"/>
              <w:bottom w:val="single" w:sz="4" w:space="0" w:color="auto"/>
              <w:right w:val="single" w:sz="4" w:space="0" w:color="auto"/>
            </w:tcBorders>
            <w:shd w:val="clear" w:color="auto" w:fill="auto"/>
          </w:tcPr>
          <w:p w14:paraId="48B823E3" w14:textId="77777777" w:rsidR="0073181A" w:rsidRPr="00611DF2" w:rsidRDefault="0073181A" w:rsidP="00EB4CB7">
            <w:pPr>
              <w:spacing w:before="120" w:after="120"/>
              <w:rPr>
                <w:rFonts w:ascii="Arial" w:hAnsi="Arial" w:cs="Arial"/>
                <w:b/>
                <w:bCs/>
                <w:szCs w:val="20"/>
              </w:rPr>
            </w:pPr>
            <w:r w:rsidRPr="00611DF2">
              <w:rPr>
                <w:rFonts w:ascii="Arial" w:hAnsi="Arial" w:cs="Arial"/>
                <w:b/>
                <w:bCs/>
                <w:lang w:eastAsia="en-GB"/>
              </w:rPr>
              <w:t>Commencing a secondment</w:t>
            </w:r>
          </w:p>
        </w:tc>
        <w:tc>
          <w:tcPr>
            <w:tcW w:w="3150" w:type="pct"/>
            <w:tcBorders>
              <w:top w:val="single" w:sz="4" w:space="0" w:color="auto"/>
              <w:left w:val="single" w:sz="4" w:space="0" w:color="auto"/>
              <w:bottom w:val="single" w:sz="4" w:space="0" w:color="auto"/>
              <w:right w:val="single" w:sz="4" w:space="0" w:color="auto"/>
            </w:tcBorders>
            <w:shd w:val="clear" w:color="auto" w:fill="auto"/>
          </w:tcPr>
          <w:p w14:paraId="5B458857" w14:textId="77777777" w:rsidR="0073181A" w:rsidRPr="00611DF2" w:rsidRDefault="0073181A" w:rsidP="00EB4CB7">
            <w:pPr>
              <w:spacing w:before="120" w:after="120"/>
              <w:rPr>
                <w:rFonts w:ascii="Arial" w:hAnsi="Arial" w:cs="Arial"/>
              </w:rPr>
            </w:pPr>
            <w:r w:rsidRPr="42BF9136">
              <w:rPr>
                <w:rFonts w:ascii="Arial" w:hAnsi="Arial" w:cs="Arial"/>
                <w:lang w:eastAsia="en-GB"/>
              </w:rPr>
              <w:t>At least two weeks, with the exact period to be negotiated with the substantive and seconding supervisors.</w:t>
            </w:r>
          </w:p>
        </w:tc>
      </w:tr>
      <w:tr w:rsidR="0073181A" w:rsidRPr="00526ADB" w14:paraId="49440A8B" w14:textId="77777777" w:rsidTr="0073181A">
        <w:trPr>
          <w:trHeight w:val="693"/>
        </w:trPr>
        <w:tc>
          <w:tcPr>
            <w:tcW w:w="1850" w:type="pct"/>
            <w:tcBorders>
              <w:top w:val="single" w:sz="4" w:space="0" w:color="auto"/>
              <w:left w:val="single" w:sz="4" w:space="0" w:color="auto"/>
              <w:bottom w:val="single" w:sz="4" w:space="0" w:color="auto"/>
              <w:right w:val="single" w:sz="4" w:space="0" w:color="auto"/>
            </w:tcBorders>
          </w:tcPr>
          <w:p w14:paraId="444DCE08" w14:textId="77777777" w:rsidR="0073181A" w:rsidRPr="00611DF2" w:rsidRDefault="0073181A" w:rsidP="00EB4CB7">
            <w:pPr>
              <w:spacing w:before="120" w:after="120"/>
              <w:rPr>
                <w:rFonts w:ascii="Arial" w:hAnsi="Arial" w:cs="Arial"/>
                <w:b/>
                <w:bCs/>
                <w:szCs w:val="20"/>
              </w:rPr>
            </w:pPr>
            <w:r w:rsidRPr="00611DF2">
              <w:rPr>
                <w:rFonts w:ascii="Arial" w:hAnsi="Arial" w:cs="Arial"/>
                <w:b/>
                <w:bCs/>
                <w:lang w:eastAsia="en-GB"/>
              </w:rPr>
              <w:t>Proposing to extend a secondment</w:t>
            </w:r>
          </w:p>
        </w:tc>
        <w:tc>
          <w:tcPr>
            <w:tcW w:w="3150" w:type="pct"/>
            <w:tcBorders>
              <w:top w:val="single" w:sz="4" w:space="0" w:color="auto"/>
              <w:left w:val="single" w:sz="4" w:space="0" w:color="auto"/>
              <w:bottom w:val="single" w:sz="4" w:space="0" w:color="auto"/>
              <w:right w:val="single" w:sz="4" w:space="0" w:color="auto"/>
            </w:tcBorders>
          </w:tcPr>
          <w:p w14:paraId="77E5E30B" w14:textId="77777777" w:rsidR="0073181A" w:rsidRPr="00611DF2" w:rsidRDefault="0073181A" w:rsidP="00EB4CB7">
            <w:pPr>
              <w:spacing w:before="120" w:after="120"/>
              <w:rPr>
                <w:rFonts w:ascii="Arial" w:hAnsi="Arial" w:cs="Arial"/>
                <w:szCs w:val="20"/>
              </w:rPr>
            </w:pPr>
            <w:r w:rsidRPr="00611DF2">
              <w:rPr>
                <w:rFonts w:ascii="Arial" w:hAnsi="Arial" w:cs="Arial"/>
                <w:lang w:eastAsia="en-GB"/>
              </w:rPr>
              <w:t>At least six weeks prior to the end of the secondment period with both the substantive and seconding workplaces.</w:t>
            </w:r>
          </w:p>
        </w:tc>
      </w:tr>
      <w:tr w:rsidR="0073181A" w:rsidRPr="00526ADB" w14:paraId="17AD76E4" w14:textId="77777777" w:rsidTr="0073181A">
        <w:trPr>
          <w:trHeight w:val="568"/>
        </w:trPr>
        <w:tc>
          <w:tcPr>
            <w:tcW w:w="1850" w:type="pct"/>
            <w:tcBorders>
              <w:top w:val="single" w:sz="4" w:space="0" w:color="auto"/>
              <w:left w:val="single" w:sz="4" w:space="0" w:color="auto"/>
              <w:bottom w:val="single" w:sz="4" w:space="0" w:color="auto"/>
              <w:right w:val="single" w:sz="4" w:space="0" w:color="auto"/>
            </w:tcBorders>
            <w:shd w:val="clear" w:color="auto" w:fill="auto"/>
          </w:tcPr>
          <w:p w14:paraId="52553F8D" w14:textId="77777777" w:rsidR="0073181A" w:rsidRPr="00611DF2" w:rsidRDefault="0073181A" w:rsidP="00EB4CB7">
            <w:pPr>
              <w:spacing w:before="120" w:after="120"/>
              <w:rPr>
                <w:rFonts w:ascii="Arial" w:hAnsi="Arial" w:cs="Arial"/>
                <w:b/>
                <w:bCs/>
                <w:szCs w:val="20"/>
              </w:rPr>
            </w:pPr>
            <w:r w:rsidRPr="00611DF2">
              <w:rPr>
                <w:rFonts w:ascii="Arial" w:hAnsi="Arial" w:cs="Arial"/>
                <w:b/>
                <w:bCs/>
                <w:lang w:eastAsia="en-GB"/>
              </w:rPr>
              <w:t>Not returning to substantive position</w:t>
            </w:r>
          </w:p>
        </w:tc>
        <w:tc>
          <w:tcPr>
            <w:tcW w:w="3150" w:type="pct"/>
            <w:tcBorders>
              <w:top w:val="single" w:sz="4" w:space="0" w:color="auto"/>
              <w:left w:val="single" w:sz="4" w:space="0" w:color="auto"/>
              <w:bottom w:val="single" w:sz="4" w:space="0" w:color="auto"/>
              <w:right w:val="single" w:sz="4" w:space="0" w:color="auto"/>
            </w:tcBorders>
            <w:shd w:val="clear" w:color="auto" w:fill="auto"/>
          </w:tcPr>
          <w:p w14:paraId="2B73E1E2" w14:textId="77777777" w:rsidR="0073181A" w:rsidRPr="00611DF2" w:rsidRDefault="0073181A" w:rsidP="00EB4CB7">
            <w:pPr>
              <w:spacing w:before="120" w:after="120"/>
              <w:rPr>
                <w:rFonts w:ascii="Arial" w:hAnsi="Arial" w:cs="Arial"/>
                <w:szCs w:val="20"/>
              </w:rPr>
            </w:pPr>
            <w:r>
              <w:rPr>
                <w:rFonts w:ascii="Arial" w:hAnsi="Arial" w:cs="Arial"/>
                <w:lang w:eastAsia="en-GB"/>
              </w:rPr>
              <w:t>A</w:t>
            </w:r>
            <w:r w:rsidRPr="00611DF2">
              <w:rPr>
                <w:rFonts w:ascii="Arial" w:hAnsi="Arial" w:cs="Arial"/>
                <w:lang w:eastAsia="en-GB"/>
              </w:rPr>
              <w:t xml:space="preserve">t least </w:t>
            </w:r>
            <w:r>
              <w:rPr>
                <w:rFonts w:ascii="Arial" w:hAnsi="Arial" w:cs="Arial"/>
                <w:lang w:eastAsia="en-GB"/>
              </w:rPr>
              <w:t>six</w:t>
            </w:r>
            <w:r w:rsidRPr="00611DF2">
              <w:rPr>
                <w:rFonts w:ascii="Arial" w:hAnsi="Arial" w:cs="Arial"/>
                <w:lang w:eastAsia="en-GB"/>
              </w:rPr>
              <w:t xml:space="preserve"> weeks prior to the end of the secondment period.</w:t>
            </w:r>
          </w:p>
        </w:tc>
      </w:tr>
      <w:tr w:rsidR="0073181A" w:rsidRPr="00526ADB" w14:paraId="456B41A4" w14:textId="77777777" w:rsidTr="0073181A">
        <w:trPr>
          <w:trHeight w:val="2271"/>
        </w:trPr>
        <w:tc>
          <w:tcPr>
            <w:tcW w:w="1850" w:type="pct"/>
            <w:tcBorders>
              <w:top w:val="single" w:sz="4" w:space="0" w:color="auto"/>
              <w:left w:val="single" w:sz="4" w:space="0" w:color="auto"/>
              <w:bottom w:val="single" w:sz="4" w:space="0" w:color="auto"/>
              <w:right w:val="single" w:sz="4" w:space="0" w:color="auto"/>
            </w:tcBorders>
            <w:shd w:val="clear" w:color="auto" w:fill="auto"/>
          </w:tcPr>
          <w:p w14:paraId="74B6CFDB" w14:textId="77777777" w:rsidR="0073181A" w:rsidRPr="00611DF2" w:rsidRDefault="0073181A" w:rsidP="00EB4CB7">
            <w:pPr>
              <w:spacing w:before="120" w:after="120"/>
              <w:rPr>
                <w:rFonts w:ascii="Arial" w:hAnsi="Arial" w:cs="Arial"/>
                <w:b/>
                <w:bCs/>
                <w:szCs w:val="20"/>
              </w:rPr>
            </w:pPr>
            <w:r w:rsidRPr="00611DF2">
              <w:rPr>
                <w:rFonts w:ascii="Arial" w:hAnsi="Arial" w:cs="Arial"/>
                <w:b/>
                <w:bCs/>
                <w:lang w:eastAsia="en-GB"/>
              </w:rPr>
              <w:t>Ending a secondment earlier than the arrangement expiry date</w:t>
            </w:r>
          </w:p>
          <w:p w14:paraId="24510C41" w14:textId="77777777" w:rsidR="0073181A" w:rsidRPr="00611DF2" w:rsidRDefault="0073181A" w:rsidP="00EB4CB7">
            <w:pPr>
              <w:spacing w:before="120" w:after="120"/>
              <w:rPr>
                <w:rFonts w:ascii="Arial" w:hAnsi="Arial" w:cs="Arial"/>
                <w:b/>
                <w:bCs/>
                <w:szCs w:val="20"/>
              </w:rPr>
            </w:pPr>
          </w:p>
          <w:p w14:paraId="544FF1A7" w14:textId="77777777" w:rsidR="0073181A" w:rsidRPr="00611DF2" w:rsidRDefault="0073181A" w:rsidP="00EB4CB7">
            <w:pPr>
              <w:spacing w:before="120" w:after="120"/>
              <w:rPr>
                <w:rFonts w:ascii="Arial" w:hAnsi="Arial" w:cs="Arial"/>
                <w:b/>
                <w:bCs/>
                <w:szCs w:val="20"/>
              </w:rPr>
            </w:pPr>
          </w:p>
        </w:tc>
        <w:tc>
          <w:tcPr>
            <w:tcW w:w="3150" w:type="pct"/>
            <w:tcBorders>
              <w:top w:val="single" w:sz="4" w:space="0" w:color="auto"/>
              <w:left w:val="single" w:sz="4" w:space="0" w:color="auto"/>
              <w:bottom w:val="single" w:sz="4" w:space="0" w:color="auto"/>
              <w:right w:val="single" w:sz="4" w:space="0" w:color="auto"/>
            </w:tcBorders>
            <w:shd w:val="clear" w:color="auto" w:fill="auto"/>
          </w:tcPr>
          <w:p w14:paraId="19F67DEB" w14:textId="77777777" w:rsidR="0073181A" w:rsidRDefault="0073181A" w:rsidP="00EB4CB7">
            <w:pPr>
              <w:pStyle w:val="BulletPoints"/>
              <w:spacing w:after="80"/>
              <w:ind w:left="0" w:firstLine="0"/>
              <w:rPr>
                <w:lang w:eastAsia="en-GB"/>
              </w:rPr>
            </w:pPr>
            <w:r w:rsidRPr="341A2CA5">
              <w:rPr>
                <w:lang w:eastAsia="en-GB"/>
              </w:rPr>
              <w:t>Early return to the employee’s substantive role is generally only an option if that role is still vacant. In cases where the employee wishes to return to their substantive role earlier and the role has already been backfilled, the employee should consult with their substantive and seconding supervisors to discuss potential alternative arrangements.</w:t>
            </w:r>
          </w:p>
          <w:p w14:paraId="20496994" w14:textId="77777777" w:rsidR="0073181A" w:rsidRPr="00611DF2" w:rsidRDefault="0073181A" w:rsidP="00EB4CB7">
            <w:pPr>
              <w:pStyle w:val="BulletPoints"/>
              <w:spacing w:after="80"/>
              <w:ind w:left="0" w:firstLine="0"/>
              <w:rPr>
                <w:lang w:eastAsia="en-GB"/>
              </w:rPr>
            </w:pPr>
            <w:r w:rsidRPr="341A2CA5">
              <w:rPr>
                <w:lang w:eastAsia="en-GB"/>
              </w:rPr>
              <w:t>For example:</w:t>
            </w:r>
          </w:p>
          <w:p w14:paraId="3B641800" w14:textId="77777777" w:rsidR="0073181A" w:rsidRPr="00611DF2" w:rsidRDefault="0073181A" w:rsidP="0073181A">
            <w:pPr>
              <w:pStyle w:val="BulletPoints"/>
              <w:numPr>
                <w:ilvl w:val="0"/>
                <w:numId w:val="1"/>
              </w:numPr>
              <w:spacing w:after="80"/>
              <w:ind w:left="720"/>
              <w:rPr>
                <w:lang w:eastAsia="en-GB"/>
              </w:rPr>
            </w:pPr>
            <w:r>
              <w:rPr>
                <w:lang w:eastAsia="en-GB"/>
              </w:rPr>
              <w:t>T</w:t>
            </w:r>
            <w:r w:rsidRPr="08FC1F2C">
              <w:rPr>
                <w:lang w:eastAsia="en-GB"/>
              </w:rPr>
              <w:t>aking leave (including without pay), or</w:t>
            </w:r>
          </w:p>
          <w:p w14:paraId="09F98B8C" w14:textId="77777777" w:rsidR="0073181A" w:rsidRPr="00611DF2" w:rsidRDefault="0073181A" w:rsidP="0073181A">
            <w:pPr>
              <w:pStyle w:val="BulletPoints"/>
              <w:numPr>
                <w:ilvl w:val="0"/>
                <w:numId w:val="1"/>
              </w:numPr>
              <w:spacing w:after="80"/>
              <w:ind w:left="720"/>
              <w:rPr>
                <w:szCs w:val="20"/>
              </w:rPr>
            </w:pPr>
            <w:r>
              <w:rPr>
                <w:lang w:eastAsia="en-GB"/>
              </w:rPr>
              <w:t xml:space="preserve">A </w:t>
            </w:r>
            <w:r w:rsidRPr="08FC1F2C">
              <w:rPr>
                <w:lang w:eastAsia="en-GB"/>
              </w:rPr>
              <w:t>temporary transfer to another position if available.</w:t>
            </w:r>
          </w:p>
        </w:tc>
      </w:tr>
    </w:tbl>
    <w:p w14:paraId="79BC9D45" w14:textId="381AB7B9" w:rsidR="00CD146E" w:rsidRPr="004922AF" w:rsidRDefault="00CD146E" w:rsidP="00CD146E">
      <w:pPr>
        <w:pStyle w:val="NormalWhite"/>
        <w:spacing w:before="120" w:after="120" w:line="240" w:lineRule="auto"/>
        <w:jc w:val="left"/>
        <w:rPr>
          <w:rFonts w:cs="Arial"/>
          <w:color w:val="auto"/>
          <w:sz w:val="22"/>
        </w:rPr>
      </w:pPr>
      <w:proofErr w:type="spellStart"/>
      <w:r w:rsidRPr="00CD146E">
        <w:rPr>
          <w:rFonts w:cs="Arial"/>
          <w:sz w:val="22"/>
        </w:rPr>
        <w:t>ccurs</w:t>
      </w:r>
      <w:proofErr w:type="spellEnd"/>
      <w:r w:rsidRPr="00CD146E">
        <w:rPr>
          <w:rFonts w:cs="Arial"/>
          <w:sz w:val="22"/>
        </w:rPr>
        <w:t xml:space="preserve"> when an employee is the successful applicant in a recruitment and</w:t>
      </w:r>
    </w:p>
    <w:p w14:paraId="4B14F22A" w14:textId="77777777" w:rsidR="0056412A" w:rsidRDefault="0056412A">
      <w:pPr>
        <w:rPr>
          <w:rFonts w:eastAsiaTheme="majorEastAsia" w:cs="Times New Roman (Headings CS)"/>
          <w:b/>
          <w:bCs/>
          <w:iCs/>
          <w:color w:val="E51F30"/>
          <w:sz w:val="32"/>
          <w:szCs w:val="26"/>
          <w14:ligatures w14:val="all"/>
        </w:rPr>
      </w:pPr>
      <w:bookmarkStart w:id="5" w:name="_4.0_Roles,_responsibilities"/>
      <w:bookmarkStart w:id="6" w:name="_5.0_Definitions"/>
      <w:bookmarkStart w:id="7" w:name="_4.0_Definitions"/>
      <w:bookmarkEnd w:id="5"/>
      <w:bookmarkEnd w:id="6"/>
      <w:bookmarkEnd w:id="7"/>
      <w:r>
        <w:br w:type="page"/>
      </w:r>
    </w:p>
    <w:p w14:paraId="5EB8F927" w14:textId="7406FC96" w:rsidR="00A144B2" w:rsidRPr="00237AB3" w:rsidRDefault="007418A5" w:rsidP="00C5113A">
      <w:pPr>
        <w:pStyle w:val="Heading2"/>
        <w:ind w:left="567"/>
        <w:rPr>
          <w:rFonts w:ascii="Griffith Sans Text" w:hAnsi="Griffith Sans Text"/>
        </w:rPr>
      </w:pPr>
      <w:r w:rsidRPr="00237AB3">
        <w:rPr>
          <w:rFonts w:ascii="Griffith Sans Text" w:hAnsi="Griffith Sans Text"/>
        </w:rPr>
        <w:t>4</w:t>
      </w:r>
      <w:r w:rsidR="00A144B2" w:rsidRPr="00237AB3">
        <w:rPr>
          <w:rFonts w:ascii="Griffith Sans Text" w:hAnsi="Griffith Sans Text"/>
        </w:rPr>
        <w:t>.0 Definitions</w:t>
      </w:r>
    </w:p>
    <w:p w14:paraId="200A3C57" w14:textId="77777777" w:rsidR="0073181A" w:rsidRPr="0073181A" w:rsidRDefault="0073181A" w:rsidP="00C5113A">
      <w:pPr>
        <w:spacing w:before="120" w:after="120" w:line="240" w:lineRule="auto"/>
        <w:ind w:left="567"/>
        <w:rPr>
          <w:rFonts w:ascii="Arial" w:hAnsi="Arial" w:cs="Arial"/>
          <w:sz w:val="22"/>
        </w:rPr>
      </w:pPr>
      <w:r w:rsidRPr="0073181A">
        <w:rPr>
          <w:rFonts w:ascii="Arial" w:hAnsi="Arial" w:cs="Arial"/>
          <w:sz w:val="22"/>
        </w:rPr>
        <w:t xml:space="preserve">For the purposes of this procedure and related policy documents, the following definitions apply: </w:t>
      </w:r>
    </w:p>
    <w:p w14:paraId="43B9936C" w14:textId="77777777" w:rsidR="0073181A" w:rsidRPr="0073181A" w:rsidRDefault="0073181A" w:rsidP="00C5113A">
      <w:pPr>
        <w:spacing w:before="120" w:after="120" w:line="240" w:lineRule="auto"/>
        <w:ind w:left="567"/>
        <w:rPr>
          <w:rFonts w:ascii="Arial" w:hAnsi="Arial" w:cs="Arial"/>
          <w:sz w:val="22"/>
        </w:rPr>
      </w:pPr>
      <w:r w:rsidRPr="00C5113A">
        <w:rPr>
          <w:rFonts w:ascii="Arial" w:hAnsi="Arial" w:cs="Arial"/>
          <w:b/>
          <w:bCs/>
          <w:sz w:val="22"/>
        </w:rPr>
        <w:t>Secondment</w:t>
      </w:r>
      <w:r w:rsidRPr="0073181A">
        <w:rPr>
          <w:rFonts w:ascii="Arial" w:hAnsi="Arial" w:cs="Arial"/>
          <w:sz w:val="22"/>
        </w:rPr>
        <w:t xml:space="preserve"> refers to when a Griffith University staff member retains their substantive position while being temporarily employed in another position within the University for a defined period. </w:t>
      </w:r>
    </w:p>
    <w:p w14:paraId="195D549B" w14:textId="41596A74" w:rsidR="003F7778" w:rsidRDefault="0073181A" w:rsidP="00C5113A">
      <w:pPr>
        <w:spacing w:before="120" w:after="120" w:line="240" w:lineRule="auto"/>
        <w:ind w:left="567"/>
        <w:rPr>
          <w:rFonts w:ascii="Arial" w:hAnsi="Arial" w:cs="Arial"/>
          <w:sz w:val="22"/>
        </w:rPr>
      </w:pPr>
      <w:r w:rsidRPr="00C5113A">
        <w:rPr>
          <w:rFonts w:ascii="Arial" w:hAnsi="Arial" w:cs="Arial"/>
          <w:b/>
          <w:bCs/>
          <w:sz w:val="22"/>
        </w:rPr>
        <w:t>Transfer</w:t>
      </w:r>
      <w:r w:rsidRPr="0073181A">
        <w:rPr>
          <w:rFonts w:ascii="Arial" w:hAnsi="Arial" w:cs="Arial"/>
          <w:sz w:val="22"/>
        </w:rPr>
        <w:t xml:space="preserve"> refers to when a Griffith University staff member moves permanently to another position within the University.</w:t>
      </w:r>
    </w:p>
    <w:p w14:paraId="5B578CFE" w14:textId="77777777" w:rsidR="0073181A" w:rsidRPr="004922AF" w:rsidRDefault="0073181A" w:rsidP="00C5113A">
      <w:pPr>
        <w:spacing w:before="120" w:after="120" w:line="240" w:lineRule="auto"/>
        <w:ind w:left="567"/>
        <w:rPr>
          <w:rFonts w:ascii="Arial" w:hAnsi="Arial" w:cs="Arial"/>
          <w:sz w:val="22"/>
        </w:rPr>
      </w:pPr>
    </w:p>
    <w:p w14:paraId="45403F2B" w14:textId="77777777" w:rsidR="00B42BD2" w:rsidRPr="004922AF" w:rsidRDefault="00B42BD2" w:rsidP="00C5113A">
      <w:pPr>
        <w:spacing w:before="120" w:after="120" w:line="240" w:lineRule="auto"/>
        <w:ind w:left="567"/>
        <w:rPr>
          <w:rFonts w:ascii="Arial" w:hAnsi="Arial" w:cs="Arial"/>
          <w:b/>
          <w:bCs/>
          <w:sz w:val="22"/>
        </w:rPr>
      </w:pPr>
    </w:p>
    <w:p w14:paraId="2005D636" w14:textId="667952CF" w:rsidR="00B42BD2" w:rsidRPr="004922AF" w:rsidRDefault="002F3C8B" w:rsidP="00C5113A">
      <w:pPr>
        <w:spacing w:before="120" w:after="120" w:line="240" w:lineRule="auto"/>
        <w:ind w:left="567"/>
        <w:rPr>
          <w:rFonts w:ascii="Arial" w:hAnsi="Arial" w:cs="Arial"/>
          <w:b/>
          <w:bCs/>
          <w:sz w:val="22"/>
        </w:rPr>
      </w:pPr>
      <w:r w:rsidRPr="00D6757F">
        <w:rPr>
          <w:rFonts w:ascii="Arial" w:hAnsi="Arial" w:cs="Arial"/>
          <w:b/>
          <w:bCs/>
          <w:sz w:val="22"/>
        </w:rPr>
        <w:t xml:space="preserve">For advice and support contact </w:t>
      </w:r>
      <w:hyperlink r:id="rId11" w:history="1">
        <w:r w:rsidR="00343D34" w:rsidRPr="00D6757F">
          <w:rPr>
            <w:rStyle w:val="Hyperlink"/>
            <w:rFonts w:ascii="Arial" w:hAnsi="Arial" w:cs="Arial"/>
            <w:b/>
            <w:bCs/>
            <w:sz w:val="22"/>
          </w:rPr>
          <w:t>policy@griffith.edu.au</w:t>
        </w:r>
      </w:hyperlink>
      <w:r w:rsidR="00343D34" w:rsidRPr="00D6757F">
        <w:rPr>
          <w:rFonts w:ascii="Arial" w:hAnsi="Arial" w:cs="Arial"/>
          <w:b/>
          <w:bCs/>
          <w:sz w:val="22"/>
        </w:rPr>
        <w:t xml:space="preserve"> f</w:t>
      </w:r>
      <w:r w:rsidRPr="00D6757F">
        <w:rPr>
          <w:rFonts w:ascii="Arial" w:hAnsi="Arial" w:cs="Arial"/>
          <w:b/>
          <w:bCs/>
          <w:sz w:val="22"/>
        </w:rPr>
        <w:t>or Governance and Operational policy documents</w:t>
      </w:r>
      <w:r w:rsidR="00D6757F" w:rsidRPr="00D6757F">
        <w:rPr>
          <w:rFonts w:ascii="Arial" w:hAnsi="Arial" w:cs="Arial"/>
          <w:b/>
          <w:bCs/>
          <w:sz w:val="22"/>
        </w:rPr>
        <w:t>.</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8" w:name="_6.0_Information"/>
      <w:bookmarkStart w:id="9" w:name="_5.0_Information"/>
      <w:bookmarkEnd w:id="8"/>
      <w:bookmarkEnd w:id="9"/>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16BE2255" w:rsidR="00786706" w:rsidRPr="004922AF" w:rsidRDefault="00C5113A" w:rsidP="004922AF">
            <w:pPr>
              <w:spacing w:before="120" w:after="120"/>
              <w:rPr>
                <w:rFonts w:ascii="Arial" w:hAnsi="Arial" w:cs="Arial"/>
                <w:sz w:val="22"/>
                <w:szCs w:val="28"/>
                <w:lang w:val="en-GB"/>
              </w:rPr>
            </w:pPr>
            <w:r w:rsidRPr="00C5113A">
              <w:rPr>
                <w:rFonts w:ascii="Arial" w:hAnsi="Arial" w:cs="Arial"/>
                <w:sz w:val="22"/>
                <w:szCs w:val="28"/>
              </w:rPr>
              <w:t>Internal Mobility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1EAD9F90" w:rsidR="00786706" w:rsidRPr="004922AF" w:rsidRDefault="00C5113A" w:rsidP="004922AF">
            <w:pPr>
              <w:spacing w:before="120" w:after="120"/>
              <w:rPr>
                <w:rFonts w:ascii="Arial" w:hAnsi="Arial" w:cs="Arial"/>
                <w:sz w:val="22"/>
                <w:szCs w:val="28"/>
                <w:lang w:val="en-GB"/>
              </w:rPr>
            </w:pPr>
            <w:r w:rsidRPr="00C5113A">
              <w:rPr>
                <w:rFonts w:ascii="Arial" w:hAnsi="Arial" w:cs="Arial"/>
                <w:sz w:val="22"/>
                <w:szCs w:val="28"/>
              </w:rPr>
              <w:t>2023/0001112</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37CBDDE7" w:rsidR="00786706" w:rsidRPr="004922AF" w:rsidRDefault="00C5113A" w:rsidP="004922AF">
            <w:pPr>
              <w:spacing w:before="120" w:after="120"/>
              <w:rPr>
                <w:rFonts w:ascii="Arial" w:hAnsi="Arial" w:cs="Arial"/>
                <w:sz w:val="22"/>
                <w:szCs w:val="28"/>
                <w:lang w:val="en-GB"/>
              </w:rPr>
            </w:pPr>
            <w:r w:rsidRPr="00C5113A">
              <w:rPr>
                <w:rFonts w:ascii="Arial" w:hAnsi="Arial" w:cs="Arial"/>
                <w:sz w:val="22"/>
                <w:szCs w:val="28"/>
              </w:rPr>
              <w:t>This Procedure provides an outline of the University’s approach to internal secondments (temporary transfers), transfers, and recruiting internally for vacant positions.</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A65AE7F" w:rsidR="00786706" w:rsidRPr="004922AF" w:rsidRDefault="00C5113A"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6C117F2A" w:rsidR="00786706" w:rsidRPr="004922AF" w:rsidRDefault="00C5113A"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12E922B1" w:rsidR="007512F5" w:rsidRPr="004922AF" w:rsidRDefault="00C5113A" w:rsidP="00C5113A">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4794844" w:rsidR="00067836" w:rsidRPr="004922AF" w:rsidRDefault="00D6757F" w:rsidP="00D6757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4929C8A7" w:rsidR="00786706" w:rsidRPr="004922AF" w:rsidRDefault="0056412A" w:rsidP="004922AF">
            <w:pPr>
              <w:spacing w:before="120" w:after="120"/>
              <w:rPr>
                <w:rFonts w:ascii="Arial" w:hAnsi="Arial" w:cs="Arial"/>
                <w:sz w:val="22"/>
                <w:szCs w:val="28"/>
              </w:rPr>
            </w:pPr>
            <w:r>
              <w:rPr>
                <w:rFonts w:ascii="Arial" w:hAnsi="Arial" w:cs="Arial"/>
                <w:sz w:val="22"/>
                <w:szCs w:val="28"/>
              </w:rPr>
              <w:t>October 2023</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7C5AFF85" w:rsidR="00786706" w:rsidRPr="004922AF" w:rsidRDefault="00C5113A" w:rsidP="004922AF">
            <w:pPr>
              <w:spacing w:before="120" w:after="120"/>
              <w:rPr>
                <w:rFonts w:ascii="Arial" w:hAnsi="Arial" w:cs="Arial"/>
                <w:sz w:val="22"/>
                <w:szCs w:val="28"/>
              </w:rPr>
            </w:pPr>
            <w:r>
              <w:rPr>
                <w:rFonts w:ascii="Arial" w:hAnsi="Arial" w:cs="Arial"/>
                <w:sz w:val="22"/>
                <w:szCs w:val="28"/>
              </w:rPr>
              <w:t>October 2023</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43A0920A" w:rsidR="00786706" w:rsidRPr="004922AF" w:rsidRDefault="00770AE1" w:rsidP="004922AF">
            <w:pPr>
              <w:spacing w:before="120" w:after="120"/>
              <w:rPr>
                <w:rFonts w:ascii="Arial" w:hAnsi="Arial" w:cs="Arial"/>
                <w:sz w:val="22"/>
                <w:szCs w:val="28"/>
              </w:rPr>
            </w:pPr>
            <w:r>
              <w:rPr>
                <w:rFonts w:ascii="Arial" w:hAnsi="Arial" w:cs="Arial"/>
                <w:sz w:val="22"/>
                <w:szCs w:val="28"/>
              </w:rPr>
              <w:t>202</w:t>
            </w:r>
            <w:r w:rsidR="0056412A">
              <w:rPr>
                <w:rFonts w:ascii="Arial" w:hAnsi="Arial" w:cs="Arial"/>
                <w:sz w:val="22"/>
                <w:szCs w:val="28"/>
              </w:rPr>
              <w:t>6</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0ED3FC0B" w:rsidR="00786706" w:rsidRPr="004922AF" w:rsidRDefault="00770AE1" w:rsidP="004922AF">
            <w:pPr>
              <w:spacing w:before="120" w:after="120"/>
              <w:rPr>
                <w:rFonts w:ascii="Arial" w:hAnsi="Arial" w:cs="Arial"/>
                <w:sz w:val="22"/>
                <w:szCs w:val="28"/>
              </w:rPr>
            </w:pPr>
            <w:r w:rsidRPr="00770AE1">
              <w:rPr>
                <w:rFonts w:ascii="Arial" w:hAnsi="Arial" w:cs="Arial"/>
                <w:sz w:val="22"/>
                <w:szCs w:val="28"/>
              </w:rPr>
              <w:t>Head, Talent Acquisition</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57F1084D" w:rsidR="00786706" w:rsidRPr="004922AF" w:rsidRDefault="00770AE1" w:rsidP="004922AF">
            <w:pPr>
              <w:spacing w:before="120" w:after="120"/>
              <w:rPr>
                <w:rFonts w:ascii="Arial" w:hAnsi="Arial" w:cs="Arial"/>
                <w:sz w:val="22"/>
                <w:szCs w:val="28"/>
              </w:rPr>
            </w:pPr>
            <w:r w:rsidRPr="00770AE1">
              <w:rPr>
                <w:rFonts w:ascii="Arial" w:hAnsi="Arial" w:cs="Arial"/>
                <w:sz w:val="22"/>
                <w:szCs w:val="28"/>
              </w:rPr>
              <w:t>Director, Human Resources</w:t>
            </w:r>
          </w:p>
        </w:tc>
      </w:tr>
    </w:tbl>
    <w:p w14:paraId="07DD10BA" w14:textId="108F5E6B" w:rsidR="00C24DFB" w:rsidRDefault="00C24DFB">
      <w:pPr>
        <w:rPr>
          <w:rFonts w:ascii="Arial" w:hAnsi="Arial" w:cs="Arial"/>
          <w:sz w:val="20"/>
          <w:szCs w:val="20"/>
        </w:rPr>
      </w:pPr>
    </w:p>
    <w:p w14:paraId="6725E305" w14:textId="77777777" w:rsidR="00C24DFB" w:rsidRDefault="00C24DFB">
      <w:pPr>
        <w:rPr>
          <w:rFonts w:ascii="Arial" w:hAnsi="Arial" w:cs="Arial"/>
          <w:sz w:val="20"/>
          <w:szCs w:val="20"/>
        </w:rPr>
      </w:pPr>
      <w:r>
        <w:rPr>
          <w:rFonts w:ascii="Arial" w:hAnsi="Arial" w:cs="Arial"/>
          <w:sz w:val="20"/>
          <w:szCs w:val="20"/>
        </w:rPr>
        <w:br w:type="page"/>
      </w:r>
    </w:p>
    <w:p w14:paraId="605F990D" w14:textId="015915AF" w:rsidR="00C22059" w:rsidRPr="00237AB3" w:rsidRDefault="007418A5" w:rsidP="00CA6AC5">
      <w:pPr>
        <w:pStyle w:val="Heading2"/>
        <w:rPr>
          <w:rFonts w:ascii="Griffith Sans Text" w:hAnsi="Griffith Sans Text"/>
        </w:rPr>
      </w:pPr>
      <w:bookmarkStart w:id="10" w:name="_7.0_Related_Policy"/>
      <w:bookmarkStart w:id="11" w:name="_6.0_Related_Policy"/>
      <w:bookmarkEnd w:id="10"/>
      <w:bookmarkEnd w:id="11"/>
      <w:r w:rsidRPr="00237AB3">
        <w:rPr>
          <w:rFonts w:ascii="Griffith Sans Text" w:hAnsi="Griffith Sans Text"/>
        </w:rPr>
        <w:lastRenderedPageBreak/>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652DB98D" w:rsidR="00746A0E" w:rsidRPr="004922AF" w:rsidRDefault="00C24DFB" w:rsidP="00C24DFB">
            <w:pPr>
              <w:spacing w:after="200" w:line="276" w:lineRule="auto"/>
              <w:rPr>
                <w:rFonts w:ascii="Arial" w:hAnsi="Arial" w:cs="Arial"/>
                <w:sz w:val="22"/>
                <w:lang w:val="en-GB"/>
              </w:rPr>
            </w:pPr>
            <w:hyperlink r:id="rId12" w:history="1">
              <w:r w:rsidRPr="00C24DFB">
                <w:rPr>
                  <w:rStyle w:val="Hyperlink"/>
                  <w:rFonts w:ascii="Arial" w:hAnsi="Arial" w:cs="Arial"/>
                  <w:sz w:val="22"/>
                </w:rPr>
                <w:t>Fair Work Act 2009 (</w:t>
              </w:r>
              <w:proofErr w:type="spellStart"/>
              <w:r w:rsidRPr="00C24DFB">
                <w:rPr>
                  <w:rStyle w:val="Hyperlink"/>
                  <w:rFonts w:ascii="Arial" w:hAnsi="Arial" w:cs="Arial"/>
                  <w:sz w:val="22"/>
                </w:rPr>
                <w:t>Cth</w:t>
              </w:r>
              <w:proofErr w:type="spellEnd"/>
              <w:r w:rsidRPr="00C24DFB">
                <w:rPr>
                  <w:rStyle w:val="Hyperlink"/>
                  <w:rFonts w:ascii="Arial" w:hAnsi="Arial" w:cs="Arial"/>
                  <w:sz w:val="22"/>
                </w:rPr>
                <w:t>)</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7A1507B9" w14:textId="2515D306" w:rsidR="00746A0E" w:rsidRPr="004922AF" w:rsidRDefault="00C24DFB" w:rsidP="004922AF">
            <w:pPr>
              <w:spacing w:before="120" w:after="120"/>
              <w:rPr>
                <w:rFonts w:ascii="Arial" w:hAnsi="Arial" w:cs="Arial"/>
                <w:sz w:val="22"/>
                <w:lang w:val="en-GB"/>
              </w:rPr>
            </w:pPr>
            <w:hyperlink r:id="rId13" w:history="1">
              <w:r w:rsidRPr="00C24DFB">
                <w:rPr>
                  <w:rStyle w:val="Hyperlink"/>
                  <w:rFonts w:ascii="Arial" w:hAnsi="Arial" w:cs="Arial"/>
                  <w:sz w:val="22"/>
                </w:rPr>
                <w:t>Talent Acquisition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21D275B5" w:rsidR="00746A0E" w:rsidRPr="004922AF" w:rsidRDefault="00C24DFB" w:rsidP="004922AF">
            <w:pPr>
              <w:spacing w:before="120" w:after="120"/>
              <w:rPr>
                <w:rFonts w:ascii="Arial" w:hAnsi="Arial" w:cs="Arial"/>
                <w:sz w:val="22"/>
                <w:lang w:val="en-GB"/>
              </w:rPr>
            </w:pPr>
            <w:hyperlink r:id="rId14" w:history="1">
              <w:r w:rsidRPr="00C24DFB">
                <w:rPr>
                  <w:rStyle w:val="Hyperlink"/>
                  <w:rFonts w:ascii="Arial" w:hAnsi="Arial" w:cs="Arial"/>
                  <w:sz w:val="22"/>
                </w:rPr>
                <w:t>Talent Acquisition Procedure</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1F526102" w:rsidR="00746A0E" w:rsidRPr="004922AF" w:rsidRDefault="00746A0E" w:rsidP="004922AF">
            <w:pPr>
              <w:spacing w:before="120" w:after="120"/>
              <w:rPr>
                <w:rFonts w:ascii="Arial" w:hAnsi="Arial" w:cs="Arial"/>
                <w:sz w:val="22"/>
              </w:rPr>
            </w:pPr>
            <w:r w:rsidRPr="004922AF">
              <w:rPr>
                <w:rFonts w:ascii="Arial" w:hAnsi="Arial" w:cs="Arial"/>
                <w:sz w:val="22"/>
              </w:rPr>
              <w:t>N/A</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157CEC29" w:rsidR="00746A0E" w:rsidRPr="004922AF" w:rsidRDefault="00C24DFB" w:rsidP="004922AF">
            <w:pPr>
              <w:spacing w:before="120" w:after="120"/>
              <w:rPr>
                <w:rFonts w:ascii="Arial" w:hAnsi="Arial" w:cs="Arial"/>
                <w:sz w:val="22"/>
              </w:rPr>
            </w:pPr>
            <w:r w:rsidRPr="00C24DFB">
              <w:rPr>
                <w:rFonts w:ascii="Arial" w:hAnsi="Arial" w:cs="Arial"/>
                <w:sz w:val="22"/>
              </w:rPr>
              <w:t>N/A</w:t>
            </w:r>
          </w:p>
        </w:tc>
      </w:tr>
    </w:tbl>
    <w:p w14:paraId="298A2696" w14:textId="1321E4E3" w:rsidR="00AF5791" w:rsidRDefault="00AF5791" w:rsidP="00133B5D">
      <w:pPr>
        <w:rPr>
          <w:rFonts w:ascii="Arial" w:hAnsi="Arial" w:cs="Arial"/>
          <w:sz w:val="20"/>
          <w:szCs w:val="24"/>
        </w:rPr>
      </w:pPr>
    </w:p>
    <w:p w14:paraId="5127F35D" w14:textId="77777777" w:rsidR="005F4F33" w:rsidRDefault="005F4F33" w:rsidP="00133B5D">
      <w:pPr>
        <w:rPr>
          <w:rFonts w:ascii="Arial" w:hAnsi="Arial" w:cs="Arial"/>
          <w:sz w:val="20"/>
          <w:szCs w:val="24"/>
        </w:rPr>
      </w:pPr>
    </w:p>
    <w:sectPr w:rsidR="005F4F33" w:rsidSect="00E77B43">
      <w:headerReference w:type="default" r:id="rId15"/>
      <w:footerReference w:type="even" r:id="rId16"/>
      <w:footerReference w:type="default" r:id="rId17"/>
      <w:headerReference w:type="first" r:id="rId18"/>
      <w:footerReference w:type="first" r:id="rId1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7D5F1E9C" w14:textId="77777777" w:rsidR="00D6757F" w:rsidRPr="00D6757F" w:rsidRDefault="00D6757F" w:rsidP="00D6757F">
    <w:pPr>
      <w:spacing w:after="0" w:line="240" w:lineRule="auto"/>
      <w:jc w:val="right"/>
      <w:rPr>
        <w:rFonts w:asciiTheme="minorHAnsi" w:hAnsiTheme="minorHAnsi" w:cstheme="minorHAnsi"/>
        <w:color w:val="70787B"/>
        <w:sz w:val="15"/>
        <w:szCs w:val="15"/>
      </w:rPr>
    </w:pPr>
    <w:r w:rsidRPr="00D6757F">
      <w:rPr>
        <w:rFonts w:asciiTheme="minorHAnsi" w:hAnsiTheme="minorHAnsi" w:cstheme="minorHAnsi"/>
        <w:color w:val="70787B"/>
        <w:sz w:val="15"/>
        <w:szCs w:val="15"/>
      </w:rPr>
      <w:t xml:space="preserve">Internal Mobility Procedure | October 2023 </w:t>
    </w:r>
  </w:p>
  <w:p w14:paraId="452635DE" w14:textId="77777777" w:rsidR="00D6757F" w:rsidRPr="00D6757F" w:rsidRDefault="00D6757F" w:rsidP="00D6757F">
    <w:pPr>
      <w:spacing w:after="0" w:line="240" w:lineRule="auto"/>
      <w:jc w:val="right"/>
      <w:rPr>
        <w:rFonts w:asciiTheme="minorHAnsi" w:hAnsiTheme="minorHAnsi" w:cstheme="minorHAnsi"/>
        <w:color w:val="70787B"/>
        <w:sz w:val="15"/>
        <w:szCs w:val="15"/>
      </w:rPr>
    </w:pPr>
    <w:r w:rsidRPr="00D6757F">
      <w:rPr>
        <w:rFonts w:asciiTheme="minorHAnsi" w:hAnsiTheme="minorHAnsi" w:cstheme="minorHAnsi"/>
        <w:color w:val="70787B"/>
        <w:sz w:val="15"/>
        <w:szCs w:val="15"/>
      </w:rPr>
      <w:t>Document number: 2023/0001112</w:t>
    </w:r>
  </w:p>
  <w:p w14:paraId="2E3A5653" w14:textId="65ED4E67" w:rsidR="00830B58" w:rsidRDefault="00D6757F" w:rsidP="00D6757F">
    <w:pPr>
      <w:spacing w:after="0" w:line="240" w:lineRule="auto"/>
      <w:jc w:val="right"/>
      <w:rPr>
        <w:rFonts w:asciiTheme="minorHAnsi" w:hAnsiTheme="minorHAnsi" w:cstheme="minorHAnsi"/>
        <w:color w:val="70787B"/>
        <w:sz w:val="15"/>
        <w:szCs w:val="15"/>
      </w:rPr>
    </w:pPr>
    <w:r w:rsidRPr="00D6757F">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5EED8485" w:rsidR="00E77B43" w:rsidRPr="00D6757F" w:rsidRDefault="00D6757F" w:rsidP="00E77B43">
    <w:pPr>
      <w:spacing w:after="0" w:line="240" w:lineRule="auto"/>
      <w:jc w:val="right"/>
      <w:rPr>
        <w:rFonts w:asciiTheme="minorHAnsi" w:hAnsiTheme="minorHAnsi" w:cstheme="minorHAnsi"/>
        <w:color w:val="70787B"/>
        <w:sz w:val="15"/>
        <w:szCs w:val="15"/>
      </w:rPr>
    </w:pPr>
    <w:r w:rsidRPr="00D6757F">
      <w:rPr>
        <w:rFonts w:asciiTheme="minorHAnsi" w:hAnsiTheme="minorHAnsi" w:cstheme="minorHAnsi"/>
        <w:color w:val="70787B"/>
        <w:sz w:val="15"/>
        <w:szCs w:val="15"/>
      </w:rPr>
      <w:t>Internal Mobility</w:t>
    </w:r>
    <w:r w:rsidRPr="00D6757F">
      <w:rPr>
        <w:rFonts w:asciiTheme="minorHAnsi" w:hAnsiTheme="minorHAnsi" w:cstheme="minorHAnsi"/>
        <w:color w:val="70787B"/>
        <w:sz w:val="15"/>
        <w:szCs w:val="15"/>
      </w:rPr>
      <w:t xml:space="preserve"> </w:t>
    </w:r>
    <w:r w:rsidR="002E6FC9" w:rsidRPr="00D6757F">
      <w:rPr>
        <w:rFonts w:asciiTheme="minorHAnsi" w:hAnsiTheme="minorHAnsi" w:cstheme="minorHAnsi"/>
        <w:color w:val="70787B"/>
        <w:sz w:val="15"/>
        <w:szCs w:val="15"/>
      </w:rPr>
      <w:t>P</w:t>
    </w:r>
    <w:r w:rsidR="00C00B53" w:rsidRPr="00D6757F">
      <w:rPr>
        <w:rFonts w:asciiTheme="minorHAnsi" w:hAnsiTheme="minorHAnsi" w:cstheme="minorHAnsi"/>
        <w:color w:val="70787B"/>
        <w:sz w:val="15"/>
        <w:szCs w:val="15"/>
      </w:rPr>
      <w:t>rocedure</w:t>
    </w:r>
    <w:r w:rsidR="002E6FC9" w:rsidRPr="00D6757F">
      <w:rPr>
        <w:rFonts w:asciiTheme="minorHAnsi" w:hAnsiTheme="minorHAnsi" w:cstheme="minorHAnsi"/>
        <w:color w:val="70787B"/>
        <w:sz w:val="15"/>
        <w:szCs w:val="15"/>
      </w:rPr>
      <w:t xml:space="preserve"> </w:t>
    </w:r>
    <w:r w:rsidR="00E77B43" w:rsidRPr="00D6757F">
      <w:rPr>
        <w:rFonts w:asciiTheme="minorHAnsi" w:hAnsiTheme="minorHAnsi" w:cstheme="minorHAnsi"/>
        <w:color w:val="70787B"/>
        <w:sz w:val="15"/>
        <w:szCs w:val="15"/>
      </w:rPr>
      <w:t xml:space="preserve">| </w:t>
    </w:r>
    <w:r w:rsidRPr="00D6757F">
      <w:rPr>
        <w:rFonts w:asciiTheme="minorHAnsi" w:hAnsiTheme="minorHAnsi" w:cstheme="minorHAnsi"/>
        <w:color w:val="70787B"/>
        <w:sz w:val="15"/>
        <w:szCs w:val="15"/>
      </w:rPr>
      <w:t>October 2023</w:t>
    </w:r>
    <w:r w:rsidR="00E77B43" w:rsidRPr="00D6757F">
      <w:rPr>
        <w:rFonts w:asciiTheme="minorHAnsi" w:hAnsiTheme="minorHAnsi" w:cstheme="minorHAnsi"/>
        <w:color w:val="70787B"/>
        <w:sz w:val="15"/>
        <w:szCs w:val="15"/>
      </w:rPr>
      <w:t xml:space="preserve"> </w:t>
    </w:r>
  </w:p>
  <w:p w14:paraId="69EED422" w14:textId="134C4CBD" w:rsidR="00E77B43" w:rsidRPr="00D6757F" w:rsidRDefault="00E77B43" w:rsidP="00E77B43">
    <w:pPr>
      <w:spacing w:after="0" w:line="240" w:lineRule="auto"/>
      <w:jc w:val="right"/>
      <w:rPr>
        <w:rFonts w:asciiTheme="minorHAnsi" w:hAnsiTheme="minorHAnsi" w:cstheme="minorHAnsi"/>
        <w:color w:val="70787B"/>
        <w:sz w:val="15"/>
        <w:szCs w:val="15"/>
      </w:rPr>
    </w:pPr>
    <w:r w:rsidRPr="00D6757F">
      <w:rPr>
        <w:rFonts w:asciiTheme="minorHAnsi" w:hAnsiTheme="minorHAnsi" w:cstheme="minorHAnsi"/>
        <w:color w:val="70787B"/>
        <w:sz w:val="15"/>
        <w:szCs w:val="15"/>
      </w:rPr>
      <w:t xml:space="preserve">Document number: </w:t>
    </w:r>
    <w:r w:rsidR="00D6757F" w:rsidRPr="00D6757F">
      <w:rPr>
        <w:rFonts w:asciiTheme="minorHAnsi" w:hAnsiTheme="minorHAnsi" w:cstheme="minorHAnsi"/>
        <w:color w:val="70787B"/>
        <w:sz w:val="15"/>
        <w:szCs w:val="15"/>
      </w:rPr>
      <w:t>2023/0001112</w:t>
    </w:r>
  </w:p>
  <w:p w14:paraId="3471DC75" w14:textId="1F68BE84" w:rsidR="00E77B43" w:rsidRDefault="00E77B43" w:rsidP="00E77B43">
    <w:pPr>
      <w:pStyle w:val="Footer"/>
      <w:jc w:val="right"/>
    </w:pPr>
    <w:r w:rsidRPr="00D6757F">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D011E8B"/>
    <w:multiLevelType w:val="hybridMultilevel"/>
    <w:tmpl w:val="D33C5F8C"/>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3B2D74"/>
    <w:multiLevelType w:val="hybridMultilevel"/>
    <w:tmpl w:val="E5965D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F80430"/>
    <w:multiLevelType w:val="hybridMultilevel"/>
    <w:tmpl w:val="CB2C020A"/>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B340A7"/>
    <w:multiLevelType w:val="hybridMultilevel"/>
    <w:tmpl w:val="03ECC2F4"/>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39"/>
  </w:num>
  <w:num w:numId="3" w16cid:durableId="1304701530">
    <w:abstractNumId w:val="33"/>
  </w:num>
  <w:num w:numId="4" w16cid:durableId="352269857">
    <w:abstractNumId w:val="28"/>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5"/>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30"/>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952243949">
    <w:abstractNumId w:val="29"/>
  </w:num>
  <w:num w:numId="38" w16cid:durableId="637297142">
    <w:abstractNumId w:val="34"/>
  </w:num>
  <w:num w:numId="39" w16cid:durableId="409893198">
    <w:abstractNumId w:val="36"/>
  </w:num>
  <w:num w:numId="40" w16cid:durableId="1349717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876B7"/>
    <w:rsid w:val="00091E5E"/>
    <w:rsid w:val="000B17D8"/>
    <w:rsid w:val="000B192C"/>
    <w:rsid w:val="000B71D9"/>
    <w:rsid w:val="000C0E96"/>
    <w:rsid w:val="000C57B7"/>
    <w:rsid w:val="000C7000"/>
    <w:rsid w:val="000D3B39"/>
    <w:rsid w:val="000E01AE"/>
    <w:rsid w:val="000F1CE9"/>
    <w:rsid w:val="000F5EB6"/>
    <w:rsid w:val="00103826"/>
    <w:rsid w:val="00104FF2"/>
    <w:rsid w:val="00133B5D"/>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535C"/>
    <w:rsid w:val="00237AB3"/>
    <w:rsid w:val="002439DB"/>
    <w:rsid w:val="00257D7C"/>
    <w:rsid w:val="00261945"/>
    <w:rsid w:val="002622A9"/>
    <w:rsid w:val="002665AF"/>
    <w:rsid w:val="00267CCA"/>
    <w:rsid w:val="00274580"/>
    <w:rsid w:val="00291234"/>
    <w:rsid w:val="002A3E0E"/>
    <w:rsid w:val="002B29ED"/>
    <w:rsid w:val="002B2DAF"/>
    <w:rsid w:val="002B32E4"/>
    <w:rsid w:val="002B35C9"/>
    <w:rsid w:val="002B6908"/>
    <w:rsid w:val="002C1FB6"/>
    <w:rsid w:val="002D233F"/>
    <w:rsid w:val="002E6FC9"/>
    <w:rsid w:val="002F0131"/>
    <w:rsid w:val="002F186F"/>
    <w:rsid w:val="002F3C8B"/>
    <w:rsid w:val="0031180B"/>
    <w:rsid w:val="0031333E"/>
    <w:rsid w:val="00330E67"/>
    <w:rsid w:val="003318AC"/>
    <w:rsid w:val="00334090"/>
    <w:rsid w:val="00334B56"/>
    <w:rsid w:val="00343D34"/>
    <w:rsid w:val="0035677A"/>
    <w:rsid w:val="00360D4B"/>
    <w:rsid w:val="003654D8"/>
    <w:rsid w:val="00383A27"/>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1260F"/>
    <w:rsid w:val="005224CD"/>
    <w:rsid w:val="00522BA9"/>
    <w:rsid w:val="00541A95"/>
    <w:rsid w:val="005453DD"/>
    <w:rsid w:val="00552F80"/>
    <w:rsid w:val="00553466"/>
    <w:rsid w:val="005554CF"/>
    <w:rsid w:val="005572C3"/>
    <w:rsid w:val="005632E8"/>
    <w:rsid w:val="0056412A"/>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5F4F33"/>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181A"/>
    <w:rsid w:val="00732202"/>
    <w:rsid w:val="00734916"/>
    <w:rsid w:val="00736216"/>
    <w:rsid w:val="007418A5"/>
    <w:rsid w:val="00746A0E"/>
    <w:rsid w:val="00751170"/>
    <w:rsid w:val="007512F5"/>
    <w:rsid w:val="00763E65"/>
    <w:rsid w:val="00764D3B"/>
    <w:rsid w:val="00770AE1"/>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A63"/>
    <w:rsid w:val="00B26F8D"/>
    <w:rsid w:val="00B42BD2"/>
    <w:rsid w:val="00B508D5"/>
    <w:rsid w:val="00B52233"/>
    <w:rsid w:val="00B82F08"/>
    <w:rsid w:val="00B9062A"/>
    <w:rsid w:val="00BB58D7"/>
    <w:rsid w:val="00BD26DB"/>
    <w:rsid w:val="00BF387D"/>
    <w:rsid w:val="00C00B53"/>
    <w:rsid w:val="00C22059"/>
    <w:rsid w:val="00C2475A"/>
    <w:rsid w:val="00C24DFB"/>
    <w:rsid w:val="00C31251"/>
    <w:rsid w:val="00C32760"/>
    <w:rsid w:val="00C5113A"/>
    <w:rsid w:val="00C577E2"/>
    <w:rsid w:val="00C62871"/>
    <w:rsid w:val="00C76573"/>
    <w:rsid w:val="00C77710"/>
    <w:rsid w:val="00C80060"/>
    <w:rsid w:val="00CA6305"/>
    <w:rsid w:val="00CA6AC5"/>
    <w:rsid w:val="00CA75B5"/>
    <w:rsid w:val="00CD119B"/>
    <w:rsid w:val="00CD146E"/>
    <w:rsid w:val="00CF611B"/>
    <w:rsid w:val="00CF6FF3"/>
    <w:rsid w:val="00D042D8"/>
    <w:rsid w:val="00D25E65"/>
    <w:rsid w:val="00D434E9"/>
    <w:rsid w:val="00D532D6"/>
    <w:rsid w:val="00D6757F"/>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BulletPoints">
    <w:name w:val="Bullet Points"/>
    <w:basedOn w:val="Normal"/>
    <w:qFormat/>
    <w:rsid w:val="0073181A"/>
    <w:pPr>
      <w:ind w:left="720" w:hanging="360"/>
    </w:pPr>
    <w:rPr>
      <w:rFonts w:ascii="Arial" w:hAnsi="Arial" w:cs="Arial"/>
      <w:kern w:val="0"/>
      <w:sz w:val="20"/>
    </w:rPr>
  </w:style>
  <w:style w:type="paragraph" w:customStyle="1" w:styleId="IntroCopy">
    <w:name w:val="Intro Copy"/>
    <w:basedOn w:val="Normal"/>
    <w:qFormat/>
    <w:rsid w:val="0073181A"/>
    <w:rPr>
      <w:rFonts w:ascii="Foundry Sterling Demi" w:hAnsi="Foundry Sterling Demi" w:cstheme="minorBidi"/>
      <w:b/>
      <w:bCs/>
      <w:color w:val="E30918"/>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Talent%20Acquisition%20Policy.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egislation.gov.au/Details/C2017C0032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harepointpubstor.blob.core.windows.net/policylibrary-prod/Individual%20Grievance%20Resolution%20Procedure.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Talent%20Acquisition%20Procedur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2023-11-26T23:55:45+00:00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provides an outline of the University’s approach to internal secondments (temporary transfers), transfers, and recruiting internally for vacant positions.</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2023-11-26T14:00:00+00:00</datedeclared>
    <PrivatePolicy xmlns="2f261a70-825f-4a37-b7b5-f6ecc2f4c5fa">false</PrivatePolicy>
    <policyadvisor xmlns="2f261a70-825f-4a37-b7b5-f6ecc2f4c5fa">
      <UserInfo>
        <DisplayName>Cem Coban</DisplayName>
        <AccountId>878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7E0AE-4544-4D00-936C-BFEFE49012F7}"/>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149</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Mobility Procedure</dc:title>
  <dc:creator>Jen Lofgren</dc:creator>
  <cp:lastModifiedBy>John Montgomery</cp:lastModifiedBy>
  <cp:revision>15</cp:revision>
  <dcterms:created xsi:type="dcterms:W3CDTF">2023-11-21T05:55:00Z</dcterms:created>
  <dcterms:modified xsi:type="dcterms:W3CDTF">2024-01-24T03:07:00Z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policy-category">
    <vt:lpwstr>522;#Staff|3e9f4474-6295-47f7-a166-0065c4fb1613</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