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EB82"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74D7EBE6" wp14:editId="74D7EBE7">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EBF1" w14:textId="77777777" w:rsidR="00BF0440" w:rsidRDefault="00BF0440" w:rsidP="00B66CBA">
                            <w:pPr>
                              <w:ind w:left="426"/>
                            </w:pPr>
                            <w:r>
                              <w:rPr>
                                <w:noProof/>
                              </w:rPr>
                              <w:drawing>
                                <wp:inline distT="0" distB="0" distL="0" distR="0" wp14:anchorId="74D7EBF2" wp14:editId="74D7EBF3">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7EBE6"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74D7EBF1" w14:textId="77777777" w:rsidR="00BF0440" w:rsidRDefault="00BF0440" w:rsidP="00B66CBA">
                      <w:pPr>
                        <w:ind w:left="426"/>
                      </w:pPr>
                      <w:r>
                        <w:rPr>
                          <w:noProof/>
                        </w:rPr>
                        <w:drawing>
                          <wp:inline distT="0" distB="0" distL="0" distR="0" wp14:anchorId="74D7EBF2" wp14:editId="74D7EBF3">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74D7EB83" w14:textId="14B51B86" w:rsidR="00C0705D" w:rsidRPr="00862B37" w:rsidRDefault="004A6E73" w:rsidP="00755827">
      <w:pPr>
        <w:spacing w:before="360" w:after="240"/>
        <w:ind w:left="0"/>
        <w:rPr>
          <w:rFonts w:cs="Arial"/>
          <w:sz w:val="32"/>
          <w:szCs w:val="32"/>
        </w:rPr>
      </w:pPr>
      <w:r w:rsidRPr="004A6E73">
        <w:rPr>
          <w:rFonts w:cs="Arial"/>
          <w:color w:val="333333"/>
          <w:sz w:val="32"/>
          <w:szCs w:val="32"/>
        </w:rPr>
        <w:t xml:space="preserve">International Student </w:t>
      </w:r>
      <w:r w:rsidR="004E4383">
        <w:rPr>
          <w:rFonts w:cs="Arial"/>
          <w:color w:val="333333"/>
          <w:sz w:val="32"/>
          <w:szCs w:val="32"/>
        </w:rPr>
        <w:t>Provider</w:t>
      </w:r>
      <w:r w:rsidR="004E4383" w:rsidRPr="004A6E73">
        <w:rPr>
          <w:rFonts w:cs="Arial"/>
          <w:color w:val="333333"/>
          <w:sz w:val="32"/>
          <w:szCs w:val="32"/>
        </w:rPr>
        <w:t xml:space="preserve"> </w:t>
      </w:r>
      <w:r w:rsidRPr="004A6E73">
        <w:rPr>
          <w:rFonts w:cs="Arial"/>
          <w:color w:val="333333"/>
          <w:sz w:val="32"/>
          <w:szCs w:val="32"/>
        </w:rPr>
        <w:t>Transfer Request Policy and Procedure</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74D7EB86" w14:textId="77777777" w:rsidTr="00B86B55">
        <w:tc>
          <w:tcPr>
            <w:tcW w:w="2410" w:type="dxa"/>
            <w:tcBorders>
              <w:top w:val="single" w:sz="12" w:space="0" w:color="D9D9D9" w:themeColor="background1" w:themeShade="D9"/>
              <w:right w:val="single" w:sz="12" w:space="0" w:color="D9D9D9" w:themeColor="background1" w:themeShade="D9"/>
            </w:tcBorders>
          </w:tcPr>
          <w:p w14:paraId="74D7EB84"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74D7EB85" w14:textId="77777777" w:rsidR="00B86B55" w:rsidRPr="00423A1D" w:rsidRDefault="00B86B55" w:rsidP="002A6AA2">
            <w:pPr>
              <w:spacing w:after="0"/>
              <w:ind w:left="159"/>
              <w:rPr>
                <w:rFonts w:cs="Arial"/>
                <w:sz w:val="12"/>
                <w:szCs w:val="12"/>
              </w:rPr>
            </w:pPr>
          </w:p>
        </w:tc>
      </w:tr>
      <w:tr w:rsidR="00B86B55" w:rsidRPr="00D614DF" w14:paraId="74D7EB89" w14:textId="77777777" w:rsidTr="00B86B55">
        <w:tc>
          <w:tcPr>
            <w:tcW w:w="2410" w:type="dxa"/>
            <w:tcBorders>
              <w:right w:val="single" w:sz="12" w:space="0" w:color="D9D9D9" w:themeColor="background1" w:themeShade="D9"/>
            </w:tcBorders>
            <w:vAlign w:val="center"/>
          </w:tcPr>
          <w:p w14:paraId="74D7EB87"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74D7EB88" w14:textId="77777777" w:rsidR="00B86B55" w:rsidRPr="00D614DF" w:rsidRDefault="004A6E73" w:rsidP="00F01B2E">
            <w:pPr>
              <w:spacing w:before="60" w:after="60"/>
              <w:ind w:left="159"/>
              <w:jc w:val="left"/>
              <w:rPr>
                <w:rFonts w:cs="Arial"/>
                <w:sz w:val="20"/>
              </w:rPr>
            </w:pPr>
            <w:r>
              <w:rPr>
                <w:rFonts w:cs="Arial"/>
                <w:sz w:val="20"/>
              </w:rPr>
              <w:t>Academic Committee</w:t>
            </w:r>
          </w:p>
        </w:tc>
      </w:tr>
      <w:tr w:rsidR="00B86B55" w:rsidRPr="00D614DF" w14:paraId="74D7EB8C" w14:textId="77777777" w:rsidTr="00B86B55">
        <w:tc>
          <w:tcPr>
            <w:tcW w:w="2410" w:type="dxa"/>
            <w:tcBorders>
              <w:right w:val="single" w:sz="12" w:space="0" w:color="D9D9D9" w:themeColor="background1" w:themeShade="D9"/>
            </w:tcBorders>
            <w:vAlign w:val="center"/>
          </w:tcPr>
          <w:p w14:paraId="74D7EB8A"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4D7EB8B" w14:textId="3A408BCB" w:rsidR="00AD7FF4" w:rsidRPr="00D614DF" w:rsidRDefault="00E874E0" w:rsidP="00C2468D">
            <w:pPr>
              <w:spacing w:before="60" w:after="60"/>
              <w:ind w:left="159"/>
              <w:jc w:val="left"/>
              <w:rPr>
                <w:rFonts w:cs="Arial"/>
                <w:sz w:val="20"/>
              </w:rPr>
            </w:pPr>
            <w:r>
              <w:rPr>
                <w:rFonts w:cs="Arial"/>
                <w:sz w:val="20"/>
              </w:rPr>
              <w:t>13 September (3/2018 meeting)</w:t>
            </w:r>
          </w:p>
        </w:tc>
      </w:tr>
      <w:tr w:rsidR="00F01B2E" w:rsidRPr="00D614DF" w14:paraId="1BE2236A" w14:textId="77777777" w:rsidTr="00BF0440">
        <w:tc>
          <w:tcPr>
            <w:tcW w:w="2410" w:type="dxa"/>
            <w:tcBorders>
              <w:right w:val="single" w:sz="12" w:space="0" w:color="D9D9D9" w:themeColor="background1" w:themeShade="D9"/>
            </w:tcBorders>
          </w:tcPr>
          <w:p w14:paraId="5AF15CE0" w14:textId="0CB43D63" w:rsidR="00F01B2E" w:rsidRDefault="00F01B2E"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884DB68" w14:textId="77E708C1" w:rsidR="00F01B2E" w:rsidRPr="004A6E73" w:rsidRDefault="00E60B69" w:rsidP="007A7545">
            <w:pPr>
              <w:spacing w:before="60" w:after="60"/>
              <w:ind w:left="159"/>
              <w:jc w:val="left"/>
              <w:rPr>
                <w:rFonts w:cs="Arial"/>
                <w:sz w:val="20"/>
              </w:rPr>
            </w:pPr>
            <w:r>
              <w:rPr>
                <w:rFonts w:cs="Arial"/>
                <w:sz w:val="20"/>
              </w:rPr>
              <w:t>Deputy Director</w:t>
            </w:r>
            <w:r w:rsidR="00F01B2E">
              <w:rPr>
                <w:rFonts w:cs="Arial"/>
                <w:sz w:val="20"/>
              </w:rPr>
              <w:t xml:space="preserve"> | Griffith International</w:t>
            </w:r>
          </w:p>
        </w:tc>
      </w:tr>
      <w:tr w:rsidR="00F01B2E" w:rsidRPr="00D614DF" w14:paraId="74D7EB92" w14:textId="77777777" w:rsidTr="00BF0440">
        <w:tc>
          <w:tcPr>
            <w:tcW w:w="2410" w:type="dxa"/>
            <w:tcBorders>
              <w:bottom w:val="nil"/>
              <w:right w:val="single" w:sz="12" w:space="0" w:color="D9D9D9" w:themeColor="background1" w:themeShade="D9"/>
            </w:tcBorders>
            <w:vAlign w:val="center"/>
          </w:tcPr>
          <w:p w14:paraId="74D7EB90" w14:textId="7ECACE5B" w:rsidR="00F01B2E" w:rsidRDefault="00F01B2E"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74D7EB91" w14:textId="3E3D18FF" w:rsidR="00F01B2E" w:rsidRPr="006D5CAF" w:rsidRDefault="00000A9E" w:rsidP="00000A9E">
            <w:pPr>
              <w:spacing w:after="60"/>
              <w:ind w:left="159"/>
              <w:jc w:val="left"/>
              <w:rPr>
                <w:rFonts w:cs="Arial"/>
                <w:sz w:val="20"/>
              </w:rPr>
            </w:pPr>
            <w:r>
              <w:rPr>
                <w:rFonts w:cs="Arial"/>
                <w:sz w:val="20"/>
              </w:rPr>
              <w:t>2023</w:t>
            </w:r>
          </w:p>
        </w:tc>
      </w:tr>
      <w:tr w:rsidR="00B86B55" w:rsidRPr="00D614DF" w14:paraId="74D7EB95" w14:textId="77777777" w:rsidTr="00B86B55">
        <w:tc>
          <w:tcPr>
            <w:tcW w:w="2410" w:type="dxa"/>
            <w:tcBorders>
              <w:bottom w:val="nil"/>
              <w:right w:val="single" w:sz="12" w:space="0" w:color="D9D9D9" w:themeColor="background1" w:themeShade="D9"/>
            </w:tcBorders>
            <w:vAlign w:val="center"/>
          </w:tcPr>
          <w:p w14:paraId="74D7EB93" w14:textId="00DD49EC" w:rsidR="00B86B55" w:rsidRPr="00D614DF" w:rsidRDefault="00F01B2E"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74D7EB94" w14:textId="79B244D2" w:rsidR="00B86B55" w:rsidRPr="00D614DF" w:rsidRDefault="00F01B2E" w:rsidP="004854B0">
            <w:pPr>
              <w:spacing w:before="60" w:after="60"/>
              <w:ind w:left="159"/>
              <w:jc w:val="left"/>
              <w:rPr>
                <w:rFonts w:cs="Arial"/>
                <w:sz w:val="20"/>
              </w:rPr>
            </w:pPr>
            <w:r w:rsidRPr="00A75046">
              <w:rPr>
                <w:rFonts w:cs="Arial"/>
                <w:sz w:val="20"/>
              </w:rPr>
              <w:t>http://policies.griffith.edu.au/pdf/</w:t>
            </w:r>
            <w:r w:rsidR="00777CAA">
              <w:rPr>
                <w:rFonts w:cs="Arial"/>
                <w:sz w:val="20"/>
              </w:rPr>
              <w:t>Institutional</w:t>
            </w:r>
            <w:r w:rsidRPr="00A75046">
              <w:rPr>
                <w:rFonts w:cs="Arial"/>
                <w:sz w:val="20"/>
              </w:rPr>
              <w:t xml:space="preserve"> Transfer Request Policy.pdf</w:t>
            </w:r>
          </w:p>
        </w:tc>
      </w:tr>
      <w:tr w:rsidR="00B86B55" w:rsidRPr="00D614DF" w14:paraId="74D7EB98"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74D7EB96"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74D7EB97" w14:textId="70650E62" w:rsidR="00B86B55" w:rsidRPr="00D614DF" w:rsidRDefault="00C27D06" w:rsidP="00E874E0">
            <w:pPr>
              <w:spacing w:before="60" w:after="60"/>
              <w:ind w:left="159"/>
              <w:jc w:val="left"/>
              <w:rPr>
                <w:rFonts w:cs="Arial"/>
                <w:sz w:val="20"/>
              </w:rPr>
            </w:pPr>
            <w:r>
              <w:rPr>
                <w:rFonts w:cs="Arial"/>
                <w:sz w:val="20"/>
              </w:rPr>
              <w:t>2019/0000034</w:t>
            </w:r>
          </w:p>
        </w:tc>
      </w:tr>
      <w:tr w:rsidR="00E31309" w:rsidRPr="00D614DF" w14:paraId="74D7EB9B" w14:textId="77777777" w:rsidTr="00C6409F">
        <w:tc>
          <w:tcPr>
            <w:tcW w:w="2410" w:type="dxa"/>
            <w:tcBorders>
              <w:bottom w:val="single" w:sz="12" w:space="0" w:color="D9D9D9" w:themeColor="background1" w:themeShade="D9"/>
              <w:right w:val="single" w:sz="12" w:space="0" w:color="D9D9D9" w:themeColor="background1" w:themeShade="D9"/>
            </w:tcBorders>
          </w:tcPr>
          <w:p w14:paraId="74D7EB99" w14:textId="38633E92" w:rsidR="00E31309" w:rsidRPr="00474FF5" w:rsidRDefault="00F01B2E"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74D7EB9A" w14:textId="205ECC7D" w:rsidR="00E31309" w:rsidRDefault="00F01B2E" w:rsidP="0054486D">
            <w:pPr>
              <w:spacing w:before="60" w:after="60"/>
              <w:ind w:left="159"/>
              <w:jc w:val="left"/>
              <w:rPr>
                <w:rFonts w:cs="Arial"/>
                <w:sz w:val="20"/>
              </w:rPr>
            </w:pPr>
            <w:r w:rsidRPr="004A6E73">
              <w:rPr>
                <w:rFonts w:cs="Arial"/>
                <w:sz w:val="20"/>
              </w:rPr>
              <w:t xml:space="preserve">This policy describes the conditions under which international student visa holders are able to apply to transfer to other </w:t>
            </w:r>
            <w:r w:rsidR="0054486D">
              <w:rPr>
                <w:rFonts w:cs="Arial"/>
                <w:sz w:val="20"/>
              </w:rPr>
              <w:t>providers</w:t>
            </w:r>
            <w:r w:rsidRPr="004A6E73">
              <w:rPr>
                <w:rFonts w:cs="Arial"/>
                <w:sz w:val="20"/>
              </w:rPr>
              <w:t>.</w:t>
            </w:r>
          </w:p>
        </w:tc>
      </w:tr>
      <w:tr w:rsidR="00B86B55" w:rsidRPr="00D614DF" w14:paraId="74D7EB9E"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74D7EB9C"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4D7EB9D" w14:textId="77777777" w:rsidR="00B86B55" w:rsidRPr="00D614DF" w:rsidRDefault="00B86B55" w:rsidP="002A6AA2">
            <w:pPr>
              <w:spacing w:before="60" w:after="60"/>
              <w:ind w:left="159"/>
              <w:rPr>
                <w:rFonts w:cs="Arial"/>
                <w:sz w:val="20"/>
              </w:rPr>
            </w:pPr>
          </w:p>
        </w:tc>
      </w:tr>
      <w:tr w:rsidR="00B86B55" w:rsidRPr="00D614DF" w14:paraId="74D7EBA8" w14:textId="77777777" w:rsidTr="00B86B55">
        <w:tc>
          <w:tcPr>
            <w:tcW w:w="9639" w:type="dxa"/>
            <w:gridSpan w:val="2"/>
            <w:tcBorders>
              <w:top w:val="single" w:sz="12" w:space="0" w:color="D9D9D9" w:themeColor="background1" w:themeShade="D9"/>
              <w:bottom w:val="nil"/>
            </w:tcBorders>
          </w:tcPr>
          <w:p w14:paraId="0F82A471" w14:textId="11AF393B" w:rsidR="00FB08CF" w:rsidRPr="00AF026E" w:rsidRDefault="00DC0002" w:rsidP="00A75046">
            <w:pPr>
              <w:spacing w:before="60" w:after="60"/>
              <w:ind w:left="0"/>
              <w:rPr>
                <w:sz w:val="20"/>
              </w:rPr>
            </w:pPr>
            <w:hyperlink r:id="rId12" w:history="1">
              <w:r w:rsidR="00FB08CF" w:rsidRPr="00755827">
                <w:rPr>
                  <w:rStyle w:val="Hyperlink"/>
                  <w:rFonts w:cs="Arial"/>
                  <w:sz w:val="20"/>
                </w:rPr>
                <w:t>The Education Services for Overseas Students Act 2000 (ESOS</w:t>
              </w:r>
              <w:r w:rsidR="003760A0" w:rsidRPr="00755827">
                <w:rPr>
                  <w:rStyle w:val="Hyperlink"/>
                  <w:rFonts w:cs="Arial"/>
                  <w:sz w:val="20"/>
                </w:rPr>
                <w:t>)</w:t>
              </w:r>
              <w:r w:rsidR="00FB08CF" w:rsidRPr="00755827">
                <w:rPr>
                  <w:rStyle w:val="Hyperlink"/>
                  <w:rFonts w:cs="Arial"/>
                  <w:sz w:val="20"/>
                </w:rPr>
                <w:t xml:space="preserve"> Act</w:t>
              </w:r>
            </w:hyperlink>
          </w:p>
          <w:p w14:paraId="13C39F19" w14:textId="6D184BAD" w:rsidR="001F2247" w:rsidRPr="00AF026E" w:rsidRDefault="00DC0002" w:rsidP="00A75046">
            <w:pPr>
              <w:spacing w:before="60" w:after="60"/>
              <w:ind w:left="0"/>
              <w:rPr>
                <w:rStyle w:val="Hyperlink"/>
                <w:rFonts w:cs="Arial"/>
                <w:color w:val="auto"/>
                <w:sz w:val="20"/>
              </w:rPr>
            </w:pPr>
            <w:hyperlink r:id="rId13" w:history="1">
              <w:r w:rsidR="00A75046" w:rsidRPr="0013323E">
                <w:rPr>
                  <w:rStyle w:val="Hyperlink"/>
                  <w:rFonts w:cs="Arial"/>
                  <w:sz w:val="20"/>
                </w:rPr>
                <w:t xml:space="preserve">National Code of Practice for Providers of Education and Training to Overseas Students </w:t>
              </w:r>
              <w:r w:rsidR="00E17934" w:rsidRPr="0013323E">
                <w:rPr>
                  <w:rStyle w:val="Hyperlink"/>
                  <w:rFonts w:cs="Arial"/>
                  <w:sz w:val="20"/>
                </w:rPr>
                <w:t>2018</w:t>
              </w:r>
            </w:hyperlink>
          </w:p>
          <w:p w14:paraId="74D7EBA1" w14:textId="4AEFAA9C" w:rsidR="00A75046" w:rsidRPr="0013323E" w:rsidRDefault="00A73F05" w:rsidP="00A75046">
            <w:pPr>
              <w:spacing w:before="60" w:after="60"/>
              <w:ind w:left="0"/>
              <w:rPr>
                <w:rFonts w:cs="Arial"/>
                <w:sz w:val="20"/>
              </w:rPr>
            </w:pPr>
            <w:r w:rsidRPr="0013323E">
              <w:rPr>
                <w:rFonts w:cs="Arial"/>
                <w:sz w:val="20"/>
              </w:rPr>
              <w:t xml:space="preserve">Transfer </w:t>
            </w:r>
            <w:r w:rsidR="00E80564" w:rsidRPr="0013323E">
              <w:rPr>
                <w:rFonts w:cs="Arial"/>
                <w:sz w:val="20"/>
              </w:rPr>
              <w:t>Release Request</w:t>
            </w:r>
          </w:p>
          <w:p w14:paraId="74D7EBA3" w14:textId="2F685D0B" w:rsidR="00A75046" w:rsidRPr="00DC0002" w:rsidRDefault="00DC0002" w:rsidP="00A75046">
            <w:pPr>
              <w:spacing w:before="60" w:after="60"/>
              <w:ind w:left="0"/>
              <w:rPr>
                <w:rStyle w:val="Hyperlink"/>
                <w:rFonts w:cs="Arial"/>
                <w:sz w:val="20"/>
              </w:rPr>
            </w:pPr>
            <w:r>
              <w:rPr>
                <w:rFonts w:cs="Arial"/>
                <w:sz w:val="20"/>
              </w:rPr>
              <w:fldChar w:fldCharType="begin"/>
            </w:r>
            <w:r>
              <w:rPr>
                <w:rFonts w:cs="Arial"/>
                <w:sz w:val="20"/>
              </w:rPr>
              <w:instrText>HYPERLINK "https://sharepointpubstor.blob.core.windows.net/policylibrary-prod/Admission%20Policy.pdf"</w:instrText>
            </w:r>
            <w:r>
              <w:rPr>
                <w:rFonts w:cs="Arial"/>
                <w:sz w:val="20"/>
              </w:rPr>
            </w:r>
            <w:r>
              <w:rPr>
                <w:rFonts w:cs="Arial"/>
                <w:sz w:val="20"/>
              </w:rPr>
              <w:fldChar w:fldCharType="separate"/>
            </w:r>
            <w:r w:rsidRPr="00DC0002">
              <w:rPr>
                <w:rStyle w:val="Hyperlink"/>
                <w:rFonts w:cs="Arial"/>
                <w:sz w:val="20"/>
              </w:rPr>
              <w:t>A</w:t>
            </w:r>
            <w:r w:rsidRPr="00DC0002">
              <w:rPr>
                <w:rStyle w:val="Hyperlink"/>
                <w:sz w:val="20"/>
              </w:rPr>
              <w:t>dmission</w:t>
            </w:r>
            <w:r w:rsidRPr="00DC0002">
              <w:rPr>
                <w:rStyle w:val="Hyperlink"/>
                <w:rFonts w:cs="Arial"/>
                <w:sz w:val="20"/>
              </w:rPr>
              <w:t xml:space="preserve"> </w:t>
            </w:r>
            <w:r w:rsidRPr="00DC0002">
              <w:rPr>
                <w:rStyle w:val="Hyperlink"/>
                <w:sz w:val="20"/>
              </w:rPr>
              <w:t>Policy</w:t>
            </w:r>
          </w:p>
          <w:p w14:paraId="5B92C760" w14:textId="4565EF31" w:rsidR="00EE48BF" w:rsidRDefault="00DC0002" w:rsidP="00A75046">
            <w:pPr>
              <w:spacing w:before="60" w:after="60"/>
              <w:ind w:left="0"/>
              <w:rPr>
                <w:rFonts w:cs="Arial"/>
                <w:sz w:val="20"/>
              </w:rPr>
            </w:pPr>
            <w:r>
              <w:rPr>
                <w:rFonts w:cs="Arial"/>
                <w:sz w:val="20"/>
              </w:rPr>
              <w:fldChar w:fldCharType="end"/>
            </w:r>
            <w:hyperlink r:id="rId14" w:history="1">
              <w:r w:rsidR="00EE48BF" w:rsidRPr="00C243AA">
                <w:rPr>
                  <w:rStyle w:val="Hyperlink"/>
                  <w:rFonts w:cs="Arial"/>
                  <w:sz w:val="20"/>
                </w:rPr>
                <w:t>Student Review and Appeals Policy</w:t>
              </w:r>
            </w:hyperlink>
          </w:p>
          <w:p w14:paraId="289FB9D1" w14:textId="58586DDE" w:rsidR="00EE48BF" w:rsidRDefault="00DC0002" w:rsidP="00A75046">
            <w:pPr>
              <w:spacing w:before="60" w:after="60"/>
              <w:ind w:left="0"/>
              <w:rPr>
                <w:rFonts w:cs="Arial"/>
                <w:sz w:val="20"/>
              </w:rPr>
            </w:pPr>
            <w:hyperlink r:id="rId15" w:history="1">
              <w:r w:rsidR="00EE48BF" w:rsidRPr="00C243AA">
                <w:rPr>
                  <w:rStyle w:val="Hyperlink"/>
                  <w:rFonts w:cs="Arial"/>
                  <w:sz w:val="20"/>
                </w:rPr>
                <w:t>Student Review and Appeals Procedures</w:t>
              </w:r>
            </w:hyperlink>
          </w:p>
          <w:p w14:paraId="51AA5EFF" w14:textId="0627A594" w:rsidR="009336A5" w:rsidRPr="00AF026E" w:rsidRDefault="000F3EF3" w:rsidP="00A75046">
            <w:pPr>
              <w:spacing w:before="60" w:after="60"/>
              <w:ind w:left="0"/>
              <w:rPr>
                <w:rStyle w:val="Hyperlink"/>
                <w:rFonts w:cs="Arial"/>
                <w:color w:val="auto"/>
                <w:sz w:val="20"/>
              </w:rPr>
            </w:pPr>
            <w:r>
              <w:rPr>
                <w:rFonts w:cs="Arial"/>
                <w:sz w:val="20"/>
              </w:rPr>
              <w:fldChar w:fldCharType="begin"/>
            </w:r>
            <w:r w:rsidR="0013323E">
              <w:rPr>
                <w:rFonts w:cs="Arial"/>
                <w:sz w:val="20"/>
              </w:rPr>
              <w:instrText>HYPERLINK "https://www.griffith.edu.au/students/student-review-appeal/review-and-appeal-intro"</w:instrText>
            </w:r>
            <w:r>
              <w:rPr>
                <w:rFonts w:cs="Arial"/>
                <w:sz w:val="20"/>
              </w:rPr>
            </w:r>
            <w:r>
              <w:rPr>
                <w:rFonts w:cs="Arial"/>
                <w:sz w:val="20"/>
              </w:rPr>
              <w:fldChar w:fldCharType="separate"/>
            </w:r>
            <w:r w:rsidR="009336A5" w:rsidRPr="000F3EF3">
              <w:rPr>
                <w:rStyle w:val="Hyperlink"/>
                <w:rFonts w:cs="Arial"/>
                <w:sz w:val="20"/>
              </w:rPr>
              <w:t>Review of a Decision Form</w:t>
            </w:r>
          </w:p>
          <w:p w14:paraId="74D7EBA4" w14:textId="684B73B4" w:rsidR="00A75046" w:rsidRDefault="000F3EF3" w:rsidP="00A75046">
            <w:pPr>
              <w:spacing w:before="60" w:after="60"/>
              <w:ind w:left="0"/>
              <w:rPr>
                <w:rFonts w:cs="Arial"/>
                <w:sz w:val="20"/>
              </w:rPr>
            </w:pPr>
            <w:r>
              <w:rPr>
                <w:rFonts w:cs="Arial"/>
                <w:sz w:val="20"/>
              </w:rPr>
              <w:fldChar w:fldCharType="end"/>
            </w:r>
            <w:hyperlink r:id="rId16" w:history="1">
              <w:r w:rsidR="00A75046" w:rsidRPr="003B5CB5">
                <w:rPr>
                  <w:rStyle w:val="Hyperlink"/>
                  <w:rFonts w:cs="Arial"/>
                  <w:sz w:val="20"/>
                </w:rPr>
                <w:t>Fees and Charges P</w:t>
              </w:r>
              <w:r w:rsidR="003B5CB5" w:rsidRPr="003B5CB5">
                <w:rPr>
                  <w:rStyle w:val="Hyperlink"/>
                  <w:rFonts w:cs="Arial"/>
                  <w:sz w:val="20"/>
                </w:rPr>
                <w:t>rocedure</w:t>
              </w:r>
            </w:hyperlink>
          </w:p>
          <w:p w14:paraId="31A2AC24" w14:textId="67DAD51E" w:rsidR="009326FD" w:rsidRPr="00A75046" w:rsidRDefault="00DC0002" w:rsidP="00A75046">
            <w:pPr>
              <w:spacing w:before="60" w:after="60"/>
              <w:ind w:left="0"/>
              <w:rPr>
                <w:rFonts w:cs="Arial"/>
                <w:sz w:val="20"/>
              </w:rPr>
            </w:pPr>
            <w:hyperlink r:id="rId17" w:history="1">
              <w:r w:rsidR="009326FD" w:rsidRPr="009326FD">
                <w:rPr>
                  <w:rStyle w:val="Hyperlink"/>
                  <w:rFonts w:cs="Arial"/>
                  <w:sz w:val="20"/>
                </w:rPr>
                <w:t>Fees and Charges Schedules</w:t>
              </w:r>
            </w:hyperlink>
          </w:p>
          <w:p w14:paraId="74D7EBA7" w14:textId="04C464BB" w:rsidR="0002656D" w:rsidRPr="00A04718" w:rsidRDefault="00DC0002" w:rsidP="00A75046">
            <w:pPr>
              <w:spacing w:before="60" w:after="60"/>
              <w:ind w:left="0"/>
              <w:rPr>
                <w:rFonts w:cs="Arial"/>
                <w:sz w:val="20"/>
              </w:rPr>
            </w:pPr>
            <w:hyperlink r:id="rId18" w:history="1">
              <w:r w:rsidR="00A75046" w:rsidRPr="00E278CC">
                <w:rPr>
                  <w:rStyle w:val="Hyperlink"/>
                  <w:rFonts w:cs="Arial"/>
                  <w:sz w:val="20"/>
                </w:rPr>
                <w:t>International Refund Request Form</w:t>
              </w:r>
            </w:hyperlink>
          </w:p>
        </w:tc>
      </w:tr>
      <w:tr w:rsidR="00B86B55" w:rsidRPr="00474FF5" w14:paraId="74D7EBAA"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74D7EBA9" w14:textId="7CC6F30E" w:rsidR="00B86B55" w:rsidRPr="00474FF5" w:rsidRDefault="00A75046" w:rsidP="00F105AD">
            <w:pPr>
              <w:spacing w:before="60" w:after="60"/>
              <w:ind w:left="0"/>
              <w:rPr>
                <w:rFonts w:cs="Arial"/>
                <w:sz w:val="20"/>
              </w:rPr>
            </w:pPr>
            <w:r w:rsidRPr="00A75046">
              <w:rPr>
                <w:sz w:val="20"/>
              </w:rPr>
              <w:t>[</w:t>
            </w:r>
            <w:hyperlink w:anchor="legislativerequirements" w:history="1">
              <w:r w:rsidRPr="00DD16D1">
                <w:rPr>
                  <w:rStyle w:val="Hyperlink"/>
                  <w:sz w:val="20"/>
                </w:rPr>
                <w:t>Legislative Requirements</w:t>
              </w:r>
            </w:hyperlink>
            <w:r w:rsidRPr="00A75046">
              <w:rPr>
                <w:sz w:val="20"/>
              </w:rPr>
              <w:t>] [</w:t>
            </w:r>
            <w:hyperlink w:anchor="provisionofletterofrelease" w:history="1">
              <w:r w:rsidRPr="00DD16D1">
                <w:rPr>
                  <w:rStyle w:val="Hyperlink"/>
                  <w:sz w:val="20"/>
                </w:rPr>
                <w:t>Provision of Release</w:t>
              </w:r>
            </w:hyperlink>
            <w:r w:rsidRPr="00A75046">
              <w:rPr>
                <w:sz w:val="20"/>
              </w:rPr>
              <w:t>]</w:t>
            </w:r>
            <w:r w:rsidR="00DD16D1" w:rsidRPr="00A75046">
              <w:rPr>
                <w:sz w:val="20"/>
              </w:rPr>
              <w:t xml:space="preserve"> </w:t>
            </w:r>
            <w:r w:rsidR="00DD16D1">
              <w:rPr>
                <w:sz w:val="20"/>
              </w:rPr>
              <w:t>[</w:t>
            </w:r>
            <w:hyperlink w:anchor="procedure" w:history="1">
              <w:r w:rsidR="00DD16D1" w:rsidRPr="00DD16D1">
                <w:rPr>
                  <w:rStyle w:val="Hyperlink"/>
                  <w:sz w:val="20"/>
                </w:rPr>
                <w:t>Procedure</w:t>
              </w:r>
            </w:hyperlink>
            <w:r w:rsidR="00DD16D1">
              <w:rPr>
                <w:sz w:val="20"/>
              </w:rPr>
              <w:t xml:space="preserve">] </w:t>
            </w:r>
            <w:r w:rsidR="00F105AD" w:rsidRPr="00A75046">
              <w:rPr>
                <w:sz w:val="20"/>
              </w:rPr>
              <w:t>[</w:t>
            </w:r>
            <w:hyperlink w:anchor="cancellation" w:history="1">
              <w:r w:rsidR="00F105AD">
                <w:rPr>
                  <w:rStyle w:val="Hyperlink"/>
                  <w:sz w:val="20"/>
                </w:rPr>
                <w:t>Review of Decision</w:t>
              </w:r>
            </w:hyperlink>
            <w:r w:rsidR="00F105AD" w:rsidRPr="00A75046">
              <w:rPr>
                <w:sz w:val="20"/>
              </w:rPr>
              <w:t xml:space="preserve">] </w:t>
            </w:r>
            <w:r w:rsidR="00DD16D1" w:rsidRPr="00A75046">
              <w:rPr>
                <w:sz w:val="20"/>
              </w:rPr>
              <w:t>[</w:t>
            </w:r>
            <w:hyperlink w:anchor="cancellation" w:history="1">
              <w:r w:rsidR="00FB08CF">
                <w:rPr>
                  <w:rStyle w:val="Hyperlink"/>
                  <w:sz w:val="20"/>
                </w:rPr>
                <w:t xml:space="preserve">Cancellation of Enrolment and </w:t>
              </w:r>
              <w:r w:rsidR="00DD16D1" w:rsidRPr="00DD16D1">
                <w:rPr>
                  <w:rStyle w:val="Hyperlink"/>
                  <w:sz w:val="20"/>
                </w:rPr>
                <w:t>Refunds</w:t>
              </w:r>
            </w:hyperlink>
            <w:r w:rsidR="00DD16D1" w:rsidRPr="00A75046">
              <w:rPr>
                <w:sz w:val="20"/>
              </w:rPr>
              <w:t>]</w:t>
            </w:r>
          </w:p>
        </w:tc>
      </w:tr>
    </w:tbl>
    <w:p w14:paraId="74D7EBAB" w14:textId="77777777" w:rsidR="00E20578" w:rsidRPr="00B34D13" w:rsidRDefault="00A75046" w:rsidP="00DD16D1">
      <w:pPr>
        <w:numPr>
          <w:ilvl w:val="0"/>
          <w:numId w:val="2"/>
        </w:numPr>
        <w:spacing w:before="100" w:beforeAutospacing="1" w:after="240"/>
        <w:rPr>
          <w:rFonts w:cs="Arial"/>
          <w:b/>
          <w:caps/>
          <w:sz w:val="24"/>
          <w:szCs w:val="24"/>
        </w:rPr>
      </w:pPr>
      <w:bookmarkStart w:id="0" w:name="legislativerequirements"/>
      <w:bookmarkEnd w:id="0"/>
      <w:r w:rsidRPr="00A75046">
        <w:rPr>
          <w:b/>
          <w:caps/>
          <w:sz w:val="24"/>
          <w:szCs w:val="24"/>
        </w:rPr>
        <w:t>Legislative Requirements</w:t>
      </w:r>
    </w:p>
    <w:p w14:paraId="0FD06D4D" w14:textId="505D7E11" w:rsidR="00643C9D" w:rsidRDefault="00643C9D" w:rsidP="002A6AA2">
      <w:pPr>
        <w:rPr>
          <w:rFonts w:cs="Arial"/>
          <w:sz w:val="20"/>
        </w:rPr>
      </w:pPr>
      <w:r>
        <w:rPr>
          <w:rFonts w:cs="Arial"/>
          <w:sz w:val="20"/>
        </w:rPr>
        <w:t>The Education Services for Overseas Students Act 2000 (ESOS Act) and</w:t>
      </w:r>
      <w:r w:rsidR="00C9025C">
        <w:rPr>
          <w:rFonts w:cs="Arial"/>
          <w:sz w:val="20"/>
        </w:rPr>
        <w:t xml:space="preserve"> Standard 7 of the</w:t>
      </w:r>
      <w:r>
        <w:rPr>
          <w:rFonts w:cs="Arial"/>
          <w:sz w:val="20"/>
        </w:rPr>
        <w:t xml:space="preserve"> associated National Code of Practice </w:t>
      </w:r>
      <w:r w:rsidR="00E17934">
        <w:rPr>
          <w:rFonts w:cs="Arial"/>
          <w:sz w:val="20"/>
        </w:rPr>
        <w:t xml:space="preserve">2018 </w:t>
      </w:r>
      <w:r>
        <w:rPr>
          <w:rFonts w:cs="Arial"/>
          <w:sz w:val="20"/>
        </w:rPr>
        <w:t xml:space="preserve">requires registered providers to assess requests from students for a transfer between registered providers prior to the student completing six months of their principal program. The principal program </w:t>
      </w:r>
      <w:r w:rsidR="001B7E4C">
        <w:rPr>
          <w:rFonts w:cs="Arial"/>
          <w:sz w:val="20"/>
        </w:rPr>
        <w:t xml:space="preserve">is the main program of study to be undertaken by an </w:t>
      </w:r>
      <w:r w:rsidR="00D7348C">
        <w:rPr>
          <w:rFonts w:cs="Arial"/>
          <w:sz w:val="20"/>
        </w:rPr>
        <w:t>international</w:t>
      </w:r>
      <w:r w:rsidR="001B7E4C">
        <w:rPr>
          <w:rFonts w:cs="Arial"/>
          <w:sz w:val="20"/>
        </w:rPr>
        <w:t xml:space="preserve"> student where the student visa has been issued for multiple courses, and is usually the final program of study</w:t>
      </w:r>
      <w:r>
        <w:rPr>
          <w:rFonts w:cs="Arial"/>
          <w:sz w:val="20"/>
        </w:rPr>
        <w:t>.</w:t>
      </w:r>
      <w:r w:rsidR="00F37ECA">
        <w:rPr>
          <w:rFonts w:cs="Arial"/>
          <w:sz w:val="20"/>
        </w:rPr>
        <w:t xml:space="preserve"> </w:t>
      </w:r>
      <w:r w:rsidR="001B7E4C">
        <w:rPr>
          <w:rFonts w:cs="Arial"/>
          <w:sz w:val="20"/>
        </w:rPr>
        <w:t xml:space="preserve">The first six months is calculated as six calendar months from the date an </w:t>
      </w:r>
      <w:r w:rsidR="008003C0">
        <w:rPr>
          <w:rFonts w:cs="Arial"/>
          <w:sz w:val="20"/>
        </w:rPr>
        <w:t>international</w:t>
      </w:r>
      <w:r w:rsidR="001B7E4C">
        <w:rPr>
          <w:rFonts w:cs="Arial"/>
          <w:sz w:val="20"/>
        </w:rPr>
        <w:t xml:space="preserve"> student commences their principal program. </w:t>
      </w:r>
      <w:r w:rsidR="008B301A">
        <w:rPr>
          <w:rFonts w:cs="Arial"/>
          <w:sz w:val="20"/>
        </w:rPr>
        <w:t xml:space="preserve">This means that transfer restrictions apply to an </w:t>
      </w:r>
      <w:r w:rsidR="008003C0">
        <w:rPr>
          <w:rFonts w:cs="Arial"/>
          <w:sz w:val="20"/>
        </w:rPr>
        <w:t>international</w:t>
      </w:r>
      <w:r w:rsidR="008B301A">
        <w:rPr>
          <w:rFonts w:cs="Arial"/>
          <w:sz w:val="20"/>
        </w:rPr>
        <w:t xml:space="preserve"> student during all </w:t>
      </w:r>
      <w:r w:rsidR="00C9025C">
        <w:rPr>
          <w:rFonts w:cs="Arial"/>
          <w:sz w:val="20"/>
        </w:rPr>
        <w:t>programs</w:t>
      </w:r>
      <w:r w:rsidR="008B301A">
        <w:rPr>
          <w:rFonts w:cs="Arial"/>
          <w:sz w:val="20"/>
        </w:rPr>
        <w:t xml:space="preserve"> they undertake prior to the principal program. </w:t>
      </w:r>
      <w:r w:rsidR="00F37ECA">
        <w:rPr>
          <w:rFonts w:cs="Arial"/>
          <w:sz w:val="20"/>
        </w:rPr>
        <w:t>No restrictions apply after the student has completed six months of their principal program.</w:t>
      </w:r>
    </w:p>
    <w:p w14:paraId="0BDBC530" w14:textId="445044F3" w:rsidR="00E456FA" w:rsidRDefault="00E456FA" w:rsidP="002A6AA2">
      <w:pPr>
        <w:rPr>
          <w:rFonts w:cs="Arial"/>
          <w:sz w:val="20"/>
        </w:rPr>
      </w:pPr>
      <w:r>
        <w:rPr>
          <w:rFonts w:cs="Arial"/>
          <w:sz w:val="20"/>
        </w:rPr>
        <w:t>For an international student to transfer before completing six months of their principal program, the international student must obtain a release from their registered provider by meeting one of the circumstances</w:t>
      </w:r>
      <w:r w:rsidR="00A731D0">
        <w:rPr>
          <w:rFonts w:cs="Arial"/>
          <w:sz w:val="20"/>
        </w:rPr>
        <w:t xml:space="preserve"> as set out in 2.1</w:t>
      </w:r>
      <w:r>
        <w:rPr>
          <w:rFonts w:cs="Arial"/>
          <w:sz w:val="20"/>
        </w:rPr>
        <w:t xml:space="preserve"> for approving a release</w:t>
      </w:r>
      <w:r w:rsidR="00622235">
        <w:rPr>
          <w:rFonts w:cs="Arial"/>
          <w:sz w:val="20"/>
        </w:rPr>
        <w:t>.</w:t>
      </w:r>
    </w:p>
    <w:p w14:paraId="74D7EBB4" w14:textId="1B80DDE4" w:rsidR="00DD16D1" w:rsidRPr="00EE48BF" w:rsidRDefault="00DD16D1" w:rsidP="00EE48BF">
      <w:pPr>
        <w:pStyle w:val="ListParagraph"/>
        <w:numPr>
          <w:ilvl w:val="0"/>
          <w:numId w:val="4"/>
        </w:numPr>
        <w:tabs>
          <w:tab w:val="left" w:pos="1134"/>
        </w:tabs>
        <w:rPr>
          <w:rFonts w:cs="Arial"/>
          <w:sz w:val="20"/>
        </w:rPr>
      </w:pPr>
      <w:r w:rsidRPr="00EE48BF">
        <w:rPr>
          <w:b/>
          <w:caps/>
          <w:sz w:val="24"/>
          <w:szCs w:val="24"/>
        </w:rPr>
        <w:br w:type="page"/>
      </w:r>
    </w:p>
    <w:p w14:paraId="74D7EBB5" w14:textId="2DBA389B" w:rsidR="00B35FB8" w:rsidRPr="00B34D13" w:rsidRDefault="00A75046" w:rsidP="00DD16D1">
      <w:pPr>
        <w:numPr>
          <w:ilvl w:val="0"/>
          <w:numId w:val="2"/>
        </w:numPr>
        <w:spacing w:before="100" w:beforeAutospacing="1" w:after="240"/>
        <w:rPr>
          <w:rFonts w:cs="Arial"/>
          <w:b/>
          <w:caps/>
          <w:sz w:val="24"/>
          <w:szCs w:val="24"/>
        </w:rPr>
      </w:pPr>
      <w:bookmarkStart w:id="1" w:name="provisionofletterofrelease"/>
      <w:bookmarkEnd w:id="1"/>
      <w:r w:rsidRPr="00A75046">
        <w:rPr>
          <w:b/>
          <w:caps/>
          <w:sz w:val="24"/>
          <w:szCs w:val="24"/>
        </w:rPr>
        <w:lastRenderedPageBreak/>
        <w:t xml:space="preserve">Provision of </w:t>
      </w:r>
      <w:r w:rsidR="009B18A0">
        <w:rPr>
          <w:b/>
          <w:caps/>
          <w:sz w:val="24"/>
          <w:szCs w:val="24"/>
        </w:rPr>
        <w:t xml:space="preserve">A </w:t>
      </w:r>
      <w:r w:rsidRPr="00A75046">
        <w:rPr>
          <w:b/>
          <w:caps/>
          <w:sz w:val="24"/>
          <w:szCs w:val="24"/>
        </w:rPr>
        <w:t>Release</w:t>
      </w:r>
    </w:p>
    <w:p w14:paraId="74D7EBB6" w14:textId="5C1A5166" w:rsidR="00A75046" w:rsidRPr="00A75046" w:rsidRDefault="00C526A0" w:rsidP="00DD16D1">
      <w:pPr>
        <w:numPr>
          <w:ilvl w:val="1"/>
          <w:numId w:val="2"/>
        </w:numPr>
        <w:tabs>
          <w:tab w:val="clear" w:pos="1146"/>
          <w:tab w:val="left" w:pos="1134"/>
        </w:tabs>
        <w:rPr>
          <w:rFonts w:cs="Arial"/>
          <w:b/>
          <w:sz w:val="20"/>
        </w:rPr>
      </w:pPr>
      <w:bookmarkStart w:id="2" w:name="twopointone"/>
      <w:bookmarkEnd w:id="2"/>
      <w:r>
        <w:rPr>
          <w:rFonts w:cs="Arial"/>
          <w:b/>
          <w:sz w:val="20"/>
        </w:rPr>
        <w:t>Circumstances</w:t>
      </w:r>
      <w:r w:rsidR="00A75046" w:rsidRPr="00A75046">
        <w:rPr>
          <w:rFonts w:cs="Arial"/>
          <w:b/>
          <w:sz w:val="20"/>
        </w:rPr>
        <w:t xml:space="preserve"> for </w:t>
      </w:r>
      <w:r>
        <w:rPr>
          <w:rFonts w:cs="Arial"/>
          <w:b/>
          <w:sz w:val="20"/>
        </w:rPr>
        <w:t xml:space="preserve">Approving </w:t>
      </w:r>
      <w:r w:rsidR="00151FFD">
        <w:rPr>
          <w:rFonts w:cs="Arial"/>
          <w:b/>
          <w:sz w:val="20"/>
        </w:rPr>
        <w:t xml:space="preserve">a </w:t>
      </w:r>
      <w:r w:rsidR="00A75046" w:rsidRPr="00A75046">
        <w:rPr>
          <w:rFonts w:cs="Arial"/>
          <w:b/>
          <w:sz w:val="20"/>
        </w:rPr>
        <w:t>Release</w:t>
      </w:r>
    </w:p>
    <w:p w14:paraId="74D7EBB7" w14:textId="5CDD8CFD" w:rsidR="00A75046" w:rsidRDefault="00A75046" w:rsidP="00A75046">
      <w:pPr>
        <w:tabs>
          <w:tab w:val="left" w:pos="1134"/>
        </w:tabs>
        <w:ind w:left="1146"/>
        <w:rPr>
          <w:rFonts w:cs="Arial"/>
          <w:sz w:val="20"/>
        </w:rPr>
      </w:pPr>
      <w:r w:rsidRPr="00A75046">
        <w:rPr>
          <w:rFonts w:cs="Arial"/>
          <w:sz w:val="20"/>
        </w:rPr>
        <w:t xml:space="preserve">The University </w:t>
      </w:r>
      <w:r w:rsidR="00D6060F">
        <w:rPr>
          <w:rFonts w:cs="Arial"/>
          <w:sz w:val="20"/>
        </w:rPr>
        <w:t>may</w:t>
      </w:r>
      <w:r w:rsidR="00D6060F" w:rsidRPr="00A75046">
        <w:rPr>
          <w:rFonts w:cs="Arial"/>
          <w:sz w:val="20"/>
        </w:rPr>
        <w:t xml:space="preserve"> </w:t>
      </w:r>
      <w:r w:rsidRPr="00A75046">
        <w:rPr>
          <w:rFonts w:cs="Arial"/>
          <w:sz w:val="20"/>
        </w:rPr>
        <w:t xml:space="preserve">provide a </w:t>
      </w:r>
      <w:r w:rsidR="002B7F5A">
        <w:rPr>
          <w:rFonts w:cs="Arial"/>
          <w:sz w:val="20"/>
        </w:rPr>
        <w:t>r</w:t>
      </w:r>
      <w:r w:rsidR="002B7F5A" w:rsidRPr="00A75046">
        <w:rPr>
          <w:rFonts w:cs="Arial"/>
          <w:sz w:val="20"/>
        </w:rPr>
        <w:t xml:space="preserve">elease </w:t>
      </w:r>
      <w:r w:rsidRPr="00A75046">
        <w:rPr>
          <w:rFonts w:cs="Arial"/>
          <w:sz w:val="20"/>
        </w:rPr>
        <w:t>at no cost to an international student</w:t>
      </w:r>
      <w:r w:rsidR="001B10D1">
        <w:rPr>
          <w:rFonts w:cs="Arial"/>
          <w:sz w:val="20"/>
        </w:rPr>
        <w:t xml:space="preserve"> visa holder</w:t>
      </w:r>
      <w:r w:rsidRPr="00A75046">
        <w:rPr>
          <w:rFonts w:cs="Arial"/>
          <w:sz w:val="20"/>
        </w:rPr>
        <w:t xml:space="preserve"> </w:t>
      </w:r>
      <w:r w:rsidR="00C526A0">
        <w:rPr>
          <w:rFonts w:cs="Arial"/>
          <w:sz w:val="20"/>
        </w:rPr>
        <w:t>under</w:t>
      </w:r>
      <w:r w:rsidRPr="00A75046">
        <w:rPr>
          <w:rFonts w:cs="Arial"/>
          <w:sz w:val="20"/>
        </w:rPr>
        <w:t xml:space="preserve"> the following </w:t>
      </w:r>
      <w:r w:rsidR="00C526A0">
        <w:rPr>
          <w:rFonts w:cs="Arial"/>
          <w:sz w:val="20"/>
        </w:rPr>
        <w:t>circumstances</w:t>
      </w:r>
      <w:r w:rsidRPr="00A75046">
        <w:rPr>
          <w:rFonts w:cs="Arial"/>
          <w:sz w:val="20"/>
        </w:rPr>
        <w:t>:</w:t>
      </w:r>
    </w:p>
    <w:tbl>
      <w:tblPr>
        <w:tblStyle w:val="TableGrid2"/>
        <w:tblW w:w="0" w:type="auto"/>
        <w:tblInd w:w="1146" w:type="dxa"/>
        <w:tblLook w:val="04A0" w:firstRow="1" w:lastRow="0" w:firstColumn="1" w:lastColumn="0" w:noHBand="0" w:noVBand="1"/>
      </w:tblPr>
      <w:tblGrid>
        <w:gridCol w:w="4637"/>
        <w:gridCol w:w="3732"/>
      </w:tblGrid>
      <w:tr w:rsidR="00000684" w:rsidRPr="00000684" w14:paraId="5752DDDC" w14:textId="77777777" w:rsidTr="002A0BFB">
        <w:tc>
          <w:tcPr>
            <w:tcW w:w="4774" w:type="dxa"/>
            <w:shd w:val="clear" w:color="auto" w:fill="BFBFBF" w:themeFill="background1" w:themeFillShade="BF"/>
          </w:tcPr>
          <w:p w14:paraId="36732C6B" w14:textId="3A76AE96" w:rsidR="00000684" w:rsidRPr="00816912" w:rsidRDefault="00000684" w:rsidP="007B048B">
            <w:pPr>
              <w:tabs>
                <w:tab w:val="left" w:pos="1134"/>
              </w:tabs>
              <w:ind w:left="0"/>
              <w:rPr>
                <w:rFonts w:cs="Arial"/>
                <w:b/>
                <w:sz w:val="20"/>
              </w:rPr>
            </w:pPr>
            <w:r w:rsidRPr="00816912">
              <w:rPr>
                <w:rFonts w:cs="Arial"/>
                <w:b/>
                <w:sz w:val="20"/>
              </w:rPr>
              <w:t>Circumstances for Approving a Release Request</w:t>
            </w:r>
          </w:p>
        </w:tc>
        <w:tc>
          <w:tcPr>
            <w:tcW w:w="3821" w:type="dxa"/>
            <w:shd w:val="clear" w:color="auto" w:fill="BFBFBF" w:themeFill="background1" w:themeFillShade="BF"/>
          </w:tcPr>
          <w:p w14:paraId="7B7BCC20" w14:textId="77777777" w:rsidR="00000684" w:rsidRPr="00816912" w:rsidRDefault="00000684" w:rsidP="00000684">
            <w:pPr>
              <w:tabs>
                <w:tab w:val="left" w:pos="1134"/>
              </w:tabs>
              <w:ind w:left="0"/>
              <w:rPr>
                <w:rFonts w:cs="Arial"/>
                <w:b/>
                <w:sz w:val="20"/>
              </w:rPr>
            </w:pPr>
            <w:r w:rsidRPr="00816912">
              <w:rPr>
                <w:rFonts w:cs="Arial"/>
                <w:b/>
                <w:sz w:val="20"/>
              </w:rPr>
              <w:t>Supporting Documentation Required</w:t>
            </w:r>
          </w:p>
        </w:tc>
      </w:tr>
      <w:tr w:rsidR="00000684" w:rsidRPr="00000684" w14:paraId="1CFFB7C6" w14:textId="77777777" w:rsidTr="002A0BFB">
        <w:tc>
          <w:tcPr>
            <w:tcW w:w="4774" w:type="dxa"/>
          </w:tcPr>
          <w:p w14:paraId="211632E4" w14:textId="271775FE" w:rsidR="00000684" w:rsidRPr="00000684" w:rsidRDefault="00000684" w:rsidP="00000684">
            <w:pPr>
              <w:tabs>
                <w:tab w:val="left" w:pos="1134"/>
              </w:tabs>
              <w:ind w:left="0"/>
              <w:rPr>
                <w:rFonts w:cs="Arial"/>
                <w:sz w:val="20"/>
              </w:rPr>
            </w:pPr>
            <w:r w:rsidRPr="00000684">
              <w:rPr>
                <w:rFonts w:cs="Arial"/>
                <w:sz w:val="20"/>
              </w:rPr>
              <w:t xml:space="preserve">The </w:t>
            </w:r>
            <w:r w:rsidR="00C635C5">
              <w:rPr>
                <w:rFonts w:cs="Arial"/>
                <w:sz w:val="20"/>
              </w:rPr>
              <w:t xml:space="preserve">international </w:t>
            </w:r>
            <w:r w:rsidRPr="00000684">
              <w:rPr>
                <w:rFonts w:cs="Arial"/>
                <w:sz w:val="20"/>
              </w:rPr>
              <w:t>student is currently studying at a Griffith University pathway provider and they support the student’s transfer to another provider in accordance with this policy.</w:t>
            </w:r>
          </w:p>
        </w:tc>
        <w:tc>
          <w:tcPr>
            <w:tcW w:w="3821" w:type="dxa"/>
          </w:tcPr>
          <w:p w14:paraId="6BAB12DE" w14:textId="761480D0" w:rsidR="00000684" w:rsidRPr="00000684" w:rsidRDefault="00000684" w:rsidP="007B048B">
            <w:pPr>
              <w:tabs>
                <w:tab w:val="left" w:pos="1134"/>
              </w:tabs>
              <w:ind w:left="0"/>
              <w:rPr>
                <w:rFonts w:cs="Arial"/>
                <w:sz w:val="20"/>
              </w:rPr>
            </w:pPr>
            <w:r w:rsidRPr="00000684">
              <w:rPr>
                <w:rFonts w:cs="Arial"/>
                <w:sz w:val="20"/>
              </w:rPr>
              <w:t>An approved release</w:t>
            </w:r>
            <w:r w:rsidR="007B048B">
              <w:rPr>
                <w:rFonts w:cs="Arial"/>
                <w:sz w:val="20"/>
              </w:rPr>
              <w:t xml:space="preserve"> </w:t>
            </w:r>
            <w:r w:rsidR="00822949">
              <w:rPr>
                <w:rFonts w:cs="Arial"/>
                <w:sz w:val="20"/>
              </w:rPr>
              <w:t>notification</w:t>
            </w:r>
            <w:r w:rsidRPr="00000684">
              <w:rPr>
                <w:rFonts w:cs="Arial"/>
                <w:sz w:val="20"/>
              </w:rPr>
              <w:t>/written support from pathway provider.</w:t>
            </w:r>
          </w:p>
        </w:tc>
      </w:tr>
      <w:tr w:rsidR="00000684" w:rsidRPr="00000684" w14:paraId="6CEA814B" w14:textId="77777777" w:rsidTr="002A0BFB">
        <w:tc>
          <w:tcPr>
            <w:tcW w:w="4774" w:type="dxa"/>
          </w:tcPr>
          <w:p w14:paraId="1939FAC7" w14:textId="3CA1D28E" w:rsidR="00000684" w:rsidRPr="00000684" w:rsidRDefault="00000684" w:rsidP="00000684">
            <w:pPr>
              <w:tabs>
                <w:tab w:val="left" w:pos="1134"/>
              </w:tabs>
              <w:ind w:left="0"/>
              <w:rPr>
                <w:rFonts w:cs="Arial"/>
                <w:sz w:val="20"/>
              </w:rPr>
            </w:pPr>
            <w:r w:rsidRPr="00000684">
              <w:rPr>
                <w:rFonts w:cs="Arial"/>
                <w:sz w:val="20"/>
              </w:rPr>
              <w:t xml:space="preserve">The </w:t>
            </w:r>
            <w:r w:rsidR="00C635C5">
              <w:rPr>
                <w:rFonts w:cs="Arial"/>
                <w:sz w:val="20"/>
              </w:rPr>
              <w:t xml:space="preserve">international </w:t>
            </w:r>
            <w:r w:rsidRPr="00000684">
              <w:rPr>
                <w:rFonts w:cs="Arial"/>
                <w:sz w:val="20"/>
              </w:rPr>
              <w:t>student is unable to satisfy prescribed conditions stipulated in the University's letter of offer and the University determines the student made a genuine attempt to meet the conditions.</w:t>
            </w:r>
          </w:p>
        </w:tc>
        <w:tc>
          <w:tcPr>
            <w:tcW w:w="3821" w:type="dxa"/>
          </w:tcPr>
          <w:p w14:paraId="60566195" w14:textId="77777777" w:rsidR="00000684" w:rsidRPr="00000684" w:rsidRDefault="00000684" w:rsidP="00000684">
            <w:pPr>
              <w:tabs>
                <w:tab w:val="left" w:pos="1134"/>
              </w:tabs>
              <w:ind w:left="0"/>
              <w:rPr>
                <w:rFonts w:cs="Arial"/>
                <w:sz w:val="20"/>
              </w:rPr>
            </w:pPr>
            <w:r w:rsidRPr="00000684">
              <w:rPr>
                <w:rFonts w:cs="Arial"/>
                <w:sz w:val="20"/>
              </w:rPr>
              <w:t>Evidence such as an IELTS certificate and/or attendance and academic results from pathway provider.</w:t>
            </w:r>
          </w:p>
        </w:tc>
      </w:tr>
      <w:tr w:rsidR="00C635C5" w:rsidRPr="00000684" w14:paraId="5C09E7F3" w14:textId="77777777" w:rsidTr="002A0BFB">
        <w:tc>
          <w:tcPr>
            <w:tcW w:w="4774" w:type="dxa"/>
          </w:tcPr>
          <w:p w14:paraId="03C4A49E" w14:textId="66074DEC" w:rsidR="00C635C5" w:rsidRPr="00000684" w:rsidRDefault="00C635C5" w:rsidP="00000684">
            <w:pPr>
              <w:tabs>
                <w:tab w:val="left" w:pos="1134"/>
              </w:tabs>
              <w:ind w:left="0"/>
              <w:rPr>
                <w:rFonts w:cs="Arial"/>
                <w:sz w:val="20"/>
              </w:rPr>
            </w:pPr>
            <w:r>
              <w:rPr>
                <w:rFonts w:cs="Arial"/>
                <w:sz w:val="20"/>
              </w:rPr>
              <w:t>The international student’s inability to begin studying on the program’s commencement date due to a delay in receiving a student visa.</w:t>
            </w:r>
          </w:p>
        </w:tc>
        <w:tc>
          <w:tcPr>
            <w:tcW w:w="3821" w:type="dxa"/>
          </w:tcPr>
          <w:p w14:paraId="29EBF45A" w14:textId="3463D991" w:rsidR="00C635C5" w:rsidRPr="00000684" w:rsidRDefault="00C635C5" w:rsidP="00000684">
            <w:pPr>
              <w:tabs>
                <w:tab w:val="left" w:pos="1134"/>
              </w:tabs>
              <w:ind w:left="0"/>
              <w:rPr>
                <w:rFonts w:cs="Arial"/>
                <w:sz w:val="20"/>
              </w:rPr>
            </w:pPr>
            <w:r>
              <w:rPr>
                <w:rFonts w:cs="Arial"/>
                <w:sz w:val="20"/>
              </w:rPr>
              <w:t>Evidence of student visa grant date.</w:t>
            </w:r>
          </w:p>
        </w:tc>
      </w:tr>
      <w:tr w:rsidR="00000684" w:rsidRPr="00000684" w14:paraId="5D7E1EB3" w14:textId="77777777" w:rsidTr="002A0BFB">
        <w:tc>
          <w:tcPr>
            <w:tcW w:w="4774" w:type="dxa"/>
          </w:tcPr>
          <w:p w14:paraId="7B6F1739" w14:textId="77777777" w:rsidR="00000684" w:rsidRPr="00000684" w:rsidRDefault="00000684" w:rsidP="004A258B">
            <w:pPr>
              <w:tabs>
                <w:tab w:val="left" w:pos="1134"/>
              </w:tabs>
              <w:ind w:left="0"/>
              <w:rPr>
                <w:rFonts w:cs="Arial"/>
                <w:sz w:val="20"/>
              </w:rPr>
            </w:pPr>
            <w:r w:rsidRPr="00000684">
              <w:rPr>
                <w:rFonts w:cs="Arial"/>
                <w:sz w:val="20"/>
              </w:rPr>
              <w:t>The transfer is considered beneficial to the student’s academic progression. Circumstances considered beneficial include:</w:t>
            </w:r>
          </w:p>
          <w:p w14:paraId="6FDAE502" w14:textId="77777777" w:rsidR="00000684" w:rsidRPr="00000684" w:rsidRDefault="00000684" w:rsidP="00000684">
            <w:pPr>
              <w:numPr>
                <w:ilvl w:val="0"/>
                <w:numId w:val="11"/>
              </w:numPr>
              <w:tabs>
                <w:tab w:val="left" w:pos="1134"/>
              </w:tabs>
              <w:rPr>
                <w:rFonts w:cs="Arial"/>
                <w:sz w:val="20"/>
              </w:rPr>
            </w:pPr>
            <w:r w:rsidRPr="00000684">
              <w:rPr>
                <w:rFonts w:cs="Arial"/>
                <w:sz w:val="20"/>
              </w:rPr>
              <w:t>the transfer represents an opportunity for the student to complete a higher level tertiary qualification.</w:t>
            </w:r>
          </w:p>
          <w:p w14:paraId="3B906EF2" w14:textId="0B9EA0FB" w:rsidR="00000684" w:rsidRPr="00000684" w:rsidRDefault="00000684" w:rsidP="001B798A">
            <w:pPr>
              <w:numPr>
                <w:ilvl w:val="0"/>
                <w:numId w:val="11"/>
              </w:numPr>
              <w:rPr>
                <w:rFonts w:cs="Arial"/>
                <w:sz w:val="20"/>
              </w:rPr>
            </w:pPr>
            <w:r w:rsidRPr="00000684">
              <w:rPr>
                <w:rFonts w:cs="Arial"/>
                <w:sz w:val="20"/>
              </w:rPr>
              <w:t>the student is currently enrolled in their Griffith University degree and is transferring to a qualification not offered at the University.</w:t>
            </w:r>
          </w:p>
        </w:tc>
        <w:tc>
          <w:tcPr>
            <w:tcW w:w="3821" w:type="dxa"/>
          </w:tcPr>
          <w:p w14:paraId="2EFCFF13" w14:textId="77777777" w:rsidR="00000684" w:rsidRPr="00000684" w:rsidRDefault="00000684" w:rsidP="00AF026E">
            <w:pPr>
              <w:spacing w:after="0"/>
              <w:ind w:left="0"/>
              <w:rPr>
                <w:rFonts w:cs="Arial"/>
                <w:sz w:val="20"/>
              </w:rPr>
            </w:pPr>
          </w:p>
          <w:p w14:paraId="762E1F7D" w14:textId="77777777" w:rsidR="004A258B" w:rsidRDefault="004A258B" w:rsidP="004A258B">
            <w:pPr>
              <w:tabs>
                <w:tab w:val="left" w:pos="1134"/>
              </w:tabs>
              <w:spacing w:after="0"/>
              <w:ind w:left="0"/>
              <w:rPr>
                <w:rFonts w:cs="Arial"/>
                <w:sz w:val="20"/>
              </w:rPr>
            </w:pPr>
          </w:p>
          <w:p w14:paraId="381F83A5" w14:textId="77777777" w:rsidR="004A258B" w:rsidRDefault="004A258B" w:rsidP="004A258B">
            <w:pPr>
              <w:tabs>
                <w:tab w:val="left" w:pos="1134"/>
              </w:tabs>
              <w:ind w:left="0"/>
              <w:rPr>
                <w:rFonts w:cs="Arial"/>
                <w:sz w:val="20"/>
              </w:rPr>
            </w:pPr>
          </w:p>
          <w:p w14:paraId="3E59EE68" w14:textId="569FA7E8" w:rsidR="00000684" w:rsidRDefault="004A258B" w:rsidP="004A258B">
            <w:pPr>
              <w:tabs>
                <w:tab w:val="left" w:pos="650"/>
              </w:tabs>
              <w:spacing w:after="0"/>
              <w:ind w:left="648" w:hanging="360"/>
              <w:rPr>
                <w:rFonts w:cs="Arial"/>
                <w:sz w:val="20"/>
              </w:rPr>
            </w:pPr>
            <w:r>
              <w:rPr>
                <w:rFonts w:cs="Arial"/>
                <w:sz w:val="20"/>
              </w:rPr>
              <w:t>a.</w:t>
            </w:r>
            <w:r>
              <w:rPr>
                <w:rFonts w:cs="Arial"/>
                <w:sz w:val="20"/>
              </w:rPr>
              <w:tab/>
            </w:r>
            <w:r w:rsidR="00000684">
              <w:rPr>
                <w:rFonts w:cs="Arial"/>
                <w:sz w:val="20"/>
              </w:rPr>
              <w:t>an unconditional offer letter</w:t>
            </w:r>
          </w:p>
          <w:p w14:paraId="0E9B8B6F" w14:textId="77777777" w:rsidR="004A258B" w:rsidRDefault="004A258B" w:rsidP="004A258B">
            <w:pPr>
              <w:tabs>
                <w:tab w:val="left" w:pos="650"/>
              </w:tabs>
              <w:spacing w:after="0"/>
              <w:ind w:left="648" w:hanging="360"/>
              <w:rPr>
                <w:rFonts w:cs="Arial"/>
                <w:sz w:val="20"/>
              </w:rPr>
            </w:pPr>
          </w:p>
          <w:p w14:paraId="0040E716" w14:textId="77777777" w:rsidR="004A258B" w:rsidRPr="00000684" w:rsidRDefault="004A258B" w:rsidP="004A258B">
            <w:pPr>
              <w:tabs>
                <w:tab w:val="left" w:pos="650"/>
              </w:tabs>
              <w:ind w:left="648" w:hanging="360"/>
              <w:rPr>
                <w:rFonts w:cs="Arial"/>
                <w:sz w:val="20"/>
              </w:rPr>
            </w:pPr>
          </w:p>
          <w:p w14:paraId="7CD04899" w14:textId="0DDC6D62" w:rsidR="00000684" w:rsidRPr="00000684" w:rsidRDefault="004A258B" w:rsidP="001B798A">
            <w:pPr>
              <w:tabs>
                <w:tab w:val="left" w:pos="650"/>
              </w:tabs>
              <w:spacing w:after="0"/>
              <w:ind w:left="648" w:hanging="360"/>
              <w:rPr>
                <w:rFonts w:cs="Arial"/>
                <w:sz w:val="20"/>
              </w:rPr>
            </w:pPr>
            <w:r>
              <w:rPr>
                <w:rFonts w:cs="Arial"/>
                <w:sz w:val="20"/>
              </w:rPr>
              <w:t>b.</w:t>
            </w:r>
            <w:r>
              <w:rPr>
                <w:rFonts w:cs="Arial"/>
                <w:sz w:val="20"/>
              </w:rPr>
              <w:tab/>
            </w:r>
            <w:r w:rsidR="00000684">
              <w:rPr>
                <w:rFonts w:cs="Arial"/>
                <w:sz w:val="20"/>
              </w:rPr>
              <w:t>a</w:t>
            </w:r>
            <w:r w:rsidR="00000684" w:rsidRPr="00000684">
              <w:rPr>
                <w:rFonts w:cs="Arial"/>
                <w:sz w:val="20"/>
              </w:rPr>
              <w:t>n unconditional offer letter</w:t>
            </w:r>
            <w:r w:rsidR="001B798A">
              <w:rPr>
                <w:rFonts w:cs="Arial"/>
                <w:sz w:val="20"/>
              </w:rPr>
              <w:t xml:space="preserve"> from the receiving University</w:t>
            </w:r>
            <w:r w:rsidR="00000684" w:rsidRPr="00000684">
              <w:rPr>
                <w:rFonts w:cs="Arial"/>
                <w:sz w:val="20"/>
              </w:rPr>
              <w:t xml:space="preserve"> </w:t>
            </w:r>
          </w:p>
        </w:tc>
      </w:tr>
      <w:tr w:rsidR="00000684" w:rsidRPr="00000684" w14:paraId="13CCF8A8" w14:textId="77777777" w:rsidTr="002A0BFB">
        <w:tc>
          <w:tcPr>
            <w:tcW w:w="4774" w:type="dxa"/>
          </w:tcPr>
          <w:p w14:paraId="4A6CA24D" w14:textId="77777777" w:rsidR="00000684" w:rsidRPr="00000684" w:rsidRDefault="00000684" w:rsidP="00000684">
            <w:pPr>
              <w:tabs>
                <w:tab w:val="left" w:pos="1134"/>
              </w:tabs>
              <w:ind w:left="0"/>
              <w:rPr>
                <w:rFonts w:cs="Arial"/>
                <w:sz w:val="20"/>
              </w:rPr>
            </w:pPr>
            <w:r w:rsidRPr="00000684">
              <w:rPr>
                <w:rFonts w:cs="Arial"/>
                <w:sz w:val="20"/>
              </w:rPr>
              <w:t>A PhD candidate's principal supervisor is moving institution and the Dean of Research supports a request to move with the supervisor to the new CRICOS registered institution.</w:t>
            </w:r>
          </w:p>
        </w:tc>
        <w:tc>
          <w:tcPr>
            <w:tcW w:w="3821" w:type="dxa"/>
          </w:tcPr>
          <w:p w14:paraId="449B45AE" w14:textId="5082CABC" w:rsidR="00000684" w:rsidRPr="00000684" w:rsidRDefault="00000684" w:rsidP="00000684">
            <w:pPr>
              <w:tabs>
                <w:tab w:val="left" w:pos="1134"/>
              </w:tabs>
              <w:ind w:left="0"/>
              <w:rPr>
                <w:rFonts w:cs="Arial"/>
                <w:sz w:val="20"/>
              </w:rPr>
            </w:pPr>
            <w:r w:rsidRPr="00000684">
              <w:rPr>
                <w:rFonts w:cs="Arial"/>
                <w:sz w:val="20"/>
              </w:rPr>
              <w:t>A letter of recommendation from the</w:t>
            </w:r>
            <w:r w:rsidR="003760A0">
              <w:rPr>
                <w:rFonts w:cs="Arial"/>
                <w:sz w:val="20"/>
              </w:rPr>
              <w:t xml:space="preserve"> Higher Degree Research</w:t>
            </w:r>
            <w:r w:rsidRPr="00000684">
              <w:rPr>
                <w:rFonts w:cs="Arial"/>
                <w:sz w:val="20"/>
              </w:rPr>
              <w:t xml:space="preserve"> </w:t>
            </w:r>
            <w:r w:rsidR="003760A0">
              <w:rPr>
                <w:rFonts w:cs="Arial"/>
                <w:sz w:val="20"/>
              </w:rPr>
              <w:t>(</w:t>
            </w:r>
            <w:r w:rsidRPr="00000684">
              <w:rPr>
                <w:rFonts w:cs="Arial"/>
                <w:sz w:val="20"/>
              </w:rPr>
              <w:t>HDR</w:t>
            </w:r>
            <w:r w:rsidR="003760A0">
              <w:rPr>
                <w:rFonts w:cs="Arial"/>
                <w:sz w:val="20"/>
              </w:rPr>
              <w:t>)</w:t>
            </w:r>
            <w:r w:rsidRPr="00000684">
              <w:rPr>
                <w:rFonts w:cs="Arial"/>
                <w:sz w:val="20"/>
              </w:rPr>
              <w:t xml:space="preserve"> Convenor supported by the Dean of Research.</w:t>
            </w:r>
          </w:p>
        </w:tc>
      </w:tr>
      <w:tr w:rsidR="00000684" w:rsidRPr="00000684" w14:paraId="72E8CB41" w14:textId="77777777" w:rsidTr="002A0BFB">
        <w:tc>
          <w:tcPr>
            <w:tcW w:w="4774" w:type="dxa"/>
          </w:tcPr>
          <w:p w14:paraId="396C13B5" w14:textId="774D90C7" w:rsidR="00000684" w:rsidRPr="00000684" w:rsidRDefault="00000684" w:rsidP="00C247D2">
            <w:pPr>
              <w:tabs>
                <w:tab w:val="left" w:pos="1134"/>
              </w:tabs>
              <w:ind w:left="0"/>
              <w:rPr>
                <w:rFonts w:cs="Arial"/>
                <w:sz w:val="20"/>
              </w:rPr>
            </w:pPr>
            <w:r w:rsidRPr="00000684">
              <w:rPr>
                <w:rFonts w:cs="Arial"/>
                <w:sz w:val="20"/>
              </w:rPr>
              <w:t xml:space="preserve">The student has </w:t>
            </w:r>
            <w:r w:rsidR="00C247D2">
              <w:rPr>
                <w:rFonts w:cs="Arial"/>
                <w:sz w:val="20"/>
              </w:rPr>
              <w:t xml:space="preserve">previously </w:t>
            </w:r>
            <w:r w:rsidRPr="00000684">
              <w:rPr>
                <w:rFonts w:cs="Arial"/>
                <w:sz w:val="20"/>
              </w:rPr>
              <w:t xml:space="preserve">completed a Griffith University degree </w:t>
            </w:r>
            <w:r w:rsidR="00C247D2">
              <w:rPr>
                <w:rFonts w:cs="Arial"/>
                <w:sz w:val="20"/>
              </w:rPr>
              <w:t xml:space="preserve">as a </w:t>
            </w:r>
            <w:r w:rsidR="002F6C01">
              <w:rPr>
                <w:rFonts w:cs="Arial"/>
                <w:sz w:val="20"/>
              </w:rPr>
              <w:t xml:space="preserve">principal </w:t>
            </w:r>
            <w:r w:rsidRPr="00000684">
              <w:rPr>
                <w:rFonts w:cs="Arial"/>
                <w:sz w:val="20"/>
              </w:rPr>
              <w:t>program</w:t>
            </w:r>
            <w:r w:rsidR="00852C5A">
              <w:rPr>
                <w:rFonts w:cs="Arial"/>
                <w:sz w:val="20"/>
              </w:rPr>
              <w:t>.</w:t>
            </w:r>
            <w:r w:rsidRPr="00000684">
              <w:rPr>
                <w:rFonts w:cs="Arial"/>
                <w:sz w:val="20"/>
              </w:rPr>
              <w:t xml:space="preserve"> </w:t>
            </w:r>
          </w:p>
        </w:tc>
        <w:tc>
          <w:tcPr>
            <w:tcW w:w="3821" w:type="dxa"/>
          </w:tcPr>
          <w:p w14:paraId="023CD5F5" w14:textId="77777777" w:rsidR="00000684" w:rsidRPr="00000684" w:rsidRDefault="00000684" w:rsidP="00000684">
            <w:pPr>
              <w:tabs>
                <w:tab w:val="left" w:pos="1134"/>
              </w:tabs>
              <w:ind w:left="0"/>
              <w:rPr>
                <w:rFonts w:cs="Arial"/>
                <w:sz w:val="20"/>
              </w:rPr>
            </w:pPr>
            <w:r w:rsidRPr="00000684">
              <w:rPr>
                <w:rFonts w:cs="Arial"/>
                <w:sz w:val="20"/>
              </w:rPr>
              <w:t>Griffith University academic transcript.</w:t>
            </w:r>
          </w:p>
        </w:tc>
      </w:tr>
      <w:tr w:rsidR="00000684" w:rsidRPr="00000684" w14:paraId="679FD4B0" w14:textId="77777777" w:rsidTr="002A0BFB">
        <w:tc>
          <w:tcPr>
            <w:tcW w:w="4774" w:type="dxa"/>
          </w:tcPr>
          <w:p w14:paraId="67CA5FBE" w14:textId="336F3B20" w:rsidR="00000684" w:rsidRPr="00000684" w:rsidRDefault="00F76C7A" w:rsidP="008B7927">
            <w:pPr>
              <w:tabs>
                <w:tab w:val="left" w:pos="1134"/>
              </w:tabs>
              <w:ind w:left="0"/>
              <w:rPr>
                <w:rFonts w:cs="Arial"/>
                <w:sz w:val="20"/>
              </w:rPr>
            </w:pPr>
            <w:r>
              <w:rPr>
                <w:rFonts w:cs="Arial"/>
                <w:sz w:val="20"/>
              </w:rPr>
              <w:t xml:space="preserve">The University fails to deliver the </w:t>
            </w:r>
            <w:r w:rsidR="008B7927">
              <w:rPr>
                <w:rFonts w:cs="Arial"/>
                <w:sz w:val="20"/>
              </w:rPr>
              <w:t>program</w:t>
            </w:r>
            <w:r>
              <w:rPr>
                <w:rFonts w:cs="Arial"/>
                <w:sz w:val="20"/>
              </w:rPr>
              <w:t xml:space="preserve"> </w:t>
            </w:r>
            <w:r w:rsidR="002A6453">
              <w:rPr>
                <w:rFonts w:cs="Arial"/>
                <w:sz w:val="20"/>
              </w:rPr>
              <w:t xml:space="preserve">or support the research topic area in which the student is due to commence or has enrolled, </w:t>
            </w:r>
            <w:r>
              <w:rPr>
                <w:rFonts w:cs="Arial"/>
                <w:sz w:val="20"/>
              </w:rPr>
              <w:t>as outlined in the</w:t>
            </w:r>
            <w:r w:rsidR="002A6453">
              <w:rPr>
                <w:rFonts w:cs="Arial"/>
                <w:sz w:val="20"/>
              </w:rPr>
              <w:t xml:space="preserve"> initial</w:t>
            </w:r>
            <w:r>
              <w:rPr>
                <w:rFonts w:cs="Arial"/>
                <w:sz w:val="20"/>
              </w:rPr>
              <w:t xml:space="preserve"> letter of offer.</w:t>
            </w:r>
            <w:r w:rsidR="00622235">
              <w:rPr>
                <w:rFonts w:cs="Arial"/>
                <w:sz w:val="20"/>
              </w:rPr>
              <w:t xml:space="preserve"> </w:t>
            </w:r>
          </w:p>
        </w:tc>
        <w:tc>
          <w:tcPr>
            <w:tcW w:w="3821" w:type="dxa"/>
          </w:tcPr>
          <w:p w14:paraId="59C7F8C7" w14:textId="77777777" w:rsidR="00000684" w:rsidRPr="00000684" w:rsidRDefault="00000684" w:rsidP="00000684">
            <w:pPr>
              <w:tabs>
                <w:tab w:val="left" w:pos="1134"/>
              </w:tabs>
              <w:ind w:left="0"/>
              <w:rPr>
                <w:rFonts w:cs="Arial"/>
                <w:sz w:val="20"/>
              </w:rPr>
            </w:pPr>
            <w:r w:rsidRPr="00000684">
              <w:rPr>
                <w:rFonts w:cs="Arial"/>
                <w:sz w:val="20"/>
              </w:rPr>
              <w:t>Nil</w:t>
            </w:r>
          </w:p>
        </w:tc>
      </w:tr>
      <w:tr w:rsidR="000315DC" w:rsidRPr="00000684" w14:paraId="447CA51B" w14:textId="77777777" w:rsidTr="002A0BFB">
        <w:tc>
          <w:tcPr>
            <w:tcW w:w="4774" w:type="dxa"/>
          </w:tcPr>
          <w:p w14:paraId="138DE115" w14:textId="72C34D49" w:rsidR="000315DC" w:rsidRPr="00000684" w:rsidDel="00F76C7A" w:rsidRDefault="00E84BF1" w:rsidP="00F76C7A">
            <w:pPr>
              <w:tabs>
                <w:tab w:val="left" w:pos="1134"/>
              </w:tabs>
              <w:ind w:left="0"/>
              <w:rPr>
                <w:rFonts w:cs="Arial"/>
                <w:sz w:val="20"/>
              </w:rPr>
            </w:pPr>
            <w:r>
              <w:rPr>
                <w:rFonts w:cs="Arial"/>
                <w:sz w:val="20"/>
              </w:rPr>
              <w:t>E</w:t>
            </w:r>
            <w:r w:rsidR="000315DC">
              <w:rPr>
                <w:rFonts w:cs="Arial"/>
                <w:sz w:val="20"/>
              </w:rPr>
              <w:t>vidence that the international student’s reasonable expectations about their current program are not being met.</w:t>
            </w:r>
          </w:p>
        </w:tc>
        <w:tc>
          <w:tcPr>
            <w:tcW w:w="3821" w:type="dxa"/>
          </w:tcPr>
          <w:p w14:paraId="4500A311" w14:textId="5785EA54" w:rsidR="000315DC" w:rsidRPr="00000684" w:rsidRDefault="000315DC" w:rsidP="00000684">
            <w:pPr>
              <w:tabs>
                <w:tab w:val="left" w:pos="1134"/>
              </w:tabs>
              <w:ind w:left="0"/>
              <w:rPr>
                <w:rFonts w:cs="Arial"/>
                <w:sz w:val="20"/>
              </w:rPr>
            </w:pPr>
            <w:r>
              <w:rPr>
                <w:rFonts w:cs="Arial"/>
                <w:sz w:val="20"/>
              </w:rPr>
              <w:t xml:space="preserve">Evidence to support the international </w:t>
            </w:r>
            <w:r w:rsidR="00E84BF1">
              <w:rPr>
                <w:rFonts w:cs="Arial"/>
                <w:sz w:val="20"/>
              </w:rPr>
              <w:t>student’s</w:t>
            </w:r>
            <w:r>
              <w:rPr>
                <w:rFonts w:cs="Arial"/>
                <w:sz w:val="20"/>
              </w:rPr>
              <w:t xml:space="preserve"> reason</w:t>
            </w:r>
            <w:r w:rsidR="005F3A93">
              <w:rPr>
                <w:rFonts w:cs="Arial"/>
                <w:sz w:val="20"/>
              </w:rPr>
              <w:t>s</w:t>
            </w:r>
            <w:r>
              <w:rPr>
                <w:rFonts w:cs="Arial"/>
                <w:sz w:val="20"/>
              </w:rPr>
              <w:t xml:space="preserve"> why the program is not meeting their expectations.</w:t>
            </w:r>
          </w:p>
        </w:tc>
      </w:tr>
      <w:tr w:rsidR="00000684" w:rsidRPr="00000684" w14:paraId="466DDD13" w14:textId="77777777" w:rsidTr="002A0BFB">
        <w:tc>
          <w:tcPr>
            <w:tcW w:w="4774" w:type="dxa"/>
          </w:tcPr>
          <w:p w14:paraId="79AF6170" w14:textId="2AF07625" w:rsidR="00000684" w:rsidRPr="00000684" w:rsidRDefault="00286E24" w:rsidP="001F2247">
            <w:pPr>
              <w:tabs>
                <w:tab w:val="left" w:pos="0"/>
              </w:tabs>
              <w:ind w:left="0"/>
              <w:rPr>
                <w:rFonts w:cs="Arial"/>
                <w:sz w:val="20"/>
              </w:rPr>
            </w:pPr>
            <w:r>
              <w:rPr>
                <w:rFonts w:cs="Arial"/>
                <w:sz w:val="20"/>
              </w:rPr>
              <w:t>A</w:t>
            </w:r>
            <w:r w:rsidRPr="001F2247">
              <w:rPr>
                <w:rFonts w:cs="Arial"/>
                <w:sz w:val="20"/>
              </w:rPr>
              <w:t xml:space="preserve">ny government sponsor of the international student considers the change to be in the international student’s best interests and has provided written support for the change. This usually applies where the international student’s study in Australia is sponsored by the </w:t>
            </w:r>
            <w:r w:rsidR="004A2F26">
              <w:rPr>
                <w:rFonts w:cs="Arial"/>
                <w:sz w:val="20"/>
              </w:rPr>
              <w:t>g</w:t>
            </w:r>
            <w:r w:rsidRPr="001F2247">
              <w:rPr>
                <w:rFonts w:cs="Arial"/>
                <w:sz w:val="20"/>
              </w:rPr>
              <w:t>overnment of another country.</w:t>
            </w:r>
          </w:p>
        </w:tc>
        <w:tc>
          <w:tcPr>
            <w:tcW w:w="3821" w:type="dxa"/>
          </w:tcPr>
          <w:p w14:paraId="583A0F68" w14:textId="2EB9AF98" w:rsidR="00000684" w:rsidRPr="00000684" w:rsidRDefault="00000684" w:rsidP="00000684">
            <w:pPr>
              <w:tabs>
                <w:tab w:val="left" w:pos="1134"/>
              </w:tabs>
              <w:ind w:left="0"/>
              <w:rPr>
                <w:rFonts w:cs="Arial"/>
                <w:sz w:val="20"/>
              </w:rPr>
            </w:pPr>
            <w:r w:rsidRPr="00000684">
              <w:rPr>
                <w:rFonts w:cs="Arial"/>
                <w:sz w:val="20"/>
              </w:rPr>
              <w:t>Written su</w:t>
            </w:r>
            <w:r w:rsidR="00DF6506">
              <w:rPr>
                <w:rFonts w:cs="Arial"/>
                <w:sz w:val="20"/>
              </w:rPr>
              <w:t>pport/financial guarantee from g</w:t>
            </w:r>
            <w:r w:rsidRPr="00000684">
              <w:rPr>
                <w:rFonts w:cs="Arial"/>
                <w:sz w:val="20"/>
              </w:rPr>
              <w:t>overnment sponsor.</w:t>
            </w:r>
          </w:p>
        </w:tc>
      </w:tr>
      <w:tr w:rsidR="00000684" w:rsidRPr="00000684" w14:paraId="585CB1C6" w14:textId="77777777" w:rsidTr="002A0BFB">
        <w:tc>
          <w:tcPr>
            <w:tcW w:w="4774" w:type="dxa"/>
          </w:tcPr>
          <w:p w14:paraId="7FC70900" w14:textId="474D2ED0" w:rsidR="00000684" w:rsidRPr="00000684" w:rsidRDefault="00000684" w:rsidP="005F3A93">
            <w:pPr>
              <w:tabs>
                <w:tab w:val="left" w:pos="1134"/>
              </w:tabs>
              <w:ind w:left="0"/>
              <w:rPr>
                <w:rFonts w:cs="Arial"/>
                <w:sz w:val="20"/>
              </w:rPr>
            </w:pPr>
            <w:r w:rsidRPr="00000684">
              <w:rPr>
                <w:rFonts w:cs="Arial"/>
                <w:sz w:val="20"/>
              </w:rPr>
              <w:t>A parent or legal guardian of a</w:t>
            </w:r>
            <w:r w:rsidR="005F3A93">
              <w:rPr>
                <w:rFonts w:cs="Arial"/>
                <w:sz w:val="20"/>
              </w:rPr>
              <w:t>n international</w:t>
            </w:r>
            <w:r w:rsidRPr="00000684">
              <w:rPr>
                <w:rFonts w:cs="Arial"/>
                <w:sz w:val="20"/>
              </w:rPr>
              <w:t xml:space="preserve"> student under 18 years of age has provided written confirmation supporting the transfer. Where the </w:t>
            </w:r>
            <w:r w:rsidR="005F3A93">
              <w:rPr>
                <w:rFonts w:cs="Arial"/>
                <w:sz w:val="20"/>
              </w:rPr>
              <w:t xml:space="preserve">international </w:t>
            </w:r>
            <w:r w:rsidRPr="00000684">
              <w:rPr>
                <w:rFonts w:cs="Arial"/>
                <w:sz w:val="20"/>
              </w:rPr>
              <w:t xml:space="preserve">student is not being cared for in </w:t>
            </w:r>
            <w:r w:rsidRPr="00000684">
              <w:rPr>
                <w:rFonts w:cs="Arial"/>
                <w:sz w:val="20"/>
              </w:rPr>
              <w:lastRenderedPageBreak/>
              <w:t xml:space="preserve">Australia by a parent/legal guardian, the new CRICOS registered institution has accepted responsibility for the student's accommodation, support and general welfare arrangements in accordance with the National Code of Practice </w:t>
            </w:r>
            <w:r w:rsidR="005F3A93" w:rsidRPr="00000684">
              <w:rPr>
                <w:rFonts w:cs="Arial"/>
                <w:sz w:val="20"/>
              </w:rPr>
              <w:t>2</w:t>
            </w:r>
            <w:r w:rsidR="005F3A93">
              <w:rPr>
                <w:rFonts w:cs="Arial"/>
                <w:sz w:val="20"/>
              </w:rPr>
              <w:t>018</w:t>
            </w:r>
            <w:r w:rsidRPr="00000684">
              <w:rPr>
                <w:rFonts w:cs="Arial"/>
                <w:sz w:val="20"/>
              </w:rPr>
              <w:t>, Standard 5.</w:t>
            </w:r>
          </w:p>
        </w:tc>
        <w:tc>
          <w:tcPr>
            <w:tcW w:w="3821" w:type="dxa"/>
          </w:tcPr>
          <w:p w14:paraId="11B142CF" w14:textId="24EFA691" w:rsidR="00000684" w:rsidRPr="00000684" w:rsidRDefault="00000684" w:rsidP="00002C6A">
            <w:pPr>
              <w:tabs>
                <w:tab w:val="left" w:pos="1134"/>
              </w:tabs>
              <w:ind w:left="0"/>
              <w:rPr>
                <w:rFonts w:cs="Arial"/>
                <w:sz w:val="20"/>
              </w:rPr>
            </w:pPr>
            <w:r w:rsidRPr="00000684">
              <w:rPr>
                <w:rFonts w:cs="Arial"/>
                <w:sz w:val="20"/>
              </w:rPr>
              <w:lastRenderedPageBreak/>
              <w:t xml:space="preserve">Written support from parent/legal guardian and/or written support of accepted responsibility from new </w:t>
            </w:r>
            <w:r w:rsidR="005F3A93" w:rsidRPr="00000684">
              <w:rPr>
                <w:rFonts w:cs="Arial"/>
                <w:sz w:val="20"/>
              </w:rPr>
              <w:lastRenderedPageBreak/>
              <w:t>provider</w:t>
            </w:r>
            <w:r w:rsidR="005F3A93">
              <w:rPr>
                <w:rFonts w:cs="Arial"/>
                <w:sz w:val="20"/>
              </w:rPr>
              <w:t xml:space="preserve">, </w:t>
            </w:r>
            <w:r w:rsidR="00002C6A">
              <w:rPr>
                <w:rFonts w:cs="Arial"/>
                <w:sz w:val="20"/>
              </w:rPr>
              <w:t>demonstrating that</w:t>
            </w:r>
            <w:r w:rsidR="002A7CAE">
              <w:rPr>
                <w:rFonts w:cs="Arial"/>
                <w:sz w:val="20"/>
              </w:rPr>
              <w:t xml:space="preserve"> there </w:t>
            </w:r>
            <w:r w:rsidR="00002C6A">
              <w:rPr>
                <w:rFonts w:cs="Arial"/>
                <w:sz w:val="20"/>
              </w:rPr>
              <w:t>is</w:t>
            </w:r>
            <w:r w:rsidR="002A7CAE">
              <w:rPr>
                <w:rFonts w:cs="Arial"/>
                <w:sz w:val="20"/>
              </w:rPr>
              <w:t xml:space="preserve"> no gap in the welfare arrangements</w:t>
            </w:r>
            <w:r w:rsidRPr="00000684">
              <w:rPr>
                <w:rFonts w:cs="Arial"/>
                <w:sz w:val="20"/>
              </w:rPr>
              <w:t>.</w:t>
            </w:r>
          </w:p>
        </w:tc>
      </w:tr>
      <w:tr w:rsidR="00C4107C" w:rsidRPr="00000684" w14:paraId="3291ACE2" w14:textId="77777777" w:rsidTr="002A0BFB">
        <w:tc>
          <w:tcPr>
            <w:tcW w:w="4774" w:type="dxa"/>
          </w:tcPr>
          <w:p w14:paraId="2CE173AD" w14:textId="17BFEC52" w:rsidR="00C4107C" w:rsidRDefault="00BA11BB" w:rsidP="00982977">
            <w:pPr>
              <w:tabs>
                <w:tab w:val="left" w:pos="1134"/>
              </w:tabs>
              <w:ind w:left="0"/>
              <w:rPr>
                <w:rFonts w:cs="Arial"/>
                <w:sz w:val="20"/>
              </w:rPr>
            </w:pPr>
            <w:r>
              <w:rPr>
                <w:rFonts w:cs="Arial"/>
                <w:sz w:val="20"/>
              </w:rPr>
              <w:lastRenderedPageBreak/>
              <w:t>The international student</w:t>
            </w:r>
            <w:r w:rsidR="00C4107C">
              <w:rPr>
                <w:rFonts w:cs="Arial"/>
                <w:sz w:val="20"/>
              </w:rPr>
              <w:t xml:space="preserve"> is unable to achieve satisfactory progress</w:t>
            </w:r>
            <w:r w:rsidR="00982977">
              <w:rPr>
                <w:rFonts w:cs="Arial"/>
                <w:sz w:val="20"/>
              </w:rPr>
              <w:t xml:space="preserve"> in the program</w:t>
            </w:r>
            <w:r w:rsidR="00C4107C">
              <w:rPr>
                <w:rFonts w:cs="Arial"/>
                <w:sz w:val="20"/>
              </w:rPr>
              <w:t xml:space="preserve"> at the level they are studying, even after engaging with an intervention strategy.</w:t>
            </w:r>
          </w:p>
        </w:tc>
        <w:tc>
          <w:tcPr>
            <w:tcW w:w="3821" w:type="dxa"/>
          </w:tcPr>
          <w:p w14:paraId="601F79D4" w14:textId="148680D1" w:rsidR="00C4107C" w:rsidRDefault="00BA11BB" w:rsidP="001B798A">
            <w:pPr>
              <w:tabs>
                <w:tab w:val="left" w:pos="1134"/>
              </w:tabs>
              <w:ind w:left="0"/>
              <w:rPr>
                <w:rFonts w:cs="Arial"/>
                <w:sz w:val="20"/>
              </w:rPr>
            </w:pPr>
            <w:r>
              <w:rPr>
                <w:rFonts w:cs="Arial"/>
                <w:sz w:val="20"/>
              </w:rPr>
              <w:t xml:space="preserve">Evidence </w:t>
            </w:r>
            <w:r w:rsidR="001B798A" w:rsidRPr="00000684">
              <w:rPr>
                <w:rFonts w:cs="Arial"/>
                <w:sz w:val="20"/>
              </w:rPr>
              <w:t>that the student has accessed academic support services</w:t>
            </w:r>
            <w:r w:rsidR="001B798A">
              <w:rPr>
                <w:rFonts w:cs="Arial"/>
                <w:sz w:val="20"/>
              </w:rPr>
              <w:t xml:space="preserve"> </w:t>
            </w:r>
            <w:r>
              <w:rPr>
                <w:rFonts w:cs="Arial"/>
                <w:sz w:val="20"/>
              </w:rPr>
              <w:t xml:space="preserve">and </w:t>
            </w:r>
            <w:r w:rsidR="00C4107C">
              <w:rPr>
                <w:rFonts w:cs="Arial"/>
                <w:sz w:val="20"/>
              </w:rPr>
              <w:t>an unconditional offer letter</w:t>
            </w:r>
            <w:r>
              <w:rPr>
                <w:rFonts w:cs="Arial"/>
                <w:sz w:val="20"/>
              </w:rPr>
              <w:t xml:space="preserve"> from the receiving </w:t>
            </w:r>
            <w:r w:rsidR="001B798A">
              <w:rPr>
                <w:rFonts w:cs="Arial"/>
                <w:sz w:val="20"/>
              </w:rPr>
              <w:t>provider</w:t>
            </w:r>
            <w:r>
              <w:rPr>
                <w:rFonts w:cs="Arial"/>
                <w:sz w:val="20"/>
              </w:rPr>
              <w:t>.</w:t>
            </w:r>
          </w:p>
        </w:tc>
      </w:tr>
      <w:tr w:rsidR="005E4CC2" w:rsidRPr="00000684" w14:paraId="5B3E1CA4" w14:textId="77777777" w:rsidTr="002A0BFB">
        <w:tc>
          <w:tcPr>
            <w:tcW w:w="4774" w:type="dxa"/>
          </w:tcPr>
          <w:p w14:paraId="0138BCC5" w14:textId="6D9F4AD7" w:rsidR="005E4CC2" w:rsidRDefault="005E4CC2" w:rsidP="00BA11BB">
            <w:pPr>
              <w:tabs>
                <w:tab w:val="left" w:pos="1134"/>
              </w:tabs>
              <w:ind w:left="0"/>
              <w:rPr>
                <w:rFonts w:cs="Arial"/>
                <w:sz w:val="20"/>
              </w:rPr>
            </w:pPr>
            <w:r>
              <w:rPr>
                <w:rFonts w:cs="Arial"/>
                <w:sz w:val="20"/>
              </w:rPr>
              <w:t>Where the University is unable to offer a pre-requisite course, or the international student has failed a pre-requisite course and therefore faces a shortage of relevant courses for which they are eligible to enrol.</w:t>
            </w:r>
          </w:p>
        </w:tc>
        <w:tc>
          <w:tcPr>
            <w:tcW w:w="3821" w:type="dxa"/>
          </w:tcPr>
          <w:p w14:paraId="78AE8C02" w14:textId="2D38D9DC" w:rsidR="005E4CC2" w:rsidRDefault="005E4CC2" w:rsidP="001B798A">
            <w:pPr>
              <w:tabs>
                <w:tab w:val="left" w:pos="1134"/>
              </w:tabs>
              <w:ind w:left="0"/>
              <w:rPr>
                <w:rFonts w:cs="Arial"/>
                <w:sz w:val="20"/>
              </w:rPr>
            </w:pPr>
            <w:r w:rsidRPr="00000684">
              <w:rPr>
                <w:rFonts w:cs="Arial"/>
                <w:sz w:val="20"/>
              </w:rPr>
              <w:t>Griffith University academic transcript.</w:t>
            </w:r>
          </w:p>
        </w:tc>
      </w:tr>
      <w:tr w:rsidR="00856033" w:rsidRPr="00000684" w14:paraId="02B4FAA0" w14:textId="77777777" w:rsidTr="002A0BFB">
        <w:tc>
          <w:tcPr>
            <w:tcW w:w="4774" w:type="dxa"/>
          </w:tcPr>
          <w:p w14:paraId="6CC4049F" w14:textId="1F281D51" w:rsidR="00856033" w:rsidRDefault="00856033" w:rsidP="00052FFF">
            <w:pPr>
              <w:tabs>
                <w:tab w:val="left" w:pos="1134"/>
              </w:tabs>
              <w:ind w:left="0"/>
              <w:rPr>
                <w:rFonts w:cs="Arial"/>
                <w:sz w:val="20"/>
              </w:rPr>
            </w:pPr>
            <w:r>
              <w:rPr>
                <w:rFonts w:cs="Arial"/>
                <w:sz w:val="20"/>
              </w:rPr>
              <w:t>Compassionate or compelling circumstances which are beyond the student</w:t>
            </w:r>
            <w:r w:rsidR="00AA4728">
              <w:rPr>
                <w:rFonts w:cs="Arial"/>
                <w:sz w:val="20"/>
              </w:rPr>
              <w:t>’s</w:t>
            </w:r>
            <w:r>
              <w:rPr>
                <w:rFonts w:cs="Arial"/>
                <w:sz w:val="20"/>
              </w:rPr>
              <w:t xml:space="preserve"> control</w:t>
            </w:r>
            <w:r w:rsidR="00C4107C">
              <w:rPr>
                <w:rFonts w:cs="Arial"/>
                <w:sz w:val="20"/>
              </w:rPr>
              <w:t xml:space="preserve"> (</w:t>
            </w:r>
            <w:r w:rsidR="00052FFF">
              <w:rPr>
                <w:rFonts w:cs="Arial"/>
                <w:sz w:val="20"/>
              </w:rPr>
              <w:t>e</w:t>
            </w:r>
            <w:r w:rsidR="00982977">
              <w:rPr>
                <w:rFonts w:cs="Arial"/>
                <w:sz w:val="20"/>
              </w:rPr>
              <w:t>.</w:t>
            </w:r>
            <w:r w:rsidR="00052FFF">
              <w:rPr>
                <w:rFonts w:cs="Arial"/>
                <w:sz w:val="20"/>
              </w:rPr>
              <w:t>g. serious illness or injury, bereavement of a close family member</w:t>
            </w:r>
            <w:r w:rsidR="00874FED">
              <w:rPr>
                <w:rFonts w:cs="Arial"/>
                <w:sz w:val="20"/>
              </w:rPr>
              <w:t>, a major political upheaval or natural disaster in the international student’s home country,</w:t>
            </w:r>
            <w:r w:rsidR="00052FFF">
              <w:rPr>
                <w:rFonts w:cs="Arial"/>
                <w:sz w:val="20"/>
              </w:rPr>
              <w:t xml:space="preserve"> or a traumatic experience</w:t>
            </w:r>
            <w:r w:rsidR="00C4107C">
              <w:rPr>
                <w:rFonts w:cs="Arial"/>
                <w:sz w:val="20"/>
              </w:rPr>
              <w:t>)</w:t>
            </w:r>
            <w:r w:rsidR="00BA46F6">
              <w:rPr>
                <w:rFonts w:cs="Arial"/>
                <w:sz w:val="20"/>
              </w:rPr>
              <w:t>.</w:t>
            </w:r>
          </w:p>
        </w:tc>
        <w:tc>
          <w:tcPr>
            <w:tcW w:w="3821" w:type="dxa"/>
          </w:tcPr>
          <w:p w14:paraId="36F22652" w14:textId="4886CEBB" w:rsidR="00856033" w:rsidRDefault="00D910B0" w:rsidP="00000684">
            <w:pPr>
              <w:tabs>
                <w:tab w:val="left" w:pos="1134"/>
              </w:tabs>
              <w:ind w:left="0"/>
              <w:rPr>
                <w:rFonts w:cs="Arial"/>
                <w:sz w:val="20"/>
              </w:rPr>
            </w:pPr>
            <w:r>
              <w:rPr>
                <w:rFonts w:cs="Arial"/>
                <w:sz w:val="20"/>
              </w:rPr>
              <w:t>Evidence of medical certificates and records to support the compassionate or compelling circumstance.</w:t>
            </w:r>
          </w:p>
        </w:tc>
      </w:tr>
      <w:tr w:rsidR="00E17934" w:rsidRPr="00000684" w14:paraId="1447C14F" w14:textId="77777777" w:rsidTr="002A0BFB">
        <w:tc>
          <w:tcPr>
            <w:tcW w:w="4774" w:type="dxa"/>
          </w:tcPr>
          <w:p w14:paraId="1C3B8477" w14:textId="7C568B3A" w:rsidR="00E17934" w:rsidRPr="00000684" w:rsidRDefault="004B7B2B" w:rsidP="00E33345">
            <w:pPr>
              <w:tabs>
                <w:tab w:val="left" w:pos="1134"/>
              </w:tabs>
              <w:ind w:left="0"/>
              <w:rPr>
                <w:rFonts w:cs="Arial"/>
                <w:sz w:val="20"/>
              </w:rPr>
            </w:pPr>
            <w:r>
              <w:rPr>
                <w:rFonts w:cs="Arial"/>
                <w:sz w:val="20"/>
              </w:rPr>
              <w:t>Evidence that the international s</w:t>
            </w:r>
            <w:r w:rsidR="00E17934">
              <w:rPr>
                <w:rFonts w:cs="Arial"/>
                <w:sz w:val="20"/>
              </w:rPr>
              <w:t xml:space="preserve">tudent </w:t>
            </w:r>
            <w:r w:rsidR="00E33345">
              <w:rPr>
                <w:rFonts w:cs="Arial"/>
                <w:sz w:val="20"/>
              </w:rPr>
              <w:t>has been</w:t>
            </w:r>
            <w:r w:rsidR="00E17934">
              <w:rPr>
                <w:rFonts w:cs="Arial"/>
                <w:sz w:val="20"/>
              </w:rPr>
              <w:t xml:space="preserve"> misled by </w:t>
            </w:r>
            <w:r w:rsidR="00F76C7A">
              <w:rPr>
                <w:rFonts w:cs="Arial"/>
                <w:sz w:val="20"/>
              </w:rPr>
              <w:t>the</w:t>
            </w:r>
            <w:r w:rsidR="00E17934">
              <w:rPr>
                <w:rFonts w:cs="Arial"/>
                <w:sz w:val="20"/>
              </w:rPr>
              <w:t xml:space="preserve"> University </w:t>
            </w:r>
            <w:r w:rsidR="00E17934" w:rsidRPr="001F2247">
              <w:rPr>
                <w:rFonts w:cs="Arial"/>
                <w:sz w:val="20"/>
                <w:u w:val="single"/>
              </w:rPr>
              <w:t>or</w:t>
            </w:r>
            <w:r w:rsidR="00E17934">
              <w:rPr>
                <w:rFonts w:cs="Arial"/>
                <w:sz w:val="20"/>
              </w:rPr>
              <w:t xml:space="preserve"> </w:t>
            </w:r>
            <w:r>
              <w:rPr>
                <w:rFonts w:cs="Arial"/>
                <w:sz w:val="20"/>
              </w:rPr>
              <w:t xml:space="preserve">the </w:t>
            </w:r>
            <w:r w:rsidR="00E17934">
              <w:rPr>
                <w:rFonts w:cs="Arial"/>
                <w:sz w:val="20"/>
              </w:rPr>
              <w:t xml:space="preserve">education agent regarding the University or the </w:t>
            </w:r>
            <w:r>
              <w:rPr>
                <w:rFonts w:cs="Arial"/>
                <w:sz w:val="20"/>
              </w:rPr>
              <w:t>program</w:t>
            </w:r>
            <w:r w:rsidR="00E17934">
              <w:rPr>
                <w:rFonts w:cs="Arial"/>
                <w:sz w:val="20"/>
              </w:rPr>
              <w:t xml:space="preserve"> and the </w:t>
            </w:r>
            <w:r>
              <w:rPr>
                <w:rFonts w:cs="Arial"/>
                <w:sz w:val="20"/>
              </w:rPr>
              <w:t>program</w:t>
            </w:r>
            <w:r w:rsidR="00E17934">
              <w:rPr>
                <w:rFonts w:cs="Arial"/>
                <w:sz w:val="20"/>
              </w:rPr>
              <w:t xml:space="preserve"> is therefore unsuitable to their needs and/or study objectives</w:t>
            </w:r>
            <w:r w:rsidR="00BA46F6">
              <w:rPr>
                <w:rFonts w:cs="Arial"/>
                <w:sz w:val="20"/>
              </w:rPr>
              <w:t>.</w:t>
            </w:r>
          </w:p>
        </w:tc>
        <w:tc>
          <w:tcPr>
            <w:tcW w:w="3821" w:type="dxa"/>
          </w:tcPr>
          <w:p w14:paraId="32557A76" w14:textId="4B19C8F8" w:rsidR="00E17934" w:rsidRPr="00000684" w:rsidRDefault="004B7B2B" w:rsidP="00000684">
            <w:pPr>
              <w:tabs>
                <w:tab w:val="left" w:pos="1134"/>
              </w:tabs>
              <w:ind w:left="0"/>
              <w:rPr>
                <w:rFonts w:cs="Arial"/>
                <w:sz w:val="20"/>
              </w:rPr>
            </w:pPr>
            <w:r>
              <w:rPr>
                <w:rFonts w:cs="Arial"/>
                <w:sz w:val="20"/>
              </w:rPr>
              <w:t>Evidence of the misleading information that has been provided by the University or education agent (</w:t>
            </w:r>
            <w:proofErr w:type="spellStart"/>
            <w:r>
              <w:rPr>
                <w:rFonts w:cs="Arial"/>
                <w:sz w:val="20"/>
              </w:rPr>
              <w:t>eg.</w:t>
            </w:r>
            <w:proofErr w:type="spellEnd"/>
            <w:r>
              <w:rPr>
                <w:rFonts w:cs="Arial"/>
                <w:sz w:val="20"/>
              </w:rPr>
              <w:t xml:space="preserve"> correspondence or marketing materials).</w:t>
            </w:r>
          </w:p>
        </w:tc>
      </w:tr>
      <w:tr w:rsidR="00622235" w:rsidRPr="00000684" w14:paraId="6D3907F7" w14:textId="77777777" w:rsidTr="002A0BFB">
        <w:tc>
          <w:tcPr>
            <w:tcW w:w="4774" w:type="dxa"/>
          </w:tcPr>
          <w:p w14:paraId="71A0E14C" w14:textId="70F0FA42" w:rsidR="00622235" w:rsidRDefault="00622235" w:rsidP="00F76C7A">
            <w:pPr>
              <w:tabs>
                <w:tab w:val="left" w:pos="1134"/>
              </w:tabs>
              <w:ind w:left="0"/>
              <w:rPr>
                <w:rFonts w:cs="Arial"/>
                <w:sz w:val="20"/>
              </w:rPr>
            </w:pPr>
            <w:r>
              <w:rPr>
                <w:rFonts w:cs="Arial"/>
                <w:sz w:val="20"/>
              </w:rPr>
              <w:t>T</w:t>
            </w:r>
            <w:r w:rsidRPr="002D4744">
              <w:rPr>
                <w:rFonts w:cs="Arial"/>
                <w:sz w:val="20"/>
              </w:rPr>
              <w:t xml:space="preserve">he </w:t>
            </w:r>
            <w:r w:rsidR="00F76C7A">
              <w:rPr>
                <w:rFonts w:cs="Arial"/>
                <w:sz w:val="20"/>
              </w:rPr>
              <w:t>University</w:t>
            </w:r>
            <w:r w:rsidRPr="002D4744">
              <w:rPr>
                <w:rFonts w:cs="Arial"/>
                <w:sz w:val="20"/>
              </w:rPr>
              <w:t xml:space="preserve">, or the program in which the international student is enrolled, </w:t>
            </w:r>
            <w:r>
              <w:rPr>
                <w:rFonts w:cs="Arial"/>
                <w:sz w:val="20"/>
              </w:rPr>
              <w:t>h</w:t>
            </w:r>
            <w:r w:rsidRPr="002D4744">
              <w:rPr>
                <w:rFonts w:cs="Arial"/>
                <w:sz w:val="20"/>
              </w:rPr>
              <w:t>as ceased to be registered</w:t>
            </w:r>
            <w:r>
              <w:rPr>
                <w:rFonts w:cs="Arial"/>
                <w:sz w:val="20"/>
              </w:rPr>
              <w:t>.</w:t>
            </w:r>
          </w:p>
        </w:tc>
        <w:tc>
          <w:tcPr>
            <w:tcW w:w="3821" w:type="dxa"/>
          </w:tcPr>
          <w:p w14:paraId="43F01A98" w14:textId="3F95A87D" w:rsidR="00622235" w:rsidRDefault="0049061D" w:rsidP="00000684">
            <w:pPr>
              <w:tabs>
                <w:tab w:val="left" w:pos="1134"/>
              </w:tabs>
              <w:ind w:left="0"/>
              <w:rPr>
                <w:rFonts w:cs="Arial"/>
                <w:sz w:val="20"/>
              </w:rPr>
            </w:pPr>
            <w:r>
              <w:rPr>
                <w:rFonts w:cs="Arial"/>
                <w:sz w:val="20"/>
              </w:rPr>
              <w:t>Nil</w:t>
            </w:r>
          </w:p>
        </w:tc>
      </w:tr>
      <w:tr w:rsidR="00622235" w:rsidRPr="00000684" w14:paraId="1F2054B7" w14:textId="77777777" w:rsidTr="002A0BFB">
        <w:tc>
          <w:tcPr>
            <w:tcW w:w="4774" w:type="dxa"/>
          </w:tcPr>
          <w:p w14:paraId="75F06604" w14:textId="712CE84F" w:rsidR="00622235" w:rsidRDefault="00622235" w:rsidP="001F2247">
            <w:pPr>
              <w:tabs>
                <w:tab w:val="left" w:pos="0"/>
              </w:tabs>
              <w:ind w:left="0"/>
              <w:rPr>
                <w:rFonts w:cs="Arial"/>
                <w:sz w:val="20"/>
              </w:rPr>
            </w:pPr>
            <w:r>
              <w:rPr>
                <w:rFonts w:cs="Arial"/>
                <w:sz w:val="20"/>
              </w:rPr>
              <w:t>T</w:t>
            </w:r>
            <w:r w:rsidRPr="001F2247">
              <w:rPr>
                <w:rFonts w:cs="Arial"/>
                <w:sz w:val="20"/>
              </w:rPr>
              <w:t xml:space="preserve">he </w:t>
            </w:r>
            <w:r w:rsidR="00F76C7A">
              <w:rPr>
                <w:rFonts w:cs="Arial"/>
                <w:sz w:val="20"/>
              </w:rPr>
              <w:t>University</w:t>
            </w:r>
            <w:r w:rsidRPr="001F2247">
              <w:rPr>
                <w:rFonts w:cs="Arial"/>
                <w:sz w:val="20"/>
              </w:rPr>
              <w:t xml:space="preserve"> has had a sanction imposed on its registration by </w:t>
            </w:r>
            <w:r w:rsidR="00982977">
              <w:rPr>
                <w:rFonts w:cs="Arial"/>
                <w:sz w:val="20"/>
              </w:rPr>
              <w:t xml:space="preserve">TEQSA </w:t>
            </w:r>
            <w:r w:rsidRPr="001F2247">
              <w:rPr>
                <w:rFonts w:cs="Arial"/>
                <w:sz w:val="20"/>
              </w:rPr>
              <w:t xml:space="preserve">that prevents the international student from continuing their program with </w:t>
            </w:r>
            <w:r w:rsidR="00F76C7A">
              <w:rPr>
                <w:rFonts w:cs="Arial"/>
                <w:sz w:val="20"/>
              </w:rPr>
              <w:t>the University</w:t>
            </w:r>
            <w:r>
              <w:rPr>
                <w:rFonts w:cs="Arial"/>
                <w:sz w:val="20"/>
              </w:rPr>
              <w:t>.</w:t>
            </w:r>
          </w:p>
        </w:tc>
        <w:tc>
          <w:tcPr>
            <w:tcW w:w="3821" w:type="dxa"/>
          </w:tcPr>
          <w:p w14:paraId="22868EC8" w14:textId="6B6D8F16" w:rsidR="00622235" w:rsidRDefault="0049061D" w:rsidP="00000684">
            <w:pPr>
              <w:tabs>
                <w:tab w:val="left" w:pos="1134"/>
              </w:tabs>
              <w:ind w:left="0"/>
              <w:rPr>
                <w:rFonts w:cs="Arial"/>
                <w:sz w:val="20"/>
              </w:rPr>
            </w:pPr>
            <w:r>
              <w:rPr>
                <w:rFonts w:cs="Arial"/>
                <w:sz w:val="20"/>
              </w:rPr>
              <w:t>Nil</w:t>
            </w:r>
          </w:p>
        </w:tc>
      </w:tr>
      <w:tr w:rsidR="00F73CD0" w:rsidRPr="00000684" w14:paraId="10942D29" w14:textId="77777777" w:rsidTr="002A0BFB">
        <w:tc>
          <w:tcPr>
            <w:tcW w:w="4774" w:type="dxa"/>
          </w:tcPr>
          <w:p w14:paraId="719713ED" w14:textId="7CF3C648" w:rsidR="00F73CD0" w:rsidRDefault="00F73CD0" w:rsidP="00F76C7A">
            <w:pPr>
              <w:tabs>
                <w:tab w:val="left" w:pos="0"/>
              </w:tabs>
              <w:ind w:left="0"/>
              <w:rPr>
                <w:rFonts w:cs="Arial"/>
                <w:sz w:val="20"/>
              </w:rPr>
            </w:pPr>
            <w:r>
              <w:rPr>
                <w:rFonts w:cs="Arial"/>
                <w:sz w:val="20"/>
              </w:rPr>
              <w:t>An appeal (internal or extern</w:t>
            </w:r>
            <w:r w:rsidR="00B84A47">
              <w:rPr>
                <w:rFonts w:cs="Arial"/>
                <w:sz w:val="20"/>
              </w:rPr>
              <w:t>al) on another matter results in</w:t>
            </w:r>
            <w:r>
              <w:rPr>
                <w:rFonts w:cs="Arial"/>
                <w:sz w:val="20"/>
              </w:rPr>
              <w:t xml:space="preserve"> a decision or recommendation to release the international student.</w:t>
            </w:r>
          </w:p>
        </w:tc>
        <w:tc>
          <w:tcPr>
            <w:tcW w:w="3821" w:type="dxa"/>
          </w:tcPr>
          <w:p w14:paraId="4BE44E14" w14:textId="0E1A9970" w:rsidR="00F73CD0" w:rsidRDefault="00F73CD0" w:rsidP="00000684">
            <w:pPr>
              <w:tabs>
                <w:tab w:val="left" w:pos="1134"/>
              </w:tabs>
              <w:ind w:left="0"/>
              <w:rPr>
                <w:rFonts w:cs="Arial"/>
                <w:sz w:val="20"/>
              </w:rPr>
            </w:pPr>
            <w:r>
              <w:rPr>
                <w:rFonts w:cs="Arial"/>
                <w:sz w:val="20"/>
              </w:rPr>
              <w:t>Evidence of the appeal outcome.</w:t>
            </w:r>
          </w:p>
        </w:tc>
      </w:tr>
    </w:tbl>
    <w:p w14:paraId="7462D822" w14:textId="7124BF1D" w:rsidR="00653682" w:rsidRDefault="00653682" w:rsidP="00955AEA">
      <w:pPr>
        <w:tabs>
          <w:tab w:val="left" w:pos="1134"/>
        </w:tabs>
        <w:spacing w:after="0"/>
        <w:ind w:left="0"/>
        <w:rPr>
          <w:rFonts w:cs="Arial"/>
          <w:sz w:val="20"/>
        </w:rPr>
      </w:pPr>
    </w:p>
    <w:p w14:paraId="74D7EBC1" w14:textId="62D90C51" w:rsidR="00A75046" w:rsidRDefault="00C526A0" w:rsidP="00955AEA">
      <w:pPr>
        <w:numPr>
          <w:ilvl w:val="1"/>
          <w:numId w:val="2"/>
        </w:numPr>
        <w:tabs>
          <w:tab w:val="clear" w:pos="1146"/>
          <w:tab w:val="left" w:pos="1134"/>
        </w:tabs>
        <w:ind w:left="1151" w:hanging="573"/>
        <w:rPr>
          <w:rFonts w:cs="Arial"/>
          <w:b/>
          <w:sz w:val="20"/>
        </w:rPr>
      </w:pPr>
      <w:r>
        <w:rPr>
          <w:rFonts w:cs="Arial"/>
          <w:b/>
          <w:sz w:val="20"/>
        </w:rPr>
        <w:t>Circumstances</w:t>
      </w:r>
      <w:r w:rsidR="009009B3">
        <w:rPr>
          <w:rFonts w:cs="Arial"/>
          <w:b/>
          <w:sz w:val="20"/>
        </w:rPr>
        <w:t xml:space="preserve"> for D</w:t>
      </w:r>
      <w:r w:rsidR="00C419C7">
        <w:rPr>
          <w:rFonts w:cs="Arial"/>
          <w:b/>
          <w:sz w:val="20"/>
        </w:rPr>
        <w:t>enying</w:t>
      </w:r>
      <w:r w:rsidR="00A75046" w:rsidRPr="00A75046">
        <w:rPr>
          <w:rFonts w:cs="Arial"/>
          <w:b/>
          <w:sz w:val="20"/>
        </w:rPr>
        <w:t xml:space="preserve"> a Release</w:t>
      </w:r>
      <w:r>
        <w:rPr>
          <w:rFonts w:cs="Arial"/>
          <w:b/>
          <w:sz w:val="20"/>
        </w:rPr>
        <w:t xml:space="preserve"> Request</w:t>
      </w:r>
    </w:p>
    <w:p w14:paraId="7D9E2A3E" w14:textId="07BF90FD" w:rsidR="0077488D" w:rsidRPr="002A0BFB" w:rsidRDefault="00C526A0" w:rsidP="00816912">
      <w:pPr>
        <w:tabs>
          <w:tab w:val="left" w:pos="1134"/>
        </w:tabs>
        <w:ind w:left="1134"/>
        <w:rPr>
          <w:rFonts w:cs="Arial"/>
          <w:sz w:val="20"/>
        </w:rPr>
      </w:pPr>
      <w:r w:rsidRPr="002A0BFB">
        <w:rPr>
          <w:rFonts w:cs="Arial"/>
          <w:sz w:val="20"/>
        </w:rPr>
        <w:t xml:space="preserve">The following </w:t>
      </w:r>
      <w:r w:rsidR="00BE5529" w:rsidRPr="002A0BFB">
        <w:rPr>
          <w:rFonts w:cs="Arial"/>
          <w:sz w:val="20"/>
        </w:rPr>
        <w:t>circumstances</w:t>
      </w:r>
      <w:r w:rsidRPr="002A0BFB">
        <w:rPr>
          <w:rFonts w:cs="Arial"/>
          <w:sz w:val="20"/>
        </w:rPr>
        <w:t xml:space="preserve"> </w:t>
      </w:r>
      <w:r w:rsidR="009009B3" w:rsidRPr="002A0BFB">
        <w:rPr>
          <w:rFonts w:cs="Arial"/>
          <w:sz w:val="20"/>
        </w:rPr>
        <w:t xml:space="preserve">are considered </w:t>
      </w:r>
      <w:r w:rsidR="00476467">
        <w:rPr>
          <w:rFonts w:cs="Arial"/>
          <w:sz w:val="20"/>
        </w:rPr>
        <w:t xml:space="preserve">to be reasonable grounds </w:t>
      </w:r>
      <w:r w:rsidR="00A25D0B">
        <w:rPr>
          <w:rFonts w:cs="Arial"/>
          <w:sz w:val="20"/>
        </w:rPr>
        <w:t xml:space="preserve">on which </w:t>
      </w:r>
      <w:r w:rsidR="00476467">
        <w:rPr>
          <w:rFonts w:cs="Arial"/>
          <w:sz w:val="20"/>
        </w:rPr>
        <w:t>to refuse the transfer request</w:t>
      </w:r>
      <w:r w:rsidR="009009B3" w:rsidRPr="002A0BFB">
        <w:rPr>
          <w:rFonts w:cs="Arial"/>
          <w:sz w:val="20"/>
        </w:rPr>
        <w:t>.</w:t>
      </w:r>
    </w:p>
    <w:p w14:paraId="74D7EBC2" w14:textId="02ACB2CB" w:rsidR="00A75046" w:rsidRPr="003760A0" w:rsidRDefault="003760A0" w:rsidP="004E77EB">
      <w:pPr>
        <w:pStyle w:val="ListParagraph"/>
        <w:numPr>
          <w:ilvl w:val="0"/>
          <w:numId w:val="5"/>
        </w:numPr>
        <w:tabs>
          <w:tab w:val="left" w:pos="1134"/>
        </w:tabs>
        <w:rPr>
          <w:rFonts w:cs="Arial"/>
          <w:sz w:val="20"/>
        </w:rPr>
      </w:pPr>
      <w:r>
        <w:rPr>
          <w:rFonts w:cs="Arial"/>
          <w:sz w:val="20"/>
        </w:rPr>
        <w:t>The s</w:t>
      </w:r>
      <w:r w:rsidR="00A75046" w:rsidRPr="003760A0">
        <w:rPr>
          <w:rFonts w:cs="Arial"/>
          <w:sz w:val="20"/>
        </w:rPr>
        <w:t xml:space="preserve">tudent has changed </w:t>
      </w:r>
      <w:r w:rsidR="00C27D06">
        <w:rPr>
          <w:rFonts w:cs="Arial"/>
          <w:sz w:val="20"/>
        </w:rPr>
        <w:t>their</w:t>
      </w:r>
      <w:r w:rsidR="00A75046" w:rsidRPr="003760A0">
        <w:rPr>
          <w:rFonts w:cs="Arial"/>
          <w:sz w:val="20"/>
        </w:rPr>
        <w:t xml:space="preserve"> mind about the program, including students enrolled in a preparatory</w:t>
      </w:r>
      <w:r w:rsidR="002A1189" w:rsidRPr="003760A0">
        <w:rPr>
          <w:rFonts w:cs="Arial"/>
          <w:sz w:val="20"/>
        </w:rPr>
        <w:t>/pathway</w:t>
      </w:r>
      <w:r w:rsidR="00A75046" w:rsidRPr="003760A0">
        <w:rPr>
          <w:rFonts w:cs="Arial"/>
          <w:sz w:val="20"/>
        </w:rPr>
        <w:t xml:space="preserve"> program</w:t>
      </w:r>
      <w:r w:rsidR="006C1244">
        <w:rPr>
          <w:rFonts w:cs="Arial"/>
          <w:sz w:val="20"/>
        </w:rPr>
        <w:t>.</w:t>
      </w:r>
    </w:p>
    <w:p w14:paraId="7B31BF82" w14:textId="5EA41B60" w:rsidR="002A0BFB" w:rsidRDefault="003760A0" w:rsidP="004E77EB">
      <w:pPr>
        <w:pStyle w:val="ListParagraph"/>
        <w:numPr>
          <w:ilvl w:val="0"/>
          <w:numId w:val="5"/>
        </w:numPr>
        <w:tabs>
          <w:tab w:val="left" w:pos="1134"/>
        </w:tabs>
        <w:rPr>
          <w:rFonts w:cs="Arial"/>
          <w:sz w:val="20"/>
        </w:rPr>
      </w:pPr>
      <w:r>
        <w:rPr>
          <w:rFonts w:cs="Arial"/>
          <w:sz w:val="20"/>
        </w:rPr>
        <w:t>T</w:t>
      </w:r>
      <w:r w:rsidR="004E77EB" w:rsidRPr="003760A0">
        <w:rPr>
          <w:rFonts w:cs="Arial"/>
          <w:sz w:val="20"/>
        </w:rPr>
        <w:t>he student wants to live somewhere else</w:t>
      </w:r>
      <w:r w:rsidR="006C1244">
        <w:rPr>
          <w:rFonts w:cs="Arial"/>
          <w:sz w:val="20"/>
        </w:rPr>
        <w:t>.</w:t>
      </w:r>
    </w:p>
    <w:p w14:paraId="74D7EBC3" w14:textId="3CF75256" w:rsidR="00A75046" w:rsidRPr="00816912" w:rsidRDefault="00167DB1" w:rsidP="004E77EB">
      <w:pPr>
        <w:pStyle w:val="ListParagraph"/>
        <w:numPr>
          <w:ilvl w:val="0"/>
          <w:numId w:val="5"/>
        </w:numPr>
        <w:tabs>
          <w:tab w:val="left" w:pos="1134"/>
        </w:tabs>
        <w:rPr>
          <w:rFonts w:cs="Arial"/>
          <w:sz w:val="20"/>
        </w:rPr>
      </w:pPr>
      <w:r>
        <w:rPr>
          <w:rFonts w:cs="Arial"/>
          <w:sz w:val="20"/>
        </w:rPr>
        <w:t>A</w:t>
      </w:r>
      <w:r w:rsidR="00A75046" w:rsidRPr="003760A0">
        <w:rPr>
          <w:rFonts w:cs="Arial"/>
          <w:sz w:val="20"/>
        </w:rPr>
        <w:t xml:space="preserve"> Griffith English Language Institute (GELI) student is wanting to transfer to another English </w:t>
      </w:r>
      <w:r w:rsidR="009D1A6C">
        <w:rPr>
          <w:rFonts w:cs="Arial"/>
          <w:sz w:val="20"/>
        </w:rPr>
        <w:t>l</w:t>
      </w:r>
      <w:r w:rsidR="00A75046" w:rsidRPr="003760A0">
        <w:rPr>
          <w:rFonts w:cs="Arial"/>
          <w:sz w:val="20"/>
        </w:rPr>
        <w:t xml:space="preserve">anguage </w:t>
      </w:r>
      <w:r w:rsidR="009D1A6C">
        <w:rPr>
          <w:rFonts w:cs="Arial"/>
          <w:sz w:val="20"/>
        </w:rPr>
        <w:t>c</w:t>
      </w:r>
      <w:r w:rsidR="00A75046" w:rsidRPr="003760A0">
        <w:rPr>
          <w:rFonts w:cs="Arial"/>
          <w:sz w:val="20"/>
        </w:rPr>
        <w:t>entre</w:t>
      </w:r>
      <w:r w:rsidR="006C1244">
        <w:rPr>
          <w:rFonts w:cs="Arial"/>
          <w:sz w:val="20"/>
        </w:rPr>
        <w:t>.</w:t>
      </w:r>
    </w:p>
    <w:p w14:paraId="6CEA6137" w14:textId="01FCF6B1" w:rsidR="00A20ECD" w:rsidRPr="00816912" w:rsidRDefault="00167DB1" w:rsidP="004E77EB">
      <w:pPr>
        <w:pStyle w:val="ListParagraph"/>
        <w:numPr>
          <w:ilvl w:val="0"/>
          <w:numId w:val="5"/>
        </w:numPr>
        <w:tabs>
          <w:tab w:val="left" w:pos="1134"/>
        </w:tabs>
        <w:rPr>
          <w:rFonts w:cs="Arial"/>
          <w:sz w:val="20"/>
        </w:rPr>
      </w:pPr>
      <w:r>
        <w:rPr>
          <w:rFonts w:cs="Arial"/>
          <w:sz w:val="20"/>
        </w:rPr>
        <w:t>T</w:t>
      </w:r>
      <w:r w:rsidR="00A20ECD" w:rsidRPr="00167DB1">
        <w:rPr>
          <w:rFonts w:cs="Arial"/>
          <w:sz w:val="20"/>
        </w:rPr>
        <w:t>he transfer is considered detrimental</w:t>
      </w:r>
      <w:r w:rsidR="00A20940" w:rsidRPr="00167DB1">
        <w:rPr>
          <w:rFonts w:cs="Arial"/>
          <w:sz w:val="20"/>
        </w:rPr>
        <w:t xml:space="preserve"> to the student’s academic progression. Circumstances considered detrimental include:</w:t>
      </w:r>
    </w:p>
    <w:p w14:paraId="749D5142" w14:textId="771E7DA3" w:rsidR="00A20940" w:rsidRPr="00167DB1" w:rsidRDefault="00A20940" w:rsidP="00816912">
      <w:pPr>
        <w:pStyle w:val="ListParagraph"/>
        <w:numPr>
          <w:ilvl w:val="1"/>
          <w:numId w:val="6"/>
        </w:numPr>
        <w:tabs>
          <w:tab w:val="left" w:pos="1134"/>
        </w:tabs>
        <w:rPr>
          <w:rFonts w:cs="Arial"/>
          <w:sz w:val="20"/>
        </w:rPr>
      </w:pPr>
      <w:r w:rsidRPr="00816912">
        <w:rPr>
          <w:rFonts w:cs="Arial"/>
          <w:sz w:val="20"/>
        </w:rPr>
        <w:t>the student h</w:t>
      </w:r>
      <w:r w:rsidR="004E77EB" w:rsidRPr="00816912">
        <w:rPr>
          <w:rFonts w:cs="Arial"/>
          <w:sz w:val="20"/>
        </w:rPr>
        <w:t>as not started studying, or has</w:t>
      </w:r>
      <w:r w:rsidRPr="00816912">
        <w:rPr>
          <w:rFonts w:cs="Arial"/>
          <w:sz w:val="20"/>
        </w:rPr>
        <w:t xml:space="preserve"> only recently started studying, a</w:t>
      </w:r>
      <w:r w:rsidR="004E77EB" w:rsidRPr="00816912">
        <w:rPr>
          <w:rFonts w:cs="Arial"/>
          <w:sz w:val="20"/>
        </w:rPr>
        <w:t>nd has</w:t>
      </w:r>
      <w:r w:rsidRPr="00816912">
        <w:rPr>
          <w:rFonts w:cs="Arial"/>
          <w:sz w:val="20"/>
        </w:rPr>
        <w:t xml:space="preserve"> not experienced the full range of academic and support services available at the University</w:t>
      </w:r>
      <w:r w:rsidR="00F57BF2">
        <w:rPr>
          <w:rFonts w:cs="Arial"/>
          <w:sz w:val="20"/>
        </w:rPr>
        <w:t>;</w:t>
      </w:r>
    </w:p>
    <w:p w14:paraId="7A6330E8" w14:textId="2893E284" w:rsidR="00A20940" w:rsidRPr="00167DB1" w:rsidRDefault="00A20940" w:rsidP="00816912">
      <w:pPr>
        <w:pStyle w:val="ListParagraph"/>
        <w:numPr>
          <w:ilvl w:val="1"/>
          <w:numId w:val="6"/>
        </w:numPr>
        <w:tabs>
          <w:tab w:val="left" w:pos="1134"/>
        </w:tabs>
        <w:rPr>
          <w:rFonts w:cs="Arial"/>
          <w:sz w:val="20"/>
        </w:rPr>
      </w:pPr>
      <w:r w:rsidRPr="00816912">
        <w:rPr>
          <w:rFonts w:cs="Arial"/>
          <w:sz w:val="20"/>
        </w:rPr>
        <w:t>the student is transferring to a lower level qualification</w:t>
      </w:r>
      <w:r w:rsidR="004E77EB" w:rsidRPr="00816912">
        <w:rPr>
          <w:rFonts w:cs="Arial"/>
          <w:sz w:val="20"/>
        </w:rPr>
        <w:t xml:space="preserve"> or different subject area,</w:t>
      </w:r>
      <w:r w:rsidRPr="00816912">
        <w:rPr>
          <w:rFonts w:cs="Arial"/>
          <w:sz w:val="20"/>
        </w:rPr>
        <w:t xml:space="preserve"> not offered at the University, for reasons other than academic ability</w:t>
      </w:r>
      <w:r w:rsidR="00167DB1">
        <w:rPr>
          <w:rFonts w:cs="Arial"/>
          <w:sz w:val="20"/>
        </w:rPr>
        <w:t>.</w:t>
      </w:r>
    </w:p>
    <w:p w14:paraId="74D7EBC5" w14:textId="2A8AF00A" w:rsidR="00A75046" w:rsidRPr="00816912" w:rsidRDefault="00167DB1" w:rsidP="00816912">
      <w:pPr>
        <w:pStyle w:val="ListParagraph"/>
        <w:numPr>
          <w:ilvl w:val="0"/>
          <w:numId w:val="5"/>
        </w:numPr>
        <w:tabs>
          <w:tab w:val="left" w:pos="1134"/>
        </w:tabs>
        <w:rPr>
          <w:rFonts w:cs="Arial"/>
          <w:sz w:val="20"/>
        </w:rPr>
      </w:pPr>
      <w:r>
        <w:rPr>
          <w:rFonts w:cs="Arial"/>
          <w:sz w:val="20"/>
        </w:rPr>
        <w:lastRenderedPageBreak/>
        <w:t>T</w:t>
      </w:r>
      <w:r w:rsidR="00A20ECD" w:rsidRPr="00167DB1">
        <w:rPr>
          <w:rFonts w:cs="Arial"/>
          <w:sz w:val="20"/>
        </w:rPr>
        <w:t xml:space="preserve">he University considers that the student is trying to avoid being reported to </w:t>
      </w:r>
      <w:r>
        <w:rPr>
          <w:rFonts w:cs="Arial"/>
          <w:sz w:val="20"/>
        </w:rPr>
        <w:t xml:space="preserve">the Department of </w:t>
      </w:r>
      <w:r w:rsidR="00F6611A">
        <w:rPr>
          <w:rFonts w:cs="Arial"/>
          <w:sz w:val="20"/>
        </w:rPr>
        <w:t>Home Affairs (HA)</w:t>
      </w:r>
      <w:r w:rsidR="00A20ECD" w:rsidRPr="00167DB1">
        <w:rPr>
          <w:rFonts w:cs="Arial"/>
          <w:sz w:val="20"/>
        </w:rPr>
        <w:t xml:space="preserve"> for failing to meet attendance or academic progress requirements</w:t>
      </w:r>
      <w:r w:rsidR="006C1244">
        <w:rPr>
          <w:rFonts w:cs="Arial"/>
          <w:sz w:val="20"/>
        </w:rPr>
        <w:t>.</w:t>
      </w:r>
    </w:p>
    <w:p w14:paraId="0076D8F0" w14:textId="5189FF23" w:rsidR="00167DB1" w:rsidRPr="002A0BFB" w:rsidRDefault="00167DB1" w:rsidP="004E77EB">
      <w:pPr>
        <w:pStyle w:val="ListParagraph"/>
        <w:numPr>
          <w:ilvl w:val="0"/>
          <w:numId w:val="5"/>
        </w:numPr>
        <w:tabs>
          <w:tab w:val="left" w:pos="1134"/>
        </w:tabs>
        <w:rPr>
          <w:rFonts w:cs="Arial"/>
          <w:sz w:val="20"/>
        </w:rPr>
      </w:pPr>
      <w:r>
        <w:rPr>
          <w:sz w:val="20"/>
        </w:rPr>
        <w:t xml:space="preserve">The University considers the student has taken advantage of its </w:t>
      </w:r>
      <w:r w:rsidR="008320DD">
        <w:rPr>
          <w:sz w:val="20"/>
        </w:rPr>
        <w:t xml:space="preserve">Simplified </w:t>
      </w:r>
      <w:r w:rsidR="0007577C">
        <w:rPr>
          <w:sz w:val="20"/>
        </w:rPr>
        <w:t>S</w:t>
      </w:r>
      <w:r w:rsidR="008320DD">
        <w:rPr>
          <w:sz w:val="20"/>
        </w:rPr>
        <w:t xml:space="preserve">tudent </w:t>
      </w:r>
      <w:r w:rsidR="0007577C">
        <w:rPr>
          <w:sz w:val="20"/>
        </w:rPr>
        <w:t>V</w:t>
      </w:r>
      <w:r w:rsidR="008320DD">
        <w:rPr>
          <w:sz w:val="20"/>
        </w:rPr>
        <w:t xml:space="preserve">isa </w:t>
      </w:r>
      <w:r w:rsidR="0007577C">
        <w:rPr>
          <w:sz w:val="20"/>
        </w:rPr>
        <w:t>F</w:t>
      </w:r>
      <w:r w:rsidR="008320DD">
        <w:rPr>
          <w:sz w:val="20"/>
        </w:rPr>
        <w:t>ramework (SSVF)</w:t>
      </w:r>
      <w:r>
        <w:rPr>
          <w:sz w:val="20"/>
        </w:rPr>
        <w:t xml:space="preserve"> arrangements to obtain a student visa and enter Australia and has requested to transfer to </w:t>
      </w:r>
      <w:r w:rsidR="008320DD">
        <w:rPr>
          <w:sz w:val="20"/>
        </w:rPr>
        <w:t>another</w:t>
      </w:r>
      <w:r>
        <w:rPr>
          <w:sz w:val="20"/>
        </w:rPr>
        <w:t xml:space="preserve"> provider without making a genuine effort to commence their study at Griffith University</w:t>
      </w:r>
      <w:r w:rsidR="006C1244">
        <w:rPr>
          <w:sz w:val="20"/>
        </w:rPr>
        <w:t>.</w:t>
      </w:r>
    </w:p>
    <w:p w14:paraId="3A21B775" w14:textId="1063529B" w:rsidR="002A0BFB" w:rsidRDefault="002A0BFB" w:rsidP="004E77EB">
      <w:pPr>
        <w:pStyle w:val="ListParagraph"/>
        <w:numPr>
          <w:ilvl w:val="0"/>
          <w:numId w:val="5"/>
        </w:numPr>
        <w:tabs>
          <w:tab w:val="left" w:pos="1134"/>
        </w:tabs>
        <w:rPr>
          <w:rFonts w:cs="Arial"/>
          <w:sz w:val="20"/>
        </w:rPr>
      </w:pPr>
      <w:r>
        <w:rPr>
          <w:rFonts w:cs="Arial"/>
          <w:sz w:val="20"/>
        </w:rPr>
        <w:t>T</w:t>
      </w:r>
      <w:r w:rsidRPr="00167DB1">
        <w:rPr>
          <w:rFonts w:cs="Arial"/>
          <w:sz w:val="20"/>
        </w:rPr>
        <w:t>he student wants to transfer to a provider with lower fees</w:t>
      </w:r>
      <w:r>
        <w:rPr>
          <w:rFonts w:cs="Arial"/>
          <w:sz w:val="20"/>
        </w:rPr>
        <w:t>.</w:t>
      </w:r>
    </w:p>
    <w:p w14:paraId="74D7EBC6" w14:textId="360DCD76" w:rsidR="00A75046" w:rsidRPr="00A75046" w:rsidRDefault="00A75046" w:rsidP="00F67055">
      <w:pPr>
        <w:numPr>
          <w:ilvl w:val="1"/>
          <w:numId w:val="2"/>
        </w:numPr>
        <w:tabs>
          <w:tab w:val="clear" w:pos="1146"/>
          <w:tab w:val="left" w:pos="1134"/>
        </w:tabs>
        <w:rPr>
          <w:rFonts w:cs="Arial"/>
          <w:b/>
          <w:sz w:val="20"/>
        </w:rPr>
      </w:pPr>
      <w:bookmarkStart w:id="3" w:name="twopointthree"/>
      <w:bookmarkEnd w:id="3"/>
      <w:r w:rsidRPr="00A75046">
        <w:rPr>
          <w:rFonts w:cs="Arial"/>
          <w:b/>
          <w:sz w:val="20"/>
        </w:rPr>
        <w:t xml:space="preserve">To be eligible to </w:t>
      </w:r>
      <w:r w:rsidR="00DB1FEB">
        <w:rPr>
          <w:rFonts w:cs="Arial"/>
          <w:b/>
          <w:sz w:val="20"/>
        </w:rPr>
        <w:t>apply for</w:t>
      </w:r>
      <w:r w:rsidR="00DB1FEB" w:rsidRPr="00A75046">
        <w:rPr>
          <w:rFonts w:cs="Arial"/>
          <w:b/>
          <w:sz w:val="20"/>
        </w:rPr>
        <w:t xml:space="preserve"> </w:t>
      </w:r>
      <w:r w:rsidRPr="00A75046">
        <w:rPr>
          <w:rFonts w:cs="Arial"/>
          <w:b/>
          <w:sz w:val="20"/>
        </w:rPr>
        <w:t>a Release the student must:</w:t>
      </w:r>
    </w:p>
    <w:p w14:paraId="74D7EBC7" w14:textId="4A900959" w:rsidR="00A75046" w:rsidRPr="00A75046" w:rsidRDefault="00A75046" w:rsidP="00DD16D1">
      <w:pPr>
        <w:pStyle w:val="ListParagraph"/>
        <w:numPr>
          <w:ilvl w:val="0"/>
          <w:numId w:val="7"/>
        </w:numPr>
        <w:tabs>
          <w:tab w:val="left" w:pos="1134"/>
        </w:tabs>
        <w:rPr>
          <w:rFonts w:cs="Arial"/>
          <w:sz w:val="20"/>
        </w:rPr>
      </w:pPr>
      <w:r w:rsidRPr="00A75046">
        <w:rPr>
          <w:rFonts w:cs="Arial"/>
          <w:sz w:val="20"/>
        </w:rPr>
        <w:t xml:space="preserve">have </w:t>
      </w:r>
      <w:r w:rsidR="000D5BEF">
        <w:rPr>
          <w:rFonts w:cs="Arial"/>
          <w:sz w:val="20"/>
        </w:rPr>
        <w:t xml:space="preserve">been granted a </w:t>
      </w:r>
      <w:r w:rsidR="00DB1FEB">
        <w:rPr>
          <w:rFonts w:cs="Arial"/>
          <w:sz w:val="20"/>
        </w:rPr>
        <w:t xml:space="preserve">student visa based on the student </w:t>
      </w:r>
      <w:r w:rsidR="000D5BEF">
        <w:rPr>
          <w:rFonts w:cs="Arial"/>
          <w:sz w:val="20"/>
        </w:rPr>
        <w:t xml:space="preserve">being issued with a </w:t>
      </w:r>
      <w:r w:rsidR="003760A0">
        <w:rPr>
          <w:rFonts w:cs="Arial"/>
          <w:sz w:val="20"/>
        </w:rPr>
        <w:t>Confirmation of Enrolment (</w:t>
      </w:r>
      <w:proofErr w:type="spellStart"/>
      <w:r w:rsidR="000D5BEF">
        <w:rPr>
          <w:rFonts w:cs="Arial"/>
          <w:sz w:val="20"/>
        </w:rPr>
        <w:t>CoE</w:t>
      </w:r>
      <w:proofErr w:type="spellEnd"/>
      <w:r w:rsidR="003760A0">
        <w:rPr>
          <w:rFonts w:cs="Arial"/>
          <w:sz w:val="20"/>
        </w:rPr>
        <w:t>)</w:t>
      </w:r>
      <w:r w:rsidR="000D5BEF">
        <w:rPr>
          <w:rFonts w:cs="Arial"/>
          <w:sz w:val="20"/>
        </w:rPr>
        <w:t xml:space="preserve"> to study their principal program at </w:t>
      </w:r>
      <w:r w:rsidR="00C419C7">
        <w:rPr>
          <w:rFonts w:cs="Arial"/>
          <w:sz w:val="20"/>
        </w:rPr>
        <w:t>the</w:t>
      </w:r>
      <w:r w:rsidR="000D5BEF">
        <w:rPr>
          <w:rFonts w:cs="Arial"/>
          <w:sz w:val="20"/>
        </w:rPr>
        <w:t xml:space="preserve"> University</w:t>
      </w:r>
      <w:r w:rsidR="00FD76F0">
        <w:rPr>
          <w:rFonts w:cs="Arial"/>
          <w:sz w:val="20"/>
        </w:rPr>
        <w:t>;</w:t>
      </w:r>
      <w:r w:rsidR="000D5BEF">
        <w:rPr>
          <w:rFonts w:cs="Arial"/>
          <w:sz w:val="20"/>
        </w:rPr>
        <w:t xml:space="preserve"> and</w:t>
      </w:r>
    </w:p>
    <w:p w14:paraId="74D7EBC8" w14:textId="12C3813D" w:rsidR="00A75046" w:rsidRPr="00A75046" w:rsidRDefault="00A75046" w:rsidP="00DD16D1">
      <w:pPr>
        <w:pStyle w:val="ListParagraph"/>
        <w:numPr>
          <w:ilvl w:val="0"/>
          <w:numId w:val="7"/>
        </w:numPr>
        <w:tabs>
          <w:tab w:val="left" w:pos="1134"/>
        </w:tabs>
        <w:rPr>
          <w:rFonts w:cs="Arial"/>
          <w:sz w:val="20"/>
        </w:rPr>
      </w:pPr>
      <w:r w:rsidRPr="00A75046">
        <w:rPr>
          <w:rFonts w:cs="Arial"/>
          <w:sz w:val="20"/>
        </w:rPr>
        <w:t xml:space="preserve">have not completed six months of their principal </w:t>
      </w:r>
      <w:r w:rsidR="000D5BEF" w:rsidRPr="00A75046">
        <w:rPr>
          <w:rFonts w:cs="Arial"/>
          <w:sz w:val="20"/>
        </w:rPr>
        <w:t>program</w:t>
      </w:r>
      <w:r w:rsidR="00FD76F0">
        <w:rPr>
          <w:rFonts w:cs="Arial"/>
          <w:sz w:val="20"/>
        </w:rPr>
        <w:t>;</w:t>
      </w:r>
      <w:r w:rsidR="000D5BEF">
        <w:rPr>
          <w:rFonts w:cs="Arial"/>
          <w:sz w:val="20"/>
        </w:rPr>
        <w:t xml:space="preserve"> and</w:t>
      </w:r>
    </w:p>
    <w:p w14:paraId="74D7EBCB" w14:textId="65F12229" w:rsidR="00A75046" w:rsidRPr="00A75046" w:rsidRDefault="00A75046" w:rsidP="00DD16D1">
      <w:pPr>
        <w:pStyle w:val="ListParagraph"/>
        <w:numPr>
          <w:ilvl w:val="0"/>
          <w:numId w:val="7"/>
        </w:numPr>
        <w:tabs>
          <w:tab w:val="left" w:pos="1134"/>
        </w:tabs>
        <w:rPr>
          <w:rFonts w:cs="Arial"/>
          <w:sz w:val="20"/>
        </w:rPr>
      </w:pPr>
      <w:r w:rsidRPr="00A75046">
        <w:rPr>
          <w:rFonts w:cs="Arial"/>
          <w:sz w:val="20"/>
        </w:rPr>
        <w:t xml:space="preserve">submit a fully completed </w:t>
      </w:r>
      <w:r w:rsidR="00A73F05">
        <w:rPr>
          <w:rFonts w:cs="Arial"/>
          <w:sz w:val="20"/>
        </w:rPr>
        <w:t>online</w:t>
      </w:r>
      <w:r w:rsidR="00713BB1">
        <w:rPr>
          <w:rFonts w:cs="Arial"/>
          <w:sz w:val="20"/>
        </w:rPr>
        <w:t xml:space="preserve"> </w:t>
      </w:r>
      <w:r w:rsidR="002B7F5A">
        <w:rPr>
          <w:rFonts w:cs="Arial"/>
          <w:sz w:val="20"/>
        </w:rPr>
        <w:t>R</w:t>
      </w:r>
      <w:r w:rsidR="002B7F5A" w:rsidRPr="00A75046">
        <w:rPr>
          <w:rFonts w:cs="Arial"/>
          <w:sz w:val="20"/>
        </w:rPr>
        <w:t>elease</w:t>
      </w:r>
      <w:r w:rsidR="002B7F5A">
        <w:rPr>
          <w:rFonts w:cs="Arial"/>
          <w:sz w:val="20"/>
        </w:rPr>
        <w:t xml:space="preserve"> Request</w:t>
      </w:r>
      <w:r w:rsidR="002B7F5A" w:rsidRPr="00A75046">
        <w:rPr>
          <w:rFonts w:cs="Arial"/>
          <w:sz w:val="20"/>
        </w:rPr>
        <w:t xml:space="preserve"> </w:t>
      </w:r>
      <w:r w:rsidRPr="00A75046">
        <w:rPr>
          <w:rFonts w:cs="Arial"/>
          <w:sz w:val="20"/>
        </w:rPr>
        <w:t>form</w:t>
      </w:r>
      <w:r w:rsidR="00FD76F0">
        <w:rPr>
          <w:rFonts w:cs="Arial"/>
          <w:sz w:val="20"/>
        </w:rPr>
        <w:t>;</w:t>
      </w:r>
      <w:r w:rsidR="002A0BFB">
        <w:rPr>
          <w:rFonts w:cs="Arial"/>
          <w:sz w:val="20"/>
        </w:rPr>
        <w:t xml:space="preserve"> </w:t>
      </w:r>
      <w:r w:rsidRPr="00A75046">
        <w:rPr>
          <w:rFonts w:cs="Arial"/>
          <w:sz w:val="20"/>
        </w:rPr>
        <w:t>and</w:t>
      </w:r>
    </w:p>
    <w:p w14:paraId="74D7EBCD" w14:textId="4EFE1C19" w:rsidR="00A75046" w:rsidRDefault="00A75046" w:rsidP="00DD16D1">
      <w:pPr>
        <w:pStyle w:val="ListParagraph"/>
        <w:numPr>
          <w:ilvl w:val="0"/>
          <w:numId w:val="7"/>
        </w:numPr>
        <w:tabs>
          <w:tab w:val="left" w:pos="1134"/>
        </w:tabs>
        <w:rPr>
          <w:rFonts w:cs="Arial"/>
          <w:sz w:val="20"/>
        </w:rPr>
      </w:pPr>
      <w:r w:rsidRPr="00A75046">
        <w:rPr>
          <w:rFonts w:cs="Arial"/>
          <w:sz w:val="20"/>
        </w:rPr>
        <w:t>provide a</w:t>
      </w:r>
      <w:r w:rsidR="002A1189">
        <w:rPr>
          <w:rFonts w:cs="Arial"/>
          <w:sz w:val="20"/>
        </w:rPr>
        <w:t>n unconditional</w:t>
      </w:r>
      <w:r w:rsidRPr="00A75046">
        <w:rPr>
          <w:rFonts w:cs="Arial"/>
          <w:sz w:val="20"/>
        </w:rPr>
        <w:t xml:space="preserve">  offer letter from the </w:t>
      </w:r>
      <w:r w:rsidR="00DF6506">
        <w:rPr>
          <w:rFonts w:cs="Arial"/>
          <w:sz w:val="20"/>
        </w:rPr>
        <w:t>CRICOS registered provider</w:t>
      </w:r>
      <w:r w:rsidR="00DF6506" w:rsidRPr="00A75046">
        <w:rPr>
          <w:rFonts w:cs="Arial"/>
          <w:sz w:val="20"/>
        </w:rPr>
        <w:t xml:space="preserve"> </w:t>
      </w:r>
      <w:r w:rsidRPr="00A75046">
        <w:rPr>
          <w:rFonts w:cs="Arial"/>
          <w:sz w:val="20"/>
        </w:rPr>
        <w:t>they wish to transfer</w:t>
      </w:r>
      <w:r w:rsidR="009B6C16">
        <w:rPr>
          <w:rFonts w:cs="Arial"/>
          <w:sz w:val="20"/>
        </w:rPr>
        <w:t xml:space="preserve"> to</w:t>
      </w:r>
      <w:r w:rsidR="00FD76F0">
        <w:rPr>
          <w:rFonts w:cs="Arial"/>
          <w:sz w:val="20"/>
        </w:rPr>
        <w:t>,</w:t>
      </w:r>
      <w:r w:rsidR="002A1189">
        <w:rPr>
          <w:rFonts w:cs="Arial"/>
          <w:sz w:val="20"/>
        </w:rPr>
        <w:t xml:space="preserve"> with a future start date</w:t>
      </w:r>
      <w:r w:rsidRPr="00A75046">
        <w:rPr>
          <w:rFonts w:cs="Arial"/>
          <w:sz w:val="20"/>
        </w:rPr>
        <w:t>; and</w:t>
      </w:r>
    </w:p>
    <w:p w14:paraId="64B7AB29" w14:textId="690619C7" w:rsidR="000D5BEF" w:rsidRPr="00A75046" w:rsidRDefault="00000684" w:rsidP="00DD16D1">
      <w:pPr>
        <w:pStyle w:val="ListParagraph"/>
        <w:numPr>
          <w:ilvl w:val="0"/>
          <w:numId w:val="7"/>
        </w:numPr>
        <w:tabs>
          <w:tab w:val="left" w:pos="1134"/>
        </w:tabs>
        <w:rPr>
          <w:rFonts w:cs="Arial"/>
          <w:sz w:val="20"/>
        </w:rPr>
      </w:pPr>
      <w:r>
        <w:rPr>
          <w:rFonts w:cs="Arial"/>
          <w:sz w:val="20"/>
        </w:rPr>
        <w:t>provide</w:t>
      </w:r>
      <w:r w:rsidR="000D5BEF">
        <w:rPr>
          <w:rFonts w:cs="Arial"/>
          <w:sz w:val="20"/>
        </w:rPr>
        <w:t xml:space="preserve"> documentation to support</w:t>
      </w:r>
      <w:r w:rsidR="00C419C7">
        <w:rPr>
          <w:rFonts w:cs="Arial"/>
          <w:sz w:val="20"/>
        </w:rPr>
        <w:t xml:space="preserve"> their release</w:t>
      </w:r>
      <w:r>
        <w:rPr>
          <w:rFonts w:cs="Arial"/>
          <w:sz w:val="20"/>
        </w:rPr>
        <w:t xml:space="preserve"> request as outlined in </w:t>
      </w:r>
      <w:hyperlink w:anchor="twopointone" w:history="1">
        <w:r w:rsidRPr="005F7D1D">
          <w:rPr>
            <w:rStyle w:val="Hyperlink"/>
            <w:rFonts w:cs="Arial"/>
            <w:sz w:val="20"/>
          </w:rPr>
          <w:t>section 2.1</w:t>
        </w:r>
      </w:hyperlink>
      <w:r>
        <w:rPr>
          <w:rFonts w:cs="Arial"/>
          <w:sz w:val="20"/>
        </w:rPr>
        <w:t xml:space="preserve"> of this policy</w:t>
      </w:r>
      <w:r w:rsidR="00FD76F0">
        <w:rPr>
          <w:rFonts w:cs="Arial"/>
          <w:sz w:val="20"/>
        </w:rPr>
        <w:t>;</w:t>
      </w:r>
      <w:r w:rsidR="00C419C7">
        <w:rPr>
          <w:rFonts w:cs="Arial"/>
          <w:sz w:val="20"/>
        </w:rPr>
        <w:t xml:space="preserve"> or</w:t>
      </w:r>
    </w:p>
    <w:p w14:paraId="74D7EBCE" w14:textId="2A17D716" w:rsidR="00A75046" w:rsidRPr="00A75046" w:rsidRDefault="00A75046" w:rsidP="00DD16D1">
      <w:pPr>
        <w:pStyle w:val="ListParagraph"/>
        <w:numPr>
          <w:ilvl w:val="0"/>
          <w:numId w:val="7"/>
        </w:numPr>
        <w:tabs>
          <w:tab w:val="left" w:pos="1134"/>
        </w:tabs>
        <w:rPr>
          <w:rFonts w:cs="Arial"/>
          <w:sz w:val="20"/>
        </w:rPr>
      </w:pPr>
      <w:r w:rsidRPr="00A75046">
        <w:rPr>
          <w:rFonts w:cs="Arial"/>
          <w:sz w:val="20"/>
        </w:rPr>
        <w:t>provide written confirmation of approval to transfer from legal guardian/parent, if under 18</w:t>
      </w:r>
      <w:r w:rsidR="00781BAB">
        <w:rPr>
          <w:rFonts w:cs="Arial"/>
          <w:sz w:val="20"/>
        </w:rPr>
        <w:t>;</w:t>
      </w:r>
      <w:r w:rsidR="00C419C7">
        <w:rPr>
          <w:rFonts w:cs="Arial"/>
          <w:sz w:val="20"/>
        </w:rPr>
        <w:t xml:space="preserve"> or</w:t>
      </w:r>
    </w:p>
    <w:p w14:paraId="2D6CB0E6" w14:textId="6FA34121" w:rsidR="00C419C7" w:rsidRDefault="00A75046" w:rsidP="00DD16D1">
      <w:pPr>
        <w:pStyle w:val="ListParagraph"/>
        <w:numPr>
          <w:ilvl w:val="0"/>
          <w:numId w:val="7"/>
        </w:numPr>
        <w:tabs>
          <w:tab w:val="left" w:pos="1134"/>
        </w:tabs>
        <w:rPr>
          <w:rFonts w:cs="Arial"/>
          <w:sz w:val="20"/>
        </w:rPr>
      </w:pPr>
      <w:r w:rsidRPr="00A75046">
        <w:rPr>
          <w:rFonts w:cs="Arial"/>
          <w:sz w:val="20"/>
        </w:rPr>
        <w:t>provide written confirmation of approval to transfer from government sponsor if a sponsored student</w:t>
      </w:r>
      <w:r w:rsidR="00781BAB">
        <w:rPr>
          <w:rFonts w:cs="Arial"/>
          <w:sz w:val="20"/>
        </w:rPr>
        <w:t>;</w:t>
      </w:r>
      <w:r w:rsidR="00C419C7">
        <w:rPr>
          <w:rFonts w:cs="Arial"/>
          <w:sz w:val="20"/>
        </w:rPr>
        <w:t xml:space="preserve"> and</w:t>
      </w:r>
    </w:p>
    <w:p w14:paraId="74D7EBCF" w14:textId="42544DFC" w:rsidR="00431ED9" w:rsidRDefault="00000684" w:rsidP="00DD16D1">
      <w:pPr>
        <w:pStyle w:val="ListParagraph"/>
        <w:numPr>
          <w:ilvl w:val="0"/>
          <w:numId w:val="7"/>
        </w:numPr>
        <w:tabs>
          <w:tab w:val="left" w:pos="1134"/>
        </w:tabs>
        <w:rPr>
          <w:rFonts w:cs="Arial"/>
          <w:sz w:val="20"/>
        </w:rPr>
      </w:pPr>
      <w:r>
        <w:rPr>
          <w:rFonts w:cs="Arial"/>
          <w:sz w:val="20"/>
        </w:rPr>
        <w:t xml:space="preserve">have </w:t>
      </w:r>
      <w:r w:rsidR="00C419C7">
        <w:rPr>
          <w:rFonts w:cs="Arial"/>
          <w:sz w:val="20"/>
        </w:rPr>
        <w:t>paid all fees outstanding to the University</w:t>
      </w:r>
      <w:r w:rsidR="001458A0">
        <w:rPr>
          <w:rFonts w:cs="Arial"/>
          <w:sz w:val="20"/>
        </w:rPr>
        <w:t>.</w:t>
      </w:r>
    </w:p>
    <w:p w14:paraId="1FB9FF88" w14:textId="1B223FFC" w:rsidR="00DC7AA7" w:rsidRDefault="00DC7AA7" w:rsidP="00955AEA">
      <w:pPr>
        <w:pStyle w:val="ListParagraph"/>
        <w:numPr>
          <w:ilvl w:val="1"/>
          <w:numId w:val="2"/>
        </w:numPr>
        <w:rPr>
          <w:rFonts w:cs="Arial"/>
          <w:b/>
          <w:sz w:val="20"/>
        </w:rPr>
      </w:pPr>
      <w:r w:rsidRPr="00955AEA">
        <w:rPr>
          <w:rFonts w:cs="Arial"/>
          <w:b/>
          <w:sz w:val="20"/>
        </w:rPr>
        <w:t xml:space="preserve">When enrolling a student who has welfare arrangements approved by another registered provider Griffith </w:t>
      </w:r>
      <w:r w:rsidRPr="00DC7AA7">
        <w:rPr>
          <w:rFonts w:cs="Arial"/>
          <w:b/>
          <w:sz w:val="20"/>
        </w:rPr>
        <w:t>University</w:t>
      </w:r>
      <w:r w:rsidRPr="00955AEA">
        <w:rPr>
          <w:rFonts w:cs="Arial"/>
          <w:b/>
          <w:sz w:val="20"/>
        </w:rPr>
        <w:t xml:space="preserve"> must:</w:t>
      </w:r>
    </w:p>
    <w:p w14:paraId="0CF975E3" w14:textId="36946596" w:rsidR="00DC7AA7" w:rsidRDefault="00DC7AA7" w:rsidP="00955AEA">
      <w:pPr>
        <w:pStyle w:val="ListParagraph"/>
        <w:numPr>
          <w:ilvl w:val="0"/>
          <w:numId w:val="15"/>
        </w:numPr>
        <w:rPr>
          <w:rFonts w:cs="Arial"/>
          <w:sz w:val="20"/>
        </w:rPr>
      </w:pPr>
      <w:r>
        <w:rPr>
          <w:rFonts w:cs="Arial"/>
          <w:sz w:val="20"/>
        </w:rPr>
        <w:t>negotiate the transfer date for welfare arrangements w</w:t>
      </w:r>
      <w:r w:rsidR="00374D39">
        <w:rPr>
          <w:rFonts w:cs="Arial"/>
          <w:sz w:val="20"/>
        </w:rPr>
        <w:t>i</w:t>
      </w:r>
      <w:r>
        <w:rPr>
          <w:rFonts w:cs="Arial"/>
          <w:sz w:val="20"/>
        </w:rPr>
        <w:t>th the releasing registered provider to ensure there is no gap; and</w:t>
      </w:r>
    </w:p>
    <w:p w14:paraId="760A0EFE" w14:textId="77777777" w:rsidR="00374D39" w:rsidRDefault="00DC7AA7" w:rsidP="00955AEA">
      <w:pPr>
        <w:pStyle w:val="ListParagraph"/>
        <w:numPr>
          <w:ilvl w:val="0"/>
          <w:numId w:val="15"/>
        </w:numPr>
        <w:rPr>
          <w:rFonts w:cs="Arial"/>
          <w:sz w:val="20"/>
        </w:rPr>
      </w:pPr>
      <w:r>
        <w:rPr>
          <w:rFonts w:cs="Arial"/>
          <w:sz w:val="20"/>
        </w:rPr>
        <w:t>inform the student of their visa obligation to</w:t>
      </w:r>
      <w:r w:rsidR="00374D39">
        <w:rPr>
          <w:rFonts w:cs="Arial"/>
          <w:sz w:val="20"/>
        </w:rPr>
        <w:t>:</w:t>
      </w:r>
    </w:p>
    <w:p w14:paraId="2FDDA041" w14:textId="41FB06B9" w:rsidR="00DC7AA7" w:rsidRDefault="00374D39" w:rsidP="00955AEA">
      <w:pPr>
        <w:pStyle w:val="ListParagraph"/>
        <w:numPr>
          <w:ilvl w:val="2"/>
          <w:numId w:val="6"/>
        </w:numPr>
        <w:ind w:left="1985" w:hanging="425"/>
        <w:rPr>
          <w:rFonts w:cs="Arial"/>
          <w:sz w:val="20"/>
          <w:u w:val="single"/>
        </w:rPr>
      </w:pPr>
      <w:r>
        <w:rPr>
          <w:rFonts w:cs="Arial"/>
          <w:sz w:val="20"/>
        </w:rPr>
        <w:t>maintain</w:t>
      </w:r>
      <w:r w:rsidR="00DC7AA7" w:rsidRPr="00955AEA">
        <w:rPr>
          <w:rFonts w:cs="Arial"/>
          <w:sz w:val="20"/>
        </w:rPr>
        <w:t xml:space="preserve"> their current welfare arrangements until the transfer date</w:t>
      </w:r>
      <w:r>
        <w:rPr>
          <w:rFonts w:cs="Arial"/>
          <w:sz w:val="20"/>
        </w:rPr>
        <w:t>;</w:t>
      </w:r>
      <w:r w:rsidR="00DC7AA7" w:rsidRPr="00955AEA">
        <w:rPr>
          <w:rFonts w:cs="Arial"/>
          <w:sz w:val="20"/>
        </w:rPr>
        <w:t xml:space="preserve"> </w:t>
      </w:r>
      <w:r w:rsidR="00DC7AA7" w:rsidRPr="00955AEA">
        <w:rPr>
          <w:rFonts w:cs="Arial"/>
          <w:sz w:val="20"/>
          <w:u w:val="single"/>
        </w:rPr>
        <w:t>or</w:t>
      </w:r>
    </w:p>
    <w:p w14:paraId="5018B4EF" w14:textId="1BE706BB" w:rsidR="00374D39" w:rsidRDefault="00374D39" w:rsidP="00955AEA">
      <w:pPr>
        <w:pStyle w:val="ListParagraph"/>
        <w:numPr>
          <w:ilvl w:val="2"/>
          <w:numId w:val="6"/>
        </w:numPr>
        <w:ind w:left="1985" w:hanging="425"/>
        <w:rPr>
          <w:rFonts w:cs="Arial"/>
          <w:sz w:val="20"/>
        </w:rPr>
      </w:pPr>
      <w:r>
        <w:rPr>
          <w:rFonts w:cs="Arial"/>
          <w:sz w:val="20"/>
        </w:rPr>
        <w:t xml:space="preserve">have alternate welfare arrangements approved; </w:t>
      </w:r>
      <w:r>
        <w:rPr>
          <w:rFonts w:cs="Arial"/>
          <w:sz w:val="20"/>
          <w:u w:val="single"/>
        </w:rPr>
        <w:t>or</w:t>
      </w:r>
    </w:p>
    <w:p w14:paraId="2CA8E5C7" w14:textId="4DDD3958" w:rsidR="00DC7AA7" w:rsidRPr="00955AEA" w:rsidRDefault="00374D39" w:rsidP="00955AEA">
      <w:pPr>
        <w:pStyle w:val="ListParagraph"/>
        <w:numPr>
          <w:ilvl w:val="2"/>
          <w:numId w:val="6"/>
        </w:numPr>
        <w:ind w:left="1985" w:hanging="425"/>
        <w:rPr>
          <w:rFonts w:cs="Arial"/>
          <w:sz w:val="20"/>
        </w:rPr>
      </w:pPr>
      <w:r>
        <w:rPr>
          <w:rFonts w:cs="Arial"/>
          <w:sz w:val="20"/>
        </w:rPr>
        <w:t>return to their home country until the new welfare arrangements take effect.</w:t>
      </w:r>
    </w:p>
    <w:p w14:paraId="231D9F22" w14:textId="56D395F7" w:rsidR="005876F7" w:rsidRPr="005876F7" w:rsidRDefault="00DC0002" w:rsidP="005876F7">
      <w:pPr>
        <w:tabs>
          <w:tab w:val="left" w:pos="1134"/>
        </w:tabs>
        <w:ind w:left="0"/>
        <w:rPr>
          <w:rFonts w:cs="Arial"/>
          <w:sz w:val="20"/>
        </w:rPr>
      </w:pPr>
      <w:r>
        <w:rPr>
          <w:rFonts w:cs="Arial"/>
          <w:noProof/>
          <w:sz w:val="18"/>
        </w:rPr>
        <w:pict w14:anchorId="05ACF22F">
          <v:rect id="_x0000_i1025" alt="" style="width:476.25pt;height:.05pt;mso-width-percent:0;mso-height-percent:0;mso-width-percent:0;mso-height-percent:0" o:hralign="center" o:hrstd="t" o:hr="t" fillcolor="#a0a0a0" stroked="f"/>
        </w:pict>
      </w:r>
    </w:p>
    <w:p w14:paraId="74D7EBD6" w14:textId="77777777" w:rsidR="00B35FB8" w:rsidRPr="00B34D13" w:rsidRDefault="00DD16D1" w:rsidP="00F67055">
      <w:pPr>
        <w:numPr>
          <w:ilvl w:val="0"/>
          <w:numId w:val="2"/>
        </w:numPr>
        <w:spacing w:before="100" w:beforeAutospacing="1" w:after="240"/>
        <w:rPr>
          <w:rFonts w:cs="Arial"/>
          <w:b/>
          <w:caps/>
          <w:sz w:val="24"/>
          <w:szCs w:val="24"/>
        </w:rPr>
      </w:pPr>
      <w:bookmarkStart w:id="4" w:name="denyingaletter"/>
      <w:bookmarkStart w:id="5" w:name="procedure"/>
      <w:bookmarkEnd w:id="4"/>
      <w:bookmarkEnd w:id="5"/>
      <w:r w:rsidRPr="00DD16D1">
        <w:rPr>
          <w:b/>
          <w:caps/>
          <w:sz w:val="24"/>
          <w:szCs w:val="24"/>
        </w:rPr>
        <w:t>Procedure</w:t>
      </w:r>
    </w:p>
    <w:p w14:paraId="74D7EBD7" w14:textId="65067C88" w:rsidR="00DD16D1" w:rsidRPr="00DD16D1" w:rsidRDefault="00DD16D1" w:rsidP="00F67055">
      <w:pPr>
        <w:numPr>
          <w:ilvl w:val="1"/>
          <w:numId w:val="2"/>
        </w:numPr>
        <w:tabs>
          <w:tab w:val="clear" w:pos="1146"/>
          <w:tab w:val="left" w:pos="1134"/>
        </w:tabs>
        <w:rPr>
          <w:rFonts w:cs="Arial"/>
          <w:b/>
          <w:sz w:val="20"/>
        </w:rPr>
      </w:pPr>
      <w:r w:rsidRPr="00DD16D1">
        <w:rPr>
          <w:rFonts w:cs="Arial"/>
          <w:b/>
          <w:sz w:val="20"/>
        </w:rPr>
        <w:t>Application for</w:t>
      </w:r>
      <w:r w:rsidR="000C3F67">
        <w:rPr>
          <w:rFonts w:cs="Arial"/>
          <w:b/>
          <w:sz w:val="20"/>
        </w:rPr>
        <w:t xml:space="preserve"> a</w:t>
      </w:r>
      <w:r w:rsidRPr="00DD16D1">
        <w:rPr>
          <w:rFonts w:cs="Arial"/>
          <w:b/>
          <w:sz w:val="20"/>
        </w:rPr>
        <w:t xml:space="preserve"> Release</w:t>
      </w:r>
      <w:r w:rsidR="00ED284C">
        <w:rPr>
          <w:rFonts w:cs="Arial"/>
          <w:b/>
          <w:sz w:val="20"/>
        </w:rPr>
        <w:t xml:space="preserve"> </w:t>
      </w:r>
    </w:p>
    <w:p w14:paraId="74D7EBD8" w14:textId="391D8F5B" w:rsidR="00DD16D1" w:rsidRDefault="00ED284C" w:rsidP="001F2247">
      <w:pPr>
        <w:pStyle w:val="ListParagraph"/>
        <w:numPr>
          <w:ilvl w:val="0"/>
          <w:numId w:val="9"/>
        </w:numPr>
        <w:tabs>
          <w:tab w:val="left" w:pos="1134"/>
        </w:tabs>
        <w:ind w:left="1506"/>
        <w:rPr>
          <w:rFonts w:cs="Arial"/>
          <w:sz w:val="20"/>
        </w:rPr>
      </w:pPr>
      <w:r>
        <w:rPr>
          <w:rFonts w:cs="Arial"/>
          <w:sz w:val="20"/>
        </w:rPr>
        <w:t xml:space="preserve">GELI students </w:t>
      </w:r>
      <w:r w:rsidR="00DB0574">
        <w:rPr>
          <w:rFonts w:cs="Arial"/>
          <w:sz w:val="20"/>
        </w:rPr>
        <w:t>–</w:t>
      </w:r>
      <w:r>
        <w:rPr>
          <w:rFonts w:cs="Arial"/>
          <w:sz w:val="20"/>
        </w:rPr>
        <w:t xml:space="preserve"> </w:t>
      </w:r>
      <w:r w:rsidR="00DB0574">
        <w:rPr>
          <w:rFonts w:cs="Arial"/>
          <w:sz w:val="20"/>
        </w:rPr>
        <w:t xml:space="preserve">commencing </w:t>
      </w:r>
      <w:r w:rsidR="003370CA">
        <w:rPr>
          <w:rFonts w:cs="Arial"/>
          <w:sz w:val="20"/>
        </w:rPr>
        <w:t xml:space="preserve">and </w:t>
      </w:r>
      <w:r w:rsidR="00DB0574">
        <w:rPr>
          <w:rFonts w:cs="Arial"/>
          <w:sz w:val="20"/>
        </w:rPr>
        <w:t xml:space="preserve">enrolled GELI </w:t>
      </w:r>
      <w:r w:rsidR="00C332BF">
        <w:rPr>
          <w:rFonts w:cs="Arial"/>
          <w:sz w:val="20"/>
        </w:rPr>
        <w:t>s</w:t>
      </w:r>
      <w:r w:rsidR="009D00DC">
        <w:rPr>
          <w:rFonts w:cs="Arial"/>
          <w:sz w:val="20"/>
        </w:rPr>
        <w:t>tudents</w:t>
      </w:r>
      <w:r w:rsidR="00DB0574">
        <w:rPr>
          <w:rFonts w:cs="Arial"/>
          <w:sz w:val="20"/>
        </w:rPr>
        <w:t xml:space="preserve"> </w:t>
      </w:r>
      <w:r w:rsidR="00BE5529">
        <w:rPr>
          <w:rFonts w:cs="Arial"/>
          <w:sz w:val="20"/>
        </w:rPr>
        <w:t>must submit their completed r</w:t>
      </w:r>
      <w:r w:rsidR="009D00DC">
        <w:rPr>
          <w:rFonts w:cs="Arial"/>
          <w:sz w:val="20"/>
        </w:rPr>
        <w:t xml:space="preserve">elease </w:t>
      </w:r>
      <w:r w:rsidR="00EA2658">
        <w:rPr>
          <w:rFonts w:cs="Arial"/>
          <w:sz w:val="20"/>
        </w:rPr>
        <w:t>r</w:t>
      </w:r>
      <w:r>
        <w:rPr>
          <w:rFonts w:cs="Arial"/>
          <w:sz w:val="20"/>
        </w:rPr>
        <w:t>equest</w:t>
      </w:r>
      <w:r w:rsidR="009D00DC">
        <w:rPr>
          <w:rFonts w:cs="Arial"/>
          <w:sz w:val="20"/>
        </w:rPr>
        <w:t xml:space="preserve"> to </w:t>
      </w:r>
      <w:r w:rsidR="00B41C14">
        <w:rPr>
          <w:rFonts w:cs="Arial"/>
          <w:sz w:val="20"/>
        </w:rPr>
        <w:t xml:space="preserve">a </w:t>
      </w:r>
      <w:r w:rsidR="009D00DC">
        <w:rPr>
          <w:rFonts w:cs="Arial"/>
          <w:sz w:val="20"/>
        </w:rPr>
        <w:t>GELI</w:t>
      </w:r>
      <w:r w:rsidR="00B41C14">
        <w:rPr>
          <w:rFonts w:cs="Arial"/>
          <w:sz w:val="20"/>
        </w:rPr>
        <w:t xml:space="preserve"> Student Centre</w:t>
      </w:r>
      <w:r w:rsidR="009D00DC">
        <w:rPr>
          <w:rFonts w:cs="Arial"/>
          <w:sz w:val="20"/>
        </w:rPr>
        <w:t>.</w:t>
      </w:r>
      <w:r w:rsidR="00B41C14">
        <w:rPr>
          <w:rFonts w:cs="Arial"/>
          <w:sz w:val="20"/>
        </w:rPr>
        <w:t xml:space="preserve"> </w:t>
      </w:r>
      <w:r w:rsidR="003A1D04">
        <w:rPr>
          <w:rFonts w:cs="Arial"/>
          <w:sz w:val="20"/>
        </w:rPr>
        <w:t>Enrolled students will be required to meet with the GELI Student Centre Manager to discuss their reasons for wishing to transfer and to identify any support services that may assist.</w:t>
      </w:r>
    </w:p>
    <w:p w14:paraId="680A9717" w14:textId="4919A55C" w:rsidR="00DB0574" w:rsidRDefault="00DB0574" w:rsidP="001F2247">
      <w:pPr>
        <w:pStyle w:val="ListParagraph"/>
        <w:numPr>
          <w:ilvl w:val="0"/>
          <w:numId w:val="9"/>
        </w:numPr>
        <w:tabs>
          <w:tab w:val="left" w:pos="1134"/>
        </w:tabs>
        <w:ind w:left="1506"/>
        <w:rPr>
          <w:rFonts w:cs="Arial"/>
          <w:sz w:val="20"/>
        </w:rPr>
      </w:pPr>
      <w:r>
        <w:rPr>
          <w:rFonts w:cs="Arial"/>
          <w:sz w:val="20"/>
        </w:rPr>
        <w:t xml:space="preserve">Pathway students – commencing </w:t>
      </w:r>
      <w:r w:rsidR="003370CA">
        <w:rPr>
          <w:rFonts w:cs="Arial"/>
          <w:sz w:val="20"/>
        </w:rPr>
        <w:t xml:space="preserve">and </w:t>
      </w:r>
      <w:r>
        <w:rPr>
          <w:rFonts w:cs="Arial"/>
          <w:sz w:val="20"/>
        </w:rPr>
        <w:t xml:space="preserve">enrolled students at a Griffith University pathway provider must submit their completed release request to the pathway provider </w:t>
      </w:r>
      <w:r w:rsidR="003370CA">
        <w:rPr>
          <w:rFonts w:cs="Arial"/>
          <w:sz w:val="20"/>
        </w:rPr>
        <w:t>s</w:t>
      </w:r>
      <w:r>
        <w:rPr>
          <w:rFonts w:cs="Arial"/>
          <w:sz w:val="20"/>
        </w:rPr>
        <w:t xml:space="preserve">tudent </w:t>
      </w:r>
      <w:r w:rsidR="003370CA">
        <w:rPr>
          <w:rFonts w:cs="Arial"/>
          <w:sz w:val="20"/>
        </w:rPr>
        <w:t>c</w:t>
      </w:r>
      <w:r>
        <w:rPr>
          <w:rFonts w:cs="Arial"/>
          <w:sz w:val="20"/>
        </w:rPr>
        <w:t>entre.</w:t>
      </w:r>
    </w:p>
    <w:p w14:paraId="00C9CCD3" w14:textId="2669E2C7" w:rsidR="00ED284C" w:rsidRDefault="00D87BF1" w:rsidP="001F2247">
      <w:pPr>
        <w:pStyle w:val="ListParagraph"/>
        <w:numPr>
          <w:ilvl w:val="0"/>
          <w:numId w:val="9"/>
        </w:numPr>
        <w:tabs>
          <w:tab w:val="left" w:pos="1134"/>
        </w:tabs>
        <w:ind w:left="1506"/>
        <w:rPr>
          <w:rFonts w:cs="Arial"/>
          <w:sz w:val="20"/>
        </w:rPr>
      </w:pPr>
      <w:r>
        <w:rPr>
          <w:rFonts w:cs="Arial"/>
          <w:sz w:val="20"/>
        </w:rPr>
        <w:t>D</w:t>
      </w:r>
      <w:r w:rsidR="00ED284C">
        <w:rPr>
          <w:rFonts w:cs="Arial"/>
          <w:sz w:val="20"/>
        </w:rPr>
        <w:t xml:space="preserve">egree students </w:t>
      </w:r>
      <w:r w:rsidR="00EA2658">
        <w:rPr>
          <w:rFonts w:cs="Arial"/>
          <w:sz w:val="20"/>
        </w:rPr>
        <w:t>–</w:t>
      </w:r>
      <w:r w:rsidR="00ED284C">
        <w:rPr>
          <w:rFonts w:cs="Arial"/>
          <w:sz w:val="20"/>
        </w:rPr>
        <w:t xml:space="preserve"> </w:t>
      </w:r>
      <w:r w:rsidR="003370CA">
        <w:rPr>
          <w:rFonts w:cs="Arial"/>
          <w:sz w:val="20"/>
        </w:rPr>
        <w:t>commencing and enrolled d</w:t>
      </w:r>
      <w:r w:rsidR="00DB0574">
        <w:rPr>
          <w:rFonts w:cs="Arial"/>
          <w:sz w:val="20"/>
        </w:rPr>
        <w:t>egree</w:t>
      </w:r>
      <w:r>
        <w:rPr>
          <w:rFonts w:cs="Arial"/>
          <w:sz w:val="20"/>
        </w:rPr>
        <w:t xml:space="preserve"> students must submit their completed </w:t>
      </w:r>
      <w:r w:rsidR="00472930">
        <w:rPr>
          <w:rFonts w:cs="Arial"/>
          <w:sz w:val="20"/>
        </w:rPr>
        <w:t>online</w:t>
      </w:r>
      <w:r w:rsidR="00F7194A">
        <w:rPr>
          <w:rFonts w:cs="Arial"/>
          <w:sz w:val="20"/>
        </w:rPr>
        <w:t xml:space="preserve"> </w:t>
      </w:r>
      <w:r w:rsidR="00BE5529">
        <w:rPr>
          <w:rFonts w:cs="Arial"/>
          <w:sz w:val="20"/>
        </w:rPr>
        <w:t>r</w:t>
      </w:r>
      <w:r>
        <w:rPr>
          <w:rFonts w:cs="Arial"/>
          <w:sz w:val="20"/>
        </w:rPr>
        <w:t xml:space="preserve">elease request </w:t>
      </w:r>
      <w:r w:rsidR="00F7194A">
        <w:rPr>
          <w:rFonts w:cs="Arial"/>
          <w:sz w:val="20"/>
        </w:rPr>
        <w:t>to Griffith International</w:t>
      </w:r>
      <w:r w:rsidR="000C3F67">
        <w:rPr>
          <w:rFonts w:cs="Arial"/>
          <w:sz w:val="20"/>
        </w:rPr>
        <w:t>.</w:t>
      </w:r>
      <w:r w:rsidR="003A1D04">
        <w:rPr>
          <w:rFonts w:cs="Arial"/>
          <w:sz w:val="20"/>
        </w:rPr>
        <w:t xml:space="preserve"> Enrolled students will be required to meet with an International Student Advisor (ISA) to discuss their reasons for wishing to transfer. It is </w:t>
      </w:r>
      <w:r w:rsidR="00982977">
        <w:rPr>
          <w:rFonts w:cs="Arial"/>
          <w:sz w:val="20"/>
        </w:rPr>
        <w:t xml:space="preserve">a mandatory requirement </w:t>
      </w:r>
      <w:r w:rsidR="003A1D04">
        <w:rPr>
          <w:rFonts w:cs="Arial"/>
          <w:sz w:val="20"/>
        </w:rPr>
        <w:t>that student</w:t>
      </w:r>
      <w:r w:rsidR="00982977">
        <w:rPr>
          <w:rFonts w:cs="Arial"/>
          <w:sz w:val="20"/>
        </w:rPr>
        <w:t>s</w:t>
      </w:r>
      <w:r w:rsidR="003A1D04">
        <w:rPr>
          <w:rFonts w:cs="Arial"/>
          <w:sz w:val="20"/>
        </w:rPr>
        <w:t xml:space="preserve"> meet with the ISA as they will assist to identify any support services, alternative pathways or programs </w:t>
      </w:r>
      <w:r w:rsidR="00B90801">
        <w:rPr>
          <w:rFonts w:cs="Arial"/>
          <w:sz w:val="20"/>
        </w:rPr>
        <w:t>within the University which may</w:t>
      </w:r>
      <w:r w:rsidR="003A1D04">
        <w:rPr>
          <w:rFonts w:cs="Arial"/>
          <w:sz w:val="20"/>
        </w:rPr>
        <w:t xml:space="preserve"> be relevant to the </w:t>
      </w:r>
      <w:r w:rsidR="00955AEA">
        <w:rPr>
          <w:rFonts w:cs="Arial"/>
          <w:sz w:val="20"/>
        </w:rPr>
        <w:t>student’s academic progression.</w:t>
      </w:r>
    </w:p>
    <w:p w14:paraId="472DC4EF" w14:textId="79135AD6" w:rsidR="00955AEA" w:rsidRDefault="00955AEA" w:rsidP="00955AEA">
      <w:pPr>
        <w:spacing w:after="0"/>
        <w:ind w:left="0"/>
        <w:rPr>
          <w:rFonts w:cs="Arial"/>
          <w:sz w:val="20"/>
        </w:rPr>
      </w:pPr>
    </w:p>
    <w:p w14:paraId="7690B914" w14:textId="03AB56FF" w:rsidR="00955AEA" w:rsidRDefault="00955AEA" w:rsidP="00955AEA">
      <w:pPr>
        <w:spacing w:after="0"/>
        <w:ind w:left="0"/>
        <w:rPr>
          <w:rFonts w:cs="Arial"/>
          <w:sz w:val="20"/>
        </w:rPr>
      </w:pPr>
      <w:r>
        <w:rPr>
          <w:rFonts w:cs="Arial"/>
          <w:sz w:val="20"/>
        </w:rPr>
        <w:br w:type="page"/>
      </w:r>
    </w:p>
    <w:p w14:paraId="74D7EBD9" w14:textId="252FD377" w:rsidR="00DD16D1" w:rsidRPr="00B9776F" w:rsidRDefault="00DD16D1" w:rsidP="00B9776F">
      <w:pPr>
        <w:pStyle w:val="ListParagraph"/>
        <w:numPr>
          <w:ilvl w:val="1"/>
          <w:numId w:val="2"/>
        </w:numPr>
        <w:tabs>
          <w:tab w:val="clear" w:pos="1146"/>
          <w:tab w:val="left" w:pos="1134"/>
        </w:tabs>
        <w:rPr>
          <w:rFonts w:cs="Arial"/>
          <w:b/>
          <w:sz w:val="20"/>
        </w:rPr>
      </w:pPr>
      <w:r w:rsidRPr="00B9776F">
        <w:rPr>
          <w:rFonts w:cs="Arial"/>
          <w:b/>
          <w:sz w:val="20"/>
        </w:rPr>
        <w:lastRenderedPageBreak/>
        <w:t>Outcome</w:t>
      </w:r>
    </w:p>
    <w:p w14:paraId="74D7EBDA" w14:textId="3CD401B2" w:rsidR="00DD16D1" w:rsidRPr="00DD16D1" w:rsidRDefault="008D5A1F" w:rsidP="008D5A1F">
      <w:pPr>
        <w:ind w:left="1843" w:hanging="709"/>
        <w:rPr>
          <w:rFonts w:cs="Arial"/>
          <w:sz w:val="20"/>
        </w:rPr>
      </w:pPr>
      <w:r>
        <w:rPr>
          <w:rFonts w:cs="Arial"/>
          <w:sz w:val="20"/>
        </w:rPr>
        <w:t>3.2.1</w:t>
      </w:r>
      <w:r>
        <w:rPr>
          <w:rFonts w:cs="Arial"/>
          <w:sz w:val="20"/>
        </w:rPr>
        <w:tab/>
      </w:r>
      <w:r w:rsidR="000C3F67">
        <w:rPr>
          <w:rFonts w:cs="Arial"/>
          <w:sz w:val="20"/>
        </w:rPr>
        <w:t>An International Compliance Officer</w:t>
      </w:r>
      <w:r w:rsidR="00713BB1">
        <w:rPr>
          <w:rFonts w:cs="Arial"/>
          <w:sz w:val="20"/>
        </w:rPr>
        <w:t xml:space="preserve"> will assess the</w:t>
      </w:r>
      <w:r w:rsidR="00000684">
        <w:rPr>
          <w:rFonts w:cs="Arial"/>
          <w:sz w:val="20"/>
        </w:rPr>
        <w:t xml:space="preserve"> r</w:t>
      </w:r>
      <w:r w:rsidR="006B31CD">
        <w:rPr>
          <w:rFonts w:cs="Arial"/>
          <w:sz w:val="20"/>
        </w:rPr>
        <w:t>elease</w:t>
      </w:r>
      <w:r w:rsidR="00CF2364">
        <w:rPr>
          <w:rFonts w:cs="Arial"/>
          <w:sz w:val="20"/>
        </w:rPr>
        <w:t xml:space="preserve"> request</w:t>
      </w:r>
      <w:r w:rsidR="006B31CD">
        <w:rPr>
          <w:rFonts w:cs="Arial"/>
          <w:sz w:val="20"/>
        </w:rPr>
        <w:t xml:space="preserve"> in accordance</w:t>
      </w:r>
      <w:r w:rsidR="006B31CD" w:rsidRPr="00DD16D1">
        <w:rPr>
          <w:rFonts w:cs="Arial"/>
          <w:sz w:val="20"/>
        </w:rPr>
        <w:t xml:space="preserve"> </w:t>
      </w:r>
      <w:r w:rsidR="00DD16D1" w:rsidRPr="00DD16D1">
        <w:rPr>
          <w:rFonts w:cs="Arial"/>
          <w:sz w:val="20"/>
        </w:rPr>
        <w:t>with this policy</w:t>
      </w:r>
      <w:r w:rsidR="001717AA">
        <w:rPr>
          <w:rFonts w:cs="Arial"/>
          <w:sz w:val="20"/>
        </w:rPr>
        <w:t xml:space="preserve"> and will communicate the outcome of the application</w:t>
      </w:r>
      <w:r w:rsidR="00D87932">
        <w:rPr>
          <w:rFonts w:cs="Arial"/>
          <w:sz w:val="20"/>
        </w:rPr>
        <w:t xml:space="preserve"> in writing</w:t>
      </w:r>
      <w:r w:rsidR="001717AA">
        <w:rPr>
          <w:rFonts w:cs="Arial"/>
          <w:sz w:val="20"/>
        </w:rPr>
        <w:t xml:space="preserve"> to the student via their student email account</w:t>
      </w:r>
      <w:r w:rsidR="00DD16D1" w:rsidRPr="00DD16D1">
        <w:rPr>
          <w:rFonts w:cs="Arial"/>
          <w:sz w:val="20"/>
        </w:rPr>
        <w:t xml:space="preserve">. A </w:t>
      </w:r>
      <w:r w:rsidR="00BD18D5">
        <w:rPr>
          <w:rFonts w:cs="Arial"/>
          <w:sz w:val="20"/>
        </w:rPr>
        <w:t>notification</w:t>
      </w:r>
      <w:r w:rsidR="00DD16D1" w:rsidRPr="00DD16D1">
        <w:rPr>
          <w:rFonts w:cs="Arial"/>
          <w:sz w:val="20"/>
        </w:rPr>
        <w:t xml:space="preserve"> will be provided to the </w:t>
      </w:r>
      <w:r w:rsidR="006B31CD">
        <w:rPr>
          <w:rFonts w:cs="Arial"/>
          <w:sz w:val="20"/>
        </w:rPr>
        <w:t>student</w:t>
      </w:r>
      <w:r w:rsidR="006B31CD" w:rsidRPr="00DD16D1">
        <w:rPr>
          <w:rFonts w:cs="Arial"/>
          <w:sz w:val="20"/>
        </w:rPr>
        <w:t xml:space="preserve"> </w:t>
      </w:r>
      <w:r w:rsidR="00DD16D1" w:rsidRPr="00DD16D1">
        <w:rPr>
          <w:rFonts w:cs="Arial"/>
          <w:sz w:val="20"/>
        </w:rPr>
        <w:t xml:space="preserve">within 10 working days of </w:t>
      </w:r>
      <w:r w:rsidR="009B6C16">
        <w:rPr>
          <w:rFonts w:cs="Arial"/>
          <w:sz w:val="20"/>
        </w:rPr>
        <w:t>a complete</w:t>
      </w:r>
      <w:r w:rsidR="00DD16D1" w:rsidRPr="00DD16D1">
        <w:rPr>
          <w:rFonts w:cs="Arial"/>
          <w:sz w:val="20"/>
        </w:rPr>
        <w:t xml:space="preserve"> application being received</w:t>
      </w:r>
      <w:r w:rsidR="001717AA">
        <w:rPr>
          <w:rFonts w:cs="Arial"/>
          <w:sz w:val="20"/>
        </w:rPr>
        <w:t xml:space="preserve"> by the International Compliance Office</w:t>
      </w:r>
      <w:r w:rsidR="00DD16D1" w:rsidRPr="00DD16D1">
        <w:rPr>
          <w:rFonts w:cs="Arial"/>
          <w:sz w:val="20"/>
        </w:rPr>
        <w:t>.</w:t>
      </w:r>
      <w:r w:rsidR="00755364">
        <w:rPr>
          <w:rFonts w:cs="Arial"/>
          <w:sz w:val="20"/>
        </w:rPr>
        <w:t xml:space="preserve"> Students who submit </w:t>
      </w:r>
      <w:r w:rsidR="00CF2364">
        <w:rPr>
          <w:rFonts w:cs="Arial"/>
          <w:sz w:val="20"/>
        </w:rPr>
        <w:t>a</w:t>
      </w:r>
      <w:r w:rsidR="00000684">
        <w:rPr>
          <w:rFonts w:cs="Arial"/>
          <w:sz w:val="20"/>
        </w:rPr>
        <w:t xml:space="preserve"> r</w:t>
      </w:r>
      <w:r w:rsidR="00755364">
        <w:rPr>
          <w:rFonts w:cs="Arial"/>
          <w:sz w:val="20"/>
        </w:rPr>
        <w:t>elease</w:t>
      </w:r>
      <w:r w:rsidR="00CF2364">
        <w:rPr>
          <w:rFonts w:cs="Arial"/>
          <w:sz w:val="20"/>
        </w:rPr>
        <w:t xml:space="preserve"> request</w:t>
      </w:r>
      <w:r w:rsidR="00755364">
        <w:rPr>
          <w:rFonts w:cs="Arial"/>
          <w:sz w:val="20"/>
        </w:rPr>
        <w:t xml:space="preserve"> that does not meet the eligibility requirements </w:t>
      </w:r>
      <w:r w:rsidR="006B31CD">
        <w:rPr>
          <w:rFonts w:cs="Arial"/>
          <w:sz w:val="20"/>
        </w:rPr>
        <w:t>outlined in</w:t>
      </w:r>
      <w:r w:rsidR="00755364">
        <w:rPr>
          <w:rFonts w:cs="Arial"/>
          <w:sz w:val="20"/>
        </w:rPr>
        <w:t xml:space="preserve"> </w:t>
      </w:r>
      <w:hyperlink w:anchor="twopointthree" w:history="1">
        <w:r w:rsidR="00755364" w:rsidRPr="005F7D1D">
          <w:rPr>
            <w:rStyle w:val="Hyperlink"/>
            <w:rFonts w:cs="Arial"/>
            <w:sz w:val="20"/>
          </w:rPr>
          <w:t>section 2.3</w:t>
        </w:r>
      </w:hyperlink>
      <w:r w:rsidR="00755364">
        <w:rPr>
          <w:rFonts w:cs="Arial"/>
          <w:sz w:val="20"/>
        </w:rPr>
        <w:t xml:space="preserve"> </w:t>
      </w:r>
      <w:r w:rsidR="006B31CD">
        <w:rPr>
          <w:rFonts w:cs="Arial"/>
          <w:sz w:val="20"/>
        </w:rPr>
        <w:t xml:space="preserve">of this policy </w:t>
      </w:r>
      <w:r w:rsidR="00755364">
        <w:rPr>
          <w:rFonts w:cs="Arial"/>
          <w:sz w:val="20"/>
        </w:rPr>
        <w:t>will be advi</w:t>
      </w:r>
      <w:r w:rsidR="00CF2364">
        <w:rPr>
          <w:rFonts w:cs="Arial"/>
          <w:sz w:val="20"/>
        </w:rPr>
        <w:t>sed why their application can’</w:t>
      </w:r>
      <w:r w:rsidR="00755364">
        <w:rPr>
          <w:rFonts w:cs="Arial"/>
          <w:sz w:val="20"/>
        </w:rPr>
        <w:t xml:space="preserve">t be </w:t>
      </w:r>
      <w:r w:rsidR="00A755D6">
        <w:rPr>
          <w:rFonts w:cs="Arial"/>
          <w:sz w:val="20"/>
        </w:rPr>
        <w:t>approved</w:t>
      </w:r>
      <w:r w:rsidR="006B31CD">
        <w:rPr>
          <w:rFonts w:cs="Arial"/>
          <w:sz w:val="20"/>
        </w:rPr>
        <w:t>.</w:t>
      </w:r>
    </w:p>
    <w:p w14:paraId="74D7EBDB" w14:textId="0F595193" w:rsidR="00DD16D1" w:rsidRPr="008D5A1F" w:rsidRDefault="001B0412" w:rsidP="008D5A1F">
      <w:pPr>
        <w:pStyle w:val="ListParagraph"/>
        <w:numPr>
          <w:ilvl w:val="2"/>
          <w:numId w:val="14"/>
        </w:numPr>
        <w:tabs>
          <w:tab w:val="left" w:pos="1134"/>
        </w:tabs>
        <w:ind w:left="1854"/>
        <w:rPr>
          <w:rFonts w:cs="Arial"/>
          <w:sz w:val="20"/>
        </w:rPr>
      </w:pPr>
      <w:bookmarkStart w:id="6" w:name="threepointthreepointtwo"/>
      <w:bookmarkStart w:id="7" w:name="threepointtwopointtwo"/>
      <w:bookmarkEnd w:id="6"/>
      <w:bookmarkEnd w:id="7"/>
      <w:r w:rsidRPr="008D5A1F">
        <w:rPr>
          <w:rFonts w:cs="Arial"/>
          <w:sz w:val="20"/>
        </w:rPr>
        <w:t xml:space="preserve">If the </w:t>
      </w:r>
      <w:r w:rsidR="00DF6506" w:rsidRPr="008D5A1F">
        <w:rPr>
          <w:rFonts w:cs="Arial"/>
          <w:sz w:val="20"/>
        </w:rPr>
        <w:t>r</w:t>
      </w:r>
      <w:r w:rsidR="006B31CD" w:rsidRPr="008D5A1F">
        <w:rPr>
          <w:rFonts w:cs="Arial"/>
          <w:sz w:val="20"/>
        </w:rPr>
        <w:t>elease</w:t>
      </w:r>
      <w:r w:rsidR="00CF2364" w:rsidRPr="008D5A1F">
        <w:rPr>
          <w:rFonts w:cs="Arial"/>
          <w:sz w:val="20"/>
        </w:rPr>
        <w:t xml:space="preserve"> request</w:t>
      </w:r>
      <w:r w:rsidRPr="008D5A1F">
        <w:rPr>
          <w:rFonts w:cs="Arial"/>
          <w:sz w:val="20"/>
        </w:rPr>
        <w:t xml:space="preserve"> is approved, the student </w:t>
      </w:r>
      <w:r w:rsidR="001717AA" w:rsidRPr="008D5A1F">
        <w:rPr>
          <w:rFonts w:cs="Arial"/>
          <w:sz w:val="20"/>
        </w:rPr>
        <w:t>will be</w:t>
      </w:r>
      <w:r w:rsidR="000C37CF" w:rsidRPr="008D5A1F">
        <w:rPr>
          <w:rFonts w:cs="Arial"/>
          <w:sz w:val="20"/>
        </w:rPr>
        <w:t xml:space="preserve"> </w:t>
      </w:r>
      <w:r w:rsidR="00A755D6" w:rsidRPr="008D5A1F">
        <w:rPr>
          <w:rFonts w:cs="Arial"/>
          <w:sz w:val="20"/>
        </w:rPr>
        <w:t>notified</w:t>
      </w:r>
      <w:r w:rsidR="000C37CF" w:rsidRPr="008D5A1F">
        <w:rPr>
          <w:rFonts w:cs="Arial"/>
          <w:sz w:val="20"/>
        </w:rPr>
        <w:t xml:space="preserve"> in writing</w:t>
      </w:r>
      <w:r w:rsidR="00D87932" w:rsidRPr="008D5A1F">
        <w:rPr>
          <w:rFonts w:cs="Arial"/>
          <w:sz w:val="20"/>
        </w:rPr>
        <w:t>, via</w:t>
      </w:r>
      <w:r w:rsidR="000C37CF" w:rsidRPr="008D5A1F">
        <w:rPr>
          <w:rFonts w:cs="Arial"/>
          <w:sz w:val="20"/>
        </w:rPr>
        <w:t xml:space="preserve"> </w:t>
      </w:r>
      <w:r w:rsidR="00D87932" w:rsidRPr="008D5A1F">
        <w:rPr>
          <w:rFonts w:cs="Arial"/>
          <w:sz w:val="20"/>
        </w:rPr>
        <w:t xml:space="preserve">their student email account, </w:t>
      </w:r>
      <w:r w:rsidR="000C37CF" w:rsidRPr="008D5A1F">
        <w:rPr>
          <w:rFonts w:cs="Arial"/>
          <w:sz w:val="20"/>
        </w:rPr>
        <w:t>and the release approved on the Provider Registration International Students Management System (</w:t>
      </w:r>
      <w:r w:rsidR="00BD18D5" w:rsidRPr="008D5A1F">
        <w:rPr>
          <w:rFonts w:cs="Arial"/>
          <w:sz w:val="20"/>
        </w:rPr>
        <w:t>PRISMS</w:t>
      </w:r>
      <w:r w:rsidR="000C37CF" w:rsidRPr="008D5A1F">
        <w:rPr>
          <w:rFonts w:cs="Arial"/>
          <w:sz w:val="20"/>
        </w:rPr>
        <w:t>)</w:t>
      </w:r>
      <w:r w:rsidR="001717AA" w:rsidRPr="008D5A1F">
        <w:rPr>
          <w:rFonts w:cs="Arial"/>
          <w:sz w:val="20"/>
        </w:rPr>
        <w:t>.</w:t>
      </w:r>
    </w:p>
    <w:p w14:paraId="7AD4566A" w14:textId="0CAEA4E5" w:rsidR="005202BE" w:rsidRPr="008D5A1F" w:rsidRDefault="002A0BFB" w:rsidP="008D5A1F">
      <w:pPr>
        <w:pStyle w:val="ListParagraph"/>
        <w:numPr>
          <w:ilvl w:val="2"/>
          <w:numId w:val="14"/>
        </w:numPr>
        <w:tabs>
          <w:tab w:val="left" w:pos="1134"/>
        </w:tabs>
        <w:ind w:left="1854"/>
        <w:rPr>
          <w:rFonts w:cs="Arial"/>
          <w:sz w:val="20"/>
        </w:rPr>
      </w:pPr>
      <w:r w:rsidRPr="008D5A1F">
        <w:rPr>
          <w:rFonts w:cs="Arial"/>
          <w:sz w:val="20"/>
        </w:rPr>
        <w:t>If the</w:t>
      </w:r>
      <w:r w:rsidR="006B31CD" w:rsidRPr="008D5A1F">
        <w:rPr>
          <w:rFonts w:cs="Arial"/>
          <w:sz w:val="20"/>
        </w:rPr>
        <w:t xml:space="preserve"> </w:t>
      </w:r>
      <w:r w:rsidR="00DF6506" w:rsidRPr="008D5A1F">
        <w:rPr>
          <w:rFonts w:cs="Arial"/>
          <w:sz w:val="20"/>
        </w:rPr>
        <w:t>r</w:t>
      </w:r>
      <w:r w:rsidR="006B31CD" w:rsidRPr="008D5A1F">
        <w:rPr>
          <w:rFonts w:cs="Arial"/>
          <w:sz w:val="20"/>
        </w:rPr>
        <w:t>elease</w:t>
      </w:r>
      <w:r w:rsidR="00CF2364" w:rsidRPr="008D5A1F">
        <w:rPr>
          <w:rFonts w:cs="Arial"/>
          <w:sz w:val="20"/>
        </w:rPr>
        <w:t xml:space="preserve"> request</w:t>
      </w:r>
      <w:r w:rsidR="001B0412" w:rsidRPr="008D5A1F">
        <w:rPr>
          <w:rFonts w:cs="Arial"/>
          <w:sz w:val="20"/>
        </w:rPr>
        <w:t xml:space="preserve"> is </w:t>
      </w:r>
      <w:r w:rsidR="009C6BD6" w:rsidRPr="008D5A1F">
        <w:rPr>
          <w:rFonts w:cs="Arial"/>
          <w:sz w:val="20"/>
        </w:rPr>
        <w:t>refused</w:t>
      </w:r>
      <w:r w:rsidR="00F1721C" w:rsidRPr="008D5A1F">
        <w:rPr>
          <w:rFonts w:cs="Arial"/>
          <w:sz w:val="20"/>
        </w:rPr>
        <w:t>,</w:t>
      </w:r>
      <w:r w:rsidR="001B0412" w:rsidRPr="008D5A1F">
        <w:rPr>
          <w:rFonts w:cs="Arial"/>
          <w:sz w:val="20"/>
        </w:rPr>
        <w:t xml:space="preserve"> the student will be</w:t>
      </w:r>
      <w:r w:rsidR="00DD16D1" w:rsidRPr="008D5A1F">
        <w:rPr>
          <w:rFonts w:cs="Arial"/>
          <w:sz w:val="20"/>
        </w:rPr>
        <w:t xml:space="preserve"> provided with the reason(s) for th</w:t>
      </w:r>
      <w:r w:rsidR="00123CD9" w:rsidRPr="008D5A1F">
        <w:rPr>
          <w:rFonts w:cs="Arial"/>
          <w:sz w:val="20"/>
        </w:rPr>
        <w:t>e</w:t>
      </w:r>
      <w:r w:rsidR="00DD16D1" w:rsidRPr="008D5A1F">
        <w:rPr>
          <w:rFonts w:cs="Arial"/>
          <w:sz w:val="20"/>
        </w:rPr>
        <w:t xml:space="preserve"> decision and </w:t>
      </w:r>
      <w:r w:rsidR="006B31CD" w:rsidRPr="008D5A1F">
        <w:rPr>
          <w:rFonts w:cs="Arial"/>
          <w:sz w:val="20"/>
        </w:rPr>
        <w:t xml:space="preserve">the </w:t>
      </w:r>
      <w:r w:rsidR="00755364" w:rsidRPr="008D5A1F">
        <w:rPr>
          <w:rFonts w:cs="Arial"/>
          <w:sz w:val="20"/>
        </w:rPr>
        <w:t xml:space="preserve">process for applying for a </w:t>
      </w:r>
      <w:r w:rsidR="00F1721C" w:rsidRPr="008D5A1F">
        <w:rPr>
          <w:rFonts w:cs="Arial"/>
          <w:sz w:val="20"/>
        </w:rPr>
        <w:t xml:space="preserve">review </w:t>
      </w:r>
      <w:r w:rsidR="00755364" w:rsidRPr="008D5A1F">
        <w:rPr>
          <w:rFonts w:cs="Arial"/>
          <w:sz w:val="20"/>
        </w:rPr>
        <w:t>of the decision</w:t>
      </w:r>
      <w:r w:rsidR="00DD16D1" w:rsidRPr="008D5A1F">
        <w:rPr>
          <w:rFonts w:cs="Arial"/>
          <w:sz w:val="20"/>
        </w:rPr>
        <w:t>.</w:t>
      </w:r>
      <w:r w:rsidR="00A755D6" w:rsidRPr="008D5A1F">
        <w:rPr>
          <w:rFonts w:cs="Arial"/>
          <w:sz w:val="20"/>
        </w:rPr>
        <w:t xml:space="preserve"> The outcome will not be </w:t>
      </w:r>
      <w:r w:rsidR="005202BE" w:rsidRPr="008D5A1F">
        <w:rPr>
          <w:rFonts w:cs="Arial"/>
          <w:sz w:val="20"/>
        </w:rPr>
        <w:t>finalised in PRISMS until:</w:t>
      </w:r>
    </w:p>
    <w:p w14:paraId="62937F66" w14:textId="786F7A67" w:rsidR="005202BE" w:rsidRDefault="005202BE" w:rsidP="001F2247">
      <w:pPr>
        <w:numPr>
          <w:ilvl w:val="3"/>
          <w:numId w:val="14"/>
        </w:numPr>
        <w:tabs>
          <w:tab w:val="left" w:pos="1134"/>
        </w:tabs>
        <w:ind w:left="2574"/>
        <w:rPr>
          <w:rFonts w:cs="Arial"/>
          <w:sz w:val="20"/>
        </w:rPr>
      </w:pPr>
      <w:r>
        <w:rPr>
          <w:rFonts w:cs="Arial"/>
          <w:sz w:val="20"/>
        </w:rPr>
        <w:t xml:space="preserve">Any </w:t>
      </w:r>
      <w:r w:rsidR="009C6BD6">
        <w:rPr>
          <w:rFonts w:cs="Arial"/>
          <w:sz w:val="20"/>
        </w:rPr>
        <w:t>review of decision request</w:t>
      </w:r>
      <w:r>
        <w:rPr>
          <w:rFonts w:cs="Arial"/>
          <w:sz w:val="20"/>
        </w:rPr>
        <w:t xml:space="preserve"> against the refusal lodged by the international student is finalised and upholds the University’s decision not to release the student; or</w:t>
      </w:r>
    </w:p>
    <w:p w14:paraId="4544476F" w14:textId="77777777" w:rsidR="00397F00" w:rsidRDefault="005202BE" w:rsidP="001F2247">
      <w:pPr>
        <w:numPr>
          <w:ilvl w:val="3"/>
          <w:numId w:val="14"/>
        </w:numPr>
        <w:tabs>
          <w:tab w:val="left" w:pos="1134"/>
        </w:tabs>
        <w:ind w:left="2574"/>
        <w:rPr>
          <w:rFonts w:cs="Arial"/>
          <w:sz w:val="20"/>
        </w:rPr>
      </w:pPr>
      <w:r>
        <w:rPr>
          <w:rFonts w:cs="Arial"/>
          <w:sz w:val="20"/>
        </w:rPr>
        <w:t xml:space="preserve">The </w:t>
      </w:r>
      <w:r w:rsidR="001D620D">
        <w:rPr>
          <w:rFonts w:cs="Arial"/>
          <w:sz w:val="20"/>
        </w:rPr>
        <w:t>matter is finalised as the inter</w:t>
      </w:r>
      <w:r>
        <w:rPr>
          <w:rFonts w:cs="Arial"/>
          <w:sz w:val="20"/>
        </w:rPr>
        <w:t xml:space="preserve">national student did not access the University’s review of decision </w:t>
      </w:r>
      <w:r w:rsidR="0072289E">
        <w:rPr>
          <w:rFonts w:cs="Arial"/>
          <w:sz w:val="20"/>
        </w:rPr>
        <w:t xml:space="preserve">process within 20 working days </w:t>
      </w:r>
      <w:r>
        <w:rPr>
          <w:rFonts w:cs="Arial"/>
          <w:sz w:val="20"/>
        </w:rPr>
        <w:t>of being notified of the refusal; or</w:t>
      </w:r>
    </w:p>
    <w:p w14:paraId="74D7EBDC" w14:textId="175B9199" w:rsidR="00431ED9" w:rsidRPr="00397F00" w:rsidRDefault="005202BE" w:rsidP="001F2247">
      <w:pPr>
        <w:numPr>
          <w:ilvl w:val="3"/>
          <w:numId w:val="14"/>
        </w:numPr>
        <w:tabs>
          <w:tab w:val="left" w:pos="1134"/>
        </w:tabs>
        <w:ind w:left="2574"/>
        <w:rPr>
          <w:rFonts w:cs="Arial"/>
          <w:sz w:val="20"/>
        </w:rPr>
      </w:pPr>
      <w:r w:rsidRPr="00397F00">
        <w:rPr>
          <w:rFonts w:cs="Arial"/>
          <w:sz w:val="20"/>
        </w:rPr>
        <w:t xml:space="preserve">The international student withdraws their </w:t>
      </w:r>
      <w:r w:rsidR="0096733A" w:rsidRPr="00397F00">
        <w:rPr>
          <w:rFonts w:cs="Arial"/>
          <w:sz w:val="20"/>
        </w:rPr>
        <w:t>review of decision request</w:t>
      </w:r>
      <w:r w:rsidRPr="00397F00">
        <w:rPr>
          <w:rFonts w:cs="Arial"/>
          <w:sz w:val="20"/>
        </w:rPr>
        <w:t xml:space="preserve"> against the refusal</w:t>
      </w:r>
      <w:r w:rsidR="0024436E" w:rsidRPr="00397F00">
        <w:rPr>
          <w:rFonts w:cs="Arial"/>
          <w:sz w:val="20"/>
        </w:rPr>
        <w:t>.</w:t>
      </w:r>
    </w:p>
    <w:p w14:paraId="7E1ABBD1" w14:textId="2B32E4F2" w:rsidR="00540398" w:rsidRPr="00540398" w:rsidRDefault="00DC0002" w:rsidP="00540398">
      <w:pPr>
        <w:tabs>
          <w:tab w:val="left" w:pos="1134"/>
        </w:tabs>
        <w:ind w:left="0"/>
        <w:rPr>
          <w:rFonts w:cs="Arial"/>
          <w:sz w:val="18"/>
        </w:rPr>
      </w:pPr>
      <w:r>
        <w:rPr>
          <w:rFonts w:cs="Arial"/>
          <w:noProof/>
          <w:sz w:val="18"/>
        </w:rPr>
        <w:pict w14:anchorId="5A85F0A1">
          <v:rect id="_x0000_i1026" alt="" style="width:476.25pt;height:.05pt;mso-width-percent:0;mso-height-percent:0;mso-width-percent:0;mso-height-percent:0" o:hralign="center" o:hrstd="t" o:hr="t" fillcolor="#a0a0a0" stroked="f"/>
        </w:pict>
      </w:r>
    </w:p>
    <w:p w14:paraId="74D7EBDD" w14:textId="1E62CD88" w:rsidR="00B35FB8" w:rsidRPr="00B34D13" w:rsidRDefault="009336A5" w:rsidP="00397F00">
      <w:pPr>
        <w:numPr>
          <w:ilvl w:val="0"/>
          <w:numId w:val="2"/>
        </w:numPr>
        <w:spacing w:before="100" w:beforeAutospacing="1" w:after="240"/>
        <w:rPr>
          <w:rFonts w:cs="Arial"/>
          <w:b/>
          <w:caps/>
          <w:sz w:val="24"/>
          <w:szCs w:val="24"/>
        </w:rPr>
      </w:pPr>
      <w:bookmarkStart w:id="8" w:name="appeal"/>
      <w:bookmarkEnd w:id="8"/>
      <w:r>
        <w:rPr>
          <w:b/>
          <w:caps/>
          <w:sz w:val="24"/>
          <w:szCs w:val="24"/>
        </w:rPr>
        <w:t>review of decision</w:t>
      </w:r>
    </w:p>
    <w:p w14:paraId="74D7EBDF" w14:textId="774CC8E3" w:rsidR="00DD16D1" w:rsidRPr="002A0BFB" w:rsidRDefault="00DD16D1" w:rsidP="00397F00">
      <w:pPr>
        <w:numPr>
          <w:ilvl w:val="1"/>
          <w:numId w:val="2"/>
        </w:numPr>
        <w:tabs>
          <w:tab w:val="clear" w:pos="1146"/>
          <w:tab w:val="left" w:pos="1134"/>
        </w:tabs>
        <w:rPr>
          <w:rFonts w:cs="Arial"/>
          <w:sz w:val="20"/>
        </w:rPr>
      </w:pPr>
      <w:r w:rsidRPr="00397F00">
        <w:rPr>
          <w:rFonts w:cs="Arial"/>
          <w:sz w:val="20"/>
        </w:rPr>
        <w:t>Students</w:t>
      </w:r>
      <w:r w:rsidRPr="00DD16D1">
        <w:rPr>
          <w:rFonts w:cs="Arial"/>
          <w:sz w:val="20"/>
        </w:rPr>
        <w:t xml:space="preserve"> have a right to </w:t>
      </w:r>
      <w:r w:rsidR="00EE48BF">
        <w:rPr>
          <w:rFonts w:cs="Arial"/>
          <w:sz w:val="20"/>
        </w:rPr>
        <w:t>apply for review of</w:t>
      </w:r>
      <w:r w:rsidRPr="00DD16D1">
        <w:rPr>
          <w:rFonts w:cs="Arial"/>
          <w:sz w:val="20"/>
        </w:rPr>
        <w:t xml:space="preserve"> the decision to </w:t>
      </w:r>
      <w:r w:rsidR="000C306F">
        <w:rPr>
          <w:rFonts w:cs="Arial"/>
          <w:sz w:val="20"/>
        </w:rPr>
        <w:t xml:space="preserve">a refusal outcome of </w:t>
      </w:r>
      <w:r w:rsidR="000C306F" w:rsidRPr="00DD16D1">
        <w:rPr>
          <w:rFonts w:cs="Arial"/>
          <w:sz w:val="20"/>
        </w:rPr>
        <w:t>a</w:t>
      </w:r>
      <w:r w:rsidRPr="00DD16D1">
        <w:rPr>
          <w:rFonts w:cs="Arial"/>
          <w:sz w:val="20"/>
        </w:rPr>
        <w:t xml:space="preserve"> </w:t>
      </w:r>
      <w:r w:rsidR="00BE5529">
        <w:rPr>
          <w:rFonts w:cs="Arial"/>
          <w:sz w:val="20"/>
        </w:rPr>
        <w:t>r</w:t>
      </w:r>
      <w:r w:rsidRPr="00DD16D1">
        <w:rPr>
          <w:rFonts w:cs="Arial"/>
          <w:sz w:val="20"/>
        </w:rPr>
        <w:t>elease</w:t>
      </w:r>
      <w:r w:rsidR="00BE5529">
        <w:rPr>
          <w:rFonts w:cs="Arial"/>
          <w:sz w:val="20"/>
        </w:rPr>
        <w:t xml:space="preserve"> request</w:t>
      </w:r>
      <w:r w:rsidR="00EE48BF">
        <w:rPr>
          <w:rFonts w:cs="Arial"/>
          <w:sz w:val="20"/>
        </w:rPr>
        <w:t xml:space="preserve"> within 10 working days of notification of the decision</w:t>
      </w:r>
      <w:r w:rsidRPr="00DD16D1">
        <w:rPr>
          <w:rFonts w:cs="Arial"/>
          <w:sz w:val="20"/>
        </w:rPr>
        <w:t xml:space="preserve">. </w:t>
      </w:r>
      <w:r w:rsidR="0090457E">
        <w:rPr>
          <w:rFonts w:cs="Arial"/>
          <w:sz w:val="20"/>
        </w:rPr>
        <w:t xml:space="preserve">The application for review is to be made using the </w:t>
      </w:r>
      <w:r w:rsidR="0090457E" w:rsidRPr="005558BE">
        <w:rPr>
          <w:rFonts w:cs="Arial"/>
          <w:i/>
          <w:sz w:val="20"/>
        </w:rPr>
        <w:t>Review of a Decision</w:t>
      </w:r>
      <w:r w:rsidR="0090457E">
        <w:rPr>
          <w:rFonts w:cs="Arial"/>
          <w:sz w:val="20"/>
        </w:rPr>
        <w:t xml:space="preserve"> form in accordance with the University’s </w:t>
      </w:r>
      <w:r w:rsidR="005558BE" w:rsidRPr="005558BE">
        <w:rPr>
          <w:rFonts w:cs="Arial"/>
          <w:i/>
          <w:sz w:val="20"/>
        </w:rPr>
        <w:t>Student Review and Appeals Policy</w:t>
      </w:r>
      <w:r w:rsidR="005558BE">
        <w:rPr>
          <w:rFonts w:cs="Arial"/>
          <w:sz w:val="20"/>
        </w:rPr>
        <w:t xml:space="preserve"> and </w:t>
      </w:r>
      <w:r w:rsidR="005558BE" w:rsidRPr="005558BE">
        <w:rPr>
          <w:rFonts w:cs="Arial"/>
          <w:i/>
          <w:sz w:val="20"/>
        </w:rPr>
        <w:t>Student Review and Appeals Procedures</w:t>
      </w:r>
      <w:r w:rsidR="00AF026E">
        <w:rPr>
          <w:rFonts w:cs="Arial"/>
          <w:sz w:val="20"/>
        </w:rPr>
        <w:t>.</w:t>
      </w:r>
    </w:p>
    <w:p w14:paraId="74D7EBE0" w14:textId="5E631A57" w:rsidR="00DD16D1" w:rsidRPr="00DD16D1" w:rsidRDefault="00DD16D1" w:rsidP="00397F00">
      <w:pPr>
        <w:numPr>
          <w:ilvl w:val="1"/>
          <w:numId w:val="2"/>
        </w:numPr>
        <w:tabs>
          <w:tab w:val="clear" w:pos="1146"/>
          <w:tab w:val="left" w:pos="1134"/>
        </w:tabs>
        <w:rPr>
          <w:rFonts w:cs="Arial"/>
          <w:sz w:val="20"/>
        </w:rPr>
      </w:pPr>
      <w:r w:rsidRPr="00DD16D1">
        <w:rPr>
          <w:rFonts w:cs="Arial"/>
          <w:sz w:val="20"/>
        </w:rPr>
        <w:t xml:space="preserve">For </w:t>
      </w:r>
      <w:r w:rsidR="00BA3F72">
        <w:rPr>
          <w:rFonts w:cs="Arial"/>
          <w:sz w:val="20"/>
        </w:rPr>
        <w:t>degree</w:t>
      </w:r>
      <w:r w:rsidR="00BA3F72" w:rsidRPr="00DD16D1">
        <w:rPr>
          <w:rFonts w:cs="Arial"/>
          <w:sz w:val="20"/>
        </w:rPr>
        <w:t xml:space="preserve"> </w:t>
      </w:r>
      <w:r w:rsidRPr="00DD16D1">
        <w:rPr>
          <w:rFonts w:cs="Arial"/>
          <w:sz w:val="20"/>
        </w:rPr>
        <w:t>students</w:t>
      </w:r>
      <w:r w:rsidR="00686E9B">
        <w:rPr>
          <w:rFonts w:cs="Arial"/>
          <w:sz w:val="20"/>
        </w:rPr>
        <w:t xml:space="preserve"> and students</w:t>
      </w:r>
      <w:r w:rsidR="00BA3F72">
        <w:rPr>
          <w:rFonts w:cs="Arial"/>
          <w:sz w:val="20"/>
        </w:rPr>
        <w:t xml:space="preserve"> with a </w:t>
      </w:r>
      <w:r w:rsidR="00686E9B">
        <w:rPr>
          <w:rFonts w:cs="Arial"/>
          <w:sz w:val="20"/>
        </w:rPr>
        <w:t xml:space="preserve">GELI pathway into their </w:t>
      </w:r>
      <w:r w:rsidR="00BA3F72">
        <w:rPr>
          <w:rFonts w:cs="Arial"/>
          <w:sz w:val="20"/>
        </w:rPr>
        <w:t>degree program</w:t>
      </w:r>
      <w:r w:rsidRPr="00DD16D1">
        <w:rPr>
          <w:rFonts w:cs="Arial"/>
          <w:sz w:val="20"/>
        </w:rPr>
        <w:t xml:space="preserve">, the </w:t>
      </w:r>
      <w:r w:rsidR="005558BE">
        <w:rPr>
          <w:rFonts w:cs="Arial"/>
          <w:sz w:val="20"/>
        </w:rPr>
        <w:t xml:space="preserve">application for review </w:t>
      </w:r>
      <w:r w:rsidRPr="00DD16D1">
        <w:rPr>
          <w:rFonts w:cs="Arial"/>
          <w:sz w:val="20"/>
        </w:rPr>
        <w:t xml:space="preserve">is directed to the </w:t>
      </w:r>
      <w:r w:rsidR="005558BE">
        <w:rPr>
          <w:rFonts w:cs="Arial"/>
          <w:sz w:val="20"/>
        </w:rPr>
        <w:t>Associate Director</w:t>
      </w:r>
      <w:r w:rsidRPr="00DD16D1">
        <w:rPr>
          <w:rFonts w:cs="Arial"/>
          <w:sz w:val="20"/>
        </w:rPr>
        <w:t xml:space="preserve">, International Administration. </w:t>
      </w:r>
      <w:r w:rsidR="00456B7E">
        <w:rPr>
          <w:rFonts w:cs="Arial"/>
          <w:sz w:val="20"/>
        </w:rPr>
        <w:t xml:space="preserve">The decision of the Associate Director, International Administration is final. </w:t>
      </w:r>
      <w:r w:rsidRPr="00DD16D1">
        <w:rPr>
          <w:rFonts w:cs="Arial"/>
          <w:sz w:val="20"/>
        </w:rPr>
        <w:t xml:space="preserve">For English language students </w:t>
      </w:r>
      <w:r w:rsidR="00BA3F72">
        <w:rPr>
          <w:rFonts w:cs="Arial"/>
          <w:sz w:val="20"/>
        </w:rPr>
        <w:t xml:space="preserve">studying only </w:t>
      </w:r>
      <w:r w:rsidRPr="00DD16D1">
        <w:rPr>
          <w:rFonts w:cs="Arial"/>
          <w:sz w:val="20"/>
        </w:rPr>
        <w:t xml:space="preserve">at GELI, the </w:t>
      </w:r>
      <w:r w:rsidR="005558BE">
        <w:rPr>
          <w:rFonts w:cs="Arial"/>
          <w:sz w:val="20"/>
        </w:rPr>
        <w:t>application for review</w:t>
      </w:r>
      <w:r w:rsidRPr="00DD16D1">
        <w:rPr>
          <w:rFonts w:cs="Arial"/>
          <w:sz w:val="20"/>
        </w:rPr>
        <w:t xml:space="preserve"> is directed to the Director, GELI.</w:t>
      </w:r>
      <w:r w:rsidR="005558BE">
        <w:rPr>
          <w:rFonts w:cs="Arial"/>
          <w:sz w:val="20"/>
        </w:rPr>
        <w:t xml:space="preserve"> </w:t>
      </w:r>
      <w:r w:rsidR="00456B7E">
        <w:rPr>
          <w:rFonts w:cs="Arial"/>
          <w:sz w:val="20"/>
        </w:rPr>
        <w:t xml:space="preserve">The </w:t>
      </w:r>
      <w:r w:rsidR="005558BE">
        <w:rPr>
          <w:rFonts w:cs="Arial"/>
          <w:sz w:val="20"/>
        </w:rPr>
        <w:t>decision of the Director, GELI is final</w:t>
      </w:r>
      <w:r w:rsidR="00456B7E">
        <w:rPr>
          <w:rFonts w:cs="Arial"/>
          <w:sz w:val="20"/>
        </w:rPr>
        <w:t>.</w:t>
      </w:r>
    </w:p>
    <w:p w14:paraId="74D7EBE1" w14:textId="019BD413" w:rsidR="00DD16D1" w:rsidRDefault="00DD16D1" w:rsidP="00397F00">
      <w:pPr>
        <w:numPr>
          <w:ilvl w:val="1"/>
          <w:numId w:val="2"/>
        </w:numPr>
        <w:tabs>
          <w:tab w:val="clear" w:pos="1146"/>
          <w:tab w:val="left" w:pos="1134"/>
        </w:tabs>
        <w:rPr>
          <w:rFonts w:cs="Arial"/>
          <w:sz w:val="20"/>
        </w:rPr>
      </w:pPr>
      <w:r w:rsidRPr="00DD16D1">
        <w:rPr>
          <w:rFonts w:cs="Arial"/>
          <w:sz w:val="20"/>
        </w:rPr>
        <w:t xml:space="preserve">If the </w:t>
      </w:r>
      <w:r w:rsidR="005558BE">
        <w:rPr>
          <w:rFonts w:cs="Arial"/>
          <w:sz w:val="20"/>
        </w:rPr>
        <w:t xml:space="preserve">review </w:t>
      </w:r>
      <w:r w:rsidRPr="00DD16D1">
        <w:rPr>
          <w:rFonts w:cs="Arial"/>
          <w:sz w:val="20"/>
        </w:rPr>
        <w:t xml:space="preserve">outcome is successful, a </w:t>
      </w:r>
      <w:r w:rsidR="002B7F5A">
        <w:rPr>
          <w:rFonts w:cs="Arial"/>
          <w:sz w:val="20"/>
        </w:rPr>
        <w:t>r</w:t>
      </w:r>
      <w:r w:rsidR="002B7F5A" w:rsidRPr="00DD16D1">
        <w:rPr>
          <w:rFonts w:cs="Arial"/>
          <w:sz w:val="20"/>
        </w:rPr>
        <w:t xml:space="preserve">elease </w:t>
      </w:r>
      <w:r w:rsidRPr="00DD16D1">
        <w:rPr>
          <w:rFonts w:cs="Arial"/>
          <w:sz w:val="20"/>
        </w:rPr>
        <w:t xml:space="preserve">will be provided to the student as outlined in </w:t>
      </w:r>
      <w:hyperlink w:anchor="threepointtwopointtwo" w:history="1">
        <w:r w:rsidR="00A432F7" w:rsidRPr="00B305BE">
          <w:rPr>
            <w:rStyle w:val="Hyperlink"/>
            <w:rFonts w:cs="Arial"/>
            <w:sz w:val="20"/>
          </w:rPr>
          <w:t>3.2.2</w:t>
        </w:r>
      </w:hyperlink>
      <w:r w:rsidR="00A432F7">
        <w:rPr>
          <w:rFonts w:cs="Arial"/>
          <w:sz w:val="20"/>
        </w:rPr>
        <w:t>.</w:t>
      </w:r>
    </w:p>
    <w:p w14:paraId="30FCFC2B" w14:textId="280EA482" w:rsidR="002A0BFB" w:rsidRPr="00DD16D1" w:rsidRDefault="00DC0002" w:rsidP="00540398">
      <w:pPr>
        <w:tabs>
          <w:tab w:val="left" w:pos="1134"/>
        </w:tabs>
        <w:ind w:left="0"/>
        <w:rPr>
          <w:rFonts w:cs="Arial"/>
          <w:sz w:val="20"/>
        </w:rPr>
      </w:pPr>
      <w:r>
        <w:rPr>
          <w:rFonts w:cs="Arial"/>
          <w:noProof/>
          <w:sz w:val="18"/>
        </w:rPr>
        <w:pict w14:anchorId="0BCF3AC7">
          <v:rect id="_x0000_i1027" alt="" style="width:476.25pt;height:.05pt;mso-width-percent:0;mso-height-percent:0;mso-width-percent:0;mso-height-percent:0" o:hralign="center" o:hrstd="t" o:hr="t" fillcolor="#a0a0a0" stroked="f"/>
        </w:pict>
      </w:r>
    </w:p>
    <w:p w14:paraId="74D7EBE3" w14:textId="77777777" w:rsidR="00E31309" w:rsidRPr="00B34D13" w:rsidRDefault="00DD16D1" w:rsidP="000069D2">
      <w:pPr>
        <w:numPr>
          <w:ilvl w:val="0"/>
          <w:numId w:val="2"/>
        </w:numPr>
        <w:spacing w:before="100" w:beforeAutospacing="1" w:after="240"/>
        <w:rPr>
          <w:rFonts w:cs="Arial"/>
          <w:b/>
          <w:caps/>
          <w:sz w:val="24"/>
          <w:szCs w:val="24"/>
        </w:rPr>
      </w:pPr>
      <w:bookmarkStart w:id="9" w:name="cancellation"/>
      <w:bookmarkEnd w:id="9"/>
      <w:r w:rsidRPr="00DD16D1">
        <w:rPr>
          <w:b/>
          <w:caps/>
          <w:sz w:val="24"/>
          <w:szCs w:val="24"/>
        </w:rPr>
        <w:t>Cancellation of Enrolment and Refunds</w:t>
      </w:r>
    </w:p>
    <w:p w14:paraId="74D7EBE4" w14:textId="4F7987E7" w:rsidR="00DD16D1" w:rsidRDefault="00DD16D1" w:rsidP="004A5D6A">
      <w:pPr>
        <w:numPr>
          <w:ilvl w:val="1"/>
          <w:numId w:val="2"/>
        </w:numPr>
        <w:tabs>
          <w:tab w:val="clear" w:pos="1146"/>
          <w:tab w:val="left" w:pos="1134"/>
        </w:tabs>
        <w:ind w:left="1151" w:hanging="573"/>
        <w:rPr>
          <w:rFonts w:cs="Arial"/>
          <w:sz w:val="20"/>
        </w:rPr>
      </w:pPr>
      <w:r w:rsidRPr="00DD16D1">
        <w:rPr>
          <w:rFonts w:cs="Arial"/>
          <w:sz w:val="20"/>
        </w:rPr>
        <w:t xml:space="preserve">Students receiving a </w:t>
      </w:r>
      <w:r w:rsidR="002B7F5A">
        <w:rPr>
          <w:rFonts w:cs="Arial"/>
          <w:sz w:val="20"/>
        </w:rPr>
        <w:t>r</w:t>
      </w:r>
      <w:r w:rsidR="002B7F5A" w:rsidRPr="00DD16D1">
        <w:rPr>
          <w:rFonts w:cs="Arial"/>
          <w:sz w:val="20"/>
        </w:rPr>
        <w:t>elease</w:t>
      </w:r>
      <w:r w:rsidR="00AE39D7">
        <w:rPr>
          <w:rFonts w:cs="Arial"/>
          <w:sz w:val="20"/>
        </w:rPr>
        <w:t>,</w:t>
      </w:r>
      <w:r w:rsidR="002B7F5A" w:rsidRPr="00DD16D1">
        <w:rPr>
          <w:rFonts w:cs="Arial"/>
          <w:sz w:val="20"/>
        </w:rPr>
        <w:t xml:space="preserve"> </w:t>
      </w:r>
      <w:r w:rsidRPr="00DD16D1">
        <w:rPr>
          <w:rFonts w:cs="Arial"/>
          <w:sz w:val="20"/>
        </w:rPr>
        <w:t>approving transfer to another institution</w:t>
      </w:r>
      <w:r w:rsidR="00AE39D7">
        <w:rPr>
          <w:rFonts w:cs="Arial"/>
          <w:sz w:val="20"/>
        </w:rPr>
        <w:t>,</w:t>
      </w:r>
      <w:r w:rsidRPr="00DD16D1">
        <w:rPr>
          <w:rFonts w:cs="Arial"/>
          <w:sz w:val="20"/>
        </w:rPr>
        <w:t xml:space="preserve"> </w:t>
      </w:r>
      <w:r w:rsidR="00BA3F72">
        <w:rPr>
          <w:rFonts w:cs="Arial"/>
          <w:sz w:val="20"/>
        </w:rPr>
        <w:t>will have their enrolment cancelled</w:t>
      </w:r>
      <w:r w:rsidR="00EF1983">
        <w:rPr>
          <w:rFonts w:cs="Arial"/>
          <w:sz w:val="20"/>
        </w:rPr>
        <w:t xml:space="preserve"> by the University.</w:t>
      </w:r>
    </w:p>
    <w:p w14:paraId="26AC0E7F" w14:textId="56EDD26D" w:rsidR="00EF1983" w:rsidRPr="00DD16D1" w:rsidRDefault="00EF1983" w:rsidP="004A5D6A">
      <w:pPr>
        <w:numPr>
          <w:ilvl w:val="1"/>
          <w:numId w:val="2"/>
        </w:numPr>
        <w:tabs>
          <w:tab w:val="clear" w:pos="1146"/>
          <w:tab w:val="left" w:pos="1134"/>
        </w:tabs>
        <w:ind w:left="1151" w:hanging="573"/>
        <w:rPr>
          <w:rFonts w:cs="Arial"/>
          <w:sz w:val="20"/>
        </w:rPr>
      </w:pPr>
      <w:r>
        <w:rPr>
          <w:rFonts w:cs="Arial"/>
          <w:sz w:val="20"/>
        </w:rPr>
        <w:t>Students with credit</w:t>
      </w:r>
      <w:r>
        <w:rPr>
          <w:noProof/>
          <w:sz w:val="20"/>
        </w:rPr>
        <w:t xml:space="preserve"> in their student fees account will be required to apply for a refund of fees</w:t>
      </w:r>
      <w:r w:rsidR="00346A6B">
        <w:rPr>
          <w:noProof/>
          <w:sz w:val="20"/>
        </w:rPr>
        <w:t>.</w:t>
      </w:r>
    </w:p>
    <w:p w14:paraId="74D7EBE5" w14:textId="6BC5C445" w:rsidR="00E31309" w:rsidRPr="00DD16D1" w:rsidRDefault="00DD16D1" w:rsidP="000069D2">
      <w:pPr>
        <w:numPr>
          <w:ilvl w:val="1"/>
          <w:numId w:val="2"/>
        </w:numPr>
        <w:tabs>
          <w:tab w:val="clear" w:pos="1146"/>
          <w:tab w:val="left" w:pos="1134"/>
        </w:tabs>
        <w:rPr>
          <w:rFonts w:cs="Arial"/>
          <w:sz w:val="20"/>
        </w:rPr>
      </w:pPr>
      <w:r w:rsidRPr="00DD16D1">
        <w:rPr>
          <w:rFonts w:cs="Arial"/>
          <w:sz w:val="20"/>
        </w:rPr>
        <w:t xml:space="preserve">Students are subject to academic or financial penalties which may apply to cancellation of enrolment. Academic </w:t>
      </w:r>
      <w:r w:rsidRPr="000069D2">
        <w:rPr>
          <w:noProof/>
          <w:sz w:val="20"/>
        </w:rPr>
        <w:t>penalties</w:t>
      </w:r>
      <w:r w:rsidRPr="00DD16D1">
        <w:rPr>
          <w:rFonts w:cs="Arial"/>
          <w:sz w:val="20"/>
        </w:rPr>
        <w:t xml:space="preserve"> associated with enrolment changes are outlined in the </w:t>
      </w:r>
      <w:r w:rsidRPr="001F2247">
        <w:rPr>
          <w:rFonts w:cs="Arial"/>
          <w:i/>
          <w:sz w:val="20"/>
        </w:rPr>
        <w:t>Student Administration Policy</w:t>
      </w:r>
      <w:r w:rsidRPr="00DD16D1">
        <w:rPr>
          <w:rFonts w:cs="Arial"/>
          <w:sz w:val="20"/>
        </w:rPr>
        <w:t xml:space="preserve">. The University's policy on fees and procedure for refund and transfer of fees is outlined in </w:t>
      </w:r>
      <w:r w:rsidR="00346A6B">
        <w:rPr>
          <w:rFonts w:cs="Arial"/>
          <w:sz w:val="20"/>
        </w:rPr>
        <w:t xml:space="preserve">Section 3: Fees for International Students of </w:t>
      </w:r>
      <w:r w:rsidRPr="00DD16D1">
        <w:rPr>
          <w:rFonts w:cs="Arial"/>
          <w:sz w:val="20"/>
        </w:rPr>
        <w:t xml:space="preserve">the </w:t>
      </w:r>
      <w:r w:rsidRPr="006C476D">
        <w:rPr>
          <w:rFonts w:cs="Arial"/>
          <w:i/>
          <w:sz w:val="20"/>
        </w:rPr>
        <w:t>Fees and Charges Policy</w:t>
      </w:r>
      <w:r w:rsidRPr="00DD16D1">
        <w:rPr>
          <w:rFonts w:cs="Arial"/>
          <w:sz w:val="20"/>
        </w:rPr>
        <w:t xml:space="preserve"> and in the </w:t>
      </w:r>
      <w:r w:rsidRPr="001F2247">
        <w:rPr>
          <w:rFonts w:cs="Arial"/>
          <w:i/>
          <w:sz w:val="20"/>
        </w:rPr>
        <w:t>GELI Enrolment Policy</w:t>
      </w:r>
      <w:r w:rsidRPr="00F3133C">
        <w:rPr>
          <w:rFonts w:cs="Arial"/>
          <w:sz w:val="20"/>
        </w:rPr>
        <w:t>.</w:t>
      </w:r>
    </w:p>
    <w:sectPr w:rsidR="00E31309" w:rsidRPr="00DD16D1" w:rsidSect="00147712">
      <w:headerReference w:type="default" r:id="rId19"/>
      <w:footerReference w:type="default" r:id="rId20"/>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D7FE" w14:textId="77777777" w:rsidR="00B67543" w:rsidRDefault="00B67543">
      <w:r>
        <w:separator/>
      </w:r>
    </w:p>
  </w:endnote>
  <w:endnote w:type="continuationSeparator" w:id="0">
    <w:p w14:paraId="571C3007" w14:textId="77777777" w:rsidR="00B67543" w:rsidRDefault="00B6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BF0440" w:rsidRPr="00D96726" w14:paraId="74D7EBEF" w14:textId="77777777" w:rsidTr="00C245CA">
      <w:tc>
        <w:tcPr>
          <w:tcW w:w="918" w:type="dxa"/>
          <w:vAlign w:val="bottom"/>
        </w:tcPr>
        <w:p w14:paraId="74D7EBED" w14:textId="3583EE03" w:rsidR="00BF0440" w:rsidRPr="0089097B" w:rsidRDefault="00BF0440"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E53337" w:rsidRPr="00E53337">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74D7EBEE" w14:textId="5BFD8E2D" w:rsidR="00BF0440" w:rsidRPr="0089097B" w:rsidRDefault="00BF0440" w:rsidP="00E64DE2">
          <w:pPr>
            <w:pStyle w:val="Footer"/>
            <w:spacing w:before="20" w:after="20"/>
            <w:ind w:left="0"/>
            <w:rPr>
              <w:color w:val="BFBFBF" w:themeColor="background1" w:themeShade="BF"/>
              <w:sz w:val="16"/>
              <w:szCs w:val="16"/>
            </w:rPr>
          </w:pPr>
          <w:r w:rsidRPr="004A6E73">
            <w:rPr>
              <w:color w:val="BFBFBF" w:themeColor="background1" w:themeShade="BF"/>
              <w:sz w:val="16"/>
              <w:szCs w:val="16"/>
            </w:rPr>
            <w:t xml:space="preserve">International Student </w:t>
          </w:r>
          <w:r>
            <w:rPr>
              <w:color w:val="BFBFBF" w:themeColor="background1" w:themeShade="BF"/>
              <w:sz w:val="16"/>
              <w:szCs w:val="16"/>
            </w:rPr>
            <w:t>Provider</w:t>
          </w:r>
          <w:r w:rsidRPr="004A6E73">
            <w:rPr>
              <w:color w:val="BFBFBF" w:themeColor="background1" w:themeShade="BF"/>
              <w:sz w:val="16"/>
              <w:szCs w:val="16"/>
            </w:rPr>
            <w:t xml:space="preserve"> Transfer Request Policy and Procedure</w:t>
          </w:r>
        </w:p>
      </w:tc>
    </w:tr>
  </w:tbl>
  <w:p w14:paraId="74D7EBF0" w14:textId="77777777" w:rsidR="00BF0440" w:rsidRPr="0084456D" w:rsidRDefault="00BF0440"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0946" w14:textId="77777777" w:rsidR="00B67543" w:rsidRDefault="00B67543">
      <w:r>
        <w:separator/>
      </w:r>
    </w:p>
  </w:footnote>
  <w:footnote w:type="continuationSeparator" w:id="0">
    <w:p w14:paraId="6D06E779" w14:textId="77777777" w:rsidR="00B67543" w:rsidRDefault="00B6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DFC8" w14:textId="625CC4BB" w:rsidR="00BF0440" w:rsidRPr="001E2C9A" w:rsidRDefault="00BF0440" w:rsidP="00E64DE2">
    <w:pPr>
      <w:pStyle w:val="Header"/>
      <w:tabs>
        <w:tab w:val="right" w:pos="8190"/>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77800ED2"/>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sz w:val="20"/>
        <w:szCs w:val="20"/>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35E3B17"/>
    <w:multiLevelType w:val="hybridMultilevel"/>
    <w:tmpl w:val="CAD872FC"/>
    <w:lvl w:ilvl="0" w:tplc="2DE2883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A6A"/>
    <w:multiLevelType w:val="hybridMultilevel"/>
    <w:tmpl w:val="93720CB0"/>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 w15:restartNumberingAfterBreak="0">
    <w:nsid w:val="1F7E5B1F"/>
    <w:multiLevelType w:val="hybridMultilevel"/>
    <w:tmpl w:val="E45AFCDA"/>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5" w15:restartNumberingAfterBreak="0">
    <w:nsid w:val="2771535F"/>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353E477C"/>
    <w:multiLevelType w:val="hybridMultilevel"/>
    <w:tmpl w:val="31225704"/>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7" w15:restartNumberingAfterBreak="0">
    <w:nsid w:val="35761EEF"/>
    <w:multiLevelType w:val="hybridMultilevel"/>
    <w:tmpl w:val="6CE624B6"/>
    <w:lvl w:ilvl="0" w:tplc="5CBAA4D8">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48D73539"/>
    <w:multiLevelType w:val="hybridMultilevel"/>
    <w:tmpl w:val="19844B44"/>
    <w:lvl w:ilvl="0" w:tplc="0C090019">
      <w:start w:val="1"/>
      <w:numFmt w:val="lowerLetter"/>
      <w:lvlText w:val="%1."/>
      <w:lvlJc w:val="left"/>
      <w:pPr>
        <w:ind w:left="1866" w:hanging="360"/>
      </w:p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0" w15:restartNumberingAfterBreak="0">
    <w:nsid w:val="51F31A9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5287414D"/>
    <w:multiLevelType w:val="hybridMultilevel"/>
    <w:tmpl w:val="ADF667F0"/>
    <w:lvl w:ilvl="0" w:tplc="0C090017">
      <w:start w:val="1"/>
      <w:numFmt w:val="lowerLetter"/>
      <w:lvlText w:val="%1)"/>
      <w:lvlJc w:val="left"/>
      <w:pPr>
        <w:ind w:left="1506" w:hanging="360"/>
      </w:pPr>
    </w:lvl>
    <w:lvl w:ilvl="1" w:tplc="0C09001B">
      <w:start w:val="1"/>
      <w:numFmt w:val="lowerRoman"/>
      <w:lvlText w:val="%2."/>
      <w:lvlJc w:val="right"/>
      <w:pPr>
        <w:ind w:left="2226" w:hanging="360"/>
      </w:pPr>
    </w:lvl>
    <w:lvl w:ilvl="2" w:tplc="B83669F8">
      <w:start w:val="1"/>
      <w:numFmt w:val="lowerRoman"/>
      <w:lvlText w:val="(%3)"/>
      <w:lvlJc w:val="left"/>
      <w:pPr>
        <w:ind w:left="3486" w:hanging="720"/>
      </w:pPr>
      <w:rPr>
        <w:rFonts w:hint="default"/>
      </w:r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2" w15:restartNumberingAfterBreak="0">
    <w:nsid w:val="5E8B3DCC"/>
    <w:multiLevelType w:val="multilevel"/>
    <w:tmpl w:val="DEE0DC50"/>
    <w:lvl w:ilvl="0">
      <w:start w:val="3"/>
      <w:numFmt w:val="decimal"/>
      <w:lvlText w:val="%1"/>
      <w:lvlJc w:val="left"/>
      <w:pPr>
        <w:ind w:left="444" w:hanging="444"/>
      </w:pPr>
      <w:rPr>
        <w:rFonts w:hint="default"/>
      </w:rPr>
    </w:lvl>
    <w:lvl w:ilvl="1">
      <w:start w:val="2"/>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E423725"/>
    <w:multiLevelType w:val="hybridMultilevel"/>
    <w:tmpl w:val="1990F384"/>
    <w:lvl w:ilvl="0" w:tplc="0C090017">
      <w:start w:val="1"/>
      <w:numFmt w:val="lowerLetter"/>
      <w:lvlText w:val="%1)"/>
      <w:lvlJc w:val="left"/>
      <w:pPr>
        <w:ind w:left="1506" w:hanging="360"/>
      </w:pPr>
    </w:lvl>
    <w:lvl w:ilvl="1" w:tplc="C832A35C">
      <w:start w:val="1"/>
      <w:numFmt w:val="lowerLetter"/>
      <w:lvlText w:val="(%2)"/>
      <w:lvlJc w:val="left"/>
      <w:pPr>
        <w:ind w:left="2226" w:hanging="360"/>
      </w:pPr>
      <w:rPr>
        <w:rFonts w:hint="default"/>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4" w15:restartNumberingAfterBreak="0">
    <w:nsid w:val="773324A6"/>
    <w:multiLevelType w:val="hybridMultilevel"/>
    <w:tmpl w:val="B04CC730"/>
    <w:lvl w:ilvl="0" w:tplc="0E10B76C">
      <w:start w:val="1"/>
      <w:numFmt w:val="lowerLetter"/>
      <w:lvlText w:val="%1."/>
      <w:lvlJc w:val="left"/>
      <w:pPr>
        <w:ind w:left="720" w:hanging="360"/>
      </w:pPr>
      <w:rPr>
        <w:rFonts w:ascii="Arial" w:eastAsia="Times New Roman" w:hAnsi="Arial" w:cs="Arial"/>
      </w:rPr>
    </w:lvl>
    <w:lvl w:ilvl="1" w:tplc="A1C8E148">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07594">
    <w:abstractNumId w:val="0"/>
  </w:num>
  <w:num w:numId="2" w16cid:durableId="1810707610">
    <w:abstractNumId w:val="1"/>
  </w:num>
  <w:num w:numId="3" w16cid:durableId="2072077598">
    <w:abstractNumId w:val="8"/>
  </w:num>
  <w:num w:numId="4" w16cid:durableId="1350568073">
    <w:abstractNumId w:val="13"/>
  </w:num>
  <w:num w:numId="5" w16cid:durableId="1923639006">
    <w:abstractNumId w:val="3"/>
  </w:num>
  <w:num w:numId="6" w16cid:durableId="538905346">
    <w:abstractNumId w:val="11"/>
  </w:num>
  <w:num w:numId="7" w16cid:durableId="1861242443">
    <w:abstractNumId w:val="6"/>
  </w:num>
  <w:num w:numId="8" w16cid:durableId="1561936727">
    <w:abstractNumId w:val="4"/>
  </w:num>
  <w:num w:numId="9" w16cid:durableId="156113927">
    <w:abstractNumId w:val="9"/>
  </w:num>
  <w:num w:numId="10" w16cid:durableId="1058237959">
    <w:abstractNumId w:val="2"/>
  </w:num>
  <w:num w:numId="11" w16cid:durableId="471749574">
    <w:abstractNumId w:val="14"/>
  </w:num>
  <w:num w:numId="12" w16cid:durableId="1738166617">
    <w:abstractNumId w:val="10"/>
  </w:num>
  <w:num w:numId="13" w16cid:durableId="1138113626">
    <w:abstractNumId w:val="5"/>
  </w:num>
  <w:num w:numId="14" w16cid:durableId="1675179866">
    <w:abstractNumId w:val="12"/>
  </w:num>
  <w:num w:numId="15" w16cid:durableId="112835498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73"/>
    <w:rsid w:val="00000684"/>
    <w:rsid w:val="00000A9E"/>
    <w:rsid w:val="00002C6A"/>
    <w:rsid w:val="000069D2"/>
    <w:rsid w:val="0001326A"/>
    <w:rsid w:val="000168FD"/>
    <w:rsid w:val="00020317"/>
    <w:rsid w:val="0002197A"/>
    <w:rsid w:val="00021D3F"/>
    <w:rsid w:val="0002656D"/>
    <w:rsid w:val="000315DC"/>
    <w:rsid w:val="00041B9F"/>
    <w:rsid w:val="00043A00"/>
    <w:rsid w:val="00043DD0"/>
    <w:rsid w:val="00052FFF"/>
    <w:rsid w:val="000574B5"/>
    <w:rsid w:val="000623C6"/>
    <w:rsid w:val="00063F62"/>
    <w:rsid w:val="00064C50"/>
    <w:rsid w:val="000667F4"/>
    <w:rsid w:val="0007378A"/>
    <w:rsid w:val="0007577C"/>
    <w:rsid w:val="00085C96"/>
    <w:rsid w:val="0008782B"/>
    <w:rsid w:val="00090B14"/>
    <w:rsid w:val="00095765"/>
    <w:rsid w:val="00095B6A"/>
    <w:rsid w:val="000A32A8"/>
    <w:rsid w:val="000B2A3C"/>
    <w:rsid w:val="000B4093"/>
    <w:rsid w:val="000B5F39"/>
    <w:rsid w:val="000C306F"/>
    <w:rsid w:val="000C37CF"/>
    <w:rsid w:val="000C3F67"/>
    <w:rsid w:val="000D02B0"/>
    <w:rsid w:val="000D5BEF"/>
    <w:rsid w:val="000E5E40"/>
    <w:rsid w:val="000F0F40"/>
    <w:rsid w:val="000F3EF3"/>
    <w:rsid w:val="00102E82"/>
    <w:rsid w:val="00111C62"/>
    <w:rsid w:val="00113FE9"/>
    <w:rsid w:val="001161F5"/>
    <w:rsid w:val="00122286"/>
    <w:rsid w:val="00123CD9"/>
    <w:rsid w:val="00125B7C"/>
    <w:rsid w:val="00126B3F"/>
    <w:rsid w:val="0013323E"/>
    <w:rsid w:val="001335A0"/>
    <w:rsid w:val="0013508A"/>
    <w:rsid w:val="0014494F"/>
    <w:rsid w:val="001457DC"/>
    <w:rsid w:val="001458A0"/>
    <w:rsid w:val="00147712"/>
    <w:rsid w:val="00151FFD"/>
    <w:rsid w:val="00153747"/>
    <w:rsid w:val="00161FE6"/>
    <w:rsid w:val="001650D4"/>
    <w:rsid w:val="00165E66"/>
    <w:rsid w:val="00166645"/>
    <w:rsid w:val="00167DB1"/>
    <w:rsid w:val="00170334"/>
    <w:rsid w:val="00170EFB"/>
    <w:rsid w:val="001717AA"/>
    <w:rsid w:val="001831DA"/>
    <w:rsid w:val="0019311A"/>
    <w:rsid w:val="00194712"/>
    <w:rsid w:val="00195922"/>
    <w:rsid w:val="001A383A"/>
    <w:rsid w:val="001A43F5"/>
    <w:rsid w:val="001A762E"/>
    <w:rsid w:val="001B0412"/>
    <w:rsid w:val="001B10D1"/>
    <w:rsid w:val="001B2DB3"/>
    <w:rsid w:val="001B785E"/>
    <w:rsid w:val="001B798A"/>
    <w:rsid w:val="001B7E4C"/>
    <w:rsid w:val="001C0A6C"/>
    <w:rsid w:val="001C1128"/>
    <w:rsid w:val="001C2CA3"/>
    <w:rsid w:val="001C3641"/>
    <w:rsid w:val="001D584E"/>
    <w:rsid w:val="001D620D"/>
    <w:rsid w:val="001E0403"/>
    <w:rsid w:val="001E2C9A"/>
    <w:rsid w:val="001E6124"/>
    <w:rsid w:val="001F2247"/>
    <w:rsid w:val="001F3678"/>
    <w:rsid w:val="001F66C9"/>
    <w:rsid w:val="001F7DED"/>
    <w:rsid w:val="00201B73"/>
    <w:rsid w:val="002036C4"/>
    <w:rsid w:val="00212D89"/>
    <w:rsid w:val="002233B0"/>
    <w:rsid w:val="002235B6"/>
    <w:rsid w:val="0022366D"/>
    <w:rsid w:val="0024006B"/>
    <w:rsid w:val="002418DB"/>
    <w:rsid w:val="00243FB3"/>
    <w:rsid w:val="0024436E"/>
    <w:rsid w:val="002449C6"/>
    <w:rsid w:val="0024690C"/>
    <w:rsid w:val="00246C8E"/>
    <w:rsid w:val="00261CAC"/>
    <w:rsid w:val="00265742"/>
    <w:rsid w:val="00272C53"/>
    <w:rsid w:val="00272CE4"/>
    <w:rsid w:val="0027687D"/>
    <w:rsid w:val="00280472"/>
    <w:rsid w:val="00284A3D"/>
    <w:rsid w:val="00286E24"/>
    <w:rsid w:val="00287DE4"/>
    <w:rsid w:val="002A0BFB"/>
    <w:rsid w:val="002A1189"/>
    <w:rsid w:val="002A2874"/>
    <w:rsid w:val="002A5651"/>
    <w:rsid w:val="002A6453"/>
    <w:rsid w:val="002A6AA2"/>
    <w:rsid w:val="002A7CAE"/>
    <w:rsid w:val="002B053D"/>
    <w:rsid w:val="002B1AF8"/>
    <w:rsid w:val="002B756C"/>
    <w:rsid w:val="002B7EB5"/>
    <w:rsid w:val="002B7F5A"/>
    <w:rsid w:val="002D1072"/>
    <w:rsid w:val="002D1B78"/>
    <w:rsid w:val="002D294E"/>
    <w:rsid w:val="002D7B77"/>
    <w:rsid w:val="002F0496"/>
    <w:rsid w:val="002F224E"/>
    <w:rsid w:val="002F28C4"/>
    <w:rsid w:val="002F507E"/>
    <w:rsid w:val="002F5EE9"/>
    <w:rsid w:val="002F6602"/>
    <w:rsid w:val="002F6C01"/>
    <w:rsid w:val="00310DB8"/>
    <w:rsid w:val="003134C8"/>
    <w:rsid w:val="003218C3"/>
    <w:rsid w:val="00326B6D"/>
    <w:rsid w:val="00333755"/>
    <w:rsid w:val="003370CA"/>
    <w:rsid w:val="0034016D"/>
    <w:rsid w:val="003458F5"/>
    <w:rsid w:val="00346A6B"/>
    <w:rsid w:val="00347F8E"/>
    <w:rsid w:val="003578D8"/>
    <w:rsid w:val="00374D39"/>
    <w:rsid w:val="003760A0"/>
    <w:rsid w:val="00381013"/>
    <w:rsid w:val="003833FC"/>
    <w:rsid w:val="00394264"/>
    <w:rsid w:val="00396DFB"/>
    <w:rsid w:val="00397F00"/>
    <w:rsid w:val="003A1D04"/>
    <w:rsid w:val="003A2BEA"/>
    <w:rsid w:val="003A53EF"/>
    <w:rsid w:val="003A55F4"/>
    <w:rsid w:val="003B5CB5"/>
    <w:rsid w:val="003C67F5"/>
    <w:rsid w:val="003C682E"/>
    <w:rsid w:val="003D7CA0"/>
    <w:rsid w:val="003E0413"/>
    <w:rsid w:val="003E558A"/>
    <w:rsid w:val="003E5D96"/>
    <w:rsid w:val="004000E1"/>
    <w:rsid w:val="00411665"/>
    <w:rsid w:val="0041440C"/>
    <w:rsid w:val="00416FF5"/>
    <w:rsid w:val="004275CB"/>
    <w:rsid w:val="0043193E"/>
    <w:rsid w:val="00431ED9"/>
    <w:rsid w:val="004367FD"/>
    <w:rsid w:val="004379AA"/>
    <w:rsid w:val="0044443B"/>
    <w:rsid w:val="00447010"/>
    <w:rsid w:val="004539FC"/>
    <w:rsid w:val="00456B7E"/>
    <w:rsid w:val="004604B9"/>
    <w:rsid w:val="00461BB9"/>
    <w:rsid w:val="004657B6"/>
    <w:rsid w:val="00472930"/>
    <w:rsid w:val="00474A46"/>
    <w:rsid w:val="00474FF5"/>
    <w:rsid w:val="00476467"/>
    <w:rsid w:val="00484CEA"/>
    <w:rsid w:val="004854B0"/>
    <w:rsid w:val="0049061D"/>
    <w:rsid w:val="0049394F"/>
    <w:rsid w:val="00495C41"/>
    <w:rsid w:val="00497B78"/>
    <w:rsid w:val="004A258B"/>
    <w:rsid w:val="004A2F26"/>
    <w:rsid w:val="004A3DF6"/>
    <w:rsid w:val="004A5D6A"/>
    <w:rsid w:val="004A68CD"/>
    <w:rsid w:val="004A6E73"/>
    <w:rsid w:val="004B0D61"/>
    <w:rsid w:val="004B5AF2"/>
    <w:rsid w:val="004B5E8F"/>
    <w:rsid w:val="004B6B77"/>
    <w:rsid w:val="004B7B2B"/>
    <w:rsid w:val="004C10E1"/>
    <w:rsid w:val="004C1EB1"/>
    <w:rsid w:val="004C2582"/>
    <w:rsid w:val="004C3ED1"/>
    <w:rsid w:val="004C7027"/>
    <w:rsid w:val="004D5632"/>
    <w:rsid w:val="004E1C8C"/>
    <w:rsid w:val="004E4383"/>
    <w:rsid w:val="004E77EB"/>
    <w:rsid w:val="00500657"/>
    <w:rsid w:val="00500E1A"/>
    <w:rsid w:val="00505977"/>
    <w:rsid w:val="005076BB"/>
    <w:rsid w:val="00515ADA"/>
    <w:rsid w:val="00516A82"/>
    <w:rsid w:val="00517F6E"/>
    <w:rsid w:val="005202BE"/>
    <w:rsid w:val="00521797"/>
    <w:rsid w:val="005234E5"/>
    <w:rsid w:val="00524CFB"/>
    <w:rsid w:val="0053062E"/>
    <w:rsid w:val="005338BC"/>
    <w:rsid w:val="00537826"/>
    <w:rsid w:val="00540398"/>
    <w:rsid w:val="00540A84"/>
    <w:rsid w:val="00540C27"/>
    <w:rsid w:val="0054486D"/>
    <w:rsid w:val="00546452"/>
    <w:rsid w:val="00547101"/>
    <w:rsid w:val="005558BE"/>
    <w:rsid w:val="00560908"/>
    <w:rsid w:val="00570E6F"/>
    <w:rsid w:val="005740C1"/>
    <w:rsid w:val="0057729C"/>
    <w:rsid w:val="00581324"/>
    <w:rsid w:val="005845E9"/>
    <w:rsid w:val="005876F7"/>
    <w:rsid w:val="00596AB8"/>
    <w:rsid w:val="005B2DF0"/>
    <w:rsid w:val="005B50CF"/>
    <w:rsid w:val="005B786F"/>
    <w:rsid w:val="005C36E1"/>
    <w:rsid w:val="005D4AF3"/>
    <w:rsid w:val="005D6EE6"/>
    <w:rsid w:val="005E4CC2"/>
    <w:rsid w:val="005E5D6D"/>
    <w:rsid w:val="005E791A"/>
    <w:rsid w:val="005F2476"/>
    <w:rsid w:val="005F3A85"/>
    <w:rsid w:val="005F3A93"/>
    <w:rsid w:val="005F5B15"/>
    <w:rsid w:val="005F7D1D"/>
    <w:rsid w:val="00607F58"/>
    <w:rsid w:val="00613258"/>
    <w:rsid w:val="00622235"/>
    <w:rsid w:val="00626982"/>
    <w:rsid w:val="00632EA8"/>
    <w:rsid w:val="00633B37"/>
    <w:rsid w:val="006349E4"/>
    <w:rsid w:val="00636862"/>
    <w:rsid w:val="00643C9D"/>
    <w:rsid w:val="00643FE0"/>
    <w:rsid w:val="0064519D"/>
    <w:rsid w:val="00653543"/>
    <w:rsid w:val="00653682"/>
    <w:rsid w:val="00657977"/>
    <w:rsid w:val="0066306D"/>
    <w:rsid w:val="0066357B"/>
    <w:rsid w:val="006762A7"/>
    <w:rsid w:val="0068028D"/>
    <w:rsid w:val="00686E9B"/>
    <w:rsid w:val="0069546E"/>
    <w:rsid w:val="006A1820"/>
    <w:rsid w:val="006A2A39"/>
    <w:rsid w:val="006A478C"/>
    <w:rsid w:val="006B1774"/>
    <w:rsid w:val="006B31CD"/>
    <w:rsid w:val="006B32D6"/>
    <w:rsid w:val="006B679C"/>
    <w:rsid w:val="006C013C"/>
    <w:rsid w:val="006C1244"/>
    <w:rsid w:val="006C476D"/>
    <w:rsid w:val="006C5A4A"/>
    <w:rsid w:val="006D23C2"/>
    <w:rsid w:val="006D2573"/>
    <w:rsid w:val="006E102A"/>
    <w:rsid w:val="006E3DA4"/>
    <w:rsid w:val="006E5165"/>
    <w:rsid w:val="006E5BD3"/>
    <w:rsid w:val="006F0B57"/>
    <w:rsid w:val="006F15BE"/>
    <w:rsid w:val="006F28D2"/>
    <w:rsid w:val="006F4799"/>
    <w:rsid w:val="006F4C97"/>
    <w:rsid w:val="006F5216"/>
    <w:rsid w:val="006F53AE"/>
    <w:rsid w:val="00702232"/>
    <w:rsid w:val="00705462"/>
    <w:rsid w:val="00706C0E"/>
    <w:rsid w:val="00713BB1"/>
    <w:rsid w:val="00714A75"/>
    <w:rsid w:val="00715AF5"/>
    <w:rsid w:val="00720192"/>
    <w:rsid w:val="0072289E"/>
    <w:rsid w:val="00723120"/>
    <w:rsid w:val="00723FB3"/>
    <w:rsid w:val="00730810"/>
    <w:rsid w:val="00735F95"/>
    <w:rsid w:val="00740BDF"/>
    <w:rsid w:val="0074102B"/>
    <w:rsid w:val="00741E3C"/>
    <w:rsid w:val="0074600E"/>
    <w:rsid w:val="00747D25"/>
    <w:rsid w:val="00753867"/>
    <w:rsid w:val="00754458"/>
    <w:rsid w:val="00755120"/>
    <w:rsid w:val="00755364"/>
    <w:rsid w:val="00755827"/>
    <w:rsid w:val="00757917"/>
    <w:rsid w:val="007655E6"/>
    <w:rsid w:val="00766B60"/>
    <w:rsid w:val="00770E9E"/>
    <w:rsid w:val="0077378B"/>
    <w:rsid w:val="0077488D"/>
    <w:rsid w:val="00775885"/>
    <w:rsid w:val="00777CAA"/>
    <w:rsid w:val="00780B46"/>
    <w:rsid w:val="00780D74"/>
    <w:rsid w:val="0078173E"/>
    <w:rsid w:val="00781BAB"/>
    <w:rsid w:val="00791AA3"/>
    <w:rsid w:val="00792D75"/>
    <w:rsid w:val="00794D97"/>
    <w:rsid w:val="007978D7"/>
    <w:rsid w:val="007A4AD6"/>
    <w:rsid w:val="007A7545"/>
    <w:rsid w:val="007A76B5"/>
    <w:rsid w:val="007B048B"/>
    <w:rsid w:val="007B1A9B"/>
    <w:rsid w:val="007B3CC4"/>
    <w:rsid w:val="007B75C3"/>
    <w:rsid w:val="007D1DF4"/>
    <w:rsid w:val="007D3EAD"/>
    <w:rsid w:val="007D6AC1"/>
    <w:rsid w:val="007D79E4"/>
    <w:rsid w:val="007E0538"/>
    <w:rsid w:val="007E3132"/>
    <w:rsid w:val="007E4EA3"/>
    <w:rsid w:val="007F0338"/>
    <w:rsid w:val="007F3E07"/>
    <w:rsid w:val="007F56D9"/>
    <w:rsid w:val="007F6111"/>
    <w:rsid w:val="007F7FC0"/>
    <w:rsid w:val="008003C0"/>
    <w:rsid w:val="00804157"/>
    <w:rsid w:val="00810C01"/>
    <w:rsid w:val="00816912"/>
    <w:rsid w:val="00822949"/>
    <w:rsid w:val="00824A25"/>
    <w:rsid w:val="00826C75"/>
    <w:rsid w:val="0082755C"/>
    <w:rsid w:val="008320DD"/>
    <w:rsid w:val="00832F9F"/>
    <w:rsid w:val="00833FD3"/>
    <w:rsid w:val="00835399"/>
    <w:rsid w:val="00842D7C"/>
    <w:rsid w:val="0084456D"/>
    <w:rsid w:val="00846CE9"/>
    <w:rsid w:val="00852C5A"/>
    <w:rsid w:val="00856033"/>
    <w:rsid w:val="00862B37"/>
    <w:rsid w:val="00863D60"/>
    <w:rsid w:val="0086705D"/>
    <w:rsid w:val="00873851"/>
    <w:rsid w:val="00874FED"/>
    <w:rsid w:val="0088032D"/>
    <w:rsid w:val="00881BAA"/>
    <w:rsid w:val="00883C6F"/>
    <w:rsid w:val="00885A9D"/>
    <w:rsid w:val="0089097B"/>
    <w:rsid w:val="00893854"/>
    <w:rsid w:val="008977CE"/>
    <w:rsid w:val="008A1FEA"/>
    <w:rsid w:val="008A40EA"/>
    <w:rsid w:val="008A585E"/>
    <w:rsid w:val="008B1AD3"/>
    <w:rsid w:val="008B301A"/>
    <w:rsid w:val="008B701D"/>
    <w:rsid w:val="008B7927"/>
    <w:rsid w:val="008C0D58"/>
    <w:rsid w:val="008C1100"/>
    <w:rsid w:val="008D4244"/>
    <w:rsid w:val="008D4EAF"/>
    <w:rsid w:val="008D5A1F"/>
    <w:rsid w:val="008D5BB7"/>
    <w:rsid w:val="008D6283"/>
    <w:rsid w:val="008E3426"/>
    <w:rsid w:val="008E623C"/>
    <w:rsid w:val="008E7595"/>
    <w:rsid w:val="008F1284"/>
    <w:rsid w:val="008F54A8"/>
    <w:rsid w:val="008F6339"/>
    <w:rsid w:val="008F6C5D"/>
    <w:rsid w:val="009009B3"/>
    <w:rsid w:val="00902A40"/>
    <w:rsid w:val="0090457E"/>
    <w:rsid w:val="009148CE"/>
    <w:rsid w:val="00915B87"/>
    <w:rsid w:val="0092301A"/>
    <w:rsid w:val="00927957"/>
    <w:rsid w:val="009326FD"/>
    <w:rsid w:val="009336A5"/>
    <w:rsid w:val="00945C2A"/>
    <w:rsid w:val="00947EB1"/>
    <w:rsid w:val="00955AEA"/>
    <w:rsid w:val="00963ACF"/>
    <w:rsid w:val="0096733A"/>
    <w:rsid w:val="00967B3F"/>
    <w:rsid w:val="00967ED1"/>
    <w:rsid w:val="00980286"/>
    <w:rsid w:val="009826CE"/>
    <w:rsid w:val="00982977"/>
    <w:rsid w:val="0099057E"/>
    <w:rsid w:val="0099409C"/>
    <w:rsid w:val="009B18A0"/>
    <w:rsid w:val="009B6C16"/>
    <w:rsid w:val="009C63BA"/>
    <w:rsid w:val="009C6BD6"/>
    <w:rsid w:val="009C750A"/>
    <w:rsid w:val="009C7BF1"/>
    <w:rsid w:val="009D00DC"/>
    <w:rsid w:val="009D1456"/>
    <w:rsid w:val="009D19FC"/>
    <w:rsid w:val="009D1A6C"/>
    <w:rsid w:val="009D31AA"/>
    <w:rsid w:val="009D4604"/>
    <w:rsid w:val="009E4A08"/>
    <w:rsid w:val="009E6342"/>
    <w:rsid w:val="009F0FF1"/>
    <w:rsid w:val="00A03E63"/>
    <w:rsid w:val="00A03FF8"/>
    <w:rsid w:val="00A04CCC"/>
    <w:rsid w:val="00A0504A"/>
    <w:rsid w:val="00A06904"/>
    <w:rsid w:val="00A177FC"/>
    <w:rsid w:val="00A20280"/>
    <w:rsid w:val="00A20940"/>
    <w:rsid w:val="00A20A97"/>
    <w:rsid w:val="00A20ECD"/>
    <w:rsid w:val="00A213D1"/>
    <w:rsid w:val="00A25D0B"/>
    <w:rsid w:val="00A32B05"/>
    <w:rsid w:val="00A344F4"/>
    <w:rsid w:val="00A34635"/>
    <w:rsid w:val="00A42824"/>
    <w:rsid w:val="00A432F7"/>
    <w:rsid w:val="00A453C2"/>
    <w:rsid w:val="00A5182E"/>
    <w:rsid w:val="00A53DF2"/>
    <w:rsid w:val="00A557BD"/>
    <w:rsid w:val="00A60AB8"/>
    <w:rsid w:val="00A619C7"/>
    <w:rsid w:val="00A62490"/>
    <w:rsid w:val="00A6489A"/>
    <w:rsid w:val="00A731D0"/>
    <w:rsid w:val="00A73F05"/>
    <w:rsid w:val="00A75046"/>
    <w:rsid w:val="00A755D6"/>
    <w:rsid w:val="00A77C04"/>
    <w:rsid w:val="00A8299B"/>
    <w:rsid w:val="00A848F4"/>
    <w:rsid w:val="00A85022"/>
    <w:rsid w:val="00A869E6"/>
    <w:rsid w:val="00A9050A"/>
    <w:rsid w:val="00A941C0"/>
    <w:rsid w:val="00AA4728"/>
    <w:rsid w:val="00AB0069"/>
    <w:rsid w:val="00AB13FC"/>
    <w:rsid w:val="00AB6C4F"/>
    <w:rsid w:val="00AB784B"/>
    <w:rsid w:val="00AC08D7"/>
    <w:rsid w:val="00AD07D2"/>
    <w:rsid w:val="00AD7FF4"/>
    <w:rsid w:val="00AE39D7"/>
    <w:rsid w:val="00AE3E1D"/>
    <w:rsid w:val="00AE617C"/>
    <w:rsid w:val="00AF026E"/>
    <w:rsid w:val="00AF37D5"/>
    <w:rsid w:val="00AF4189"/>
    <w:rsid w:val="00AF62A9"/>
    <w:rsid w:val="00AF723D"/>
    <w:rsid w:val="00B0238C"/>
    <w:rsid w:val="00B140C7"/>
    <w:rsid w:val="00B27EEB"/>
    <w:rsid w:val="00B305BE"/>
    <w:rsid w:val="00B3305B"/>
    <w:rsid w:val="00B34D13"/>
    <w:rsid w:val="00B35FB8"/>
    <w:rsid w:val="00B3637F"/>
    <w:rsid w:val="00B41C14"/>
    <w:rsid w:val="00B41E1C"/>
    <w:rsid w:val="00B472A5"/>
    <w:rsid w:val="00B514CC"/>
    <w:rsid w:val="00B64C7B"/>
    <w:rsid w:val="00B66CBA"/>
    <w:rsid w:val="00B67543"/>
    <w:rsid w:val="00B84A47"/>
    <w:rsid w:val="00B84DB5"/>
    <w:rsid w:val="00B85A91"/>
    <w:rsid w:val="00B8613F"/>
    <w:rsid w:val="00B86B55"/>
    <w:rsid w:val="00B90801"/>
    <w:rsid w:val="00B97068"/>
    <w:rsid w:val="00B9776F"/>
    <w:rsid w:val="00BA11BB"/>
    <w:rsid w:val="00BA24BE"/>
    <w:rsid w:val="00BA39D3"/>
    <w:rsid w:val="00BA3F72"/>
    <w:rsid w:val="00BA46F6"/>
    <w:rsid w:val="00BB416E"/>
    <w:rsid w:val="00BB5BAF"/>
    <w:rsid w:val="00BB7175"/>
    <w:rsid w:val="00BC0F6D"/>
    <w:rsid w:val="00BC50C1"/>
    <w:rsid w:val="00BC7428"/>
    <w:rsid w:val="00BC7A77"/>
    <w:rsid w:val="00BD070F"/>
    <w:rsid w:val="00BD18D5"/>
    <w:rsid w:val="00BE2EDF"/>
    <w:rsid w:val="00BE314E"/>
    <w:rsid w:val="00BE5529"/>
    <w:rsid w:val="00BF01F1"/>
    <w:rsid w:val="00BF0440"/>
    <w:rsid w:val="00BF0C20"/>
    <w:rsid w:val="00BF0F81"/>
    <w:rsid w:val="00BF1299"/>
    <w:rsid w:val="00C04CB9"/>
    <w:rsid w:val="00C0540C"/>
    <w:rsid w:val="00C05D05"/>
    <w:rsid w:val="00C0705D"/>
    <w:rsid w:val="00C115E1"/>
    <w:rsid w:val="00C1576F"/>
    <w:rsid w:val="00C158A2"/>
    <w:rsid w:val="00C21BCB"/>
    <w:rsid w:val="00C243AA"/>
    <w:rsid w:val="00C245CA"/>
    <w:rsid w:val="00C2468D"/>
    <w:rsid w:val="00C247D2"/>
    <w:rsid w:val="00C27D06"/>
    <w:rsid w:val="00C3049E"/>
    <w:rsid w:val="00C313AC"/>
    <w:rsid w:val="00C332A4"/>
    <w:rsid w:val="00C332BF"/>
    <w:rsid w:val="00C36EA5"/>
    <w:rsid w:val="00C40331"/>
    <w:rsid w:val="00C4107C"/>
    <w:rsid w:val="00C419C7"/>
    <w:rsid w:val="00C448F7"/>
    <w:rsid w:val="00C4647B"/>
    <w:rsid w:val="00C50A1F"/>
    <w:rsid w:val="00C526A0"/>
    <w:rsid w:val="00C56C9C"/>
    <w:rsid w:val="00C6259E"/>
    <w:rsid w:val="00C62F7A"/>
    <w:rsid w:val="00C635C5"/>
    <w:rsid w:val="00C6409F"/>
    <w:rsid w:val="00C70606"/>
    <w:rsid w:val="00C738F3"/>
    <w:rsid w:val="00C762CF"/>
    <w:rsid w:val="00C8484F"/>
    <w:rsid w:val="00C86B98"/>
    <w:rsid w:val="00C9025C"/>
    <w:rsid w:val="00C90ECD"/>
    <w:rsid w:val="00CA299F"/>
    <w:rsid w:val="00CA3E2C"/>
    <w:rsid w:val="00CB185A"/>
    <w:rsid w:val="00CB693E"/>
    <w:rsid w:val="00CC2432"/>
    <w:rsid w:val="00CC31E3"/>
    <w:rsid w:val="00CD3138"/>
    <w:rsid w:val="00CE3B1D"/>
    <w:rsid w:val="00CE42A9"/>
    <w:rsid w:val="00CF0319"/>
    <w:rsid w:val="00CF2364"/>
    <w:rsid w:val="00CF3462"/>
    <w:rsid w:val="00D0248C"/>
    <w:rsid w:val="00D047CD"/>
    <w:rsid w:val="00D05D2C"/>
    <w:rsid w:val="00D06CB7"/>
    <w:rsid w:val="00D10D24"/>
    <w:rsid w:val="00D15832"/>
    <w:rsid w:val="00D21A2C"/>
    <w:rsid w:val="00D2236E"/>
    <w:rsid w:val="00D231E0"/>
    <w:rsid w:val="00D2648D"/>
    <w:rsid w:val="00D3247B"/>
    <w:rsid w:val="00D5253F"/>
    <w:rsid w:val="00D52CAC"/>
    <w:rsid w:val="00D555F9"/>
    <w:rsid w:val="00D55BC3"/>
    <w:rsid w:val="00D6060F"/>
    <w:rsid w:val="00D614DF"/>
    <w:rsid w:val="00D660DC"/>
    <w:rsid w:val="00D7046B"/>
    <w:rsid w:val="00D7348C"/>
    <w:rsid w:val="00D85F00"/>
    <w:rsid w:val="00D87932"/>
    <w:rsid w:val="00D87BF1"/>
    <w:rsid w:val="00D910B0"/>
    <w:rsid w:val="00D9114F"/>
    <w:rsid w:val="00D920FB"/>
    <w:rsid w:val="00D932BD"/>
    <w:rsid w:val="00D96309"/>
    <w:rsid w:val="00D96389"/>
    <w:rsid w:val="00D96726"/>
    <w:rsid w:val="00DB0479"/>
    <w:rsid w:val="00DB0574"/>
    <w:rsid w:val="00DB16B9"/>
    <w:rsid w:val="00DB1E27"/>
    <w:rsid w:val="00DB1FEB"/>
    <w:rsid w:val="00DB4612"/>
    <w:rsid w:val="00DC0002"/>
    <w:rsid w:val="00DC2DFC"/>
    <w:rsid w:val="00DC7AA7"/>
    <w:rsid w:val="00DC7EE4"/>
    <w:rsid w:val="00DD05CA"/>
    <w:rsid w:val="00DD16D1"/>
    <w:rsid w:val="00DE0BBA"/>
    <w:rsid w:val="00DE16B7"/>
    <w:rsid w:val="00DF2810"/>
    <w:rsid w:val="00DF6506"/>
    <w:rsid w:val="00E00460"/>
    <w:rsid w:val="00E15427"/>
    <w:rsid w:val="00E17934"/>
    <w:rsid w:val="00E20578"/>
    <w:rsid w:val="00E222F1"/>
    <w:rsid w:val="00E24526"/>
    <w:rsid w:val="00E278CC"/>
    <w:rsid w:val="00E31309"/>
    <w:rsid w:val="00E33345"/>
    <w:rsid w:val="00E34B2B"/>
    <w:rsid w:val="00E36743"/>
    <w:rsid w:val="00E368A1"/>
    <w:rsid w:val="00E443E4"/>
    <w:rsid w:val="00E456FA"/>
    <w:rsid w:val="00E52DA6"/>
    <w:rsid w:val="00E52F57"/>
    <w:rsid w:val="00E53105"/>
    <w:rsid w:val="00E53337"/>
    <w:rsid w:val="00E54794"/>
    <w:rsid w:val="00E56164"/>
    <w:rsid w:val="00E60B69"/>
    <w:rsid w:val="00E63649"/>
    <w:rsid w:val="00E64DE2"/>
    <w:rsid w:val="00E74827"/>
    <w:rsid w:val="00E75525"/>
    <w:rsid w:val="00E77601"/>
    <w:rsid w:val="00E80564"/>
    <w:rsid w:val="00E809D4"/>
    <w:rsid w:val="00E81B11"/>
    <w:rsid w:val="00E8319B"/>
    <w:rsid w:val="00E835AC"/>
    <w:rsid w:val="00E843A1"/>
    <w:rsid w:val="00E84BF1"/>
    <w:rsid w:val="00E864AF"/>
    <w:rsid w:val="00E874E0"/>
    <w:rsid w:val="00E93BAC"/>
    <w:rsid w:val="00E97F61"/>
    <w:rsid w:val="00EA198C"/>
    <w:rsid w:val="00EA2658"/>
    <w:rsid w:val="00EA5043"/>
    <w:rsid w:val="00EA79C7"/>
    <w:rsid w:val="00EB591A"/>
    <w:rsid w:val="00EC0162"/>
    <w:rsid w:val="00EC0E5F"/>
    <w:rsid w:val="00EC4C93"/>
    <w:rsid w:val="00ED27FE"/>
    <w:rsid w:val="00ED284C"/>
    <w:rsid w:val="00EE04AC"/>
    <w:rsid w:val="00EE107B"/>
    <w:rsid w:val="00EE30B7"/>
    <w:rsid w:val="00EE398E"/>
    <w:rsid w:val="00EE48BF"/>
    <w:rsid w:val="00EE4F80"/>
    <w:rsid w:val="00EF1983"/>
    <w:rsid w:val="00EF7145"/>
    <w:rsid w:val="00EF730A"/>
    <w:rsid w:val="00F01B2E"/>
    <w:rsid w:val="00F02E91"/>
    <w:rsid w:val="00F105AD"/>
    <w:rsid w:val="00F13684"/>
    <w:rsid w:val="00F147C2"/>
    <w:rsid w:val="00F1721C"/>
    <w:rsid w:val="00F3133C"/>
    <w:rsid w:val="00F33C08"/>
    <w:rsid w:val="00F37ECA"/>
    <w:rsid w:val="00F5542C"/>
    <w:rsid w:val="00F57BF2"/>
    <w:rsid w:val="00F61824"/>
    <w:rsid w:val="00F62D80"/>
    <w:rsid w:val="00F63503"/>
    <w:rsid w:val="00F63B24"/>
    <w:rsid w:val="00F660A5"/>
    <w:rsid w:val="00F6611A"/>
    <w:rsid w:val="00F67055"/>
    <w:rsid w:val="00F7194A"/>
    <w:rsid w:val="00F72224"/>
    <w:rsid w:val="00F73CD0"/>
    <w:rsid w:val="00F76C7A"/>
    <w:rsid w:val="00F87704"/>
    <w:rsid w:val="00FA1843"/>
    <w:rsid w:val="00FA2299"/>
    <w:rsid w:val="00FB08CF"/>
    <w:rsid w:val="00FB4A72"/>
    <w:rsid w:val="00FB58A1"/>
    <w:rsid w:val="00FB6B2B"/>
    <w:rsid w:val="00FC4B0A"/>
    <w:rsid w:val="00FC4C59"/>
    <w:rsid w:val="00FD2EE6"/>
    <w:rsid w:val="00FD382F"/>
    <w:rsid w:val="00FD76F0"/>
    <w:rsid w:val="00FD77A2"/>
    <w:rsid w:val="00FE12B1"/>
    <w:rsid w:val="00FE373B"/>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4D7EB82"/>
  <w15:docId w15:val="{979D06F1-7148-42DE-BC26-0EDEA30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643C9D"/>
    <w:rPr>
      <w:color w:val="800080" w:themeColor="followedHyperlink"/>
      <w:u w:val="single"/>
    </w:rPr>
  </w:style>
  <w:style w:type="table" w:customStyle="1" w:styleId="TableGrid1">
    <w:name w:val="Table Grid1"/>
    <w:basedOn w:val="TableNormal"/>
    <w:next w:val="TableGrid"/>
    <w:rsid w:val="0077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0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F2017L01182" TargetMode="External"/><Relationship Id="rId18" Type="http://schemas.openxmlformats.org/officeDocument/2006/relationships/hyperlink" Target="https://www2.griffith.edu.au/__data/assets/pdf_file/0027/331983/request-refund-fees-internatio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au/Details/C2018C00210" TargetMode="External"/><Relationship Id="rId17" Type="http://schemas.openxmlformats.org/officeDocument/2006/relationships/hyperlink" Target="https://sharepointpubstor.blob.core.windows.net/policylibrary-prod/Fees%20and%20Charges%20Schedules.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Fees%20and%20Charges%20Procedu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policies.griffith.edu.au/pdf/Student%20Review%20and%20Appeals%20Procedures.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Student%20Review%20and%20Appeals%20Policy.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2%20Redevelopment\Templates\Approved%20Policy%20Library%20Template_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describes the conditions under which international student visa holders are able to apply to transfer to other institutions.</policysummary>
    <TaxCatchAll xmlns="b40c662e-0380-4817-843d-2c7e10d40c39">
      <Value>521</Value>
      <Value>78</Value>
      <Value>551</Value>
      <Value>88</Value>
      <Value>70</Value>
      <Value>69</Value>
      <Value>34</Value>
    </TaxCatchAll>
    <docsort xmlns="2f261a70-825f-4a37-b7b5-f6ecc2f4c5fa">80</docsort>
    <datedeclared xmlns="2f261a70-825f-4a37-b7b5-f6ecc2f4c5fa" xsi:nil="true"/>
    <policyadvisor xmlns="2f261a70-825f-4a37-b7b5-f6ecc2f4c5fa">
      <UserInfo>
        <DisplayName>Hayley McNeel</DisplayName>
        <AccountId>242</AccountId>
        <AccountType/>
      </UserInfo>
    </policyadvisor>
    <extlink xmlns="2f261a70-825f-4a37-b7b5-f6ecc2f4c5fa">
      <Url xsi:nil="true"/>
      <Description xsi:nil="true"/>
    </extlink>
    <doccomments xmlns="2f261a70-825f-4a37-b7b5-f6ecc2f4c5fa">Standing approval from PV(CS) of 23 May 2018 to amend broken links refers.
Links under Related documents updated as required.
26/03/2024 - Standing COO editorial updates - under Related Policy Documents - Student Administration Policy has been rescinded replaced with Admission Policy, effective T1 2024.</doccomments>
    <PublishOn xmlns="2f261a70-825f-4a37-b7b5-f6ecc2f4c5fa">2021-02-05T10:23:34+00:00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2024-03-25T14:00:00+00:00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2BB10BFD-7F1D-48CD-9FED-A3654D40E5E3}">
  <ds:schemaRefs>
    <ds:schemaRef ds:uri="http://schemas.microsoft.com/sharepoint/v3/contenttype/forms"/>
  </ds:schemaRefs>
</ds:datastoreItem>
</file>

<file path=customXml/itemProps2.xml><?xml version="1.0" encoding="utf-8"?>
<ds:datastoreItem xmlns:ds="http://schemas.openxmlformats.org/officeDocument/2006/customXml" ds:itemID="{A548ADDC-F832-400F-B459-54D249E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86879-288B-4FA7-BBF5-4BFC0EB6A5FF}">
  <ds:schemaRefs>
    <ds:schemaRef ds:uri="http://purl.org/dc/terms/"/>
    <ds:schemaRef ds:uri="http://schemas.microsoft.com/office/2006/documentManagement/types"/>
    <ds:schemaRef ds:uri="2f261a70-825f-4a37-b7b5-f6ecc2f4c5fa"/>
    <ds:schemaRef ds:uri="b40c662e-0380-4817-843d-2c7e10d40c3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Approved Policy Library Template_Policy or Procedure.dotx</Template>
  <TotalTime>2</TotalTime>
  <Pages>5</Pages>
  <Words>2101</Words>
  <Characters>12991</Characters>
  <Application>Microsoft Office Word</Application>
  <DocSecurity>0</DocSecurity>
  <Lines>108</Lines>
  <Paragraphs>30</Paragraphs>
  <ScaleCrop>false</ScaleCrop>
  <Company>Griffith University</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Transfer Request Policy</dc:title>
  <dc:creator>Georgina Tkacz</dc:creator>
  <cp:keywords>student transfer, student transfer requests, international student transfer</cp:keywords>
  <cp:lastModifiedBy>Donna Kalaentzis</cp:lastModifiedBy>
  <cp:revision>10</cp:revision>
  <cp:lastPrinted>2018-09-04T02:48:00Z</cp:lastPrinted>
  <dcterms:created xsi:type="dcterms:W3CDTF">2023-03-13T05:37:00Z</dcterms:created>
  <dcterms:modified xsi:type="dcterms:W3CDTF">2024-03-26T05:30:00Z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vt:lpwstr>
  </property>
  <property fmtid="{D5CDD505-2E9C-101B-9397-08002B2CF9AE}" pid="3" name="policysection">
    <vt:lpwstr>34;#Enrolment and Orientation|6400745d-52c5-450f-bfdf-cde1f0359e08</vt:lpwstr>
  </property>
  <property fmtid="{D5CDD505-2E9C-101B-9397-08002B2CF9AE}" pid="4" name="_dlc_policyId">
    <vt:lpwstr>0x010100CCB10AA9A57F62429EA6968F7587FFF2|1453938073</vt:lpwstr>
  </property>
  <property fmtid="{D5CDD505-2E9C-101B-9397-08002B2CF9AE}" pid="5" name="HTML Link">
    <vt:lpwstr>https://policies-admin.griffith.edu.au/pdf/Institutional%20Transfer%20Request%20Policy.pdf,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c2bf9ccc-a500-4339-8f7c-9ce7809092e3</vt:lpwstr>
  </property>
  <property fmtid="{D5CDD505-2E9C-101B-9397-08002B2CF9AE}" pid="14" name="policyreview">
    <vt:lpwstr>78;#2023|895e1bd4-e176-48a8-a408-81b6fcc49086</vt:lpwstr>
  </property>
  <property fmtid="{D5CDD505-2E9C-101B-9397-08002B2CF9AE}" pid="15" name="policyaudience">
    <vt:lpwstr>70;#Student|ee8ed24e-bfab-45f3-a2fa-94abe1e7357a</vt:lpwstr>
  </property>
  <property fmtid="{D5CDD505-2E9C-101B-9397-08002B2CF9AE}" pid="16" name="Category Type">
    <vt:lpwstr>22;#Policy|6ea67854-4618-4b05-bd31-1dfafb0e2b14;#24;#Procedure|a0263e0d-98fd-4218-b3a4-79e0932aedf7</vt:lpwstr>
  </property>
  <property fmtid="{D5CDD505-2E9C-101B-9397-08002B2CF9AE}" pid="17" name="glossaryterms">
    <vt:lpwstr/>
  </property>
  <property fmtid="{D5CDD505-2E9C-101B-9397-08002B2CF9AE}" pid="18" name="officearea">
    <vt:lpwstr>551;#Student Life|10f28419-8eea-4122-9bbc-3c3d69c6fcc4</vt:lpwstr>
  </property>
  <property fmtid="{D5CDD505-2E9C-101B-9397-08002B2CF9AE}" pid="19" name="Order">
    <vt:r8>19100</vt:r8>
  </property>
  <property fmtid="{D5CDD505-2E9C-101B-9397-08002B2CF9AE}" pid="20" name="source_item_id">
    <vt:lpwstr>191</vt:lpwstr>
  </property>
  <property fmtid="{D5CDD505-2E9C-101B-9397-08002B2CF9AE}" pid="21" name="doccomments">
    <vt:lpwstr>With the new National Code of Practice for Providers of Education and Training to Overseas Students 2018 effective 1 January 2018, Policy updated in line with Standard 7 of the National Code of Practice 2018. 
The 1/2018 Academic Committee meeting held on</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y fmtid="{D5CDD505-2E9C-101B-9397-08002B2CF9AE}" pid="26" name="MSIP_Label_adaa4be3-f650-4692-881a-64ae220cbceb_Enabled">
    <vt:lpwstr>true</vt:lpwstr>
  </property>
  <property fmtid="{D5CDD505-2E9C-101B-9397-08002B2CF9AE}" pid="27" name="MSIP_Label_adaa4be3-f650-4692-881a-64ae220cbceb_SetDate">
    <vt:lpwstr>2023-03-13T05:37:14Z</vt:lpwstr>
  </property>
  <property fmtid="{D5CDD505-2E9C-101B-9397-08002B2CF9AE}" pid="28" name="MSIP_Label_adaa4be3-f650-4692-881a-64ae220cbceb_Method">
    <vt:lpwstr>Standard</vt:lpwstr>
  </property>
  <property fmtid="{D5CDD505-2E9C-101B-9397-08002B2CF9AE}" pid="29" name="MSIP_Label_adaa4be3-f650-4692-881a-64ae220cbceb_Name">
    <vt:lpwstr>OFFICIAL  Internal (External sharing)</vt:lpwstr>
  </property>
  <property fmtid="{D5CDD505-2E9C-101B-9397-08002B2CF9AE}" pid="30" name="MSIP_Label_adaa4be3-f650-4692-881a-64ae220cbceb_SiteId">
    <vt:lpwstr>5a7cc8ab-a4dc-4f9b-bf60-66714049ad62</vt:lpwstr>
  </property>
  <property fmtid="{D5CDD505-2E9C-101B-9397-08002B2CF9AE}" pid="31" name="MSIP_Label_adaa4be3-f650-4692-881a-64ae220cbceb_ActionId">
    <vt:lpwstr>041c29a7-65d0-4d65-af9d-a48f54db0a81</vt:lpwstr>
  </property>
  <property fmtid="{D5CDD505-2E9C-101B-9397-08002B2CF9AE}" pid="32" name="MSIP_Label_adaa4be3-f650-4692-881a-64ae220cbceb_ContentBits">
    <vt:lpwstr>0</vt:lpwstr>
  </property>
</Properties>
</file>