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ACD2" w14:textId="063A48D8" w:rsidR="00DD6067" w:rsidRPr="00BE0DBF" w:rsidRDefault="00BE0DBF" w:rsidP="00BE0DBF">
      <w:pPr>
        <w:pStyle w:val="Heading1"/>
        <w:spacing w:before="0" w:after="240"/>
        <w:rPr>
          <w:rFonts w:ascii="Griffith Sans Text" w:hAnsi="Griffith Sans Text"/>
          <w:sz w:val="52"/>
          <w:szCs w:val="32"/>
        </w:rPr>
      </w:pPr>
      <w:r>
        <w:rPr>
          <w:rFonts w:ascii="Griffith Sans Text" w:hAnsi="Griffith Sans Text"/>
          <w:sz w:val="52"/>
          <w:szCs w:val="32"/>
        </w:rPr>
        <w:t xml:space="preserve">Hospitality </w:t>
      </w:r>
      <w:r w:rsidR="001065DE">
        <w:rPr>
          <w:rFonts w:ascii="Griffith Sans Text" w:hAnsi="Griffith Sans Text"/>
          <w:sz w:val="52"/>
          <w:szCs w:val="32"/>
        </w:rPr>
        <w:t>and</w:t>
      </w:r>
      <w:r>
        <w:rPr>
          <w:rFonts w:ascii="Griffith Sans Text" w:hAnsi="Griffith Sans Text"/>
          <w:sz w:val="52"/>
          <w:szCs w:val="32"/>
        </w:rPr>
        <w:t xml:space="preserve"> Entertainment</w:t>
      </w:r>
    </w:p>
    <w:p w14:paraId="4B56D564" w14:textId="33010313" w:rsidR="00A144B2" w:rsidRPr="000C7000" w:rsidRDefault="0067432D" w:rsidP="00E166E0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hyperlink w:anchor="_1.0_Purpose" w:history="1">
        <w:r w:rsidR="00A144B2" w:rsidRPr="000C7000">
          <w:rPr>
            <w:rFonts w:ascii="Griffith Sans Text" w:hAnsi="Griffith Sans Text"/>
            <w:b w:val="0"/>
            <w:bCs w:val="0"/>
            <w:sz w:val="24"/>
            <w:szCs w:val="18"/>
          </w:rPr>
          <w:t>1.0 Purpose</w:t>
        </w:r>
      </w:hyperlink>
    </w:p>
    <w:p w14:paraId="1240B968" w14:textId="4A74855E" w:rsidR="00732202" w:rsidRPr="000C7000" w:rsidRDefault="0067432D" w:rsidP="00E166E0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hyperlink w:anchor="_2.0_Scope" w:history="1">
        <w:r w:rsidR="00732202" w:rsidRPr="000C7000">
          <w:rPr>
            <w:rFonts w:ascii="Griffith Sans Text" w:hAnsi="Griffith Sans Text"/>
            <w:b w:val="0"/>
            <w:bCs w:val="0"/>
            <w:sz w:val="24"/>
            <w:szCs w:val="18"/>
          </w:rPr>
          <w:t>2.0 Scope</w:t>
        </w:r>
      </w:hyperlink>
    </w:p>
    <w:p w14:paraId="636BA11E" w14:textId="040CCB8A" w:rsidR="00732202" w:rsidRPr="000C7000" w:rsidRDefault="00FF586B" w:rsidP="00E166E0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begin"/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  <w:instrText>HYPERLINK  \l "_3.0_Policy_statement"</w:instrText>
      </w:r>
      <w:r w:rsidRPr="000C7000">
        <w:rPr>
          <w:rFonts w:ascii="Griffith Sans Text" w:hAnsi="Griffith Sans Text"/>
          <w:b w:val="0"/>
          <w:bCs w:val="0"/>
          <w:sz w:val="24"/>
          <w:szCs w:val="18"/>
        </w:rPr>
      </w: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separate"/>
      </w:r>
      <w:r w:rsidR="00732202" w:rsidRPr="000C7000">
        <w:rPr>
          <w:rFonts w:ascii="Griffith Sans Text" w:hAnsi="Griffith Sans Text"/>
          <w:b w:val="0"/>
          <w:bCs w:val="0"/>
          <w:sz w:val="24"/>
          <w:szCs w:val="18"/>
        </w:rPr>
        <w:t>3.0 P</w:t>
      </w:r>
      <w:r w:rsidR="005632E8" w:rsidRPr="000C7000">
        <w:rPr>
          <w:rFonts w:ascii="Griffith Sans Text" w:hAnsi="Griffith Sans Text"/>
          <w:b w:val="0"/>
          <w:bCs w:val="0"/>
          <w:sz w:val="24"/>
          <w:szCs w:val="18"/>
        </w:rPr>
        <w:t>rocedure</w:t>
      </w:r>
      <w:r w:rsidR="00C76573" w:rsidRPr="000C7000">
        <w:rPr>
          <w:rFonts w:ascii="Griffith Sans Text" w:hAnsi="Griffith Sans Text"/>
          <w:b w:val="0"/>
          <w:bCs w:val="0"/>
          <w:sz w:val="24"/>
          <w:szCs w:val="18"/>
        </w:rPr>
        <w:t xml:space="preserve"> </w:t>
      </w:r>
    </w:p>
    <w:p w14:paraId="2655DE31" w14:textId="78DBC3C4" w:rsidR="00C76573" w:rsidRPr="000C7000" w:rsidRDefault="00FF586B" w:rsidP="0065502D">
      <w:pPr>
        <w:pStyle w:val="Heading2"/>
        <w:spacing w:before="0" w:after="0" w:line="240" w:lineRule="auto"/>
        <w:ind w:left="284"/>
        <w:rPr>
          <w:rFonts w:ascii="Griffith Sans Text" w:hAnsi="Griffith Sans Text"/>
          <w:b w:val="0"/>
          <w:bCs w:val="0"/>
          <w:sz w:val="24"/>
          <w:szCs w:val="18"/>
        </w:rPr>
      </w:pP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end"/>
      </w:r>
      <w:hyperlink w:anchor="_3.1_[Insert_sub-heading]" w:history="1">
        <w:r w:rsidR="00C76573" w:rsidRPr="000C7000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 xml:space="preserve">3.1 </w:t>
        </w:r>
        <w:r w:rsidR="00842E6F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Planning</w:t>
        </w:r>
      </w:hyperlink>
      <w:r w:rsidR="00904689" w:rsidRPr="000C7000">
        <w:rPr>
          <w:rFonts w:ascii="Griffith Sans Text" w:hAnsi="Griffith Sans Text"/>
          <w:b w:val="0"/>
          <w:bCs w:val="0"/>
          <w:sz w:val="24"/>
          <w:szCs w:val="18"/>
        </w:rPr>
        <w:t xml:space="preserve"> | </w:t>
      </w:r>
      <w:hyperlink w:anchor="_3.2_[Insert_sub-heading]" w:history="1">
        <w:r w:rsidR="00904689" w:rsidRPr="000C7000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 xml:space="preserve">3.2 </w:t>
        </w:r>
        <w:r w:rsidR="00842E6F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 xml:space="preserve">Ordering, Incurring the Expenditure and Substantiation </w:t>
        </w:r>
        <w:r w:rsidR="00BE0DBF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|</w:t>
        </w:r>
      </w:hyperlink>
      <w:r w:rsidR="00BE0DBF">
        <w:rPr>
          <w:rStyle w:val="Hyperlink"/>
          <w:rFonts w:ascii="Griffith Sans Text" w:hAnsi="Griffith Sans Text"/>
          <w:b w:val="0"/>
          <w:bCs w:val="0"/>
          <w:sz w:val="24"/>
          <w:szCs w:val="18"/>
        </w:rPr>
        <w:t xml:space="preserve"> </w:t>
      </w:r>
      <w:hyperlink w:anchor="_3.4_Non-compliance_and" w:history="1">
        <w:r w:rsidR="009670D8" w:rsidRPr="00AD3B17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3.</w:t>
        </w:r>
        <w:r w:rsidR="00AD3B17" w:rsidRPr="00AD3B17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3</w:t>
        </w:r>
        <w:r w:rsidR="009670D8" w:rsidRPr="00AD3B17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 xml:space="preserve"> Non-Compliance and Complaints</w:t>
        </w:r>
      </w:hyperlink>
    </w:p>
    <w:p w14:paraId="574A747E" w14:textId="5B26E8C5" w:rsidR="00A144B2" w:rsidRPr="000C7000" w:rsidRDefault="00FF586B" w:rsidP="00E166E0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begin"/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  <w:instrText>HYPERLINK  \l "_4.0_Roles,_responsibilities"</w:instrText>
      </w:r>
      <w:r w:rsidRPr="000C7000">
        <w:rPr>
          <w:rFonts w:ascii="Griffith Sans Text" w:hAnsi="Griffith Sans Text"/>
          <w:b w:val="0"/>
          <w:bCs w:val="0"/>
          <w:sz w:val="24"/>
          <w:szCs w:val="18"/>
        </w:rPr>
      </w: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separate"/>
      </w:r>
      <w:r w:rsidR="007418A5" w:rsidRPr="000C7000">
        <w:rPr>
          <w:rFonts w:ascii="Griffith Sans Text" w:hAnsi="Griffith Sans Text"/>
          <w:b w:val="0"/>
          <w:bCs w:val="0"/>
          <w:sz w:val="24"/>
          <w:szCs w:val="18"/>
        </w:rPr>
        <w:t>4</w:t>
      </w:r>
      <w:r w:rsidR="00732202" w:rsidRPr="000C7000">
        <w:rPr>
          <w:rFonts w:ascii="Griffith Sans Text" w:hAnsi="Griffith Sans Text"/>
          <w:b w:val="0"/>
          <w:bCs w:val="0"/>
          <w:sz w:val="24"/>
          <w:szCs w:val="18"/>
        </w:rPr>
        <w:t>.0 Definitions</w:t>
      </w:r>
    </w:p>
    <w:p w14:paraId="55C75591" w14:textId="5E684B7A" w:rsidR="00FC349F" w:rsidRPr="000C7000" w:rsidRDefault="00FF586B" w:rsidP="00E166E0">
      <w:pPr>
        <w:pStyle w:val="Heading2"/>
        <w:spacing w:before="0" w:after="0" w:line="240" w:lineRule="auto"/>
        <w:rPr>
          <w:rStyle w:val="Hyperlink"/>
          <w:rFonts w:ascii="Griffith Sans Text" w:hAnsi="Griffith Sans Text"/>
          <w:b w:val="0"/>
          <w:bCs w:val="0"/>
          <w:sz w:val="24"/>
          <w:szCs w:val="18"/>
        </w:rPr>
      </w:pP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end"/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begin"/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  <w:instrText>HYPERLINK  \l "_6.0_Information"</w:instrText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separate"/>
      </w:r>
      <w:r w:rsidR="007418A5" w:rsidRPr="000C7000">
        <w:rPr>
          <w:rStyle w:val="Hyperlink"/>
          <w:rFonts w:ascii="Griffith Sans Text" w:hAnsi="Griffith Sans Text"/>
          <w:b w:val="0"/>
          <w:bCs w:val="0"/>
          <w:sz w:val="24"/>
          <w:szCs w:val="18"/>
        </w:rPr>
        <w:t>5</w:t>
      </w:r>
      <w:r w:rsidR="00FC349F" w:rsidRPr="000C7000">
        <w:rPr>
          <w:rStyle w:val="Hyperlink"/>
          <w:rFonts w:ascii="Griffith Sans Text" w:hAnsi="Griffith Sans Text"/>
          <w:b w:val="0"/>
          <w:bCs w:val="0"/>
          <w:sz w:val="24"/>
          <w:szCs w:val="18"/>
        </w:rPr>
        <w:t>.0</w:t>
      </w:r>
      <w:r w:rsidR="00274580" w:rsidRPr="000C7000">
        <w:rPr>
          <w:rStyle w:val="Hyperlink"/>
          <w:rFonts w:ascii="Griffith Sans Text" w:hAnsi="Griffith Sans Text"/>
          <w:b w:val="0"/>
          <w:bCs w:val="0"/>
          <w:sz w:val="24"/>
          <w:szCs w:val="18"/>
        </w:rPr>
        <w:t xml:space="preserve"> Information</w:t>
      </w:r>
    </w:p>
    <w:p w14:paraId="3005F60D" w14:textId="6D0134BD" w:rsidR="00D434E9" w:rsidRPr="000C7000" w:rsidRDefault="0065502D" w:rsidP="00E166E0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end"/>
      </w:r>
      <w:hyperlink w:anchor="_7.0_Related_Policy" w:history="1">
        <w:r w:rsidR="007418A5" w:rsidRPr="000C7000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6</w:t>
        </w:r>
        <w:r w:rsidR="00274580" w:rsidRPr="000C7000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 xml:space="preserve">.0 Related </w:t>
        </w:r>
        <w:r w:rsidR="00456A0E" w:rsidRPr="000C7000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policy documents and supporting documents</w:t>
        </w:r>
      </w:hyperlink>
      <w:r w:rsidR="00613014" w:rsidRPr="000C7000">
        <w:rPr>
          <w:rFonts w:ascii="Griffith Sans Text" w:hAnsi="Griffith Sans Text"/>
          <w:b w:val="0"/>
          <w:bCs w:val="0"/>
          <w:sz w:val="24"/>
          <w:szCs w:val="18"/>
        </w:rPr>
        <w:t xml:space="preserve"> </w:t>
      </w:r>
    </w:p>
    <w:p w14:paraId="2DF7559D" w14:textId="403D7944" w:rsidR="00A144B2" w:rsidRPr="00237AB3" w:rsidRDefault="00A144B2" w:rsidP="00CA6AC5">
      <w:pPr>
        <w:pStyle w:val="Heading2"/>
        <w:rPr>
          <w:rFonts w:ascii="Griffith Sans Text" w:hAnsi="Griffith Sans Text"/>
        </w:rPr>
      </w:pPr>
      <w:bookmarkStart w:id="0" w:name="_1.0_Purpose"/>
      <w:bookmarkEnd w:id="0"/>
      <w:r w:rsidRPr="00237AB3">
        <w:rPr>
          <w:rFonts w:ascii="Griffith Sans Text" w:hAnsi="Griffith Sans Text"/>
        </w:rPr>
        <w:t>1.0 Purpose</w:t>
      </w:r>
    </w:p>
    <w:p w14:paraId="3CDBD60D" w14:textId="44138E92" w:rsidR="001C05D8" w:rsidRPr="004E1818" w:rsidRDefault="001C05D8" w:rsidP="28D72A30">
      <w:pPr>
        <w:spacing w:before="120" w:after="120" w:line="240" w:lineRule="auto"/>
        <w:rPr>
          <w:rFonts w:ascii="Arial" w:eastAsia="Calibri" w:hAnsi="Arial" w:cs="Arial"/>
          <w:sz w:val="22"/>
        </w:rPr>
      </w:pPr>
      <w:bookmarkStart w:id="1" w:name="_2.0_Scope"/>
      <w:bookmarkEnd w:id="1"/>
      <w:r w:rsidRPr="28D72A30">
        <w:rPr>
          <w:rFonts w:ascii="Arial" w:eastAsia="Calibri" w:hAnsi="Arial" w:cs="Arial"/>
          <w:sz w:val="22"/>
        </w:rPr>
        <w:t>T</w:t>
      </w:r>
      <w:r w:rsidR="00C82133">
        <w:rPr>
          <w:rFonts w:ascii="Arial" w:eastAsia="Calibri" w:hAnsi="Arial" w:cs="Arial"/>
          <w:sz w:val="22"/>
        </w:rPr>
        <w:t>he purpose of this procedure is t</w:t>
      </w:r>
      <w:r w:rsidRPr="28D72A30">
        <w:rPr>
          <w:rFonts w:ascii="Arial" w:eastAsia="Calibri" w:hAnsi="Arial" w:cs="Arial"/>
          <w:sz w:val="22"/>
        </w:rPr>
        <w:t xml:space="preserve">o </w:t>
      </w:r>
      <w:r w:rsidR="00A74789" w:rsidRPr="28D72A30">
        <w:rPr>
          <w:rFonts w:ascii="Arial" w:eastAsia="Calibri" w:hAnsi="Arial" w:cs="Arial"/>
          <w:sz w:val="22"/>
        </w:rPr>
        <w:t>guide</w:t>
      </w:r>
      <w:r w:rsidR="001065DE" w:rsidRPr="28D72A30">
        <w:rPr>
          <w:rFonts w:ascii="Arial" w:eastAsia="Calibri" w:hAnsi="Arial" w:cs="Arial"/>
          <w:sz w:val="22"/>
        </w:rPr>
        <w:t xml:space="preserve"> appropriate spend</w:t>
      </w:r>
      <w:r w:rsidR="002D21A9" w:rsidRPr="28D72A30">
        <w:rPr>
          <w:rFonts w:ascii="Arial" w:eastAsia="Calibri" w:hAnsi="Arial" w:cs="Arial"/>
          <w:sz w:val="22"/>
        </w:rPr>
        <w:t>ing of</w:t>
      </w:r>
      <w:r w:rsidR="001065DE" w:rsidRPr="28D72A30">
        <w:rPr>
          <w:rFonts w:ascii="Arial" w:eastAsia="Calibri" w:hAnsi="Arial" w:cs="Arial"/>
          <w:sz w:val="22"/>
        </w:rPr>
        <w:t xml:space="preserve"> University money on hospitality and entertainment in accordance with the Hospitality and Entertainment Policy.</w:t>
      </w:r>
    </w:p>
    <w:p w14:paraId="7F0EA822" w14:textId="07CBBBFC" w:rsidR="00A144B2" w:rsidRPr="00237AB3" w:rsidRDefault="00A144B2" w:rsidP="00CA6AC5">
      <w:pPr>
        <w:pStyle w:val="Heading2"/>
        <w:rPr>
          <w:rFonts w:ascii="Griffith Sans Text" w:hAnsi="Griffith Sans Text"/>
        </w:rPr>
      </w:pPr>
      <w:r w:rsidRPr="00237AB3">
        <w:rPr>
          <w:rFonts w:ascii="Griffith Sans Text" w:hAnsi="Griffith Sans Text"/>
        </w:rPr>
        <w:t>2.0 Scope</w:t>
      </w:r>
    </w:p>
    <w:p w14:paraId="4A39F554" w14:textId="7EFCCC53" w:rsidR="001C05D8" w:rsidRPr="00AC0FEF" w:rsidRDefault="001C05D8" w:rsidP="001C05D8">
      <w:pPr>
        <w:spacing w:before="120" w:after="120" w:line="240" w:lineRule="auto"/>
        <w:rPr>
          <w:rFonts w:ascii="Arial" w:eastAsia="Calibri" w:hAnsi="Arial" w:cs="Arial"/>
          <w:sz w:val="22"/>
        </w:rPr>
      </w:pPr>
      <w:bookmarkStart w:id="2" w:name="_3.0_Policy_statement"/>
      <w:bookmarkStart w:id="3" w:name="_3.0_Procedure"/>
      <w:bookmarkEnd w:id="2"/>
      <w:bookmarkEnd w:id="3"/>
      <w:r>
        <w:rPr>
          <w:rFonts w:ascii="Arial" w:eastAsia="Calibri" w:hAnsi="Arial" w:cs="Arial"/>
          <w:sz w:val="22"/>
        </w:rPr>
        <w:t>This p</w:t>
      </w:r>
      <w:r w:rsidR="001065DE">
        <w:rPr>
          <w:rFonts w:ascii="Arial" w:eastAsia="Calibri" w:hAnsi="Arial" w:cs="Arial"/>
          <w:sz w:val="22"/>
        </w:rPr>
        <w:t>rocedure</w:t>
      </w:r>
      <w:r>
        <w:rPr>
          <w:rFonts w:ascii="Arial" w:eastAsia="Calibri" w:hAnsi="Arial" w:cs="Arial"/>
          <w:sz w:val="22"/>
        </w:rPr>
        <w:t xml:space="preserve"> applies to all </w:t>
      </w:r>
      <w:r w:rsidR="006A7083">
        <w:rPr>
          <w:rFonts w:ascii="Arial" w:eastAsia="Calibri" w:hAnsi="Arial" w:cs="Arial"/>
          <w:sz w:val="22"/>
        </w:rPr>
        <w:t>employees and others included within Griffith University’s Code of Conduct.</w:t>
      </w:r>
    </w:p>
    <w:p w14:paraId="738A9BC3" w14:textId="48FE5F59" w:rsidR="00A144B2" w:rsidRPr="00237AB3" w:rsidRDefault="00A144B2" w:rsidP="00CA6AC5">
      <w:pPr>
        <w:pStyle w:val="Heading2"/>
        <w:rPr>
          <w:rFonts w:ascii="Griffith Sans Text" w:hAnsi="Griffith Sans Text"/>
        </w:rPr>
      </w:pPr>
      <w:r w:rsidRPr="00237AB3">
        <w:rPr>
          <w:rFonts w:ascii="Griffith Sans Text" w:hAnsi="Griffith Sans Text"/>
        </w:rPr>
        <w:t xml:space="preserve">3.0 </w:t>
      </w:r>
      <w:r w:rsidR="007418A5" w:rsidRPr="00237AB3">
        <w:rPr>
          <w:rFonts w:ascii="Griffith Sans Text" w:hAnsi="Griffith Sans Text"/>
        </w:rPr>
        <w:t>Procedure</w:t>
      </w:r>
    </w:p>
    <w:p w14:paraId="274CDB9D" w14:textId="29CF8EBC" w:rsidR="000F5EB6" w:rsidRPr="007D1C4B" w:rsidRDefault="001C05D8" w:rsidP="004A708C">
      <w:pPr>
        <w:spacing w:before="120" w:after="120"/>
        <w:rPr>
          <w:rFonts w:ascii="Arial" w:hAnsi="Arial" w:cs="Arial"/>
          <w:sz w:val="22"/>
        </w:rPr>
      </w:pPr>
      <w:r w:rsidRPr="007D1C4B">
        <w:rPr>
          <w:rFonts w:ascii="Arial" w:hAnsi="Arial" w:cs="Arial"/>
          <w:kern w:val="0"/>
          <w:sz w:val="22"/>
          <w:u w:color="F04E45"/>
        </w:rPr>
        <w:t xml:space="preserve">This </w:t>
      </w:r>
      <w:r w:rsidR="001065DE" w:rsidRPr="007D1C4B">
        <w:rPr>
          <w:rFonts w:ascii="Arial" w:hAnsi="Arial" w:cs="Arial"/>
          <w:kern w:val="0"/>
          <w:sz w:val="22"/>
          <w:u w:color="F04E45"/>
        </w:rPr>
        <w:t>p</w:t>
      </w:r>
      <w:r w:rsidRPr="007D1C4B">
        <w:rPr>
          <w:rFonts w:ascii="Arial" w:hAnsi="Arial" w:cs="Arial"/>
          <w:kern w:val="0"/>
          <w:sz w:val="22"/>
          <w:u w:color="F04E45"/>
        </w:rPr>
        <w:t xml:space="preserve">rocedure supports </w:t>
      </w:r>
      <w:r w:rsidR="00A74789" w:rsidRPr="007D1C4B">
        <w:rPr>
          <w:rFonts w:ascii="Arial" w:hAnsi="Arial" w:cs="Arial"/>
          <w:kern w:val="0"/>
          <w:sz w:val="22"/>
          <w:u w:color="F04E45"/>
        </w:rPr>
        <w:t>the Hospitality and Entertainment Policy, and the</w:t>
      </w:r>
      <w:r w:rsidRPr="007D1C4B">
        <w:rPr>
          <w:rFonts w:ascii="Arial" w:hAnsi="Arial" w:cs="Arial"/>
          <w:kern w:val="0"/>
          <w:sz w:val="22"/>
          <w:u w:color="F04E45"/>
        </w:rPr>
        <w:t xml:space="preserve"> </w:t>
      </w:r>
      <w:r w:rsidR="00C82133" w:rsidRPr="00FC2CDB">
        <w:t>Code of Conduct</w:t>
      </w:r>
      <w:r w:rsidRPr="007D1C4B">
        <w:rPr>
          <w:rFonts w:ascii="Arial" w:hAnsi="Arial" w:cs="Arial"/>
          <w:kern w:val="0"/>
          <w:sz w:val="22"/>
          <w:u w:color="F04E45"/>
        </w:rPr>
        <w:t xml:space="preserve">. </w:t>
      </w:r>
      <w:r w:rsidR="001065DE" w:rsidRPr="007D1C4B">
        <w:rPr>
          <w:rFonts w:ascii="Arial" w:hAnsi="Arial" w:cs="Arial"/>
          <w:kern w:val="0"/>
          <w:sz w:val="22"/>
          <w:u w:color="F04E45"/>
        </w:rPr>
        <w:t>The</w:t>
      </w:r>
      <w:r w:rsidRPr="007D1C4B">
        <w:rPr>
          <w:rFonts w:ascii="Arial" w:hAnsi="Arial" w:cs="Arial"/>
          <w:kern w:val="0"/>
          <w:sz w:val="22"/>
          <w:u w:color="F04E45"/>
        </w:rPr>
        <w:t xml:space="preserve"> University’s</w:t>
      </w:r>
      <w:r w:rsidRPr="007D1C4B">
        <w:rPr>
          <w:rFonts w:cs="Arial"/>
          <w:sz w:val="22"/>
        </w:rPr>
        <w:t xml:space="preserve"> </w:t>
      </w:r>
      <w:r w:rsidR="00C82133" w:rsidRPr="00FC2CDB">
        <w:t>Conflict of Interest Policy</w:t>
      </w:r>
      <w:r w:rsidRPr="00FC2CDB">
        <w:rPr>
          <w:rStyle w:val="Hyperlink"/>
          <w:rFonts w:ascii="Arial" w:hAnsi="Arial" w:cs="Arial"/>
          <w:color w:val="auto"/>
          <w:sz w:val="22"/>
        </w:rPr>
        <w:t xml:space="preserve"> </w:t>
      </w:r>
      <w:r w:rsidRPr="007D1C4B">
        <w:rPr>
          <w:rFonts w:ascii="Arial" w:hAnsi="Arial" w:cs="Arial"/>
          <w:kern w:val="0"/>
          <w:sz w:val="22"/>
          <w:u w:color="F04E45"/>
        </w:rPr>
        <w:t xml:space="preserve">and </w:t>
      </w:r>
      <w:r w:rsidR="00C82133" w:rsidRPr="00FC2CDB">
        <w:t>Gifts and Benefits Policy</w:t>
      </w:r>
      <w:r w:rsidR="001065DE" w:rsidRPr="00FC2CDB">
        <w:rPr>
          <w:rStyle w:val="Hyperlink"/>
          <w:rFonts w:ascii="Arial" w:hAnsi="Arial" w:cs="Arial"/>
          <w:color w:val="auto"/>
          <w:sz w:val="22"/>
        </w:rPr>
        <w:t xml:space="preserve"> </w:t>
      </w:r>
      <w:r w:rsidR="001065DE" w:rsidRPr="007D1C4B">
        <w:rPr>
          <w:rStyle w:val="Hyperlink"/>
          <w:rFonts w:ascii="Arial" w:hAnsi="Arial" w:cs="Arial"/>
          <w:color w:val="auto"/>
          <w:sz w:val="22"/>
        </w:rPr>
        <w:t>should also be considered</w:t>
      </w:r>
      <w:r w:rsidR="001065DE" w:rsidRPr="007D1C4B">
        <w:rPr>
          <w:rFonts w:ascii="Arial" w:hAnsi="Arial" w:cs="Arial"/>
          <w:kern w:val="0"/>
          <w:sz w:val="22"/>
          <w:u w:color="F04E45"/>
        </w:rPr>
        <w:t xml:space="preserve"> when interpreting this procedure</w:t>
      </w:r>
      <w:r w:rsidR="00C03728" w:rsidRPr="007D1C4B">
        <w:rPr>
          <w:rFonts w:ascii="Arial" w:hAnsi="Arial" w:cs="Arial"/>
          <w:kern w:val="0"/>
          <w:sz w:val="22"/>
          <w:u w:color="F04E45"/>
        </w:rPr>
        <w:t>. This procedure</w:t>
      </w:r>
      <w:r w:rsidRPr="007D1C4B">
        <w:rPr>
          <w:rFonts w:ascii="Arial" w:hAnsi="Arial" w:cs="Arial"/>
          <w:kern w:val="0"/>
          <w:sz w:val="22"/>
          <w:u w:color="F04E45"/>
        </w:rPr>
        <w:t xml:space="preserve"> operates in conjunction with the University’s expenditure guidelines: </w:t>
      </w:r>
      <w:r w:rsidR="00C82133" w:rsidRPr="00FC2CDB">
        <w:t>Spending University Funds</w:t>
      </w:r>
      <w:r w:rsidRPr="007D1C4B">
        <w:rPr>
          <w:rFonts w:cs="Arial"/>
          <w:sz w:val="22"/>
        </w:rPr>
        <w:t>.</w:t>
      </w:r>
    </w:p>
    <w:p w14:paraId="301FA844" w14:textId="3C9FEDFC" w:rsidR="00A144B2" w:rsidRPr="001520D3" w:rsidRDefault="00A144B2" w:rsidP="001520D3">
      <w:pPr>
        <w:pStyle w:val="Heading3"/>
        <w:ind w:left="567"/>
        <w:rPr>
          <w:rFonts w:ascii="Griffith Sans Text" w:hAnsi="Griffith Sans Text"/>
        </w:rPr>
      </w:pPr>
      <w:bookmarkStart w:id="4" w:name="_3.1_[Insert_sub-heading]"/>
      <w:bookmarkEnd w:id="4"/>
      <w:r w:rsidRPr="001520D3">
        <w:rPr>
          <w:rFonts w:ascii="Griffith Sans Text" w:hAnsi="Griffith Sans Text"/>
        </w:rPr>
        <w:t xml:space="preserve">3.1 </w:t>
      </w:r>
      <w:r w:rsidR="00647A1D">
        <w:rPr>
          <w:rFonts w:ascii="Griffith Sans Text" w:hAnsi="Griffith Sans Text"/>
        </w:rPr>
        <w:t>Planning</w:t>
      </w:r>
    </w:p>
    <w:p w14:paraId="63EED8C6" w14:textId="1AA395B2" w:rsidR="00647A1D" w:rsidRDefault="00647A1D" w:rsidP="00647A1D">
      <w:pPr>
        <w:pStyle w:val="NormalWhite"/>
        <w:spacing w:before="120" w:after="120" w:line="240" w:lineRule="auto"/>
        <w:ind w:left="709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W</w:t>
      </w:r>
      <w:r w:rsidRPr="00B56331">
        <w:rPr>
          <w:rFonts w:cs="Arial"/>
          <w:color w:val="auto"/>
          <w:sz w:val="22"/>
        </w:rPr>
        <w:t xml:space="preserve">hen considering catering or hospitality for an event or activity, the organiser must </w:t>
      </w:r>
      <w:r w:rsidR="00C03728">
        <w:rPr>
          <w:rFonts w:cs="Arial"/>
          <w:color w:val="auto"/>
          <w:sz w:val="22"/>
        </w:rPr>
        <w:t>ensure appropriate records are kept</w:t>
      </w:r>
      <w:r w:rsidR="00C82133">
        <w:rPr>
          <w:rFonts w:cs="Arial"/>
          <w:color w:val="auto"/>
          <w:sz w:val="22"/>
        </w:rPr>
        <w:t>,</w:t>
      </w:r>
      <w:r w:rsidR="00C03728">
        <w:rPr>
          <w:rFonts w:cs="Arial"/>
          <w:color w:val="auto"/>
          <w:sz w:val="22"/>
        </w:rPr>
        <w:t xml:space="preserve"> to meet any tax compliance requirements</w:t>
      </w:r>
      <w:r w:rsidR="00ED4B4B">
        <w:rPr>
          <w:rFonts w:cs="Arial"/>
          <w:color w:val="auto"/>
          <w:sz w:val="22"/>
        </w:rPr>
        <w:t>. They must also</w:t>
      </w:r>
      <w:r w:rsidR="00C03728"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</w:rPr>
        <w:t>consider:</w:t>
      </w:r>
    </w:p>
    <w:p w14:paraId="6A60429F" w14:textId="1FB6C29B" w:rsidR="00647A1D" w:rsidRDefault="00C03728" w:rsidP="00647A1D">
      <w:pPr>
        <w:pStyle w:val="NormalWhite"/>
        <w:numPr>
          <w:ilvl w:val="0"/>
          <w:numId w:val="30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whether t</w:t>
      </w:r>
      <w:r w:rsidR="00647A1D">
        <w:rPr>
          <w:rFonts w:cs="Arial"/>
          <w:color w:val="auto"/>
          <w:sz w:val="22"/>
        </w:rPr>
        <w:t xml:space="preserve">he </w:t>
      </w:r>
      <w:r w:rsidR="00647A1D" w:rsidRPr="00B56331">
        <w:rPr>
          <w:rFonts w:cs="Arial"/>
          <w:color w:val="auto"/>
          <w:sz w:val="22"/>
        </w:rPr>
        <w:t xml:space="preserve">purpose and outcome of the event or activity </w:t>
      </w:r>
      <w:r w:rsidR="001065DE">
        <w:rPr>
          <w:rFonts w:cs="Arial"/>
          <w:color w:val="auto"/>
          <w:sz w:val="22"/>
        </w:rPr>
        <w:t>aligns</w:t>
      </w:r>
      <w:r w:rsidR="00647A1D" w:rsidRPr="00B56331">
        <w:rPr>
          <w:rFonts w:cs="Arial"/>
          <w:color w:val="auto"/>
          <w:sz w:val="22"/>
        </w:rPr>
        <w:t xml:space="preserve"> with the </w:t>
      </w:r>
      <w:r w:rsidR="001065DE">
        <w:rPr>
          <w:rFonts w:cs="Arial"/>
          <w:color w:val="auto"/>
          <w:sz w:val="22"/>
        </w:rPr>
        <w:t>principles and dollar thresholds outlined in the Hospitality and Entertainment Policy</w:t>
      </w:r>
    </w:p>
    <w:p w14:paraId="09E8C7AC" w14:textId="7E9FA422" w:rsidR="00647A1D" w:rsidRDefault="00647A1D" w:rsidP="00647A1D">
      <w:pPr>
        <w:pStyle w:val="NormalWhite"/>
        <w:numPr>
          <w:ilvl w:val="0"/>
          <w:numId w:val="30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 xml:space="preserve">the number </w:t>
      </w:r>
      <w:r w:rsidR="00C03728">
        <w:rPr>
          <w:rFonts w:cs="Arial"/>
          <w:color w:val="auto"/>
          <w:sz w:val="22"/>
        </w:rPr>
        <w:t xml:space="preserve">and </w:t>
      </w:r>
      <w:r w:rsidR="007F3429">
        <w:rPr>
          <w:rFonts w:cs="Arial"/>
          <w:color w:val="auto"/>
          <w:sz w:val="22"/>
        </w:rPr>
        <w:t xml:space="preserve">types </w:t>
      </w:r>
      <w:r>
        <w:rPr>
          <w:rFonts w:cs="Arial"/>
          <w:color w:val="auto"/>
          <w:sz w:val="22"/>
        </w:rPr>
        <w:t>of attendees (e.g. students, external business guests, staff members)</w:t>
      </w:r>
    </w:p>
    <w:p w14:paraId="4240D944" w14:textId="5E18542F" w:rsidR="00647A1D" w:rsidRDefault="00647A1D" w:rsidP="00647A1D">
      <w:pPr>
        <w:pStyle w:val="NormalWhite"/>
        <w:numPr>
          <w:ilvl w:val="0"/>
          <w:numId w:val="30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the location or venue and logistics</w:t>
      </w:r>
    </w:p>
    <w:p w14:paraId="4CDBDFFE" w14:textId="666266E3" w:rsidR="00647A1D" w:rsidRDefault="00647A1D" w:rsidP="00647A1D">
      <w:pPr>
        <w:pStyle w:val="NormalWhite"/>
        <w:numPr>
          <w:ilvl w:val="0"/>
          <w:numId w:val="30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the duration and timing of the event or activity</w:t>
      </w:r>
    </w:p>
    <w:p w14:paraId="2A2CE865" w14:textId="630E399C" w:rsidR="00647A1D" w:rsidRDefault="00647A1D" w:rsidP="28D72A30">
      <w:pPr>
        <w:pStyle w:val="NormalWhite"/>
        <w:numPr>
          <w:ilvl w:val="0"/>
          <w:numId w:val="30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t>type of catering such as finger food, sit-down meal, alcohol</w:t>
      </w:r>
      <w:r w:rsidR="00170E32" w:rsidRPr="28D72A30">
        <w:rPr>
          <w:rFonts w:cs="Arial"/>
          <w:color w:val="auto"/>
          <w:sz w:val="22"/>
        </w:rPr>
        <w:t xml:space="preserve"> provided</w:t>
      </w:r>
    </w:p>
    <w:p w14:paraId="17DC2B5B" w14:textId="77777777" w:rsidR="00647A1D" w:rsidRPr="00B56331" w:rsidRDefault="00647A1D" w:rsidP="00647A1D">
      <w:pPr>
        <w:pStyle w:val="NormalWhite"/>
        <w:numPr>
          <w:ilvl w:val="0"/>
          <w:numId w:val="30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budget, including the cost of FBT (if applicable).</w:t>
      </w:r>
    </w:p>
    <w:p w14:paraId="3CFF850D" w14:textId="10B28783" w:rsidR="00647A1D" w:rsidRPr="00647A1D" w:rsidRDefault="00647A1D" w:rsidP="00647A1D">
      <w:pPr>
        <w:spacing w:before="120" w:after="120" w:line="240" w:lineRule="auto"/>
        <w:ind w:left="720"/>
        <w:rPr>
          <w:rFonts w:ascii="Arial" w:hAnsi="Arial" w:cs="Arial"/>
          <w:color w:val="000000"/>
          <w:sz w:val="22"/>
        </w:rPr>
      </w:pPr>
      <w:r w:rsidRPr="00647A1D">
        <w:rPr>
          <w:rFonts w:ascii="Arial" w:hAnsi="Arial" w:cs="Arial"/>
          <w:sz w:val="22"/>
        </w:rPr>
        <w:t xml:space="preserve">Please refer to the </w:t>
      </w:r>
      <w:r w:rsidR="00ED4B4B" w:rsidRPr="00FC2CDB">
        <w:t>FBT Entertainment and Hospitality Guide</w:t>
      </w:r>
      <w:r w:rsidRPr="00FC2CDB">
        <w:rPr>
          <w:sz w:val="22"/>
          <w:szCs w:val="21"/>
        </w:rPr>
        <w:t> </w:t>
      </w:r>
      <w:r w:rsidRPr="00FC2CDB">
        <w:rPr>
          <w:rFonts w:ascii="Arial" w:hAnsi="Arial" w:cs="Arial"/>
          <w:sz w:val="22"/>
        </w:rPr>
        <w:t xml:space="preserve">when </w:t>
      </w:r>
      <w:r w:rsidRPr="00647A1D">
        <w:rPr>
          <w:rFonts w:ascii="Arial" w:hAnsi="Arial" w:cs="Arial"/>
          <w:color w:val="000000"/>
          <w:sz w:val="22"/>
        </w:rPr>
        <w:t xml:space="preserve">assessing whether FBT applies to your activity or function. FBT </w:t>
      </w:r>
      <w:r w:rsidR="001065DE">
        <w:rPr>
          <w:rFonts w:ascii="Arial" w:hAnsi="Arial" w:cs="Arial"/>
          <w:color w:val="000000"/>
          <w:sz w:val="22"/>
        </w:rPr>
        <w:t>is</w:t>
      </w:r>
      <w:r w:rsidRPr="00647A1D">
        <w:rPr>
          <w:rFonts w:ascii="Arial" w:hAnsi="Arial" w:cs="Arial"/>
          <w:color w:val="000000"/>
          <w:sz w:val="22"/>
        </w:rPr>
        <w:t xml:space="preserve"> </w:t>
      </w:r>
      <w:r w:rsidR="001065DE">
        <w:rPr>
          <w:rFonts w:ascii="Arial" w:hAnsi="Arial" w:cs="Arial"/>
          <w:color w:val="000000"/>
          <w:sz w:val="22"/>
        </w:rPr>
        <w:t>expensed to</w:t>
      </w:r>
      <w:r w:rsidRPr="00647A1D">
        <w:rPr>
          <w:rFonts w:ascii="Arial" w:hAnsi="Arial" w:cs="Arial"/>
          <w:color w:val="000000"/>
          <w:sz w:val="22"/>
        </w:rPr>
        <w:t xml:space="preserve"> the cost centre </w:t>
      </w:r>
      <w:r w:rsidR="001065DE">
        <w:rPr>
          <w:rFonts w:ascii="Arial" w:hAnsi="Arial" w:cs="Arial"/>
          <w:color w:val="000000"/>
          <w:sz w:val="22"/>
        </w:rPr>
        <w:t>paying for</w:t>
      </w:r>
      <w:r w:rsidR="001065DE" w:rsidRPr="00647A1D">
        <w:rPr>
          <w:rFonts w:ascii="Arial" w:hAnsi="Arial" w:cs="Arial"/>
          <w:color w:val="000000"/>
          <w:sz w:val="22"/>
        </w:rPr>
        <w:t xml:space="preserve"> </w:t>
      </w:r>
      <w:r w:rsidRPr="00647A1D">
        <w:rPr>
          <w:rFonts w:ascii="Arial" w:hAnsi="Arial" w:cs="Arial"/>
          <w:color w:val="000000"/>
          <w:sz w:val="22"/>
        </w:rPr>
        <w:t>the hospitality and entertainment expenditure.</w:t>
      </w:r>
    </w:p>
    <w:p w14:paraId="595DC5AE" w14:textId="74781287" w:rsidR="000760A1" w:rsidRPr="004922AF" w:rsidRDefault="000760A1" w:rsidP="00647A1D">
      <w:pPr>
        <w:pStyle w:val="NormalWhite"/>
        <w:spacing w:before="120" w:after="120" w:line="240" w:lineRule="auto"/>
        <w:jc w:val="left"/>
        <w:rPr>
          <w:rFonts w:cs="Arial"/>
          <w:color w:val="auto"/>
          <w:sz w:val="22"/>
        </w:rPr>
      </w:pPr>
    </w:p>
    <w:p w14:paraId="124F75BE" w14:textId="1623D9F2" w:rsidR="00E77B43" w:rsidRPr="001520D3" w:rsidRDefault="00A144B2" w:rsidP="001520D3">
      <w:pPr>
        <w:pStyle w:val="Heading3"/>
        <w:ind w:left="567"/>
        <w:rPr>
          <w:rFonts w:ascii="Griffith Sans Text" w:hAnsi="Griffith Sans Text"/>
        </w:rPr>
      </w:pPr>
      <w:bookmarkStart w:id="5" w:name="_3.2_[Insert_sub-heading]"/>
      <w:bookmarkEnd w:id="5"/>
      <w:r w:rsidRPr="28D72A30">
        <w:rPr>
          <w:rFonts w:ascii="Griffith Sans Text" w:hAnsi="Griffith Sans Text"/>
        </w:rPr>
        <w:t xml:space="preserve">3.2 </w:t>
      </w:r>
      <w:r w:rsidR="00BE0DBF" w:rsidRPr="28D72A30">
        <w:rPr>
          <w:rFonts w:ascii="Griffith Sans Text" w:hAnsi="Griffith Sans Text"/>
        </w:rPr>
        <w:t xml:space="preserve">Ordering, </w:t>
      </w:r>
      <w:r w:rsidR="005E5813" w:rsidRPr="28D72A30">
        <w:rPr>
          <w:rFonts w:ascii="Griffith Sans Text" w:hAnsi="Griffith Sans Text"/>
        </w:rPr>
        <w:t>i</w:t>
      </w:r>
      <w:r w:rsidR="00BE0DBF" w:rsidRPr="28D72A30">
        <w:rPr>
          <w:rFonts w:ascii="Griffith Sans Text" w:hAnsi="Griffith Sans Text"/>
        </w:rPr>
        <w:t xml:space="preserve">ncurring the </w:t>
      </w:r>
      <w:r w:rsidR="005E5813" w:rsidRPr="28D72A30">
        <w:rPr>
          <w:rFonts w:ascii="Griffith Sans Text" w:hAnsi="Griffith Sans Text"/>
        </w:rPr>
        <w:t>e</w:t>
      </w:r>
      <w:r w:rsidR="00BE0DBF" w:rsidRPr="28D72A30">
        <w:rPr>
          <w:rFonts w:ascii="Griffith Sans Text" w:hAnsi="Griffith Sans Text"/>
        </w:rPr>
        <w:t xml:space="preserve">xpenditure and </w:t>
      </w:r>
      <w:r w:rsidR="005E5813" w:rsidRPr="28D72A30">
        <w:rPr>
          <w:rFonts w:ascii="Griffith Sans Text" w:hAnsi="Griffith Sans Text"/>
        </w:rPr>
        <w:t>s</w:t>
      </w:r>
      <w:r w:rsidR="00BE0DBF" w:rsidRPr="28D72A30">
        <w:rPr>
          <w:rFonts w:ascii="Griffith Sans Text" w:hAnsi="Griffith Sans Text"/>
        </w:rPr>
        <w:t>ubstantiation</w:t>
      </w:r>
    </w:p>
    <w:p w14:paraId="66A4F045" w14:textId="226F9591" w:rsidR="00BE0DBF" w:rsidRDefault="00BE0DBF" w:rsidP="00BE0DBF">
      <w:pPr>
        <w:pStyle w:val="NormalWhite"/>
        <w:spacing w:before="120" w:after="120" w:line="240" w:lineRule="auto"/>
        <w:ind w:left="709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 xml:space="preserve">The person placing the order through the finance </w:t>
      </w:r>
      <w:proofErr w:type="gramStart"/>
      <w:r>
        <w:rPr>
          <w:rFonts w:cs="Arial"/>
          <w:color w:val="auto"/>
          <w:sz w:val="22"/>
        </w:rPr>
        <w:t>system</w:t>
      </w:r>
      <w:proofErr w:type="gramEnd"/>
      <w:r>
        <w:rPr>
          <w:rFonts w:cs="Arial"/>
          <w:color w:val="auto"/>
          <w:sz w:val="22"/>
        </w:rPr>
        <w:t xml:space="preserve"> or the expense management system</w:t>
      </w:r>
      <w:r w:rsidR="001A66AF">
        <w:rPr>
          <w:rFonts w:cs="Arial"/>
          <w:color w:val="auto"/>
          <w:sz w:val="22"/>
        </w:rPr>
        <w:t xml:space="preserve"> (Concur)</w:t>
      </w:r>
      <w:r>
        <w:rPr>
          <w:rFonts w:cs="Arial"/>
          <w:color w:val="auto"/>
          <w:sz w:val="22"/>
        </w:rPr>
        <w:t xml:space="preserve"> must follow requisite processes:</w:t>
      </w:r>
    </w:p>
    <w:p w14:paraId="58DFBE1B" w14:textId="6C209B07" w:rsidR="007F3429" w:rsidRDefault="00BE0DBF" w:rsidP="28D72A30">
      <w:pPr>
        <w:pStyle w:val="NormalWhite"/>
        <w:numPr>
          <w:ilvl w:val="0"/>
          <w:numId w:val="40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lastRenderedPageBreak/>
        <w:t xml:space="preserve">Finance </w:t>
      </w:r>
      <w:r w:rsidR="00C03728" w:rsidRPr="28D72A30">
        <w:rPr>
          <w:rFonts w:cs="Arial"/>
          <w:color w:val="auto"/>
          <w:sz w:val="22"/>
        </w:rPr>
        <w:t>s</w:t>
      </w:r>
      <w:r w:rsidRPr="28D72A30">
        <w:rPr>
          <w:rFonts w:cs="Arial"/>
          <w:color w:val="auto"/>
          <w:sz w:val="22"/>
        </w:rPr>
        <w:t xml:space="preserve">ystem </w:t>
      </w:r>
      <w:r w:rsidR="003E2390" w:rsidRPr="28D72A30">
        <w:rPr>
          <w:rFonts w:cs="Arial"/>
          <w:color w:val="auto"/>
          <w:sz w:val="22"/>
        </w:rPr>
        <w:t xml:space="preserve">and Concur </w:t>
      </w:r>
      <w:r w:rsidRPr="28D72A30">
        <w:rPr>
          <w:rFonts w:cs="Arial"/>
          <w:color w:val="auto"/>
          <w:sz w:val="22"/>
        </w:rPr>
        <w:t xml:space="preserve">– comply with the </w:t>
      </w:r>
      <w:hyperlink r:id="rId10">
        <w:r w:rsidRPr="00FC2CDB">
          <w:rPr>
            <w:rStyle w:val="Hyperlink"/>
            <w:rFonts w:cs="Arial"/>
            <w:color w:val="auto"/>
            <w:sz w:val="22"/>
          </w:rPr>
          <w:t>Purchasing and Procurement procedure</w:t>
        </w:r>
      </w:hyperlink>
      <w:r w:rsidR="00C03728" w:rsidRPr="006D7CAB">
        <w:rPr>
          <w:rFonts w:cs="Arial"/>
          <w:color w:val="auto"/>
          <w:sz w:val="22"/>
        </w:rPr>
        <w:t>.</w:t>
      </w:r>
      <w:r w:rsidRPr="006D7CAB">
        <w:rPr>
          <w:rFonts w:cs="Arial"/>
          <w:color w:val="auto"/>
          <w:sz w:val="22"/>
        </w:rPr>
        <w:t xml:space="preserve"> </w:t>
      </w:r>
      <w:r w:rsidR="007F3429" w:rsidRPr="28D72A30">
        <w:rPr>
          <w:rFonts w:cs="Arial"/>
          <w:color w:val="auto"/>
          <w:sz w:val="22"/>
        </w:rPr>
        <w:t xml:space="preserve">To ensure </w:t>
      </w:r>
      <w:r w:rsidR="00A129EA" w:rsidRPr="28D72A30">
        <w:rPr>
          <w:rFonts w:cs="Arial"/>
          <w:color w:val="auto"/>
          <w:sz w:val="22"/>
        </w:rPr>
        <w:t xml:space="preserve">legal compliance and that </w:t>
      </w:r>
      <w:r w:rsidR="007F3429" w:rsidRPr="28D72A30">
        <w:rPr>
          <w:rFonts w:cs="Arial"/>
          <w:color w:val="auto"/>
          <w:sz w:val="22"/>
        </w:rPr>
        <w:t xml:space="preserve">the Finance team can accurately calculate and allocate FBT, </w:t>
      </w:r>
      <w:r w:rsidR="00A129EA" w:rsidRPr="28D72A30">
        <w:rPr>
          <w:rFonts w:cs="Arial"/>
          <w:color w:val="auto"/>
          <w:sz w:val="22"/>
        </w:rPr>
        <w:t xml:space="preserve">you must </w:t>
      </w:r>
      <w:r w:rsidR="007F3429" w:rsidRPr="28D72A30">
        <w:rPr>
          <w:rFonts w:cs="Arial"/>
          <w:color w:val="auto"/>
          <w:sz w:val="22"/>
        </w:rPr>
        <w:t>p</w:t>
      </w:r>
      <w:r w:rsidR="00C03728" w:rsidRPr="28D72A30">
        <w:rPr>
          <w:rFonts w:cs="Arial"/>
          <w:color w:val="auto"/>
          <w:sz w:val="22"/>
        </w:rPr>
        <w:t>rovide</w:t>
      </w:r>
      <w:r w:rsidRPr="28D72A30">
        <w:rPr>
          <w:rFonts w:cs="Arial"/>
          <w:color w:val="auto"/>
          <w:sz w:val="22"/>
        </w:rPr>
        <w:t xml:space="preserve"> relevant and sufficient information, including attachments</w:t>
      </w:r>
      <w:r w:rsidR="007F3429" w:rsidRPr="28D72A30">
        <w:rPr>
          <w:rFonts w:cs="Arial"/>
          <w:color w:val="auto"/>
          <w:sz w:val="22"/>
        </w:rPr>
        <w:t>:</w:t>
      </w:r>
    </w:p>
    <w:p w14:paraId="037AE6F0" w14:textId="77777777" w:rsidR="007F3429" w:rsidRDefault="007F3429" w:rsidP="28D72A30">
      <w:pPr>
        <w:pStyle w:val="NormalWhite"/>
        <w:numPr>
          <w:ilvl w:val="1"/>
          <w:numId w:val="40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t>business purpose</w:t>
      </w:r>
    </w:p>
    <w:p w14:paraId="7A972D72" w14:textId="5E64BF50" w:rsidR="007F3429" w:rsidRDefault="007F3429" w:rsidP="28D72A30">
      <w:pPr>
        <w:pStyle w:val="NormalWhite"/>
        <w:numPr>
          <w:ilvl w:val="1"/>
          <w:numId w:val="40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t>types of attendees (</w:t>
      </w:r>
      <w:proofErr w:type="spellStart"/>
      <w:r w:rsidRPr="28D72A30">
        <w:rPr>
          <w:rFonts w:cs="Arial"/>
          <w:color w:val="auto"/>
          <w:sz w:val="22"/>
        </w:rPr>
        <w:t>eg</w:t>
      </w:r>
      <w:proofErr w:type="spellEnd"/>
      <w:r w:rsidRPr="28D72A30">
        <w:rPr>
          <w:rFonts w:cs="Arial"/>
          <w:color w:val="auto"/>
          <w:sz w:val="22"/>
        </w:rPr>
        <w:t>, staff, students, third parties)</w:t>
      </w:r>
    </w:p>
    <w:p w14:paraId="5B719299" w14:textId="7737D774" w:rsidR="007F3429" w:rsidRDefault="007F3429" w:rsidP="28D72A30">
      <w:pPr>
        <w:pStyle w:val="NormalWhite"/>
        <w:numPr>
          <w:ilvl w:val="1"/>
          <w:numId w:val="40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t xml:space="preserve">types of food and beverage </w:t>
      </w:r>
      <w:r w:rsidR="001C76EC" w:rsidRPr="28D72A30">
        <w:rPr>
          <w:rFonts w:cs="Arial"/>
          <w:color w:val="auto"/>
          <w:sz w:val="22"/>
        </w:rPr>
        <w:t>(</w:t>
      </w:r>
      <w:r w:rsidR="00170E32" w:rsidRPr="28D72A30">
        <w:rPr>
          <w:rFonts w:cs="Arial"/>
          <w:color w:val="auto"/>
          <w:sz w:val="22"/>
        </w:rPr>
        <w:t>e.g., finger food, sit-down meal, alcohol provided)</w:t>
      </w:r>
    </w:p>
    <w:p w14:paraId="24BB9734" w14:textId="77777777" w:rsidR="007F3429" w:rsidRDefault="007F3429" w:rsidP="28D72A30">
      <w:pPr>
        <w:pStyle w:val="NormalWhite"/>
        <w:numPr>
          <w:ilvl w:val="1"/>
          <w:numId w:val="40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t>an event agenda.</w:t>
      </w:r>
    </w:p>
    <w:p w14:paraId="61809841" w14:textId="6690AED8" w:rsidR="00117DCE" w:rsidRDefault="00117DCE" w:rsidP="28D72A30">
      <w:pPr>
        <w:pStyle w:val="NormalWhite"/>
        <w:numPr>
          <w:ilvl w:val="0"/>
          <w:numId w:val="40"/>
        </w:numPr>
        <w:spacing w:before="120" w:after="120" w:line="240" w:lineRule="auto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t xml:space="preserve">Documentation – ensure </w:t>
      </w:r>
      <w:r w:rsidR="005E5813" w:rsidRPr="28D72A30">
        <w:rPr>
          <w:rFonts w:cs="Arial"/>
          <w:color w:val="auto"/>
          <w:sz w:val="22"/>
        </w:rPr>
        <w:t>it</w:t>
      </w:r>
      <w:r w:rsidRPr="28D72A30">
        <w:rPr>
          <w:rFonts w:cs="Arial"/>
          <w:color w:val="auto"/>
          <w:sz w:val="22"/>
        </w:rPr>
        <w:t xml:space="preserve"> is attached in the </w:t>
      </w:r>
      <w:r w:rsidR="000D1C61">
        <w:rPr>
          <w:rFonts w:cs="Arial"/>
          <w:color w:val="auto"/>
          <w:sz w:val="22"/>
        </w:rPr>
        <w:t>f</w:t>
      </w:r>
      <w:r w:rsidRPr="28D72A30">
        <w:rPr>
          <w:rFonts w:cs="Arial"/>
          <w:color w:val="auto"/>
          <w:sz w:val="22"/>
        </w:rPr>
        <w:t xml:space="preserve">inance </w:t>
      </w:r>
      <w:r w:rsidR="000D1C61">
        <w:rPr>
          <w:rFonts w:cs="Arial"/>
          <w:color w:val="auto"/>
          <w:sz w:val="22"/>
        </w:rPr>
        <w:t>s</w:t>
      </w:r>
      <w:r w:rsidRPr="28D72A30">
        <w:rPr>
          <w:rFonts w:cs="Arial"/>
          <w:color w:val="auto"/>
          <w:sz w:val="22"/>
        </w:rPr>
        <w:t xml:space="preserve">ystem or in Concur to substantiate the expenditure (e.g., agenda, tax invoice), </w:t>
      </w:r>
      <w:hyperlink r:id="rId11" w:history="1">
        <w:r w:rsidRPr="0019459E">
          <w:rPr>
            <w:rStyle w:val="Hyperlink"/>
            <w:rFonts w:cs="Arial"/>
            <w:sz w:val="22"/>
          </w:rPr>
          <w:t>number and types of attendees</w:t>
        </w:r>
      </w:hyperlink>
      <w:r w:rsidRPr="28D72A30">
        <w:rPr>
          <w:rFonts w:cs="Arial"/>
          <w:color w:val="auto"/>
          <w:sz w:val="22"/>
        </w:rPr>
        <w:t xml:space="preserve"> (e.g. calendar invites, RSVP lists, arrival sign</w:t>
      </w:r>
      <w:r w:rsidR="67E35933" w:rsidRPr="28D72A30">
        <w:rPr>
          <w:rFonts w:cs="Arial"/>
          <w:color w:val="auto"/>
          <w:sz w:val="22"/>
        </w:rPr>
        <w:t>-</w:t>
      </w:r>
      <w:r w:rsidRPr="28D72A30">
        <w:rPr>
          <w:rFonts w:cs="Arial"/>
          <w:color w:val="auto"/>
          <w:sz w:val="22"/>
        </w:rPr>
        <w:t>ins), and evidence approval was granted</w:t>
      </w:r>
      <w:r w:rsidR="00366283" w:rsidRPr="28D72A30">
        <w:rPr>
          <w:rFonts w:cs="Arial"/>
          <w:color w:val="auto"/>
          <w:sz w:val="22"/>
        </w:rPr>
        <w:t xml:space="preserve"> before the event</w:t>
      </w:r>
      <w:r w:rsidRPr="28D72A30">
        <w:rPr>
          <w:rFonts w:cs="Arial"/>
          <w:color w:val="auto"/>
          <w:sz w:val="22"/>
        </w:rPr>
        <w:t>.</w:t>
      </w:r>
    </w:p>
    <w:p w14:paraId="6B0B402F" w14:textId="5DE02A61" w:rsidR="00BE0DBF" w:rsidRPr="00FC2CDB" w:rsidRDefault="00BE0DBF" w:rsidP="28D72A30">
      <w:pPr>
        <w:pStyle w:val="NormalWhite"/>
        <w:numPr>
          <w:ilvl w:val="0"/>
          <w:numId w:val="40"/>
        </w:numPr>
        <w:spacing w:before="120" w:after="120" w:line="240" w:lineRule="auto"/>
        <w:jc w:val="left"/>
        <w:rPr>
          <w:rFonts w:cs="Arial"/>
          <w:color w:val="FF0000"/>
          <w:sz w:val="22"/>
        </w:rPr>
      </w:pPr>
      <w:r w:rsidRPr="28D72A30">
        <w:rPr>
          <w:rFonts w:cs="Arial"/>
          <w:color w:val="auto"/>
          <w:sz w:val="22"/>
        </w:rPr>
        <w:t xml:space="preserve">Approvals – </w:t>
      </w:r>
      <w:r w:rsidR="00264ECA" w:rsidRPr="28D72A30">
        <w:rPr>
          <w:rFonts w:cs="Arial"/>
          <w:color w:val="auto"/>
          <w:sz w:val="22"/>
        </w:rPr>
        <w:t>a</w:t>
      </w:r>
      <w:r w:rsidRPr="28D72A30">
        <w:rPr>
          <w:rFonts w:cs="Arial"/>
          <w:color w:val="auto"/>
          <w:sz w:val="22"/>
        </w:rPr>
        <w:t xml:space="preserve">sk the </w:t>
      </w:r>
      <w:r w:rsidR="003E2390" w:rsidRPr="28D72A30">
        <w:rPr>
          <w:rFonts w:cs="Arial"/>
          <w:color w:val="auto"/>
          <w:sz w:val="22"/>
        </w:rPr>
        <w:t xml:space="preserve">authorised </w:t>
      </w:r>
      <w:r w:rsidRPr="28D72A30">
        <w:rPr>
          <w:rFonts w:cs="Arial"/>
          <w:color w:val="auto"/>
          <w:sz w:val="22"/>
        </w:rPr>
        <w:t xml:space="preserve">delegate to approve the hospitality and entertainment expenditure, which should be work-flowed through the </w:t>
      </w:r>
      <w:r w:rsidR="001A66AF">
        <w:rPr>
          <w:rFonts w:cs="Arial"/>
          <w:color w:val="auto"/>
          <w:sz w:val="22"/>
        </w:rPr>
        <w:t>f</w:t>
      </w:r>
      <w:r w:rsidRPr="28D72A30">
        <w:rPr>
          <w:rFonts w:cs="Arial"/>
          <w:color w:val="auto"/>
          <w:sz w:val="22"/>
        </w:rPr>
        <w:t xml:space="preserve">inance </w:t>
      </w:r>
      <w:r w:rsidR="001A66AF">
        <w:rPr>
          <w:rFonts w:cs="Arial"/>
          <w:color w:val="auto"/>
          <w:sz w:val="22"/>
        </w:rPr>
        <w:t>s</w:t>
      </w:r>
      <w:r w:rsidRPr="28D72A30">
        <w:rPr>
          <w:rFonts w:cs="Arial"/>
          <w:color w:val="auto"/>
          <w:sz w:val="22"/>
        </w:rPr>
        <w:t>ystem or expense management system</w:t>
      </w:r>
      <w:r w:rsidR="76B3B46F" w:rsidRPr="28D72A30">
        <w:rPr>
          <w:rFonts w:cs="Arial"/>
          <w:color w:val="auto"/>
          <w:sz w:val="22"/>
        </w:rPr>
        <w:t>.</w:t>
      </w:r>
    </w:p>
    <w:p w14:paraId="18E17E65" w14:textId="69FA003E" w:rsidR="00046299" w:rsidRPr="00FC2CDB" w:rsidRDefault="00046299" w:rsidP="00FC2CDB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sz w:val="22"/>
        </w:rPr>
      </w:pPr>
      <w:r w:rsidRPr="00FC2CDB">
        <w:rPr>
          <w:rFonts w:ascii="Arial" w:hAnsi="Arial" w:cs="Arial"/>
          <w:sz w:val="22"/>
        </w:rPr>
        <w:t xml:space="preserve">The following </w:t>
      </w:r>
      <w:r w:rsidR="00D9134A" w:rsidRPr="00FC2CDB">
        <w:rPr>
          <w:rFonts w:ascii="Arial" w:hAnsi="Arial" w:cs="Arial"/>
          <w:sz w:val="22"/>
        </w:rPr>
        <w:t xml:space="preserve">scope and </w:t>
      </w:r>
      <w:r w:rsidRPr="00FC2CDB">
        <w:rPr>
          <w:rFonts w:ascii="Arial" w:hAnsi="Arial" w:cs="Arial"/>
          <w:sz w:val="22"/>
        </w:rPr>
        <w:t xml:space="preserve">guidance </w:t>
      </w:r>
      <w:r w:rsidR="00264ECA" w:rsidRPr="00FC2CDB">
        <w:rPr>
          <w:rFonts w:ascii="Arial" w:hAnsi="Arial" w:cs="Arial"/>
          <w:sz w:val="22"/>
        </w:rPr>
        <w:t>are</w:t>
      </w:r>
      <w:r w:rsidRPr="00FC2CDB">
        <w:rPr>
          <w:rFonts w:ascii="Arial" w:hAnsi="Arial" w:cs="Arial"/>
          <w:sz w:val="22"/>
        </w:rPr>
        <w:t xml:space="preserve"> provided to assist </w:t>
      </w:r>
      <w:r w:rsidR="00E65234" w:rsidRPr="00FC2CDB">
        <w:rPr>
          <w:rFonts w:ascii="Arial" w:hAnsi="Arial" w:cs="Arial"/>
          <w:sz w:val="22"/>
        </w:rPr>
        <w:t xml:space="preserve">you to </w:t>
      </w:r>
      <w:r w:rsidR="00D9134A" w:rsidRPr="00FC2CDB">
        <w:rPr>
          <w:rFonts w:ascii="Arial" w:hAnsi="Arial" w:cs="Arial"/>
          <w:sz w:val="22"/>
        </w:rPr>
        <w:t>exercis</w:t>
      </w:r>
      <w:r w:rsidR="00E65234" w:rsidRPr="00FC2CDB">
        <w:rPr>
          <w:rFonts w:ascii="Arial" w:hAnsi="Arial" w:cs="Arial"/>
          <w:sz w:val="22"/>
        </w:rPr>
        <w:t>e</w:t>
      </w:r>
      <w:r w:rsidR="00D9134A" w:rsidRPr="00FC2CDB">
        <w:rPr>
          <w:rFonts w:ascii="Arial" w:hAnsi="Arial" w:cs="Arial"/>
          <w:sz w:val="22"/>
        </w:rPr>
        <w:t xml:space="preserve"> judgement and </w:t>
      </w:r>
      <w:r w:rsidR="00011B1B" w:rsidRPr="00FC2CDB">
        <w:rPr>
          <w:rFonts w:ascii="Arial" w:hAnsi="Arial" w:cs="Arial"/>
          <w:sz w:val="22"/>
        </w:rPr>
        <w:t xml:space="preserve">to </w:t>
      </w:r>
      <w:r w:rsidR="00D9134A" w:rsidRPr="00FC2CDB">
        <w:rPr>
          <w:rFonts w:ascii="Arial" w:hAnsi="Arial" w:cs="Arial"/>
          <w:sz w:val="22"/>
        </w:rPr>
        <w:t>apply</w:t>
      </w:r>
      <w:r w:rsidR="00011B1B" w:rsidRPr="00FC2CDB">
        <w:rPr>
          <w:rFonts w:ascii="Arial" w:hAnsi="Arial" w:cs="Arial"/>
          <w:sz w:val="22"/>
        </w:rPr>
        <w:t xml:space="preserve"> </w:t>
      </w:r>
      <w:r w:rsidR="00D9134A" w:rsidRPr="00FC2CDB">
        <w:rPr>
          <w:rFonts w:ascii="Arial" w:hAnsi="Arial" w:cs="Arial"/>
          <w:sz w:val="22"/>
        </w:rPr>
        <w:t>the principles of the University’s Hospitality and Entertainment Policy</w:t>
      </w:r>
      <w:r w:rsidRPr="00FC2CDB">
        <w:rPr>
          <w:rFonts w:ascii="Arial" w:hAnsi="Arial" w:cs="Arial"/>
          <w:sz w:val="22"/>
        </w:rPr>
        <w:t>:</w:t>
      </w:r>
    </w:p>
    <w:p w14:paraId="56B6055E" w14:textId="6AF24AB8" w:rsidR="00046299" w:rsidRDefault="002D20C0" w:rsidP="28D72A30">
      <w:pPr>
        <w:pStyle w:val="NormalWhite"/>
        <w:numPr>
          <w:ilvl w:val="2"/>
          <w:numId w:val="42"/>
        </w:numPr>
        <w:spacing w:before="120" w:after="120" w:line="240" w:lineRule="auto"/>
        <w:ind w:left="1701" w:hanging="850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t>You must adhere to the t</w:t>
      </w:r>
      <w:r w:rsidR="00046299" w:rsidRPr="28D72A30">
        <w:rPr>
          <w:rFonts w:cs="Arial"/>
          <w:color w:val="auto"/>
          <w:sz w:val="22"/>
        </w:rPr>
        <w:t xml:space="preserve">hresholds </w:t>
      </w:r>
      <w:r w:rsidR="00D9134A" w:rsidRPr="28D72A30">
        <w:rPr>
          <w:rFonts w:cs="Arial"/>
          <w:color w:val="auto"/>
          <w:sz w:val="22"/>
        </w:rPr>
        <w:t xml:space="preserve">outlined </w:t>
      </w:r>
      <w:r w:rsidR="00046299" w:rsidRPr="28D72A30">
        <w:rPr>
          <w:rFonts w:cs="Arial"/>
          <w:color w:val="auto"/>
          <w:sz w:val="22"/>
        </w:rPr>
        <w:t>in the Hospitality and Entertainment Policy</w:t>
      </w:r>
      <w:r w:rsidR="00011B1B" w:rsidRPr="28D72A30">
        <w:rPr>
          <w:rFonts w:cs="Arial"/>
          <w:color w:val="auto"/>
          <w:sz w:val="22"/>
        </w:rPr>
        <w:t>.</w:t>
      </w:r>
      <w:r w:rsidR="00046299" w:rsidRPr="28D72A30">
        <w:rPr>
          <w:rFonts w:cs="Arial"/>
          <w:color w:val="auto"/>
          <w:sz w:val="22"/>
        </w:rPr>
        <w:t xml:space="preserve"> </w:t>
      </w:r>
    </w:p>
    <w:p w14:paraId="39F27581" w14:textId="3997DC18" w:rsidR="00046299" w:rsidRDefault="002D20C0" w:rsidP="28D72A30">
      <w:pPr>
        <w:pStyle w:val="NormalWhite"/>
        <w:numPr>
          <w:ilvl w:val="2"/>
          <w:numId w:val="42"/>
        </w:numPr>
        <w:spacing w:before="120" w:after="120" w:line="240" w:lineRule="auto"/>
        <w:ind w:left="1701" w:hanging="850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t>Limit s</w:t>
      </w:r>
      <w:r w:rsidR="00046299" w:rsidRPr="28D72A30">
        <w:rPr>
          <w:rFonts w:cs="Arial"/>
          <w:color w:val="auto"/>
          <w:sz w:val="22"/>
        </w:rPr>
        <w:t xml:space="preserve">taff attending functions to those with a direct involvement in the business being conducted. The number of staff attending functions should generally be no more than the number of external </w:t>
      </w:r>
      <w:r w:rsidR="00D9134A" w:rsidRPr="28D72A30">
        <w:rPr>
          <w:rFonts w:cs="Arial"/>
          <w:color w:val="auto"/>
          <w:sz w:val="22"/>
        </w:rPr>
        <w:t>attendees</w:t>
      </w:r>
      <w:r w:rsidR="00046299" w:rsidRPr="28D72A30">
        <w:rPr>
          <w:rFonts w:cs="Arial"/>
          <w:color w:val="auto"/>
          <w:sz w:val="22"/>
        </w:rPr>
        <w:t xml:space="preserve">. </w:t>
      </w:r>
    </w:p>
    <w:p w14:paraId="0EC72D96" w14:textId="4FD7A78B" w:rsidR="00046299" w:rsidRDefault="00C155A1" w:rsidP="28D72A30">
      <w:pPr>
        <w:pStyle w:val="NormalWhite"/>
        <w:numPr>
          <w:ilvl w:val="2"/>
          <w:numId w:val="42"/>
        </w:numPr>
        <w:spacing w:before="120" w:after="120" w:line="240" w:lineRule="auto"/>
        <w:ind w:left="1701" w:hanging="850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t xml:space="preserve">Exercise </w:t>
      </w:r>
      <w:r w:rsidR="008044B4" w:rsidRPr="28D72A30">
        <w:rPr>
          <w:rFonts w:cs="Arial"/>
          <w:color w:val="auto"/>
          <w:sz w:val="22"/>
        </w:rPr>
        <w:t>c</w:t>
      </w:r>
      <w:r w:rsidR="00046299" w:rsidRPr="28D72A30">
        <w:rPr>
          <w:rFonts w:cs="Arial"/>
          <w:color w:val="auto"/>
          <w:sz w:val="22"/>
        </w:rPr>
        <w:t>are</w:t>
      </w:r>
      <w:r w:rsidR="008044B4" w:rsidRPr="28D72A30">
        <w:rPr>
          <w:rFonts w:cs="Arial"/>
          <w:color w:val="auto"/>
          <w:sz w:val="22"/>
        </w:rPr>
        <w:t xml:space="preserve"> </w:t>
      </w:r>
      <w:r w:rsidR="00046299" w:rsidRPr="28D72A30">
        <w:rPr>
          <w:rFonts w:cs="Arial"/>
          <w:color w:val="auto"/>
          <w:sz w:val="22"/>
        </w:rPr>
        <w:t xml:space="preserve">when including the </w:t>
      </w:r>
      <w:r w:rsidR="00046299" w:rsidRPr="28D72A30">
        <w:rPr>
          <w:rFonts w:cs="Arial"/>
          <w:b/>
          <w:bCs/>
          <w:color w:val="auto"/>
          <w:sz w:val="22"/>
        </w:rPr>
        <w:t>spouse, partners or accompanying person(s) of staff members</w:t>
      </w:r>
      <w:r w:rsidR="00046299" w:rsidRPr="28D72A30">
        <w:rPr>
          <w:rFonts w:cs="Arial"/>
          <w:color w:val="auto"/>
          <w:sz w:val="22"/>
        </w:rPr>
        <w:t xml:space="preserve"> at functions to ensure the </w:t>
      </w:r>
      <w:r w:rsidR="00D9134A" w:rsidRPr="28D72A30">
        <w:rPr>
          <w:rFonts w:cs="Arial"/>
          <w:color w:val="auto"/>
          <w:sz w:val="22"/>
        </w:rPr>
        <w:t>requirement</w:t>
      </w:r>
      <w:r w:rsidR="00046299" w:rsidRPr="28D72A30">
        <w:rPr>
          <w:rFonts w:cs="Arial"/>
          <w:color w:val="auto"/>
          <w:sz w:val="22"/>
        </w:rPr>
        <w:t xml:space="preserve"> for hospitality and entertainment expenditure to be reasonable and publicly defensible </w:t>
      </w:r>
      <w:r w:rsidR="00D9134A" w:rsidRPr="28D72A30">
        <w:rPr>
          <w:rFonts w:cs="Arial"/>
          <w:color w:val="auto"/>
          <w:sz w:val="22"/>
        </w:rPr>
        <w:t xml:space="preserve">is </w:t>
      </w:r>
      <w:r w:rsidR="00046299" w:rsidRPr="28D72A30">
        <w:rPr>
          <w:rFonts w:cs="Arial"/>
          <w:color w:val="auto"/>
          <w:sz w:val="22"/>
        </w:rPr>
        <w:t xml:space="preserve">met. FBT also applies on entertainment provided to friends and family of staff members. </w:t>
      </w:r>
    </w:p>
    <w:p w14:paraId="2F7218FC" w14:textId="02A7CFD5" w:rsidR="00046299" w:rsidRDefault="00046299" w:rsidP="28D72A30">
      <w:pPr>
        <w:pStyle w:val="NormalWhite"/>
        <w:numPr>
          <w:ilvl w:val="2"/>
          <w:numId w:val="42"/>
        </w:numPr>
        <w:spacing w:before="120" w:after="120" w:line="240" w:lineRule="auto"/>
        <w:ind w:left="1701" w:hanging="850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t>Refreshments (tea, coffee, muffins, etc</w:t>
      </w:r>
      <w:r w:rsidR="006A4837">
        <w:rPr>
          <w:rFonts w:cs="Arial"/>
          <w:color w:val="auto"/>
          <w:sz w:val="22"/>
        </w:rPr>
        <w:t>.</w:t>
      </w:r>
      <w:r w:rsidRPr="28D72A30">
        <w:rPr>
          <w:rFonts w:cs="Arial"/>
          <w:color w:val="auto"/>
          <w:sz w:val="22"/>
        </w:rPr>
        <w:t xml:space="preserve">) purchased from cafes or outlets on campus for consumption during informal meetings between colleagues are considered a </w:t>
      </w:r>
      <w:r w:rsidRPr="28D72A30">
        <w:rPr>
          <w:rFonts w:cs="Arial"/>
          <w:b/>
          <w:bCs/>
          <w:color w:val="auto"/>
          <w:sz w:val="22"/>
        </w:rPr>
        <w:t>private</w:t>
      </w:r>
      <w:r w:rsidRPr="28D72A30">
        <w:rPr>
          <w:rFonts w:cs="Arial"/>
          <w:color w:val="auto"/>
          <w:sz w:val="22"/>
        </w:rPr>
        <w:t xml:space="preserve"> expense and </w:t>
      </w:r>
      <w:r w:rsidR="00D9134A" w:rsidRPr="28D72A30">
        <w:rPr>
          <w:rFonts w:cs="Arial"/>
          <w:color w:val="auto"/>
          <w:sz w:val="22"/>
        </w:rPr>
        <w:t>will</w:t>
      </w:r>
      <w:r w:rsidRPr="28D72A30">
        <w:rPr>
          <w:rFonts w:cs="Arial"/>
          <w:color w:val="auto"/>
          <w:sz w:val="22"/>
        </w:rPr>
        <w:t xml:space="preserve"> not be </w:t>
      </w:r>
      <w:r w:rsidR="00D9134A" w:rsidRPr="28D72A30">
        <w:rPr>
          <w:rFonts w:cs="Arial"/>
          <w:color w:val="auto"/>
          <w:sz w:val="22"/>
        </w:rPr>
        <w:t xml:space="preserve">paid </w:t>
      </w:r>
      <w:r w:rsidR="00264ECA" w:rsidRPr="28D72A30">
        <w:rPr>
          <w:rFonts w:cs="Arial"/>
          <w:color w:val="auto"/>
          <w:sz w:val="22"/>
        </w:rPr>
        <w:t>by</w:t>
      </w:r>
      <w:r w:rsidRPr="28D72A30">
        <w:rPr>
          <w:rFonts w:cs="Arial"/>
          <w:color w:val="auto"/>
          <w:sz w:val="22"/>
        </w:rPr>
        <w:t xml:space="preserve"> the University.</w:t>
      </w:r>
    </w:p>
    <w:p w14:paraId="3E6CD698" w14:textId="193A98FC" w:rsidR="00046299" w:rsidRDefault="00CA1972" w:rsidP="28D72A30">
      <w:pPr>
        <w:pStyle w:val="NormalWhite"/>
        <w:numPr>
          <w:ilvl w:val="2"/>
          <w:numId w:val="42"/>
        </w:numPr>
        <w:spacing w:before="120" w:after="120" w:line="240" w:lineRule="auto"/>
        <w:ind w:left="1701" w:hanging="850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t>Moderate r</w:t>
      </w:r>
      <w:r w:rsidR="00046299" w:rsidRPr="28D72A30">
        <w:rPr>
          <w:rFonts w:cs="Arial"/>
          <w:color w:val="auto"/>
          <w:sz w:val="22"/>
        </w:rPr>
        <w:t>efreshments/</w:t>
      </w:r>
      <w:r w:rsidR="00046299" w:rsidRPr="28D72A30">
        <w:rPr>
          <w:rFonts w:cs="Arial"/>
          <w:b/>
          <w:bCs/>
          <w:color w:val="auto"/>
          <w:sz w:val="22"/>
        </w:rPr>
        <w:t>working lunches</w:t>
      </w:r>
      <w:r w:rsidR="00046299" w:rsidRPr="28D72A30">
        <w:rPr>
          <w:rFonts w:cs="Arial"/>
          <w:color w:val="auto"/>
          <w:sz w:val="22"/>
        </w:rPr>
        <w:t xml:space="preserve"> consisting of finger food only (</w:t>
      </w:r>
      <w:r w:rsidR="009670D8" w:rsidRPr="28D72A30">
        <w:rPr>
          <w:rFonts w:cs="Arial"/>
          <w:color w:val="auto"/>
          <w:sz w:val="22"/>
        </w:rPr>
        <w:t xml:space="preserve">e.g. </w:t>
      </w:r>
      <w:r w:rsidR="00046299" w:rsidRPr="28D72A30">
        <w:rPr>
          <w:rFonts w:cs="Arial"/>
          <w:color w:val="auto"/>
          <w:sz w:val="22"/>
        </w:rPr>
        <w:t xml:space="preserve">sandwich platters) are not treated as entertainment in nature </w:t>
      </w:r>
      <w:r w:rsidRPr="28D72A30">
        <w:rPr>
          <w:rFonts w:cs="Arial"/>
          <w:color w:val="auto"/>
          <w:sz w:val="22"/>
        </w:rPr>
        <w:t xml:space="preserve">and </w:t>
      </w:r>
      <w:r w:rsidR="00D9134A" w:rsidRPr="28D72A30">
        <w:rPr>
          <w:rFonts w:cs="Arial"/>
          <w:color w:val="auto"/>
          <w:sz w:val="22"/>
        </w:rPr>
        <w:t xml:space="preserve">therefore </w:t>
      </w:r>
      <w:r w:rsidR="00AE11DE" w:rsidRPr="28D72A30">
        <w:rPr>
          <w:rFonts w:cs="Arial"/>
          <w:color w:val="auto"/>
          <w:sz w:val="22"/>
        </w:rPr>
        <w:t xml:space="preserve">are </w:t>
      </w:r>
      <w:r w:rsidR="00046299" w:rsidRPr="28D72A30">
        <w:rPr>
          <w:rFonts w:cs="Arial"/>
          <w:color w:val="auto"/>
          <w:sz w:val="22"/>
        </w:rPr>
        <w:t>not subject to FBT.</w:t>
      </w:r>
    </w:p>
    <w:p w14:paraId="4637CA4B" w14:textId="2F5E67F9" w:rsidR="00046299" w:rsidRDefault="00625E9C" w:rsidP="28D72A30">
      <w:pPr>
        <w:pStyle w:val="NormalWhite"/>
        <w:numPr>
          <w:ilvl w:val="2"/>
          <w:numId w:val="42"/>
        </w:numPr>
        <w:spacing w:before="120" w:after="120" w:line="240" w:lineRule="auto"/>
        <w:ind w:left="1701" w:hanging="850"/>
        <w:jc w:val="left"/>
        <w:rPr>
          <w:rFonts w:cs="Arial"/>
          <w:color w:val="auto"/>
          <w:sz w:val="22"/>
        </w:rPr>
      </w:pPr>
      <w:r w:rsidRPr="28D72A30">
        <w:rPr>
          <w:rFonts w:cs="Arial"/>
          <w:b/>
          <w:bCs/>
          <w:color w:val="auto"/>
          <w:sz w:val="22"/>
        </w:rPr>
        <w:t xml:space="preserve">Alcohol </w:t>
      </w:r>
      <w:r w:rsidRPr="28D72A30">
        <w:rPr>
          <w:rFonts w:cs="Arial"/>
          <w:color w:val="auto"/>
          <w:sz w:val="22"/>
        </w:rPr>
        <w:t>may</w:t>
      </w:r>
      <w:r w:rsidR="00046299" w:rsidRPr="28D72A30">
        <w:rPr>
          <w:rFonts w:cs="Arial"/>
          <w:color w:val="auto"/>
          <w:sz w:val="22"/>
        </w:rPr>
        <w:t xml:space="preserve"> be served as part of hospitality </w:t>
      </w:r>
      <w:proofErr w:type="gramStart"/>
      <w:r w:rsidR="00046299" w:rsidRPr="28D72A30">
        <w:rPr>
          <w:rFonts w:cs="Arial"/>
          <w:color w:val="auto"/>
          <w:sz w:val="22"/>
        </w:rPr>
        <w:t>events,</w:t>
      </w:r>
      <w:proofErr w:type="gramEnd"/>
      <w:r w:rsidR="00046299" w:rsidRPr="28D72A30">
        <w:rPr>
          <w:rFonts w:cs="Arial"/>
          <w:color w:val="auto"/>
          <w:sz w:val="22"/>
        </w:rPr>
        <w:t xml:space="preserve"> however, its service is subject to Griffith University’s Code of Conduct.</w:t>
      </w:r>
    </w:p>
    <w:p w14:paraId="54359A6F" w14:textId="3E95F3E5" w:rsidR="00046299" w:rsidRDefault="00046299" w:rsidP="28D72A30">
      <w:pPr>
        <w:pStyle w:val="NormalWhite"/>
        <w:numPr>
          <w:ilvl w:val="2"/>
          <w:numId w:val="42"/>
        </w:numPr>
        <w:spacing w:before="120" w:after="120" w:line="240" w:lineRule="auto"/>
        <w:ind w:left="1701" w:hanging="850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t>Hospitality and/or entertainment held in conjunction with</w:t>
      </w:r>
      <w:r w:rsidR="00AE11DE" w:rsidRPr="28D72A30">
        <w:rPr>
          <w:rFonts w:cs="Arial"/>
          <w:color w:val="auto"/>
          <w:sz w:val="22"/>
        </w:rPr>
        <w:t>,</w:t>
      </w:r>
      <w:r w:rsidRPr="28D72A30">
        <w:rPr>
          <w:rFonts w:cs="Arial"/>
          <w:color w:val="auto"/>
          <w:sz w:val="22"/>
        </w:rPr>
        <w:t xml:space="preserve"> but purchased separately to </w:t>
      </w:r>
      <w:r w:rsidRPr="28D72A30">
        <w:rPr>
          <w:rFonts w:cs="Arial"/>
          <w:b/>
          <w:bCs/>
          <w:color w:val="auto"/>
          <w:sz w:val="22"/>
        </w:rPr>
        <w:t>conferences</w:t>
      </w:r>
      <w:r w:rsidR="57005232" w:rsidRPr="28D72A30">
        <w:rPr>
          <w:rFonts w:cs="Arial"/>
          <w:b/>
          <w:bCs/>
          <w:color w:val="auto"/>
          <w:sz w:val="22"/>
        </w:rPr>
        <w:t>/</w:t>
      </w:r>
      <w:proofErr w:type="gramStart"/>
      <w:r w:rsidR="57005232" w:rsidRPr="28D72A30">
        <w:rPr>
          <w:rFonts w:cs="Arial"/>
          <w:b/>
          <w:bCs/>
          <w:color w:val="auto"/>
          <w:sz w:val="22"/>
        </w:rPr>
        <w:t>seminars</w:t>
      </w:r>
      <w:r w:rsidRPr="28D72A30">
        <w:rPr>
          <w:rFonts w:cs="Arial"/>
          <w:b/>
          <w:bCs/>
          <w:color w:val="auto"/>
          <w:sz w:val="22"/>
        </w:rPr>
        <w:t xml:space="preserve"> </w:t>
      </w:r>
      <w:r w:rsidR="73FD7ED2" w:rsidRPr="28D72A30">
        <w:rPr>
          <w:rFonts w:cs="Arial"/>
          <w:b/>
          <w:bCs/>
          <w:color w:val="auto"/>
          <w:sz w:val="22"/>
        </w:rPr>
        <w:t>,</w:t>
      </w:r>
      <w:proofErr w:type="gramEnd"/>
      <w:r w:rsidRPr="28D72A30">
        <w:rPr>
          <w:rFonts w:cs="Arial"/>
          <w:color w:val="auto"/>
          <w:sz w:val="22"/>
        </w:rPr>
        <w:t xml:space="preserve">(e.g. optional dinner event, and/or optional welcome drinks) are subject to this </w:t>
      </w:r>
      <w:r w:rsidR="00D9134A" w:rsidRPr="28D72A30">
        <w:rPr>
          <w:rFonts w:cs="Arial"/>
          <w:color w:val="auto"/>
          <w:sz w:val="22"/>
        </w:rPr>
        <w:t>p</w:t>
      </w:r>
      <w:r w:rsidRPr="28D72A30">
        <w:rPr>
          <w:rFonts w:cs="Arial"/>
          <w:color w:val="auto"/>
          <w:sz w:val="22"/>
        </w:rPr>
        <w:t>rocedure.</w:t>
      </w:r>
    </w:p>
    <w:p w14:paraId="63610A60" w14:textId="780BBFCE" w:rsidR="00046299" w:rsidRDefault="00046299" w:rsidP="28D72A30">
      <w:pPr>
        <w:pStyle w:val="NormalWhite"/>
        <w:numPr>
          <w:ilvl w:val="2"/>
          <w:numId w:val="42"/>
        </w:numPr>
        <w:spacing w:before="120" w:after="120" w:line="240" w:lineRule="auto"/>
        <w:ind w:left="1701" w:hanging="850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t xml:space="preserve">Hospitality and/or entertainment included in the cost but immaterial to the total cost of a </w:t>
      </w:r>
      <w:r w:rsidRPr="28D72A30">
        <w:rPr>
          <w:rFonts w:cs="Arial"/>
          <w:b/>
          <w:bCs/>
          <w:color w:val="auto"/>
          <w:sz w:val="22"/>
        </w:rPr>
        <w:t>conference</w:t>
      </w:r>
      <w:r w:rsidR="73A8736A" w:rsidRPr="28D72A30">
        <w:rPr>
          <w:rFonts w:cs="Arial"/>
          <w:b/>
          <w:bCs/>
          <w:color w:val="auto"/>
          <w:sz w:val="22"/>
        </w:rPr>
        <w:t xml:space="preserve">/seminar </w:t>
      </w:r>
      <w:r w:rsidRPr="28D72A30">
        <w:rPr>
          <w:rFonts w:cs="Arial"/>
          <w:color w:val="auto"/>
          <w:sz w:val="22"/>
        </w:rPr>
        <w:t xml:space="preserve">(e.g. </w:t>
      </w:r>
      <w:proofErr w:type="gramStart"/>
      <w:r w:rsidR="65FF8275" w:rsidRPr="28D72A30">
        <w:rPr>
          <w:rFonts w:cs="Arial"/>
          <w:color w:val="auto"/>
          <w:sz w:val="22"/>
        </w:rPr>
        <w:t>three</w:t>
      </w:r>
      <w:r w:rsidR="004A00B5" w:rsidRPr="28D72A30">
        <w:rPr>
          <w:rFonts w:cs="Arial"/>
          <w:color w:val="auto"/>
          <w:sz w:val="22"/>
        </w:rPr>
        <w:t xml:space="preserve"> </w:t>
      </w:r>
      <w:r w:rsidRPr="28D72A30">
        <w:rPr>
          <w:rFonts w:cs="Arial"/>
          <w:color w:val="auto"/>
          <w:sz w:val="22"/>
        </w:rPr>
        <w:t>day</w:t>
      </w:r>
      <w:proofErr w:type="gramEnd"/>
      <w:r w:rsidRPr="28D72A30">
        <w:rPr>
          <w:rFonts w:cs="Arial"/>
          <w:color w:val="auto"/>
          <w:sz w:val="22"/>
        </w:rPr>
        <w:t xml:space="preserve"> conference which includes an evening drinks or networking event) will not be treated as entertainment in nature. In some instances, FBT may apply for extravagant events or gala dinners.  </w:t>
      </w:r>
    </w:p>
    <w:p w14:paraId="009ABFF1" w14:textId="5B673FD4" w:rsidR="00046299" w:rsidRDefault="00046299" w:rsidP="28D72A30">
      <w:pPr>
        <w:pStyle w:val="NormalWhite"/>
        <w:numPr>
          <w:ilvl w:val="2"/>
          <w:numId w:val="42"/>
        </w:numPr>
        <w:spacing w:before="120" w:after="120" w:line="240" w:lineRule="auto"/>
        <w:ind w:left="1701" w:hanging="850"/>
        <w:jc w:val="left"/>
        <w:rPr>
          <w:rFonts w:cs="Arial"/>
          <w:color w:val="auto"/>
          <w:sz w:val="22"/>
        </w:rPr>
      </w:pPr>
      <w:r w:rsidRPr="28D72A30">
        <w:rPr>
          <w:rFonts w:cs="Arial"/>
          <w:b/>
          <w:bCs/>
          <w:color w:val="auto"/>
          <w:sz w:val="22"/>
        </w:rPr>
        <w:t>Networking events and charity events</w:t>
      </w:r>
      <w:r w:rsidRPr="28D72A30">
        <w:rPr>
          <w:rFonts w:cs="Arial"/>
          <w:color w:val="auto"/>
          <w:sz w:val="22"/>
        </w:rPr>
        <w:t xml:space="preserve"> primarily</w:t>
      </w:r>
      <w:r w:rsidR="00D9134A" w:rsidRPr="28D72A30">
        <w:rPr>
          <w:rFonts w:cs="Arial"/>
          <w:color w:val="auto"/>
          <w:sz w:val="22"/>
        </w:rPr>
        <w:t xml:space="preserve"> for</w:t>
      </w:r>
      <w:r w:rsidRPr="28D72A30">
        <w:rPr>
          <w:rFonts w:cs="Arial"/>
          <w:color w:val="auto"/>
          <w:sz w:val="22"/>
        </w:rPr>
        <w:t xml:space="preserve"> hospitality/</w:t>
      </w:r>
      <w:proofErr w:type="gramStart"/>
      <w:r w:rsidRPr="28D72A30">
        <w:rPr>
          <w:rFonts w:cs="Arial"/>
          <w:color w:val="auto"/>
          <w:sz w:val="22"/>
        </w:rPr>
        <w:t>entertainment  (</w:t>
      </w:r>
      <w:proofErr w:type="gramEnd"/>
      <w:r w:rsidRPr="28D72A30">
        <w:rPr>
          <w:rFonts w:cs="Arial"/>
          <w:color w:val="auto"/>
          <w:sz w:val="22"/>
        </w:rPr>
        <w:t>networking drinks or gala dinners) are subject to this procedure.</w:t>
      </w:r>
    </w:p>
    <w:p w14:paraId="1AE1F7EA" w14:textId="3996CE01" w:rsidR="00046299" w:rsidRDefault="69317A8B" w:rsidP="28D72A30">
      <w:pPr>
        <w:pStyle w:val="NormalWhite"/>
        <w:numPr>
          <w:ilvl w:val="2"/>
          <w:numId w:val="42"/>
        </w:numPr>
        <w:spacing w:before="120" w:after="120" w:line="240" w:lineRule="auto"/>
        <w:ind w:left="1701" w:hanging="850"/>
        <w:jc w:val="left"/>
        <w:rPr>
          <w:rFonts w:cs="Arial"/>
          <w:color w:val="auto"/>
          <w:sz w:val="22"/>
        </w:rPr>
      </w:pPr>
      <w:r w:rsidRPr="28D72A30">
        <w:rPr>
          <w:rFonts w:cs="Arial"/>
          <w:b/>
          <w:bCs/>
          <w:color w:val="auto"/>
          <w:sz w:val="22"/>
        </w:rPr>
        <w:t>Conferences/s</w:t>
      </w:r>
      <w:r w:rsidR="00046299" w:rsidRPr="28D72A30">
        <w:rPr>
          <w:rFonts w:cs="Arial"/>
          <w:b/>
          <w:bCs/>
          <w:color w:val="auto"/>
          <w:sz w:val="22"/>
        </w:rPr>
        <w:t>eminars</w:t>
      </w:r>
      <w:r w:rsidR="00046299" w:rsidRPr="28D72A30">
        <w:rPr>
          <w:rFonts w:cs="Arial"/>
          <w:color w:val="auto"/>
          <w:sz w:val="22"/>
        </w:rPr>
        <w:t xml:space="preserve"> </w:t>
      </w:r>
      <w:r w:rsidR="004A00B5" w:rsidRPr="28D72A30">
        <w:rPr>
          <w:rFonts w:cs="Arial"/>
          <w:color w:val="auto"/>
          <w:sz w:val="22"/>
        </w:rPr>
        <w:t>of</w:t>
      </w:r>
      <w:r w:rsidR="00046299" w:rsidRPr="28D72A30">
        <w:rPr>
          <w:rFonts w:cs="Arial"/>
          <w:color w:val="auto"/>
          <w:sz w:val="22"/>
        </w:rPr>
        <w:t xml:space="preserve"> </w:t>
      </w:r>
      <w:r w:rsidR="004A00B5" w:rsidRPr="28D72A30">
        <w:rPr>
          <w:rFonts w:cs="Arial"/>
          <w:color w:val="auto"/>
          <w:sz w:val="22"/>
        </w:rPr>
        <w:t>four</w:t>
      </w:r>
      <w:r w:rsidR="00046299" w:rsidRPr="28D72A30">
        <w:rPr>
          <w:rFonts w:cs="Arial"/>
          <w:color w:val="auto"/>
          <w:sz w:val="22"/>
        </w:rPr>
        <w:t xml:space="preserve"> hours or longer </w:t>
      </w:r>
      <w:r w:rsidR="0060012F" w:rsidRPr="28D72A30">
        <w:rPr>
          <w:rFonts w:cs="Arial"/>
          <w:color w:val="auto"/>
          <w:sz w:val="22"/>
        </w:rPr>
        <w:t>which include</w:t>
      </w:r>
      <w:r w:rsidR="00046299" w:rsidRPr="28D72A30">
        <w:rPr>
          <w:rFonts w:cs="Arial"/>
          <w:color w:val="auto"/>
          <w:sz w:val="22"/>
        </w:rPr>
        <w:t xml:space="preserve"> refreshments or lunch are not subject to this procedure (the </w:t>
      </w:r>
      <w:r w:rsidR="0060012F" w:rsidRPr="28D72A30">
        <w:rPr>
          <w:rFonts w:cs="Arial"/>
          <w:color w:val="auto"/>
          <w:sz w:val="22"/>
        </w:rPr>
        <w:t xml:space="preserve">four </w:t>
      </w:r>
      <w:r w:rsidR="00046299" w:rsidRPr="28D72A30">
        <w:rPr>
          <w:rFonts w:cs="Arial"/>
          <w:color w:val="auto"/>
          <w:sz w:val="22"/>
        </w:rPr>
        <w:t>hours exclude meal breaks).</w:t>
      </w:r>
    </w:p>
    <w:p w14:paraId="72B2FF5B" w14:textId="75CA2DE1" w:rsidR="00046299" w:rsidRDefault="00046299" w:rsidP="28D72A30">
      <w:pPr>
        <w:pStyle w:val="NormalWhite"/>
        <w:numPr>
          <w:ilvl w:val="2"/>
          <w:numId w:val="42"/>
        </w:numPr>
        <w:spacing w:before="120" w:after="120" w:line="240" w:lineRule="auto"/>
        <w:ind w:left="1701" w:hanging="850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t xml:space="preserve">Hospitality/entertainment </w:t>
      </w:r>
      <w:r w:rsidRPr="28D72A30">
        <w:rPr>
          <w:rFonts w:cs="Arial"/>
          <w:b/>
          <w:bCs/>
          <w:color w:val="auto"/>
          <w:sz w:val="22"/>
        </w:rPr>
        <w:t xml:space="preserve">received </w:t>
      </w:r>
      <w:r w:rsidRPr="28D72A30">
        <w:rPr>
          <w:rFonts w:cs="Arial"/>
          <w:color w:val="auto"/>
          <w:sz w:val="22"/>
        </w:rPr>
        <w:t xml:space="preserve">is subject to the University’s </w:t>
      </w:r>
      <w:r w:rsidR="007D1C4B" w:rsidRPr="00FC2CDB">
        <w:rPr>
          <w:color w:val="auto"/>
        </w:rPr>
        <w:t>Gifts and Benefits Policy</w:t>
      </w:r>
      <w:r w:rsidR="0060012F" w:rsidRPr="00FC2CDB">
        <w:rPr>
          <w:rStyle w:val="Hyperlink"/>
          <w:rFonts w:cs="Arial"/>
          <w:color w:val="auto"/>
          <w:sz w:val="22"/>
        </w:rPr>
        <w:t xml:space="preserve"> and Procedure</w:t>
      </w:r>
      <w:r w:rsidR="009670D8" w:rsidRPr="007D1C4B">
        <w:rPr>
          <w:rFonts w:cs="Arial"/>
          <w:color w:val="auto"/>
          <w:sz w:val="22"/>
        </w:rPr>
        <w:t>.</w:t>
      </w:r>
    </w:p>
    <w:p w14:paraId="41845577" w14:textId="684F0E3E" w:rsidR="00046299" w:rsidRDefault="007D1C4B" w:rsidP="28D72A30">
      <w:pPr>
        <w:pStyle w:val="NormalWhite"/>
        <w:numPr>
          <w:ilvl w:val="2"/>
          <w:numId w:val="42"/>
        </w:numPr>
        <w:spacing w:before="120" w:after="120" w:line="240" w:lineRule="auto"/>
        <w:ind w:left="1701" w:hanging="850"/>
        <w:jc w:val="left"/>
        <w:rPr>
          <w:rFonts w:cs="Arial"/>
          <w:color w:val="auto"/>
          <w:sz w:val="22"/>
        </w:rPr>
      </w:pPr>
      <w:r w:rsidRPr="00FC2CDB">
        <w:rPr>
          <w:color w:val="auto"/>
        </w:rPr>
        <w:lastRenderedPageBreak/>
        <w:t>The Staff Hospitality &amp; Catering – Quick Guide</w:t>
      </w:r>
      <w:r w:rsidR="00046299" w:rsidRPr="28D72A30">
        <w:rPr>
          <w:rFonts w:cs="Arial"/>
          <w:color w:val="auto"/>
          <w:sz w:val="22"/>
        </w:rPr>
        <w:t xml:space="preserve"> provides further information on what is considered </w:t>
      </w:r>
      <w:r w:rsidR="009E6537" w:rsidRPr="28D72A30">
        <w:rPr>
          <w:rFonts w:cs="Arial"/>
          <w:color w:val="auto"/>
          <w:sz w:val="22"/>
        </w:rPr>
        <w:t>‘</w:t>
      </w:r>
      <w:r w:rsidR="002151D5" w:rsidRPr="28D72A30">
        <w:rPr>
          <w:rFonts w:cs="Arial"/>
          <w:color w:val="auto"/>
          <w:sz w:val="22"/>
        </w:rPr>
        <w:t>m</w:t>
      </w:r>
      <w:r w:rsidR="00046299" w:rsidRPr="28D72A30">
        <w:rPr>
          <w:rFonts w:cs="Arial"/>
          <w:color w:val="auto"/>
          <w:sz w:val="22"/>
        </w:rPr>
        <w:t xml:space="preserve">eal </w:t>
      </w:r>
      <w:r w:rsidR="002151D5" w:rsidRPr="28D72A30">
        <w:rPr>
          <w:rFonts w:cs="Arial"/>
          <w:color w:val="auto"/>
          <w:sz w:val="22"/>
        </w:rPr>
        <w:t>e</w:t>
      </w:r>
      <w:r w:rsidR="00046299" w:rsidRPr="28D72A30">
        <w:rPr>
          <w:rFonts w:cs="Arial"/>
          <w:color w:val="auto"/>
          <w:sz w:val="22"/>
        </w:rPr>
        <w:t>ntertainment</w:t>
      </w:r>
      <w:r w:rsidR="009E6537" w:rsidRPr="28D72A30">
        <w:rPr>
          <w:rFonts w:cs="Arial"/>
          <w:color w:val="auto"/>
          <w:sz w:val="22"/>
        </w:rPr>
        <w:t>’</w:t>
      </w:r>
      <w:r w:rsidR="00046299" w:rsidRPr="28D72A30">
        <w:rPr>
          <w:rFonts w:cs="Arial"/>
          <w:color w:val="auto"/>
          <w:sz w:val="22"/>
        </w:rPr>
        <w:t xml:space="preserve"> and the appropriate classification to select when acquitting the expenditure or submitting a</w:t>
      </w:r>
      <w:r w:rsidR="00C4026A" w:rsidRPr="28D72A30">
        <w:rPr>
          <w:rFonts w:cs="Arial"/>
          <w:color w:val="auto"/>
          <w:sz w:val="22"/>
        </w:rPr>
        <w:t>n expense reimbursement</w:t>
      </w:r>
      <w:r w:rsidR="00046299" w:rsidRPr="28D72A30">
        <w:rPr>
          <w:rFonts w:cs="Arial"/>
          <w:color w:val="auto"/>
          <w:sz w:val="22"/>
        </w:rPr>
        <w:t xml:space="preserve"> claim. </w:t>
      </w:r>
    </w:p>
    <w:p w14:paraId="3A2CF4E5" w14:textId="0F1828AD" w:rsidR="00046299" w:rsidRPr="00046299" w:rsidRDefault="00046299" w:rsidP="28D72A30">
      <w:pPr>
        <w:pStyle w:val="NormalWhite"/>
        <w:numPr>
          <w:ilvl w:val="2"/>
          <w:numId w:val="42"/>
        </w:numPr>
        <w:spacing w:before="120" w:after="120" w:line="240" w:lineRule="auto"/>
        <w:ind w:left="1701" w:hanging="850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t>Consistent with expected standards of accountability and the efficient use of public sector funds, us</w:t>
      </w:r>
      <w:r w:rsidR="00FC6899" w:rsidRPr="28D72A30">
        <w:rPr>
          <w:rFonts w:cs="Arial"/>
          <w:color w:val="auto"/>
          <w:sz w:val="22"/>
        </w:rPr>
        <w:t>ing</w:t>
      </w:r>
      <w:r w:rsidRPr="28D72A30">
        <w:rPr>
          <w:rFonts w:cs="Arial"/>
          <w:color w:val="auto"/>
          <w:sz w:val="22"/>
        </w:rPr>
        <w:t xml:space="preserve"> University </w:t>
      </w:r>
      <w:r w:rsidR="00FC6899" w:rsidRPr="28D72A30">
        <w:rPr>
          <w:rFonts w:cs="Arial"/>
          <w:color w:val="auto"/>
          <w:sz w:val="22"/>
        </w:rPr>
        <w:t xml:space="preserve">money </w:t>
      </w:r>
      <w:r w:rsidRPr="28D72A30">
        <w:rPr>
          <w:rFonts w:cs="Arial"/>
          <w:color w:val="auto"/>
          <w:sz w:val="22"/>
        </w:rPr>
        <w:t xml:space="preserve">for tipping in Australia is not encouraged. </w:t>
      </w:r>
      <w:r w:rsidR="00021EFB" w:rsidRPr="28D72A30">
        <w:rPr>
          <w:rFonts w:cs="Arial"/>
          <w:color w:val="auto"/>
          <w:sz w:val="22"/>
        </w:rPr>
        <w:t>T</w:t>
      </w:r>
      <w:r w:rsidRPr="28D72A30">
        <w:rPr>
          <w:rFonts w:cs="Arial"/>
          <w:color w:val="auto"/>
          <w:sz w:val="22"/>
        </w:rPr>
        <w:t xml:space="preserve">ipping culture differs from country to country. </w:t>
      </w:r>
      <w:r w:rsidR="00021EFB" w:rsidRPr="28D72A30">
        <w:rPr>
          <w:rFonts w:cs="Arial"/>
          <w:color w:val="auto"/>
          <w:sz w:val="22"/>
        </w:rPr>
        <w:t>I</w:t>
      </w:r>
      <w:r w:rsidRPr="28D72A30">
        <w:rPr>
          <w:rFonts w:cs="Arial"/>
          <w:color w:val="auto"/>
          <w:sz w:val="22"/>
        </w:rPr>
        <w:t>f hospitality or entertainment is provided in a country with a tipping culture</w:t>
      </w:r>
      <w:r w:rsidR="002F2307">
        <w:rPr>
          <w:rFonts w:cs="Arial"/>
          <w:color w:val="auto"/>
          <w:sz w:val="22"/>
        </w:rPr>
        <w:t>,</w:t>
      </w:r>
      <w:r w:rsidRPr="28D72A30">
        <w:rPr>
          <w:rFonts w:cs="Arial"/>
          <w:color w:val="auto"/>
          <w:sz w:val="22"/>
        </w:rPr>
        <w:t xml:space="preserve"> then the tip can be </w:t>
      </w:r>
      <w:r w:rsidR="00F82C4C" w:rsidRPr="28D72A30">
        <w:rPr>
          <w:rFonts w:cs="Arial"/>
          <w:color w:val="auto"/>
          <w:sz w:val="22"/>
        </w:rPr>
        <w:t xml:space="preserve">paid </w:t>
      </w:r>
      <w:r w:rsidRPr="28D72A30">
        <w:rPr>
          <w:rFonts w:cs="Arial"/>
          <w:color w:val="auto"/>
          <w:sz w:val="22"/>
        </w:rPr>
        <w:t>but is limited to the average acceptable tip for that country.</w:t>
      </w:r>
    </w:p>
    <w:p w14:paraId="3B4E07D0" w14:textId="52CB4771" w:rsidR="009670D8" w:rsidRPr="001520D3" w:rsidRDefault="009670D8" w:rsidP="009670D8">
      <w:pPr>
        <w:pStyle w:val="Heading3"/>
        <w:ind w:left="567"/>
        <w:rPr>
          <w:rFonts w:ascii="Griffith Sans Text" w:hAnsi="Griffith Sans Text"/>
        </w:rPr>
      </w:pPr>
      <w:bookmarkStart w:id="6" w:name="_3.4_Non-compliance_and"/>
      <w:bookmarkEnd w:id="6"/>
      <w:r w:rsidRPr="28D72A30">
        <w:rPr>
          <w:rFonts w:ascii="Griffith Sans Text" w:hAnsi="Griffith Sans Text"/>
        </w:rPr>
        <w:t>3.</w:t>
      </w:r>
      <w:r w:rsidR="00000632">
        <w:rPr>
          <w:rFonts w:ascii="Griffith Sans Text" w:hAnsi="Griffith Sans Text"/>
        </w:rPr>
        <w:t>3</w:t>
      </w:r>
      <w:r w:rsidRPr="28D72A30">
        <w:rPr>
          <w:rFonts w:ascii="Griffith Sans Text" w:hAnsi="Griffith Sans Text"/>
        </w:rPr>
        <w:t xml:space="preserve"> Non-compliance and </w:t>
      </w:r>
      <w:r w:rsidR="005E5813" w:rsidRPr="28D72A30">
        <w:rPr>
          <w:rFonts w:ascii="Griffith Sans Text" w:hAnsi="Griffith Sans Text"/>
        </w:rPr>
        <w:t>c</w:t>
      </w:r>
      <w:r w:rsidRPr="28D72A30">
        <w:rPr>
          <w:rFonts w:ascii="Griffith Sans Text" w:hAnsi="Griffith Sans Text"/>
        </w:rPr>
        <w:t>omplaints</w:t>
      </w:r>
    </w:p>
    <w:p w14:paraId="4433329D" w14:textId="0A296255" w:rsidR="009670D8" w:rsidRDefault="009670D8" w:rsidP="28D72A30">
      <w:pPr>
        <w:pStyle w:val="NormalWhite"/>
        <w:spacing w:before="120" w:after="120" w:line="240" w:lineRule="auto"/>
        <w:ind w:left="709"/>
        <w:jc w:val="left"/>
        <w:rPr>
          <w:rFonts w:cs="Arial"/>
          <w:color w:val="auto"/>
          <w:sz w:val="22"/>
        </w:rPr>
      </w:pPr>
      <w:r w:rsidRPr="28D72A30">
        <w:rPr>
          <w:rFonts w:cs="Arial"/>
          <w:color w:val="auto"/>
          <w:sz w:val="22"/>
        </w:rPr>
        <w:t>Identified instances of potential non-compliance will be dealt with in accordance with</w:t>
      </w:r>
      <w:r w:rsidR="002D21A9" w:rsidRPr="28D72A30">
        <w:rPr>
          <w:rFonts w:cs="Arial"/>
          <w:color w:val="auto"/>
          <w:sz w:val="22"/>
        </w:rPr>
        <w:t>:</w:t>
      </w:r>
    </w:p>
    <w:p w14:paraId="1AA8D46E" w14:textId="3BE243F4" w:rsidR="009670D8" w:rsidRPr="00915E22" w:rsidRDefault="002F2307" w:rsidP="009670D8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  <w:color w:val="auto"/>
          <w:sz w:val="22"/>
        </w:rPr>
      </w:pPr>
      <w:r w:rsidRPr="00915E22">
        <w:rPr>
          <w:rFonts w:ascii="Arial" w:hAnsi="Arial" w:cs="Arial"/>
          <w:color w:val="auto"/>
          <w:sz w:val="22"/>
        </w:rPr>
        <w:t>Code of Conduct</w:t>
      </w:r>
    </w:p>
    <w:p w14:paraId="59EA39F4" w14:textId="7255C2E7" w:rsidR="009670D8" w:rsidRPr="00915E22" w:rsidRDefault="002F2307" w:rsidP="009670D8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  <w:color w:val="auto"/>
          <w:sz w:val="22"/>
        </w:rPr>
      </w:pPr>
      <w:r w:rsidRPr="00915E22">
        <w:rPr>
          <w:rFonts w:ascii="Arial" w:hAnsi="Arial" w:cs="Arial"/>
          <w:color w:val="auto"/>
          <w:sz w:val="22"/>
        </w:rPr>
        <w:t>Conflict of Interest Policy</w:t>
      </w:r>
    </w:p>
    <w:p w14:paraId="09BE361D" w14:textId="5F22FAE6" w:rsidR="009670D8" w:rsidRPr="00915E22" w:rsidRDefault="002F2307" w:rsidP="28D72A30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  <w:color w:val="auto"/>
          <w:sz w:val="22"/>
        </w:rPr>
      </w:pPr>
      <w:r w:rsidRPr="00915E22">
        <w:rPr>
          <w:rFonts w:ascii="Arial" w:hAnsi="Arial" w:cs="Arial"/>
          <w:color w:val="auto"/>
          <w:sz w:val="22"/>
        </w:rPr>
        <w:t>Fraud and Corruption Control Policy</w:t>
      </w:r>
      <w:r w:rsidR="00B332CB" w:rsidRPr="00915E22">
        <w:rPr>
          <w:rStyle w:val="Hyperlink"/>
          <w:rFonts w:ascii="Arial" w:hAnsi="Arial" w:cs="Arial"/>
          <w:color w:val="auto"/>
          <w:sz w:val="22"/>
        </w:rPr>
        <w:t>.</w:t>
      </w:r>
    </w:p>
    <w:p w14:paraId="5EB8F927" w14:textId="418EF0AB" w:rsidR="00A144B2" w:rsidRPr="00237AB3" w:rsidRDefault="007418A5" w:rsidP="00CA6AC5">
      <w:pPr>
        <w:pStyle w:val="Heading2"/>
        <w:rPr>
          <w:rFonts w:ascii="Griffith Sans Text" w:hAnsi="Griffith Sans Text"/>
        </w:rPr>
      </w:pPr>
      <w:bookmarkStart w:id="7" w:name="_4.0_Roles,_responsibilities"/>
      <w:bookmarkStart w:id="8" w:name="_5.0_Definitions"/>
      <w:bookmarkStart w:id="9" w:name="_4.0_Definitions"/>
      <w:bookmarkEnd w:id="7"/>
      <w:bookmarkEnd w:id="8"/>
      <w:bookmarkEnd w:id="9"/>
      <w:r w:rsidRPr="00237AB3">
        <w:rPr>
          <w:rFonts w:ascii="Griffith Sans Text" w:hAnsi="Griffith Sans Text"/>
        </w:rPr>
        <w:t>4</w:t>
      </w:r>
      <w:r w:rsidR="00A144B2" w:rsidRPr="00237AB3">
        <w:rPr>
          <w:rFonts w:ascii="Griffith Sans Text" w:hAnsi="Griffith Sans Text"/>
        </w:rPr>
        <w:t>.0 Definitions</w:t>
      </w:r>
    </w:p>
    <w:p w14:paraId="6D0CBC28" w14:textId="77777777" w:rsidR="00F41383" w:rsidRPr="004922AF" w:rsidRDefault="00F41383" w:rsidP="00F41383">
      <w:pPr>
        <w:spacing w:before="120" w:after="120" w:line="240" w:lineRule="auto"/>
        <w:rPr>
          <w:rFonts w:ascii="Arial" w:hAnsi="Arial" w:cs="Arial"/>
          <w:sz w:val="22"/>
        </w:rPr>
      </w:pPr>
      <w:r w:rsidRPr="004922AF">
        <w:rPr>
          <w:rFonts w:ascii="Arial" w:hAnsi="Arial" w:cs="Arial"/>
          <w:sz w:val="22"/>
        </w:rPr>
        <w:t xml:space="preserve">For the purposes of this </w:t>
      </w:r>
      <w:r>
        <w:rPr>
          <w:rFonts w:ascii="Arial" w:hAnsi="Arial" w:cs="Arial"/>
          <w:sz w:val="22"/>
        </w:rPr>
        <w:t xml:space="preserve">procedure </w:t>
      </w:r>
      <w:r w:rsidRPr="004922AF">
        <w:rPr>
          <w:rFonts w:ascii="Arial" w:hAnsi="Arial" w:cs="Arial"/>
          <w:sz w:val="22"/>
        </w:rPr>
        <w:t xml:space="preserve">and related policy documents, the following definitions apply: </w:t>
      </w:r>
    </w:p>
    <w:p w14:paraId="078719FC" w14:textId="77777777" w:rsidR="00F41383" w:rsidRDefault="00F41383" w:rsidP="00F41383">
      <w:pPr>
        <w:spacing w:before="120" w:after="120" w:line="240" w:lineRule="auto"/>
        <w:rPr>
          <w:rFonts w:ascii="Arial" w:hAnsi="Arial" w:cs="Arial"/>
          <w:sz w:val="22"/>
        </w:rPr>
      </w:pPr>
      <w:r w:rsidRPr="009E5CFD">
        <w:rPr>
          <w:rFonts w:ascii="Arial" w:hAnsi="Arial" w:cs="Arial"/>
          <w:b/>
          <w:bCs/>
          <w:sz w:val="22"/>
        </w:rPr>
        <w:t>Entertainment</w:t>
      </w:r>
      <w:r w:rsidRPr="004922A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is defined in the </w:t>
      </w:r>
      <w:r w:rsidRPr="00A374BF">
        <w:rPr>
          <w:rFonts w:ascii="Arial" w:hAnsi="Arial" w:cs="Arial"/>
          <w:i/>
          <w:iCs/>
          <w:sz w:val="22"/>
        </w:rPr>
        <w:t>Income Tax Assessment Act 1997</w:t>
      </w:r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Cth</w:t>
      </w:r>
      <w:proofErr w:type="spellEnd"/>
      <w:r>
        <w:rPr>
          <w:rFonts w:ascii="Arial" w:hAnsi="Arial" w:cs="Arial"/>
          <w:sz w:val="22"/>
        </w:rPr>
        <w:t>) which means:</w:t>
      </w:r>
    </w:p>
    <w:p w14:paraId="64FC9756" w14:textId="77777777" w:rsidR="00F41383" w:rsidRDefault="00F41383" w:rsidP="00F41383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Entertainment by way of food, </w:t>
      </w:r>
      <w:proofErr w:type="gramStart"/>
      <w:r>
        <w:rPr>
          <w:rFonts w:ascii="Arial" w:hAnsi="Arial" w:cs="Arial"/>
          <w:sz w:val="22"/>
        </w:rPr>
        <w:t>drink</w:t>
      </w:r>
      <w:proofErr w:type="gramEnd"/>
      <w:r>
        <w:rPr>
          <w:rFonts w:ascii="Arial" w:hAnsi="Arial" w:cs="Arial"/>
          <w:sz w:val="22"/>
        </w:rPr>
        <w:t xml:space="preserve"> or recreation; or</w:t>
      </w:r>
    </w:p>
    <w:p w14:paraId="4946A053" w14:textId="77777777" w:rsidR="00F41383" w:rsidRDefault="00F41383" w:rsidP="00F41383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Accommodation or travel to do with providing entertainment by way of food, </w:t>
      </w:r>
      <w:proofErr w:type="gramStart"/>
      <w:r>
        <w:rPr>
          <w:rFonts w:ascii="Arial" w:hAnsi="Arial" w:cs="Arial"/>
          <w:sz w:val="22"/>
        </w:rPr>
        <w:t>drink</w:t>
      </w:r>
      <w:proofErr w:type="gramEnd"/>
      <w:r>
        <w:rPr>
          <w:rFonts w:ascii="Arial" w:hAnsi="Arial" w:cs="Arial"/>
          <w:sz w:val="22"/>
        </w:rPr>
        <w:t xml:space="preserve"> or recreation </w:t>
      </w:r>
    </w:p>
    <w:p w14:paraId="35816113" w14:textId="77777777" w:rsidR="00F41383" w:rsidRDefault="00F41383" w:rsidP="00F41383">
      <w:p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Entertainment would include business lunches and social functions. </w:t>
      </w:r>
    </w:p>
    <w:p w14:paraId="23BB3B58" w14:textId="77777777" w:rsidR="000F7677" w:rsidRDefault="000F7677" w:rsidP="000F7677">
      <w:p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Employee</w:t>
      </w:r>
      <w:r>
        <w:rPr>
          <w:rFonts w:ascii="Arial" w:hAnsi="Arial" w:cs="Arial"/>
          <w:sz w:val="22"/>
        </w:rPr>
        <w:t xml:space="preserve"> is the definition of an ‘employee’ provided under the </w:t>
      </w:r>
      <w:r w:rsidRPr="00D02F67">
        <w:rPr>
          <w:rFonts w:ascii="Arial" w:eastAsia="Calibri" w:hAnsi="Arial" w:cs="Arial"/>
          <w:i/>
          <w:iCs/>
          <w:sz w:val="22"/>
        </w:rPr>
        <w:t>Fringe Benefits Assessment Act 1986</w:t>
      </w:r>
      <w:r>
        <w:rPr>
          <w:rFonts w:ascii="Arial" w:eastAsia="Calibri" w:hAnsi="Arial" w:cs="Arial"/>
          <w:sz w:val="22"/>
        </w:rPr>
        <w:t xml:space="preserve"> (</w:t>
      </w:r>
      <w:proofErr w:type="spellStart"/>
      <w:r>
        <w:rPr>
          <w:rFonts w:ascii="Arial" w:eastAsia="Calibri" w:hAnsi="Arial" w:cs="Arial"/>
          <w:sz w:val="22"/>
        </w:rPr>
        <w:t>Cth</w:t>
      </w:r>
      <w:proofErr w:type="spellEnd"/>
      <w:r>
        <w:rPr>
          <w:rFonts w:ascii="Arial" w:eastAsia="Calibri" w:hAnsi="Arial" w:cs="Arial"/>
          <w:sz w:val="22"/>
        </w:rPr>
        <w:t>) and includes past, present and future employees.</w:t>
      </w:r>
      <w:r>
        <w:rPr>
          <w:rFonts w:ascii="Arial" w:hAnsi="Arial" w:cs="Arial"/>
          <w:sz w:val="22"/>
        </w:rPr>
        <w:t xml:space="preserve"> Employee includes:</w:t>
      </w:r>
    </w:p>
    <w:p w14:paraId="60E06806" w14:textId="77777777" w:rsidR="000F7677" w:rsidRDefault="000F7677" w:rsidP="000F7677">
      <w:pPr>
        <w:pStyle w:val="ListParagraph"/>
        <w:numPr>
          <w:ilvl w:val="0"/>
          <w:numId w:val="45"/>
        </w:numPr>
        <w:spacing w:before="120" w:after="120" w:line="240" w:lineRule="auto"/>
        <w:rPr>
          <w:rFonts w:ascii="Arial" w:hAnsi="Arial" w:cs="Arial"/>
          <w:sz w:val="22"/>
        </w:rPr>
      </w:pPr>
      <w:r w:rsidRPr="00BC1347">
        <w:rPr>
          <w:rFonts w:ascii="Arial" w:hAnsi="Arial" w:cs="Arial"/>
          <w:sz w:val="22"/>
        </w:rPr>
        <w:t xml:space="preserve">members of University Council and Council </w:t>
      </w:r>
      <w:r>
        <w:rPr>
          <w:rFonts w:ascii="Arial" w:hAnsi="Arial" w:cs="Arial"/>
          <w:sz w:val="22"/>
        </w:rPr>
        <w:t>c</w:t>
      </w:r>
      <w:r w:rsidRPr="00BC1347">
        <w:rPr>
          <w:rFonts w:ascii="Arial" w:hAnsi="Arial" w:cs="Arial"/>
          <w:sz w:val="22"/>
        </w:rPr>
        <w:t>ommittee</w:t>
      </w:r>
      <w:r>
        <w:rPr>
          <w:rFonts w:ascii="Arial" w:hAnsi="Arial" w:cs="Arial"/>
          <w:sz w:val="22"/>
        </w:rPr>
        <w:t>s</w:t>
      </w:r>
    </w:p>
    <w:p w14:paraId="1C038BD8" w14:textId="77777777" w:rsidR="000F7677" w:rsidRDefault="000F7677" w:rsidP="000F7677">
      <w:pPr>
        <w:pStyle w:val="ListParagraph"/>
        <w:numPr>
          <w:ilvl w:val="0"/>
          <w:numId w:val="45"/>
        </w:numPr>
        <w:spacing w:before="120" w:after="120" w:line="240" w:lineRule="auto"/>
        <w:rPr>
          <w:rFonts w:ascii="Arial" w:hAnsi="Arial" w:cs="Arial"/>
          <w:sz w:val="22"/>
        </w:rPr>
      </w:pPr>
      <w:r w:rsidRPr="00BC1347">
        <w:rPr>
          <w:rFonts w:ascii="Arial" w:hAnsi="Arial" w:cs="Arial"/>
          <w:sz w:val="22"/>
        </w:rPr>
        <w:t xml:space="preserve">all continuing, </w:t>
      </w:r>
      <w:proofErr w:type="gramStart"/>
      <w:r w:rsidRPr="00BC1347">
        <w:rPr>
          <w:rFonts w:ascii="Arial" w:hAnsi="Arial" w:cs="Arial"/>
          <w:sz w:val="22"/>
        </w:rPr>
        <w:t>fixed-term</w:t>
      </w:r>
      <w:proofErr w:type="gramEnd"/>
      <w:r w:rsidRPr="00BC1347">
        <w:rPr>
          <w:rFonts w:ascii="Arial" w:hAnsi="Arial" w:cs="Arial"/>
          <w:sz w:val="22"/>
        </w:rPr>
        <w:t xml:space="preserve"> and casual staff, including senior management, executive, academic, general</w:t>
      </w:r>
      <w:r>
        <w:rPr>
          <w:rFonts w:ascii="Arial" w:hAnsi="Arial" w:cs="Arial"/>
          <w:sz w:val="22"/>
        </w:rPr>
        <w:t xml:space="preserve"> and professional</w:t>
      </w:r>
    </w:p>
    <w:p w14:paraId="4F1892E4" w14:textId="77777777" w:rsidR="000F7677" w:rsidRPr="00BC1347" w:rsidRDefault="000F7677" w:rsidP="000F7677">
      <w:pPr>
        <w:pStyle w:val="ListParagraph"/>
        <w:numPr>
          <w:ilvl w:val="0"/>
          <w:numId w:val="45"/>
        </w:numPr>
        <w:spacing w:before="120" w:after="120" w:line="240" w:lineRule="auto"/>
        <w:rPr>
          <w:rFonts w:ascii="Arial" w:hAnsi="Arial" w:cs="Arial"/>
          <w:sz w:val="22"/>
        </w:rPr>
      </w:pPr>
      <w:r w:rsidRPr="00BC1347">
        <w:rPr>
          <w:rFonts w:ascii="Arial" w:hAnsi="Arial" w:cs="Arial"/>
          <w:sz w:val="22"/>
        </w:rPr>
        <w:t>visiting, honorary and adjunct, conjoint appointments and volunteers.</w:t>
      </w:r>
    </w:p>
    <w:p w14:paraId="5A9CEC27" w14:textId="06359B85" w:rsidR="00F41383" w:rsidRPr="00560480" w:rsidRDefault="00F41383" w:rsidP="00F41383">
      <w:pPr>
        <w:spacing w:before="120" w:after="120" w:line="240" w:lineRule="auto"/>
        <w:rPr>
          <w:rFonts w:ascii="Arial" w:hAnsi="Arial" w:cs="Arial"/>
          <w:sz w:val="22"/>
        </w:rPr>
      </w:pPr>
      <w:r w:rsidRPr="00560480">
        <w:rPr>
          <w:rFonts w:ascii="Arial" w:hAnsi="Arial" w:cs="Arial"/>
          <w:b/>
          <w:bCs/>
          <w:sz w:val="22"/>
        </w:rPr>
        <w:t xml:space="preserve">Fringe Benefits Tax (FBT) </w:t>
      </w:r>
      <w:r>
        <w:rPr>
          <w:rFonts w:ascii="Arial" w:hAnsi="Arial" w:cs="Arial"/>
          <w:sz w:val="22"/>
        </w:rPr>
        <w:t xml:space="preserve">refers to tax </w:t>
      </w:r>
      <w:r w:rsidR="00474CA9">
        <w:rPr>
          <w:rFonts w:ascii="Arial" w:hAnsi="Arial" w:cs="Arial"/>
          <w:sz w:val="22"/>
        </w:rPr>
        <w:t>the</w:t>
      </w:r>
      <w:r>
        <w:rPr>
          <w:rFonts w:ascii="Arial" w:hAnsi="Arial" w:cs="Arial"/>
          <w:sz w:val="22"/>
        </w:rPr>
        <w:t xml:space="preserve"> University pays on benefits </w:t>
      </w:r>
      <w:r w:rsidR="00474CA9">
        <w:rPr>
          <w:rFonts w:ascii="Arial" w:hAnsi="Arial" w:cs="Arial"/>
          <w:sz w:val="22"/>
        </w:rPr>
        <w:t xml:space="preserve">provided </w:t>
      </w:r>
      <w:r>
        <w:rPr>
          <w:rFonts w:ascii="Arial" w:hAnsi="Arial" w:cs="Arial"/>
          <w:sz w:val="22"/>
        </w:rPr>
        <w:t xml:space="preserve">to employees (or their associates) in addition to their salary and wages as defined in the </w:t>
      </w:r>
      <w:r w:rsidRPr="0007303F">
        <w:rPr>
          <w:rFonts w:ascii="Arial" w:hAnsi="Arial" w:cs="Arial"/>
          <w:i/>
          <w:iCs/>
          <w:sz w:val="22"/>
        </w:rPr>
        <w:t>Fringe Benefits Assessment Act 1986</w:t>
      </w:r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Cth</w:t>
      </w:r>
      <w:proofErr w:type="spellEnd"/>
      <w:r>
        <w:rPr>
          <w:rFonts w:ascii="Arial" w:hAnsi="Arial" w:cs="Arial"/>
          <w:sz w:val="22"/>
        </w:rPr>
        <w:t>).</w:t>
      </w:r>
    </w:p>
    <w:p w14:paraId="4DE56FAB" w14:textId="519BED0C" w:rsidR="00F41383" w:rsidRDefault="00F41383" w:rsidP="00F41383">
      <w:pPr>
        <w:spacing w:before="120"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Goods and Services</w:t>
      </w:r>
      <w:r w:rsidRPr="00560480">
        <w:rPr>
          <w:rFonts w:ascii="Arial" w:hAnsi="Arial" w:cs="Arial"/>
          <w:b/>
          <w:bCs/>
          <w:sz w:val="22"/>
        </w:rPr>
        <w:t xml:space="preserve"> Tax (</w:t>
      </w:r>
      <w:r>
        <w:rPr>
          <w:rFonts w:ascii="Arial" w:hAnsi="Arial" w:cs="Arial"/>
          <w:b/>
          <w:bCs/>
          <w:sz w:val="22"/>
        </w:rPr>
        <w:t>GST</w:t>
      </w:r>
      <w:r w:rsidRPr="00560480">
        <w:rPr>
          <w:rFonts w:ascii="Arial" w:hAnsi="Arial" w:cs="Arial"/>
          <w:b/>
          <w:bCs/>
          <w:sz w:val="22"/>
        </w:rPr>
        <w:t xml:space="preserve">) </w:t>
      </w:r>
      <w:r>
        <w:rPr>
          <w:rFonts w:ascii="Arial" w:hAnsi="Arial" w:cs="Arial"/>
          <w:sz w:val="22"/>
        </w:rPr>
        <w:t>is a value-added tax that is levied on most goods and services sold</w:t>
      </w:r>
      <w:r w:rsidR="00474CA9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 xml:space="preserve">purchased in Australia as defined by </w:t>
      </w:r>
      <w:r w:rsidRPr="0007303F">
        <w:rPr>
          <w:rFonts w:ascii="Arial" w:hAnsi="Arial" w:cs="Arial"/>
          <w:i/>
          <w:iCs/>
          <w:sz w:val="22"/>
        </w:rPr>
        <w:t>A New Tax System (Good and Services Tax) Act 1999</w:t>
      </w:r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Cth</w:t>
      </w:r>
      <w:proofErr w:type="spellEnd"/>
      <w:r>
        <w:rPr>
          <w:rFonts w:ascii="Arial" w:hAnsi="Arial" w:cs="Arial"/>
          <w:sz w:val="22"/>
        </w:rPr>
        <w:t>).</w:t>
      </w:r>
    </w:p>
    <w:p w14:paraId="6B8985C1" w14:textId="31E05691" w:rsidR="00091E5E" w:rsidRDefault="00F41383" w:rsidP="00FC2CDB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</w:rPr>
        <w:t>Hospitality</w:t>
      </w:r>
      <w:r>
        <w:rPr>
          <w:rFonts w:ascii="Arial" w:hAnsi="Arial" w:cs="Arial"/>
          <w:sz w:val="22"/>
        </w:rPr>
        <w:t xml:space="preserve"> refers to any event, including but not limited to internal or external meetings, seminars, conferences, and workshops, where entertainment, accommodation or catering is provided. </w:t>
      </w:r>
    </w:p>
    <w:p w14:paraId="12A3BF87" w14:textId="3D3BC32C" w:rsidR="00811F90" w:rsidRPr="00237AB3" w:rsidRDefault="007418A5" w:rsidP="00CA6AC5">
      <w:pPr>
        <w:pStyle w:val="Heading2"/>
        <w:rPr>
          <w:rFonts w:ascii="Griffith Sans Text" w:hAnsi="Griffith Sans Text"/>
        </w:rPr>
      </w:pPr>
      <w:bookmarkStart w:id="10" w:name="_6.0_Information"/>
      <w:bookmarkStart w:id="11" w:name="_5.0_Information"/>
      <w:bookmarkEnd w:id="10"/>
      <w:bookmarkEnd w:id="11"/>
      <w:r w:rsidRPr="00237AB3">
        <w:rPr>
          <w:rFonts w:ascii="Griffith Sans Text" w:hAnsi="Griffith Sans Text"/>
        </w:rPr>
        <w:t>5</w:t>
      </w:r>
      <w:r w:rsidR="00FC349F" w:rsidRPr="00237AB3">
        <w:rPr>
          <w:rFonts w:ascii="Griffith Sans Text" w:hAnsi="Griffith Sans Text"/>
        </w:rPr>
        <w:t xml:space="preserve">.0 </w:t>
      </w:r>
      <w:r w:rsidR="00786706" w:rsidRPr="00237AB3">
        <w:rPr>
          <w:rFonts w:ascii="Griffith Sans Text" w:hAnsi="Griffith Sans Text"/>
        </w:rPr>
        <w:t>Information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147"/>
      </w:tblGrid>
      <w:tr w:rsidR="00786706" w14:paraId="56F88C37" w14:textId="77777777" w:rsidTr="00AD3B17">
        <w:tc>
          <w:tcPr>
            <w:tcW w:w="2943" w:type="dxa"/>
          </w:tcPr>
          <w:p w14:paraId="043C5737" w14:textId="2C6464CE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Title</w:t>
            </w:r>
          </w:p>
        </w:tc>
        <w:tc>
          <w:tcPr>
            <w:tcW w:w="7147" w:type="dxa"/>
          </w:tcPr>
          <w:p w14:paraId="19EA923A" w14:textId="0665C794" w:rsidR="00786706" w:rsidRPr="004922AF" w:rsidRDefault="00F41383" w:rsidP="004922AF">
            <w:pPr>
              <w:spacing w:before="120" w:after="120"/>
              <w:rPr>
                <w:rFonts w:ascii="Arial" w:hAnsi="Arial" w:cs="Arial"/>
                <w:sz w:val="22"/>
                <w:szCs w:val="28"/>
                <w:lang w:val="en-GB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Hospitality </w:t>
            </w:r>
            <w:r w:rsidR="006A7F5C">
              <w:rPr>
                <w:rFonts w:ascii="Arial" w:hAnsi="Arial" w:cs="Arial"/>
                <w:sz w:val="22"/>
                <w:szCs w:val="28"/>
              </w:rPr>
              <w:t>and</w:t>
            </w:r>
            <w:r>
              <w:rPr>
                <w:rFonts w:ascii="Arial" w:hAnsi="Arial" w:cs="Arial"/>
                <w:sz w:val="22"/>
                <w:szCs w:val="28"/>
              </w:rPr>
              <w:t xml:space="preserve"> Entertainment P</w:t>
            </w:r>
            <w:r w:rsidR="00530F69">
              <w:rPr>
                <w:rFonts w:ascii="Arial" w:hAnsi="Arial" w:cs="Arial"/>
                <w:sz w:val="22"/>
                <w:szCs w:val="28"/>
              </w:rPr>
              <w:t>rocedure</w:t>
            </w:r>
          </w:p>
        </w:tc>
      </w:tr>
      <w:tr w:rsidR="00786706" w14:paraId="66D4D4A1" w14:textId="77777777" w:rsidTr="00AD3B17">
        <w:tc>
          <w:tcPr>
            <w:tcW w:w="2943" w:type="dxa"/>
          </w:tcPr>
          <w:p w14:paraId="18280F52" w14:textId="5ED479A2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Document number</w:t>
            </w:r>
          </w:p>
        </w:tc>
        <w:tc>
          <w:tcPr>
            <w:tcW w:w="7147" w:type="dxa"/>
          </w:tcPr>
          <w:p w14:paraId="53E0817F" w14:textId="09A63683" w:rsidR="00786706" w:rsidRPr="004922AF" w:rsidRDefault="002F6E0E" w:rsidP="004922AF">
            <w:pPr>
              <w:spacing w:before="120" w:after="120"/>
              <w:rPr>
                <w:rFonts w:ascii="Arial" w:hAnsi="Arial" w:cs="Arial"/>
                <w:sz w:val="22"/>
                <w:szCs w:val="28"/>
                <w:lang w:val="en-GB"/>
              </w:rPr>
            </w:pPr>
            <w:r>
              <w:t xml:space="preserve"> </w:t>
            </w:r>
            <w:r w:rsidRPr="002F6E0E">
              <w:rPr>
                <w:rFonts w:ascii="Arial" w:hAnsi="Arial" w:cs="Arial"/>
                <w:sz w:val="22"/>
                <w:szCs w:val="28"/>
              </w:rPr>
              <w:t>2024/0001013</w:t>
            </w:r>
          </w:p>
        </w:tc>
      </w:tr>
      <w:tr w:rsidR="00786706" w14:paraId="66BCD115" w14:textId="77777777" w:rsidTr="00AD3B17">
        <w:tc>
          <w:tcPr>
            <w:tcW w:w="2943" w:type="dxa"/>
          </w:tcPr>
          <w:p w14:paraId="0DEE091F" w14:textId="5E2B7B69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lastRenderedPageBreak/>
              <w:t>Purpose</w:t>
            </w:r>
          </w:p>
        </w:tc>
        <w:tc>
          <w:tcPr>
            <w:tcW w:w="7147" w:type="dxa"/>
          </w:tcPr>
          <w:p w14:paraId="7FE09B90" w14:textId="6CBB5546" w:rsidR="00786706" w:rsidRPr="004922AF" w:rsidRDefault="006A7F5C" w:rsidP="008B6956">
            <w:pPr>
              <w:spacing w:before="120" w:after="120"/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28D72A30">
              <w:rPr>
                <w:rFonts w:ascii="Arial" w:eastAsia="Calibri" w:hAnsi="Arial" w:cs="Arial"/>
                <w:sz w:val="22"/>
              </w:rPr>
              <w:t>T</w:t>
            </w:r>
            <w:r>
              <w:rPr>
                <w:rFonts w:ascii="Arial" w:eastAsia="Calibri" w:hAnsi="Arial" w:cs="Arial"/>
                <w:sz w:val="22"/>
              </w:rPr>
              <w:t>he purpose of this procedure is t</w:t>
            </w:r>
            <w:r w:rsidRPr="28D72A30">
              <w:rPr>
                <w:rFonts w:ascii="Arial" w:eastAsia="Calibri" w:hAnsi="Arial" w:cs="Arial"/>
                <w:sz w:val="22"/>
              </w:rPr>
              <w:t>o guide appropriate spending of University money on hospitality and entertainment in accordance with the Hospitality and Entertainment Policy.</w:t>
            </w:r>
          </w:p>
        </w:tc>
      </w:tr>
      <w:tr w:rsidR="00786706" w14:paraId="625A2530" w14:textId="77777777" w:rsidTr="00AD3B17">
        <w:tc>
          <w:tcPr>
            <w:tcW w:w="2943" w:type="dxa"/>
          </w:tcPr>
          <w:p w14:paraId="74ADF083" w14:textId="20B8679F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Audience</w:t>
            </w:r>
          </w:p>
        </w:tc>
        <w:tc>
          <w:tcPr>
            <w:tcW w:w="7147" w:type="dxa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-305943360"/>
              <w:placeholder>
                <w:docPart w:val="7E3FC67E7C0249B4845D88F6BDF29475"/>
              </w:placeholder>
              <w15:color w:val="E51F30"/>
              <w:dropDownList>
                <w:listItem w:displayText="Staff" w:value="Staff"/>
                <w:listItem w:displayText="Students" w:value="Students"/>
                <w:listItem w:displayText="Public" w:value="Public"/>
              </w:dropDownList>
            </w:sdtPr>
            <w:sdtEndPr/>
            <w:sdtContent>
              <w:p w14:paraId="4FF0C248" w14:textId="5D665986" w:rsidR="00786706" w:rsidRPr="004922AF" w:rsidRDefault="00983DA0" w:rsidP="004922AF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>
                  <w:rPr>
                    <w:rFonts w:ascii="Arial" w:hAnsi="Arial" w:cs="Arial"/>
                    <w:sz w:val="22"/>
                    <w:szCs w:val="28"/>
                  </w:rPr>
                  <w:t>Staff</w:t>
                </w:r>
              </w:p>
            </w:sdtContent>
          </w:sdt>
        </w:tc>
      </w:tr>
      <w:tr w:rsidR="00786706" w14:paraId="132A1D0D" w14:textId="77777777" w:rsidTr="00AD3B17">
        <w:tc>
          <w:tcPr>
            <w:tcW w:w="2943" w:type="dxa"/>
          </w:tcPr>
          <w:p w14:paraId="375184E5" w14:textId="4F1FD2B3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Category</w:t>
            </w:r>
          </w:p>
        </w:tc>
        <w:tc>
          <w:tcPr>
            <w:tcW w:w="7147" w:type="dxa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683178401"/>
              <w:placeholder>
                <w:docPart w:val="5895EF9B990741AE897416FB89EB4AC9"/>
              </w:placeholder>
              <w15:color w:val="E51F30"/>
              <w:dropDownList>
                <w:listItem w:displayText="Academic" w:value="Academic"/>
                <w:listItem w:displayText="Governance" w:value="Governance"/>
                <w:listItem w:displayText="Operational" w:value="Operational"/>
              </w:dropDownList>
            </w:sdtPr>
            <w:sdtEndPr/>
            <w:sdtContent>
              <w:p w14:paraId="4D641298" w14:textId="272B4397" w:rsidR="00786706" w:rsidRPr="004922AF" w:rsidRDefault="00983DA0" w:rsidP="004922AF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>
                  <w:rPr>
                    <w:rFonts w:ascii="Arial" w:hAnsi="Arial" w:cs="Arial"/>
                    <w:sz w:val="22"/>
                    <w:szCs w:val="28"/>
                  </w:rPr>
                  <w:t>Operational</w:t>
                </w:r>
              </w:p>
            </w:sdtContent>
          </w:sdt>
        </w:tc>
      </w:tr>
      <w:tr w:rsidR="00786706" w14:paraId="704234F9" w14:textId="77777777" w:rsidTr="00AD3B17">
        <w:tc>
          <w:tcPr>
            <w:tcW w:w="2943" w:type="dxa"/>
          </w:tcPr>
          <w:p w14:paraId="51A9284E" w14:textId="46B8CBB9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Subcategory</w:t>
            </w:r>
          </w:p>
        </w:tc>
        <w:tc>
          <w:tcPr>
            <w:tcW w:w="7147" w:type="dxa"/>
          </w:tcPr>
          <w:sdt>
            <w:sdtPr>
              <w:rPr>
                <w:rFonts w:ascii="Arial" w:hAnsi="Arial" w:cs="Arial"/>
                <w:sz w:val="22"/>
                <w:szCs w:val="28"/>
                <w:lang w:val="en-GB"/>
              </w:rPr>
              <w:id w:val="-2032876321"/>
              <w:placeholder>
                <w:docPart w:val="228893AC381244D1BE689B7FF131A90F"/>
              </w:placeholder>
              <w15:color w:val="E51F30"/>
              <w:dropDownList>
                <w:listItem w:displayText="Campuses and Facilities" w:value="Campuses and Facilities"/>
                <w:listItem w:displayText="Finance" w:value="Finance"/>
                <w:listItem w:displayText="Information Management" w:value="Information Management"/>
                <w:listItem w:displayText="Staff" w:value="Staff"/>
                <w:listItem w:displayText="Safety" w:value="Safety"/>
              </w:dropDownList>
            </w:sdtPr>
            <w:sdtEndPr/>
            <w:sdtContent>
              <w:p w14:paraId="09BD4770" w14:textId="68DD739C" w:rsidR="00A57044" w:rsidRPr="004922AF" w:rsidRDefault="00983DA0" w:rsidP="004922AF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  <w:lang w:val="en-GB"/>
                  </w:rPr>
                </w:pPr>
                <w:r>
                  <w:rPr>
                    <w:rFonts w:ascii="Arial" w:hAnsi="Arial" w:cs="Arial"/>
                    <w:sz w:val="22"/>
                    <w:szCs w:val="28"/>
                    <w:lang w:val="en-GB"/>
                  </w:rPr>
                  <w:t>Finance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8"/>
                <w:lang w:val="en-GB"/>
              </w:rPr>
              <w:id w:val="-1451238284"/>
              <w:placeholder>
                <w:docPart w:val="95907F526AAB44608D3FF7BAF794E6E0"/>
              </w:placeholder>
              <w15:color w:val="E51F30"/>
              <w:dropDownList>
                <w:listItem w:displayText="Governance" w:value="Governance"/>
                <w:listItem w:displayText="Risk &amp; Integrity" w:value="Risk &amp; Integrity"/>
              </w:dropDownList>
            </w:sdtPr>
            <w:sdtEndPr/>
            <w:sdtContent>
              <w:p w14:paraId="617C1518" w14:textId="7DA25719" w:rsidR="007512F5" w:rsidRPr="004922AF" w:rsidRDefault="00983DA0" w:rsidP="004922AF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  <w:lang w:val="en-GB"/>
                  </w:rPr>
                </w:pPr>
                <w:r>
                  <w:rPr>
                    <w:rFonts w:ascii="Arial" w:hAnsi="Arial" w:cs="Arial"/>
                    <w:sz w:val="22"/>
                    <w:szCs w:val="28"/>
                    <w:lang w:val="en-GB"/>
                  </w:rPr>
                  <w:t>Risk &amp; Integrity</w:t>
                </w:r>
              </w:p>
            </w:sdtContent>
          </w:sdt>
        </w:tc>
      </w:tr>
      <w:tr w:rsidR="00A57044" w14:paraId="1DD394A7" w14:textId="77777777" w:rsidTr="00AD3B17">
        <w:tc>
          <w:tcPr>
            <w:tcW w:w="2943" w:type="dxa"/>
          </w:tcPr>
          <w:p w14:paraId="4CDE964B" w14:textId="68F552EF" w:rsidR="00A57044" w:rsidRPr="004922AF" w:rsidRDefault="0046665F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UN Sustainable Development Goals (SDGs)</w:t>
            </w:r>
          </w:p>
        </w:tc>
        <w:tc>
          <w:tcPr>
            <w:tcW w:w="7147" w:type="dxa"/>
          </w:tcPr>
          <w:p w14:paraId="68B0A012" w14:textId="77D91B7D" w:rsidR="00A57044" w:rsidRPr="004922AF" w:rsidRDefault="008239FE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 xml:space="preserve">This document aligns with </w:t>
            </w:r>
            <w:r w:rsidR="00B25332" w:rsidRPr="004922AF">
              <w:rPr>
                <w:rFonts w:ascii="Arial" w:hAnsi="Arial" w:cs="Arial"/>
                <w:sz w:val="22"/>
                <w:szCs w:val="28"/>
              </w:rPr>
              <w:t>Sustainable Development Goals:</w:t>
            </w:r>
          </w:p>
          <w:sdt>
            <w:sdtPr>
              <w:rPr>
                <w:rFonts w:ascii="Arial" w:hAnsi="Arial" w:cs="Arial"/>
                <w:sz w:val="22"/>
                <w:szCs w:val="28"/>
              </w:rPr>
              <w:id w:val="942722431"/>
              <w:placeholder>
                <w:docPart w:val="F2053069A3884FB7903D6C3F87A7221C"/>
              </w:placeholder>
              <w15:color w:val="E51F30"/>
              <w:dropDownList>
                <w:listItem w:displayText="1: No Poverty" w:value="1: No Poverty"/>
                <w:listItem w:displayText="2: Zero Hunger" w:value="2: Zero Hunger"/>
                <w:listItem w:displayText="3: Good Health and Well-Being" w:value="3: Good Health and Well-Being"/>
                <w:listItem w:displayText="4: Quality Education" w:value="4: Quality Education"/>
                <w:listItem w:displayText="5: Gender Equality" w:value="5: Gender Equality"/>
                <w:listItem w:displayText="6: Clean Water and Sanitation" w:value="6: Clean Water and Sanitation"/>
                <w:listItem w:displayText="7: Affordable and Clean Energy" w:value="7: Affordable and Clean Energy"/>
                <w:listItem w:displayText="8: Decent Work and Economic Growth" w:value="8: Decent Work and Economic Growth"/>
                <w:listItem w:displayText="9: Industry, Innovation and Infrastructure" w:value="9: Industry, Innovation and Infrastructure"/>
                <w:listItem w:displayText="10: Reduced Inequalities" w:value="10: Reduced Inequalities"/>
                <w:listItem w:displayText="11: Sustainable Cities and Communities" w:value="11: Sustainable Cities and Communities"/>
                <w:listItem w:displayText="12: Responsible Consumption and Production" w:value="12: Responsible Consumption and Production"/>
                <w:listItem w:displayText="13: Climate Action" w:value="13: Climate Action"/>
                <w:listItem w:displayText="14: Life Below Water" w:value="14: Life Below Water"/>
                <w:listItem w:displayText="15: Life on Land" w:value="15: Life on Land"/>
                <w:listItem w:displayText="16: Peace, Justice and Strong Institutions" w:value="16: Peace, Justice and Strong Institutions"/>
                <w:listItem w:displayText="17: Partnerships for the Goals" w:value="17: Partnerships for the Goals"/>
              </w:dropDownList>
            </w:sdtPr>
            <w:sdtEndPr/>
            <w:sdtContent>
              <w:p w14:paraId="3DB37E4E" w14:textId="516414DB" w:rsidR="00B25332" w:rsidRPr="004922AF" w:rsidRDefault="00983DA0" w:rsidP="004922AF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>
                  <w:rPr>
                    <w:rFonts w:ascii="Arial" w:hAnsi="Arial" w:cs="Arial"/>
                    <w:sz w:val="22"/>
                    <w:szCs w:val="28"/>
                  </w:rPr>
                  <w:t>16: Peace, Justice and Strong Institutions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8"/>
              </w:rPr>
              <w:id w:val="1409424258"/>
              <w:placeholder>
                <w:docPart w:val="51D200499E654B60842EFC49E62ED952"/>
              </w:placeholder>
              <w15:color w:val="E51F30"/>
              <w:dropDownList>
                <w:listItem w:displayText="1: No Poverty" w:value="1: No Poverty"/>
                <w:listItem w:displayText="2: Zero Hunger" w:value="2: Zero Hunger"/>
                <w:listItem w:displayText="3: Good Health and Well-Being" w:value="3: Good Health and Well-Being"/>
                <w:listItem w:displayText="4: Quality Education" w:value="4: Quality Education"/>
                <w:listItem w:displayText="5: Gender Equality" w:value="5: Gender Equality"/>
                <w:listItem w:displayText="6: Clean Water and Sanitation" w:value="6: Clean Water and Sanitation"/>
                <w:listItem w:displayText="7: Affordable and Clean Energy" w:value="7: Affordable and Clean Energy"/>
                <w:listItem w:displayText="8: Decent Work and Economic Growth" w:value="8: Decent Work and Economic Growth"/>
                <w:listItem w:displayText="9: Industry, Innovation and Infrastructure" w:value="9: Industry, Innovation and Infrastructure"/>
                <w:listItem w:displayText="10: Reduced Inequalities" w:value="10: Reduced Inequalities"/>
                <w:listItem w:displayText="11: Sustainable Cities and Communities" w:value="11: Sustainable Cities and Communities"/>
                <w:listItem w:displayText="12: Responsible Consumption and Production" w:value="12: Responsible Consumption and Production"/>
                <w:listItem w:displayText="13: Climate Action" w:value="13: Climate Action"/>
                <w:listItem w:displayText="14: Life Below Water" w:value="14: Life Below Water"/>
                <w:listItem w:displayText="15: Life on Land" w:value="15: Life on Land"/>
                <w:listItem w:displayText="16: Peace, Justice and Strong Institutions" w:value="16: Peace, Justice and Strong Institutions"/>
                <w:listItem w:displayText="17: Partnerships for the Goals" w:value="17: Partnerships for the Goals"/>
              </w:dropDownList>
            </w:sdtPr>
            <w:sdtEndPr/>
            <w:sdtContent>
              <w:p w14:paraId="1238885A" w14:textId="66F92D52" w:rsidR="00067836" w:rsidRPr="004922AF" w:rsidRDefault="00983DA0" w:rsidP="004922AF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>
                  <w:rPr>
                    <w:rFonts w:ascii="Arial" w:hAnsi="Arial" w:cs="Arial"/>
                    <w:sz w:val="22"/>
                    <w:szCs w:val="28"/>
                  </w:rPr>
                  <w:t>12: Responsible Consumption and Production</w:t>
                </w:r>
              </w:p>
            </w:sdtContent>
          </w:sdt>
        </w:tc>
      </w:tr>
      <w:tr w:rsidR="00786706" w14:paraId="72503509" w14:textId="77777777" w:rsidTr="00AD3B17">
        <w:tc>
          <w:tcPr>
            <w:tcW w:w="2943" w:type="dxa"/>
          </w:tcPr>
          <w:p w14:paraId="7967AC55" w14:textId="476A8E6E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Approval date</w:t>
            </w:r>
          </w:p>
        </w:tc>
        <w:tc>
          <w:tcPr>
            <w:tcW w:w="7147" w:type="dxa"/>
          </w:tcPr>
          <w:p w14:paraId="194B217B" w14:textId="07F90A17" w:rsidR="00786706" w:rsidRPr="004922AF" w:rsidRDefault="00603BCC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February</w:t>
            </w:r>
            <w:r w:rsidR="006A7F5C">
              <w:rPr>
                <w:rFonts w:ascii="Arial" w:hAnsi="Arial" w:cs="Arial"/>
                <w:sz w:val="22"/>
                <w:szCs w:val="28"/>
              </w:rPr>
              <w:t xml:space="preserve"> 2024</w:t>
            </w:r>
          </w:p>
        </w:tc>
      </w:tr>
      <w:tr w:rsidR="00786706" w14:paraId="2AB5E63B" w14:textId="77777777" w:rsidTr="00AD3B17">
        <w:tc>
          <w:tcPr>
            <w:tcW w:w="2943" w:type="dxa"/>
          </w:tcPr>
          <w:p w14:paraId="64F617D1" w14:textId="7CF14029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Effective date</w:t>
            </w:r>
          </w:p>
        </w:tc>
        <w:tc>
          <w:tcPr>
            <w:tcW w:w="7147" w:type="dxa"/>
          </w:tcPr>
          <w:p w14:paraId="4FFCA795" w14:textId="271272BA" w:rsidR="00786706" w:rsidRPr="004922AF" w:rsidRDefault="00603BCC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February</w:t>
            </w:r>
            <w:r w:rsidR="006A7F5C">
              <w:rPr>
                <w:rFonts w:ascii="Arial" w:hAnsi="Arial" w:cs="Arial"/>
                <w:sz w:val="22"/>
                <w:szCs w:val="28"/>
              </w:rPr>
              <w:t xml:space="preserve"> 2024</w:t>
            </w:r>
          </w:p>
        </w:tc>
      </w:tr>
      <w:tr w:rsidR="00786706" w14:paraId="6F3FFE23" w14:textId="77777777" w:rsidTr="00AD3B17">
        <w:tc>
          <w:tcPr>
            <w:tcW w:w="2943" w:type="dxa"/>
          </w:tcPr>
          <w:p w14:paraId="6FF0BF57" w14:textId="3ECF3A96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Review date</w:t>
            </w:r>
          </w:p>
        </w:tc>
        <w:tc>
          <w:tcPr>
            <w:tcW w:w="7147" w:type="dxa"/>
          </w:tcPr>
          <w:p w14:paraId="01E953C9" w14:textId="39FD2A95" w:rsidR="00786706" w:rsidRPr="004922AF" w:rsidRDefault="006906E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2028 </w:t>
            </w:r>
          </w:p>
        </w:tc>
      </w:tr>
      <w:tr w:rsidR="00786706" w14:paraId="3BDD3607" w14:textId="77777777" w:rsidTr="00AD3B17">
        <w:tc>
          <w:tcPr>
            <w:tcW w:w="2943" w:type="dxa"/>
          </w:tcPr>
          <w:p w14:paraId="12FCF114" w14:textId="4AD0B255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Policy advisor</w:t>
            </w:r>
          </w:p>
        </w:tc>
        <w:tc>
          <w:tcPr>
            <w:tcW w:w="7147" w:type="dxa"/>
          </w:tcPr>
          <w:p w14:paraId="0CB94D75" w14:textId="301B5DC9" w:rsidR="00786706" w:rsidRPr="004922AF" w:rsidRDefault="00983DA0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Head</w:t>
            </w:r>
            <w:r w:rsidR="006906E6">
              <w:rPr>
                <w:rFonts w:ascii="Arial" w:hAnsi="Arial" w:cs="Arial"/>
                <w:sz w:val="22"/>
                <w:szCs w:val="28"/>
              </w:rPr>
              <w:t>,</w:t>
            </w:r>
            <w:r>
              <w:rPr>
                <w:rFonts w:ascii="Arial" w:hAnsi="Arial" w:cs="Arial"/>
                <w:sz w:val="22"/>
                <w:szCs w:val="28"/>
              </w:rPr>
              <w:t xml:space="preserve"> Financial Management</w:t>
            </w:r>
          </w:p>
        </w:tc>
      </w:tr>
      <w:tr w:rsidR="00786706" w14:paraId="49179DFF" w14:textId="77777777" w:rsidTr="00AD3B17">
        <w:tc>
          <w:tcPr>
            <w:tcW w:w="2943" w:type="dxa"/>
          </w:tcPr>
          <w:p w14:paraId="1B0442C2" w14:textId="61E06347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Approving authority</w:t>
            </w:r>
          </w:p>
        </w:tc>
        <w:tc>
          <w:tcPr>
            <w:tcW w:w="7147" w:type="dxa"/>
          </w:tcPr>
          <w:p w14:paraId="4D9B1E57" w14:textId="405775DE" w:rsidR="00983DA0" w:rsidRDefault="00983DA0" w:rsidP="00983DA0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Chief </w:t>
            </w:r>
            <w:r w:rsidR="00CB435B">
              <w:rPr>
                <w:rFonts w:ascii="Arial" w:hAnsi="Arial" w:cs="Arial"/>
                <w:sz w:val="22"/>
                <w:szCs w:val="28"/>
              </w:rPr>
              <w:t>Financial Officer</w:t>
            </w:r>
          </w:p>
          <w:p w14:paraId="0D81D6BC" w14:textId="77307DB8" w:rsidR="00786706" w:rsidRPr="004922AF" w:rsidRDefault="00786706" w:rsidP="00E15C50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51859ABA" w14:textId="4E7F61F0" w:rsidR="00811F90" w:rsidRDefault="00811F90" w:rsidP="007D408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7DD10BA" w14:textId="0FA127FA" w:rsidR="00811F90" w:rsidRDefault="00811F90">
      <w:pPr>
        <w:rPr>
          <w:rFonts w:ascii="Arial" w:hAnsi="Arial" w:cs="Arial"/>
          <w:sz w:val="20"/>
          <w:szCs w:val="20"/>
        </w:rPr>
      </w:pPr>
    </w:p>
    <w:p w14:paraId="605F990D" w14:textId="015915AF" w:rsidR="00C22059" w:rsidRPr="00237AB3" w:rsidRDefault="007418A5" w:rsidP="00CA6AC5">
      <w:pPr>
        <w:pStyle w:val="Heading2"/>
        <w:rPr>
          <w:rFonts w:ascii="Griffith Sans Text" w:hAnsi="Griffith Sans Text"/>
        </w:rPr>
      </w:pPr>
      <w:bookmarkStart w:id="12" w:name="_7.0_Related_Policy"/>
      <w:bookmarkStart w:id="13" w:name="_6.0_Related_Policy"/>
      <w:bookmarkEnd w:id="12"/>
      <w:bookmarkEnd w:id="13"/>
      <w:r w:rsidRPr="00237AB3">
        <w:rPr>
          <w:rFonts w:ascii="Griffith Sans Text" w:hAnsi="Griffith Sans Text"/>
        </w:rPr>
        <w:t>6</w:t>
      </w:r>
      <w:r w:rsidR="00FC349F" w:rsidRPr="00237AB3">
        <w:rPr>
          <w:rFonts w:ascii="Griffith Sans Text" w:hAnsi="Griffith Sans Text"/>
        </w:rPr>
        <w:t xml:space="preserve">.0 </w:t>
      </w:r>
      <w:r w:rsidR="008605D5" w:rsidRPr="00237AB3">
        <w:rPr>
          <w:rFonts w:ascii="Griffith Sans Text" w:hAnsi="Griffith Sans Text"/>
        </w:rPr>
        <w:t>Related Policy Documents and Supporting Documents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147"/>
      </w:tblGrid>
      <w:tr w:rsidR="00746A0E" w:rsidRPr="004922AF" w14:paraId="1BED611B" w14:textId="77777777" w:rsidTr="28D72A30">
        <w:tc>
          <w:tcPr>
            <w:tcW w:w="2943" w:type="dxa"/>
          </w:tcPr>
          <w:p w14:paraId="30FE0F19" w14:textId="2232CC87" w:rsidR="00746A0E" w:rsidRPr="004922AF" w:rsidRDefault="00746A0E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922AF">
              <w:rPr>
                <w:rFonts w:ascii="Arial" w:hAnsi="Arial" w:cs="Arial"/>
                <w:sz w:val="22"/>
              </w:rPr>
              <w:t>Legislation</w:t>
            </w:r>
          </w:p>
        </w:tc>
        <w:tc>
          <w:tcPr>
            <w:tcW w:w="7147" w:type="dxa"/>
          </w:tcPr>
          <w:p w14:paraId="4235FE90" w14:textId="77777777" w:rsidR="00983DA0" w:rsidRPr="00B23E96" w:rsidRDefault="0067432D" w:rsidP="00983DA0">
            <w:pPr>
              <w:spacing w:before="120" w:after="120"/>
              <w:rPr>
                <w:rFonts w:ascii="Arial" w:hAnsi="Arial" w:cs="Arial"/>
                <w:i/>
                <w:iCs/>
                <w:sz w:val="22"/>
                <w:lang w:val="en-GB"/>
              </w:rPr>
            </w:pPr>
            <w:hyperlink r:id="rId12" w:history="1">
              <w:r w:rsidR="00983DA0" w:rsidRPr="00B23E96">
                <w:rPr>
                  <w:rStyle w:val="Hyperlink"/>
                  <w:rFonts w:ascii="Arial" w:hAnsi="Arial" w:cs="Arial"/>
                  <w:i/>
                  <w:iCs/>
                  <w:sz w:val="22"/>
                  <w:lang w:val="en-GB"/>
                </w:rPr>
                <w:t>Income Tax Assessment Act 1997</w:t>
              </w:r>
              <w:r w:rsidR="00983DA0" w:rsidRPr="00B23E96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 (</w:t>
              </w:r>
              <w:proofErr w:type="spellStart"/>
              <w:r w:rsidR="00983DA0" w:rsidRPr="00B23E96">
                <w:rPr>
                  <w:rStyle w:val="Hyperlink"/>
                  <w:rFonts w:ascii="Arial" w:hAnsi="Arial" w:cs="Arial"/>
                  <w:sz w:val="22"/>
                  <w:lang w:val="en-GB"/>
                </w:rPr>
                <w:t>Cth</w:t>
              </w:r>
              <w:proofErr w:type="spellEnd"/>
              <w:r w:rsidR="00983DA0" w:rsidRPr="00B23E96">
                <w:rPr>
                  <w:rStyle w:val="Hyperlink"/>
                  <w:rFonts w:ascii="Arial" w:hAnsi="Arial" w:cs="Arial"/>
                  <w:sz w:val="22"/>
                  <w:lang w:val="en-GB"/>
                </w:rPr>
                <w:t>)</w:t>
              </w:r>
            </w:hyperlink>
          </w:p>
          <w:p w14:paraId="1D95EE8D" w14:textId="2C73B31B" w:rsidR="00746A0E" w:rsidRPr="004922AF" w:rsidRDefault="0067432D" w:rsidP="00983DA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r:id="rId13" w:history="1">
              <w:r w:rsidR="00983DA0" w:rsidRPr="00B23E96">
                <w:rPr>
                  <w:rStyle w:val="Hyperlink"/>
                  <w:rFonts w:ascii="Arial" w:hAnsi="Arial" w:cs="Arial"/>
                  <w:i/>
                  <w:iCs/>
                  <w:sz w:val="22"/>
                  <w:lang w:val="en-GB"/>
                </w:rPr>
                <w:t>Fringe Benefits Tax Assessment Act 1986</w:t>
              </w:r>
              <w:r w:rsidR="00983DA0" w:rsidRPr="00B23E96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 (</w:t>
              </w:r>
              <w:proofErr w:type="spellStart"/>
              <w:r w:rsidR="00983DA0" w:rsidRPr="00B23E96">
                <w:rPr>
                  <w:rStyle w:val="Hyperlink"/>
                  <w:rFonts w:ascii="Arial" w:hAnsi="Arial" w:cs="Arial"/>
                  <w:sz w:val="22"/>
                  <w:lang w:val="en-GB"/>
                </w:rPr>
                <w:t>Cth</w:t>
              </w:r>
              <w:proofErr w:type="spellEnd"/>
              <w:r w:rsidR="00983DA0" w:rsidRPr="00B23E96">
                <w:rPr>
                  <w:rStyle w:val="Hyperlink"/>
                  <w:rFonts w:ascii="Arial" w:hAnsi="Arial" w:cs="Arial"/>
                  <w:sz w:val="22"/>
                  <w:lang w:val="en-GB"/>
                </w:rPr>
                <w:t>)</w:t>
              </w:r>
            </w:hyperlink>
          </w:p>
        </w:tc>
      </w:tr>
      <w:tr w:rsidR="00746A0E" w:rsidRPr="004922AF" w14:paraId="13D635BA" w14:textId="77777777" w:rsidTr="28D72A30">
        <w:tc>
          <w:tcPr>
            <w:tcW w:w="2943" w:type="dxa"/>
          </w:tcPr>
          <w:p w14:paraId="7CB30007" w14:textId="274434BC" w:rsidR="00746A0E" w:rsidRPr="004922AF" w:rsidRDefault="00746A0E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922AF">
              <w:rPr>
                <w:rFonts w:ascii="Arial" w:hAnsi="Arial" w:cs="Arial"/>
                <w:sz w:val="22"/>
              </w:rPr>
              <w:t>Policy</w:t>
            </w:r>
          </w:p>
        </w:tc>
        <w:tc>
          <w:tcPr>
            <w:tcW w:w="7147" w:type="dxa"/>
          </w:tcPr>
          <w:p w14:paraId="2BCA804C" w14:textId="77777777" w:rsidR="00983DA0" w:rsidRDefault="0067432D" w:rsidP="00983DA0">
            <w:pPr>
              <w:spacing w:before="120" w:after="120"/>
              <w:rPr>
                <w:rFonts w:ascii="Arial" w:hAnsi="Arial" w:cs="Arial"/>
                <w:sz w:val="22"/>
              </w:rPr>
            </w:pPr>
            <w:hyperlink r:id="rId14" w:history="1">
              <w:r w:rsidR="00983DA0" w:rsidRPr="00B23E96">
                <w:rPr>
                  <w:rStyle w:val="Hyperlink"/>
                  <w:rFonts w:ascii="Arial" w:hAnsi="Arial" w:cs="Arial"/>
                  <w:sz w:val="22"/>
                </w:rPr>
                <w:t>Code of Conduct</w:t>
              </w:r>
            </w:hyperlink>
          </w:p>
          <w:p w14:paraId="12A8B62F" w14:textId="77777777" w:rsidR="00983DA0" w:rsidRDefault="0067432D" w:rsidP="00983DA0">
            <w:pPr>
              <w:spacing w:before="120" w:after="120"/>
              <w:rPr>
                <w:rFonts w:ascii="Arial" w:hAnsi="Arial" w:cs="Arial"/>
                <w:sz w:val="22"/>
              </w:rPr>
            </w:pPr>
            <w:hyperlink r:id="rId15" w:history="1">
              <w:r w:rsidR="00983DA0" w:rsidRPr="00B23E96">
                <w:rPr>
                  <w:rStyle w:val="Hyperlink"/>
                  <w:rFonts w:ascii="Arial" w:hAnsi="Arial" w:cs="Arial"/>
                  <w:sz w:val="22"/>
                </w:rPr>
                <w:t>Conflict of Interest Policy</w:t>
              </w:r>
            </w:hyperlink>
          </w:p>
          <w:p w14:paraId="6D61E2FE" w14:textId="77777777" w:rsidR="00983DA0" w:rsidRDefault="0067432D" w:rsidP="00983DA0">
            <w:pPr>
              <w:spacing w:before="120" w:after="120"/>
              <w:rPr>
                <w:rFonts w:ascii="Arial" w:hAnsi="Arial" w:cs="Arial"/>
                <w:sz w:val="22"/>
              </w:rPr>
            </w:pPr>
            <w:hyperlink r:id="rId16" w:history="1">
              <w:r w:rsidR="00983DA0" w:rsidRPr="00B23E96">
                <w:rPr>
                  <w:rStyle w:val="Hyperlink"/>
                  <w:rFonts w:ascii="Arial" w:hAnsi="Arial" w:cs="Arial"/>
                  <w:sz w:val="22"/>
                </w:rPr>
                <w:t>Fraud and Corruption Control Policy</w:t>
              </w:r>
            </w:hyperlink>
          </w:p>
          <w:p w14:paraId="29999CB3" w14:textId="77777777" w:rsidR="00746A0E" w:rsidRDefault="0067432D" w:rsidP="28D72A30">
            <w:pPr>
              <w:spacing w:before="120" w:after="120"/>
              <w:rPr>
                <w:rStyle w:val="Hyperlink"/>
                <w:rFonts w:ascii="Arial" w:hAnsi="Arial" w:cs="Arial"/>
                <w:sz w:val="22"/>
              </w:rPr>
            </w:pPr>
            <w:hyperlink r:id="rId17">
              <w:r w:rsidR="355899A1" w:rsidRPr="28D72A30">
                <w:rPr>
                  <w:rStyle w:val="Hyperlink"/>
                  <w:rFonts w:ascii="Arial" w:hAnsi="Arial" w:cs="Arial"/>
                  <w:sz w:val="22"/>
                </w:rPr>
                <w:t>Gifts and Benefits Policy</w:t>
              </w:r>
            </w:hyperlink>
          </w:p>
          <w:p w14:paraId="7A1507B9" w14:textId="27CE908C" w:rsidR="004238EF" w:rsidRPr="00386EA0" w:rsidRDefault="0067432D" w:rsidP="28D72A3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r:id="rId18" w:history="1">
              <w:r w:rsidR="77186FA9" w:rsidRPr="0067432D">
                <w:rPr>
                  <w:rStyle w:val="Hyperlink"/>
                  <w:rFonts w:ascii="Arial" w:hAnsi="Arial" w:cs="Arial"/>
                  <w:sz w:val="22"/>
                  <w:lang w:val="en-GB"/>
                </w:rPr>
                <w:t>H</w:t>
              </w:r>
              <w:r w:rsidR="77186FA9" w:rsidRPr="0067432D">
                <w:rPr>
                  <w:rStyle w:val="Hyperlink"/>
                  <w:rFonts w:ascii="Arial" w:hAnsi="Arial"/>
                  <w:sz w:val="22"/>
                  <w:lang w:val="en-GB"/>
                </w:rPr>
                <w:t>ospitality and Entertainment Policy</w:t>
              </w:r>
            </w:hyperlink>
          </w:p>
        </w:tc>
      </w:tr>
      <w:tr w:rsidR="00746A0E" w:rsidRPr="004922AF" w14:paraId="55329BCC" w14:textId="77777777" w:rsidTr="28D72A30">
        <w:tc>
          <w:tcPr>
            <w:tcW w:w="2943" w:type="dxa"/>
          </w:tcPr>
          <w:p w14:paraId="1BD7DB3E" w14:textId="54AA41D2" w:rsidR="00746A0E" w:rsidRPr="004922AF" w:rsidRDefault="00746A0E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922AF">
              <w:rPr>
                <w:rFonts w:ascii="Arial" w:hAnsi="Arial" w:cs="Arial"/>
                <w:sz w:val="22"/>
              </w:rPr>
              <w:lastRenderedPageBreak/>
              <w:t>Procedures</w:t>
            </w:r>
          </w:p>
        </w:tc>
        <w:tc>
          <w:tcPr>
            <w:tcW w:w="7147" w:type="dxa"/>
          </w:tcPr>
          <w:p w14:paraId="539F1616" w14:textId="77777777" w:rsidR="00983DA0" w:rsidRDefault="0067432D" w:rsidP="00983DA0">
            <w:pPr>
              <w:spacing w:before="120" w:after="120"/>
              <w:rPr>
                <w:rStyle w:val="Hyperlink"/>
                <w:rFonts w:ascii="Arial" w:hAnsi="Arial" w:cs="Arial"/>
                <w:sz w:val="22"/>
              </w:rPr>
            </w:pPr>
            <w:hyperlink r:id="rId19" w:history="1">
              <w:r w:rsidR="00983DA0" w:rsidRPr="00B23E96">
                <w:rPr>
                  <w:rStyle w:val="Hyperlink"/>
                  <w:rFonts w:ascii="Arial" w:hAnsi="Arial" w:cs="Arial"/>
                  <w:sz w:val="22"/>
                </w:rPr>
                <w:t>FBT Entertainment and Hospitality Guide</w:t>
              </w:r>
            </w:hyperlink>
          </w:p>
          <w:p w14:paraId="191F2D93" w14:textId="77777777" w:rsidR="00983DA0" w:rsidRDefault="0067432D" w:rsidP="00983DA0">
            <w:pPr>
              <w:spacing w:before="120" w:after="120"/>
              <w:rPr>
                <w:rStyle w:val="Hyperlink"/>
                <w:rFonts w:ascii="Arial" w:hAnsi="Arial" w:cs="Arial"/>
                <w:sz w:val="22"/>
              </w:rPr>
            </w:pPr>
            <w:hyperlink r:id="rId20" w:history="1">
              <w:r w:rsidR="00983DA0" w:rsidRPr="00B23E96">
                <w:rPr>
                  <w:rStyle w:val="Hyperlink"/>
                  <w:rFonts w:ascii="Arial" w:hAnsi="Arial" w:cs="Arial"/>
                  <w:sz w:val="22"/>
                </w:rPr>
                <w:t>Purchasing and Procurement procedure</w:t>
              </w:r>
            </w:hyperlink>
          </w:p>
          <w:p w14:paraId="4302959E" w14:textId="5C24233D" w:rsidR="00746A0E" w:rsidRPr="004922AF" w:rsidRDefault="0067432D" w:rsidP="00983DA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r:id="rId21" w:history="1">
              <w:r w:rsidR="00983DA0" w:rsidRPr="0061697F">
                <w:rPr>
                  <w:rStyle w:val="Hyperlink"/>
                  <w:rFonts w:ascii="Arial" w:hAnsi="Arial" w:cs="Arial"/>
                  <w:sz w:val="22"/>
                  <w:lang w:val="en-GB"/>
                </w:rPr>
                <w:t>Adding Attendee details in Concur</w:t>
              </w:r>
            </w:hyperlink>
          </w:p>
        </w:tc>
      </w:tr>
      <w:tr w:rsidR="00746A0E" w:rsidRPr="004922AF" w14:paraId="76652B21" w14:textId="77777777" w:rsidTr="28D72A30">
        <w:tc>
          <w:tcPr>
            <w:tcW w:w="2943" w:type="dxa"/>
          </w:tcPr>
          <w:p w14:paraId="118FD34E" w14:textId="481E52F8" w:rsidR="00746A0E" w:rsidRPr="004922AF" w:rsidRDefault="00746A0E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922AF">
              <w:rPr>
                <w:rFonts w:ascii="Arial" w:hAnsi="Arial" w:cs="Arial"/>
                <w:sz w:val="22"/>
              </w:rPr>
              <w:t>Local Protocol</w:t>
            </w:r>
          </w:p>
        </w:tc>
        <w:tc>
          <w:tcPr>
            <w:tcW w:w="7147" w:type="dxa"/>
          </w:tcPr>
          <w:p w14:paraId="55AA03EB" w14:textId="724BE7F7" w:rsidR="00746A0E" w:rsidRPr="004922AF" w:rsidRDefault="0067432D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hyperlink r:id="rId22" w:history="1">
              <w:r w:rsidR="00983DA0" w:rsidRPr="005F5FB2">
                <w:rPr>
                  <w:rStyle w:val="Hyperlink"/>
                  <w:rFonts w:ascii="Arial" w:hAnsi="Arial" w:cs="Arial"/>
                  <w:sz w:val="22"/>
                </w:rPr>
                <w:t>Spending University Funds</w:t>
              </w:r>
            </w:hyperlink>
          </w:p>
        </w:tc>
      </w:tr>
      <w:tr w:rsidR="00746A0E" w:rsidRPr="004922AF" w14:paraId="5AB64C6F" w14:textId="77777777" w:rsidTr="28D72A30">
        <w:tc>
          <w:tcPr>
            <w:tcW w:w="2943" w:type="dxa"/>
          </w:tcPr>
          <w:p w14:paraId="22348C3F" w14:textId="0F6236D7" w:rsidR="00746A0E" w:rsidRPr="004922AF" w:rsidRDefault="00746A0E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922AF">
              <w:rPr>
                <w:rFonts w:ascii="Arial" w:hAnsi="Arial" w:cs="Arial"/>
                <w:sz w:val="22"/>
              </w:rPr>
              <w:t>Forms</w:t>
            </w:r>
          </w:p>
        </w:tc>
        <w:tc>
          <w:tcPr>
            <w:tcW w:w="7147" w:type="dxa"/>
          </w:tcPr>
          <w:p w14:paraId="54F51F15" w14:textId="6F80CFD4" w:rsidR="00746A0E" w:rsidRPr="004922AF" w:rsidRDefault="006906E6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N/A</w:t>
            </w:r>
          </w:p>
        </w:tc>
      </w:tr>
    </w:tbl>
    <w:p w14:paraId="6BA7652E" w14:textId="26761596" w:rsidR="00A15D12" w:rsidRPr="004922AF" w:rsidRDefault="00A15D12" w:rsidP="004922AF">
      <w:pPr>
        <w:rPr>
          <w:rFonts w:ascii="Arial" w:hAnsi="Arial" w:cs="Arial"/>
          <w:sz w:val="22"/>
        </w:rPr>
      </w:pPr>
    </w:p>
    <w:p w14:paraId="298A2696" w14:textId="5E6B5C02" w:rsidR="00AF5791" w:rsidRDefault="00AF5791" w:rsidP="00C22059">
      <w:pPr>
        <w:rPr>
          <w:rFonts w:ascii="Arial" w:hAnsi="Arial" w:cs="Arial"/>
          <w:sz w:val="20"/>
          <w:szCs w:val="24"/>
        </w:rPr>
      </w:pPr>
    </w:p>
    <w:p w14:paraId="360D192E" w14:textId="77777777" w:rsidR="00421B70" w:rsidRPr="00421B70" w:rsidRDefault="00421B70" w:rsidP="00421B70">
      <w:pPr>
        <w:rPr>
          <w:rFonts w:ascii="Arial" w:hAnsi="Arial" w:cs="Arial"/>
          <w:sz w:val="20"/>
          <w:szCs w:val="24"/>
        </w:rPr>
      </w:pPr>
    </w:p>
    <w:p w14:paraId="251CB509" w14:textId="77777777" w:rsidR="00421B70" w:rsidRPr="00421B70" w:rsidRDefault="00421B70" w:rsidP="00421B70">
      <w:pPr>
        <w:rPr>
          <w:rFonts w:ascii="Arial" w:hAnsi="Arial" w:cs="Arial"/>
          <w:sz w:val="20"/>
          <w:szCs w:val="24"/>
        </w:rPr>
      </w:pPr>
    </w:p>
    <w:p w14:paraId="658A464E" w14:textId="77777777" w:rsidR="00421B70" w:rsidRPr="00421B70" w:rsidRDefault="00421B70" w:rsidP="00421B70">
      <w:pPr>
        <w:rPr>
          <w:rFonts w:ascii="Arial" w:hAnsi="Arial" w:cs="Arial"/>
          <w:sz w:val="20"/>
          <w:szCs w:val="24"/>
        </w:rPr>
      </w:pPr>
    </w:p>
    <w:p w14:paraId="25BD8E36" w14:textId="77777777" w:rsidR="00421B70" w:rsidRPr="00421B70" w:rsidRDefault="00421B70" w:rsidP="00421B70">
      <w:pPr>
        <w:rPr>
          <w:rFonts w:ascii="Arial" w:hAnsi="Arial" w:cs="Arial"/>
          <w:sz w:val="20"/>
          <w:szCs w:val="24"/>
        </w:rPr>
      </w:pPr>
    </w:p>
    <w:p w14:paraId="12FF471E" w14:textId="77777777" w:rsidR="00421B70" w:rsidRPr="00421B70" w:rsidRDefault="00421B70" w:rsidP="00421B70">
      <w:pPr>
        <w:rPr>
          <w:rFonts w:ascii="Arial" w:hAnsi="Arial" w:cs="Arial"/>
          <w:sz w:val="20"/>
          <w:szCs w:val="24"/>
        </w:rPr>
      </w:pPr>
    </w:p>
    <w:p w14:paraId="5C1575B7" w14:textId="77777777" w:rsidR="00421B70" w:rsidRPr="00421B70" w:rsidRDefault="00421B70" w:rsidP="00421B70">
      <w:pPr>
        <w:rPr>
          <w:rFonts w:ascii="Arial" w:hAnsi="Arial" w:cs="Arial"/>
          <w:sz w:val="20"/>
          <w:szCs w:val="24"/>
        </w:rPr>
      </w:pPr>
    </w:p>
    <w:p w14:paraId="61C8ACED" w14:textId="77777777" w:rsidR="00421B70" w:rsidRPr="00421B70" w:rsidRDefault="00421B70" w:rsidP="00421B70">
      <w:pPr>
        <w:rPr>
          <w:rFonts w:ascii="Arial" w:hAnsi="Arial" w:cs="Arial"/>
          <w:sz w:val="20"/>
          <w:szCs w:val="24"/>
        </w:rPr>
      </w:pPr>
    </w:p>
    <w:p w14:paraId="6D2C8610" w14:textId="77777777" w:rsidR="00421B70" w:rsidRPr="00421B70" w:rsidRDefault="00421B70" w:rsidP="00421B70">
      <w:pPr>
        <w:rPr>
          <w:rFonts w:ascii="Arial" w:hAnsi="Arial" w:cs="Arial"/>
          <w:sz w:val="20"/>
          <w:szCs w:val="24"/>
        </w:rPr>
      </w:pPr>
    </w:p>
    <w:p w14:paraId="4534A2AC" w14:textId="77777777" w:rsidR="00421B70" w:rsidRPr="00421B70" w:rsidRDefault="00421B70" w:rsidP="00421B70">
      <w:pPr>
        <w:rPr>
          <w:rFonts w:ascii="Arial" w:hAnsi="Arial" w:cs="Arial"/>
          <w:sz w:val="20"/>
          <w:szCs w:val="24"/>
        </w:rPr>
      </w:pPr>
    </w:p>
    <w:p w14:paraId="435E78DE" w14:textId="77777777" w:rsidR="00421B70" w:rsidRPr="00421B70" w:rsidRDefault="00421B70" w:rsidP="00421B70">
      <w:pPr>
        <w:rPr>
          <w:rFonts w:ascii="Arial" w:hAnsi="Arial" w:cs="Arial"/>
          <w:sz w:val="20"/>
          <w:szCs w:val="24"/>
        </w:rPr>
      </w:pPr>
    </w:p>
    <w:p w14:paraId="001E3F51" w14:textId="77777777" w:rsidR="00421B70" w:rsidRPr="00421B70" w:rsidRDefault="00421B70" w:rsidP="00421B70">
      <w:pPr>
        <w:rPr>
          <w:rFonts w:ascii="Arial" w:hAnsi="Arial" w:cs="Arial"/>
          <w:sz w:val="20"/>
          <w:szCs w:val="24"/>
        </w:rPr>
      </w:pPr>
    </w:p>
    <w:p w14:paraId="1174F67F" w14:textId="77777777" w:rsidR="00421B70" w:rsidRPr="00421B70" w:rsidRDefault="00421B70" w:rsidP="00421B70">
      <w:pPr>
        <w:rPr>
          <w:rFonts w:ascii="Arial" w:hAnsi="Arial" w:cs="Arial"/>
          <w:sz w:val="20"/>
          <w:szCs w:val="24"/>
        </w:rPr>
      </w:pPr>
    </w:p>
    <w:p w14:paraId="47A36262" w14:textId="77777777" w:rsidR="00421B70" w:rsidRDefault="00421B70" w:rsidP="00421B70">
      <w:pPr>
        <w:rPr>
          <w:rFonts w:ascii="Arial" w:hAnsi="Arial" w:cs="Arial"/>
          <w:sz w:val="20"/>
          <w:szCs w:val="24"/>
        </w:rPr>
      </w:pPr>
    </w:p>
    <w:p w14:paraId="07195799" w14:textId="7242377C" w:rsidR="00421B70" w:rsidRPr="00421B70" w:rsidRDefault="00421B70" w:rsidP="00421B70">
      <w:pPr>
        <w:tabs>
          <w:tab w:val="left" w:pos="9120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sectPr w:rsidR="00421B70" w:rsidRPr="00421B70" w:rsidSect="000E5131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985" w:right="680" w:bottom="851" w:left="68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FC33" w14:textId="77777777" w:rsidR="000E5131" w:rsidRDefault="000E5131" w:rsidP="00575CC3">
      <w:pPr>
        <w:spacing w:after="0" w:line="240" w:lineRule="auto"/>
      </w:pPr>
      <w:r>
        <w:separator/>
      </w:r>
    </w:p>
  </w:endnote>
  <w:endnote w:type="continuationSeparator" w:id="0">
    <w:p w14:paraId="68647C5E" w14:textId="77777777" w:rsidR="000E5131" w:rsidRDefault="000E5131" w:rsidP="00575CC3">
      <w:pPr>
        <w:spacing w:after="0" w:line="240" w:lineRule="auto"/>
      </w:pPr>
      <w:r>
        <w:continuationSeparator/>
      </w:r>
    </w:p>
  </w:endnote>
  <w:endnote w:type="continuationNotice" w:id="1">
    <w:p w14:paraId="22987487" w14:textId="77777777" w:rsidR="00055BAA" w:rsidRDefault="00055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riffith Sans Text">
    <w:altName w:val="Calibri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riffith Serif Text">
    <w:altName w:val="Calibri"/>
    <w:panose1 w:val="00000000000000000000"/>
    <w:charset w:val="00"/>
    <w:family w:val="modern"/>
    <w:notTrueType/>
    <w:pitch w:val="variable"/>
    <w:sig w:usb0="A00000EF" w:usb1="400084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856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64F0AB" w14:textId="7953B17D" w:rsidR="00A144B2" w:rsidRDefault="00A144B2" w:rsidP="00AD3B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7A06D6" w14:textId="77777777" w:rsidR="00A144B2" w:rsidRDefault="00A144B2" w:rsidP="00A14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70787B"/>
        <w:sz w:val="21"/>
        <w:szCs w:val="21"/>
      </w:rPr>
      <w:id w:val="-584762695"/>
      <w:docPartObj>
        <w:docPartGallery w:val="Page Numbers (Bottom of Page)"/>
        <w:docPartUnique/>
      </w:docPartObj>
    </w:sdtPr>
    <w:sdtEndPr/>
    <w:sdtContent>
      <w:p w14:paraId="1DEF1CC7" w14:textId="2681FBBA" w:rsidR="00A144B2" w:rsidRPr="007225FE" w:rsidRDefault="00A144B2" w:rsidP="007225FE">
        <w:pPr>
          <w:pStyle w:val="Footer"/>
          <w:framePr w:wrap="none" w:vAnchor="text" w:hAnchor="margin" w:xAlign="right" w:y="1"/>
          <w:spacing w:after="240" w:line="276" w:lineRule="auto"/>
          <w:rPr>
            <w:rFonts w:asciiTheme="minorHAnsi" w:hAnsiTheme="minorHAnsi" w:cstheme="minorHAnsi"/>
            <w:color w:val="70787B"/>
            <w:sz w:val="21"/>
            <w:szCs w:val="21"/>
          </w:rPr>
        </w:pP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begin"/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instrText xml:space="preserve"> PAGE </w:instrText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separate"/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t>1</w:t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end"/>
        </w:r>
      </w:p>
    </w:sdtContent>
  </w:sdt>
  <w:p w14:paraId="0E4A430F" w14:textId="32BB126C" w:rsidR="00830B58" w:rsidRDefault="00830B58" w:rsidP="00A144B2">
    <w:pPr>
      <w:spacing w:after="0" w:line="240" w:lineRule="auto"/>
      <w:ind w:right="360"/>
      <w:jc w:val="right"/>
      <w:rPr>
        <w:rFonts w:asciiTheme="minorHAnsi" w:hAnsiTheme="minorHAnsi" w:cstheme="minorHAnsi"/>
        <w:color w:val="70787B"/>
        <w:sz w:val="15"/>
        <w:szCs w:val="15"/>
      </w:rPr>
    </w:pPr>
  </w:p>
  <w:p w14:paraId="59E75832" w14:textId="13BECC3E" w:rsidR="00421B70" w:rsidRDefault="002E2B77" w:rsidP="00830B58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 w:rsidRPr="00FC2CDB">
      <w:rPr>
        <w:rFonts w:asciiTheme="minorHAnsi" w:hAnsiTheme="minorHAnsi" w:cstheme="minorHAnsi"/>
        <w:color w:val="70787B"/>
        <w:sz w:val="15"/>
        <w:szCs w:val="15"/>
      </w:rPr>
      <w:t>Hospitality and Entertainment Procedure</w:t>
    </w:r>
    <w:r w:rsidR="002B29ED" w:rsidRPr="00FC2CDB">
      <w:rPr>
        <w:rFonts w:asciiTheme="minorHAnsi" w:hAnsiTheme="minorHAnsi" w:cstheme="minorHAnsi"/>
        <w:color w:val="70787B"/>
        <w:sz w:val="15"/>
        <w:szCs w:val="15"/>
      </w:rPr>
      <w:t xml:space="preserve"> </w:t>
    </w:r>
    <w:r w:rsidR="00830B58" w:rsidRPr="00FC2CDB">
      <w:rPr>
        <w:rFonts w:asciiTheme="minorHAnsi" w:hAnsiTheme="minorHAnsi" w:cstheme="minorHAnsi"/>
        <w:color w:val="70787B"/>
        <w:sz w:val="15"/>
        <w:szCs w:val="15"/>
      </w:rPr>
      <w:t>|</w:t>
    </w:r>
    <w:r w:rsidR="00603BCC">
      <w:rPr>
        <w:rFonts w:asciiTheme="minorHAnsi" w:hAnsiTheme="minorHAnsi" w:cstheme="minorHAnsi"/>
        <w:color w:val="70787B"/>
        <w:sz w:val="15"/>
        <w:szCs w:val="15"/>
      </w:rPr>
      <w:t xml:space="preserve">February </w:t>
    </w:r>
    <w:r w:rsidRPr="00FC2CDB">
      <w:rPr>
        <w:rFonts w:asciiTheme="minorHAnsi" w:hAnsiTheme="minorHAnsi" w:cstheme="minorHAnsi"/>
        <w:color w:val="70787B"/>
        <w:sz w:val="15"/>
        <w:szCs w:val="15"/>
      </w:rPr>
      <w:t>2024</w:t>
    </w:r>
  </w:p>
  <w:p w14:paraId="6521F9B2" w14:textId="3B94E378" w:rsidR="00830B58" w:rsidRDefault="00830B58" w:rsidP="00830B58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 xml:space="preserve">Document number: </w:t>
    </w:r>
    <w:r w:rsidR="002F6E0E" w:rsidRPr="002F6E0E">
      <w:rPr>
        <w:rFonts w:asciiTheme="minorHAnsi" w:hAnsiTheme="minorHAnsi" w:cstheme="minorHAnsi"/>
        <w:color w:val="70787B"/>
        <w:sz w:val="15"/>
        <w:szCs w:val="15"/>
      </w:rPr>
      <w:t>2024/0001013</w:t>
    </w:r>
  </w:p>
  <w:p w14:paraId="008E73BC" w14:textId="59B430E1" w:rsidR="00575CC3" w:rsidRPr="00DE1756" w:rsidRDefault="00830B58" w:rsidP="00DE1756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>Griffith University – CRICOS Provider Number 00233E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3F71" w14:textId="45E189B9" w:rsidR="00E77B43" w:rsidRPr="00E77B43" w:rsidRDefault="00E77B43" w:rsidP="00E77B43">
    <w:pPr>
      <w:spacing w:after="0" w:line="240" w:lineRule="auto"/>
      <w:jc w:val="right"/>
      <w:rPr>
        <w:rFonts w:ascii="Arial" w:hAnsi="Arial" w:cs="Arial"/>
        <w:color w:val="70787B"/>
        <w:szCs w:val="18"/>
      </w:rPr>
    </w:pPr>
    <w:r w:rsidRPr="00E77B43">
      <w:rPr>
        <w:rFonts w:ascii="Arial" w:hAnsi="Arial" w:cs="Arial"/>
        <w:color w:val="70787B"/>
        <w:szCs w:val="18"/>
      </w:rPr>
      <w:t>1</w:t>
    </w:r>
  </w:p>
  <w:p w14:paraId="276507F4" w14:textId="1A1EF3CA" w:rsidR="00E77B43" w:rsidRDefault="00ED4B4B" w:rsidP="00E77B43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 w:rsidRPr="00FC2CDB">
      <w:rPr>
        <w:rFonts w:asciiTheme="minorHAnsi" w:hAnsiTheme="minorHAnsi" w:cstheme="minorHAnsi"/>
        <w:color w:val="70787B"/>
        <w:sz w:val="15"/>
        <w:szCs w:val="15"/>
      </w:rPr>
      <w:t>Hospitality and Entertainment Procedure</w:t>
    </w:r>
    <w:r w:rsidR="00E77B43" w:rsidRPr="00FC2CDB">
      <w:rPr>
        <w:rFonts w:asciiTheme="minorHAnsi" w:hAnsiTheme="minorHAnsi" w:cstheme="minorHAnsi"/>
        <w:color w:val="70787B"/>
        <w:sz w:val="15"/>
        <w:szCs w:val="15"/>
      </w:rPr>
      <w:t xml:space="preserve"> | </w:t>
    </w:r>
    <w:r w:rsidR="00603BCC">
      <w:rPr>
        <w:rFonts w:asciiTheme="minorHAnsi" w:hAnsiTheme="minorHAnsi" w:cstheme="minorHAnsi"/>
        <w:color w:val="70787B"/>
        <w:sz w:val="15"/>
        <w:szCs w:val="15"/>
      </w:rPr>
      <w:t>February</w:t>
    </w:r>
    <w:r w:rsidRPr="00ED4B4B">
      <w:rPr>
        <w:rFonts w:asciiTheme="minorHAnsi" w:hAnsiTheme="minorHAnsi" w:cstheme="minorHAnsi"/>
        <w:color w:val="70787B"/>
        <w:sz w:val="15"/>
        <w:szCs w:val="15"/>
      </w:rPr>
      <w:t xml:space="preserve"> 2024</w:t>
    </w:r>
    <w:r w:rsidR="00E77B43" w:rsidRPr="000209B9">
      <w:rPr>
        <w:rFonts w:asciiTheme="minorHAnsi" w:hAnsiTheme="minorHAnsi" w:cstheme="minorHAnsi"/>
        <w:color w:val="70787B"/>
        <w:sz w:val="15"/>
        <w:szCs w:val="15"/>
      </w:rPr>
      <w:t xml:space="preserve"> </w:t>
    </w:r>
  </w:p>
  <w:p w14:paraId="53EE7341" w14:textId="77777777" w:rsidR="00421B70" w:rsidRDefault="00E77B43" w:rsidP="002F6E0E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 xml:space="preserve">Document number: </w:t>
    </w:r>
    <w:r w:rsidR="002F6E0E" w:rsidRPr="002F6E0E">
      <w:rPr>
        <w:rFonts w:asciiTheme="minorHAnsi" w:hAnsiTheme="minorHAnsi" w:cstheme="minorHAnsi"/>
        <w:color w:val="70787B"/>
        <w:sz w:val="15"/>
        <w:szCs w:val="15"/>
      </w:rPr>
      <w:t>2024/0001013</w:t>
    </w:r>
  </w:p>
  <w:p w14:paraId="3471DC75" w14:textId="04B2A19B" w:rsidR="00E77B43" w:rsidRDefault="00E77B43" w:rsidP="002F6E0E">
    <w:pPr>
      <w:spacing w:after="0" w:line="240" w:lineRule="auto"/>
      <w:jc w:val="right"/>
    </w:pPr>
    <w:r w:rsidRPr="000209B9">
      <w:rPr>
        <w:rFonts w:asciiTheme="minorHAnsi" w:eastAsia="Times New Roman" w:hAnsiTheme="minorHAnsi" w:cstheme="minorHAnsi"/>
        <w:color w:val="808080"/>
        <w:sz w:val="15"/>
        <w:szCs w:val="15"/>
        <w:shd w:val="clear" w:color="auto" w:fill="FFFFFF"/>
        <w:lang w:eastAsia="en-GB"/>
      </w:rPr>
      <w:t>Griffith University - CRICOS Provider Number 00233E</w:t>
    </w:r>
    <w:r w:rsidRPr="000209B9">
      <w:rPr>
        <w:rFonts w:asciiTheme="minorHAnsi" w:hAnsiTheme="minorHAnsi" w:cstheme="minorHAnsi"/>
        <w:noProof/>
        <w:color w:val="70787B"/>
        <w:sz w:val="15"/>
        <w:szCs w:val="15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7435329" wp14:editId="3A99B7C3">
              <wp:simplePos x="0" y="0"/>
              <wp:positionH relativeFrom="page">
                <wp:posOffset>-6993</wp:posOffset>
              </wp:positionH>
              <wp:positionV relativeFrom="paragraph">
                <wp:posOffset>-3113027</wp:posOffset>
              </wp:positionV>
              <wp:extent cx="3565003" cy="3564322"/>
              <wp:effectExtent l="0" t="0" r="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5003" cy="3564322"/>
                        <a:chOff x="0" y="0"/>
                        <a:chExt cx="3960644" cy="3959860"/>
                      </a:xfrm>
                    </wpg:grpSpPr>
                    <wps:wsp>
                      <wps:cNvPr id="4" name="Right Triangle 4"/>
                      <wps:cNvSpPr/>
                      <wps:spPr>
                        <a:xfrm>
                          <a:off x="784" y="0"/>
                          <a:ext cx="3959860" cy="395986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Isosceles Triangle 7"/>
                      <wps:cNvSpPr/>
                      <wps:spPr>
                        <a:xfrm rot="5400000" flipH="1">
                          <a:off x="-593725" y="609259"/>
                          <a:ext cx="2610485" cy="1423035"/>
                        </a:xfrm>
                        <a:prstGeom prst="triangle">
                          <a:avLst>
                            <a:gd name="adj" fmla="val 4603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B61313" id="Group 3" o:spid="_x0000_s1026" alt="&quot;&quot;" style="position:absolute;margin-left:-.55pt;margin-top:-245.1pt;width:280.7pt;height:280.65pt;z-index:251658242;mso-position-horizontal-relative:page;mso-width-relative:margin;mso-height-relative:margin" coordsize="39606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7" type="#_x0000_t6" style="position:absolute;left:7;width:39599;height:39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" fillcolor="#f2f2f2 [3052]" stroked="f" strokeweight="2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8" type="#_x0000_t5" style="position:absolute;left:-5938;top:6093;width:26105;height:1423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" adj="9943" fillcolor="#d8d8d8 [2732]" stroked="f" strokeweight="2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5FFC" w14:textId="77777777" w:rsidR="000E5131" w:rsidRDefault="000E5131" w:rsidP="00575CC3">
      <w:pPr>
        <w:spacing w:after="0" w:line="240" w:lineRule="auto"/>
      </w:pPr>
      <w:r>
        <w:separator/>
      </w:r>
    </w:p>
  </w:footnote>
  <w:footnote w:type="continuationSeparator" w:id="0">
    <w:p w14:paraId="5EC414D4" w14:textId="77777777" w:rsidR="000E5131" w:rsidRDefault="000E5131" w:rsidP="00575CC3">
      <w:pPr>
        <w:spacing w:after="0" w:line="240" w:lineRule="auto"/>
      </w:pPr>
      <w:r>
        <w:continuationSeparator/>
      </w:r>
    </w:p>
  </w:footnote>
  <w:footnote w:type="continuationNotice" w:id="1">
    <w:p w14:paraId="303E40DA" w14:textId="77777777" w:rsidR="00055BAA" w:rsidRDefault="00055B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F21" w14:textId="463DC8C6" w:rsidR="00830B58" w:rsidRDefault="00E826C9" w:rsidP="00830B58">
    <w:pPr>
      <w:pStyle w:val="Heading1"/>
      <w:tabs>
        <w:tab w:val="left" w:pos="820"/>
      </w:tabs>
    </w:pPr>
    <w:r>
      <w:rPr>
        <w:rFonts w:cs="Arial"/>
        <w:b w:val="0"/>
        <w:noProof/>
        <w:color w:val="E30918"/>
        <w:sz w:val="52"/>
        <w:szCs w:val="52"/>
        <w14:ligatures w14:val="none"/>
      </w:rPr>
      <w:drawing>
        <wp:anchor distT="0" distB="0" distL="114300" distR="114300" simplePos="0" relativeHeight="251658240" behindDoc="1" locked="0" layoutInCell="1" allowOverlap="1" wp14:anchorId="6F97AE15" wp14:editId="362B7B53">
          <wp:simplePos x="0" y="0"/>
          <wp:positionH relativeFrom="column">
            <wp:posOffset>0</wp:posOffset>
          </wp:positionH>
          <wp:positionV relativeFrom="page">
            <wp:posOffset>410210</wp:posOffset>
          </wp:positionV>
          <wp:extent cx="2048400" cy="435600"/>
          <wp:effectExtent l="0" t="0" r="0" b="3175"/>
          <wp:wrapTight wrapText="bothSides">
            <wp:wrapPolygon edited="0">
              <wp:start x="0" y="0"/>
              <wp:lineTo x="0" y="20812"/>
              <wp:lineTo x="21299" y="20812"/>
              <wp:lineTo x="21299" y="0"/>
              <wp:lineTo x="0" y="0"/>
            </wp:wrapPolygon>
          </wp:wrapTight>
          <wp:docPr id="1574023112" name="Picture 15740231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02311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2119" w14:textId="6BD821E1" w:rsidR="00E77B43" w:rsidRPr="000D3B39" w:rsidRDefault="00751170" w:rsidP="00F252F4">
    <w:pPr>
      <w:pStyle w:val="Header"/>
      <w:jc w:val="right"/>
      <w:rPr>
        <w:b/>
        <w:bCs/>
      </w:rPr>
    </w:pPr>
    <w:r w:rsidRPr="00237AB3">
      <w:rPr>
        <w:rFonts w:cs="Arial"/>
        <w:b/>
        <w:bCs/>
        <w:noProof/>
        <w:color w:val="E30918"/>
        <w:sz w:val="52"/>
        <w:szCs w:val="52"/>
      </w:rPr>
      <w:drawing>
        <wp:anchor distT="0" distB="0" distL="114300" distR="114300" simplePos="0" relativeHeight="251658243" behindDoc="1" locked="0" layoutInCell="1" allowOverlap="1" wp14:anchorId="0093D322" wp14:editId="170EE948">
          <wp:simplePos x="0" y="0"/>
          <wp:positionH relativeFrom="margin">
            <wp:align>left</wp:align>
          </wp:positionH>
          <wp:positionV relativeFrom="page">
            <wp:posOffset>408940</wp:posOffset>
          </wp:positionV>
          <wp:extent cx="2047875" cy="434975"/>
          <wp:effectExtent l="0" t="0" r="9525" b="3175"/>
          <wp:wrapTight wrapText="bothSides">
            <wp:wrapPolygon edited="0">
              <wp:start x="0" y="0"/>
              <wp:lineTo x="0" y="20812"/>
              <wp:lineTo x="21500" y="20812"/>
              <wp:lineTo x="21500" y="0"/>
              <wp:lineTo x="0" y="0"/>
            </wp:wrapPolygon>
          </wp:wrapTight>
          <wp:docPr id="1361743575" name="Picture 136174357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4357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B43" w:rsidRPr="00237AB3">
      <w:rPr>
        <w:rFonts w:cs="Arial"/>
        <w:b/>
        <w:bCs/>
        <w:noProof/>
        <w:color w:val="E30918"/>
        <w:sz w:val="52"/>
        <w:szCs w:val="52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7985D41" wp14:editId="2F891FE7">
              <wp:simplePos x="0" y="0"/>
              <wp:positionH relativeFrom="column">
                <wp:posOffset>3252470</wp:posOffset>
              </wp:positionH>
              <wp:positionV relativeFrom="page">
                <wp:posOffset>-772160</wp:posOffset>
              </wp:positionV>
              <wp:extent cx="5719445" cy="2800985"/>
              <wp:effectExtent l="0" t="0" r="0" b="0"/>
              <wp:wrapNone/>
              <wp:docPr id="656548353" name="Isosceles Triangle 6565483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719445" cy="2800985"/>
                      </a:xfrm>
                      <a:prstGeom prst="triangle">
                        <a:avLst/>
                      </a:prstGeom>
                      <a:solidFill>
                        <a:srgbClr val="F406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38D4D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656548353" o:spid="_x0000_s1026" type="#_x0000_t5" alt="&quot;&quot;" style="position:absolute;margin-left:256.1pt;margin-top:-60.8pt;width:450.35pt;height:220.55pt;rotation:180;z-index:-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" fillcolor="#f40609" stroked="f" strokeweight="2pt">
              <w10:wrap anchory="page"/>
            </v:shape>
          </w:pict>
        </mc:Fallback>
      </mc:AlternateContent>
    </w:r>
    <w:r w:rsidR="000D3B39" w:rsidRPr="00237AB3">
      <w:rPr>
        <w:rFonts w:cs="Arial"/>
        <w:b/>
        <w:bCs/>
        <w:color w:val="FFFFFF" w:themeColor="background1"/>
        <w:sz w:val="52"/>
        <w:szCs w:val="52"/>
      </w:rPr>
      <w:t>P</w:t>
    </w:r>
    <w:r w:rsidR="00C00B53" w:rsidRPr="00237AB3">
      <w:rPr>
        <w:rFonts w:cs="Arial"/>
        <w:b/>
        <w:bCs/>
        <w:color w:val="FFFFFF" w:themeColor="background1"/>
        <w:sz w:val="52"/>
        <w:szCs w:val="52"/>
      </w:rPr>
      <w:t>r</w:t>
    </w:r>
    <w:r w:rsidR="000D3B39" w:rsidRPr="00237AB3">
      <w:rPr>
        <w:rFonts w:cs="Arial"/>
        <w:b/>
        <w:bCs/>
        <w:color w:val="FFFFFF" w:themeColor="background1"/>
        <w:sz w:val="52"/>
        <w:szCs w:val="52"/>
      </w:rPr>
      <w:t>oc</w:t>
    </w:r>
    <w:r w:rsidR="00C00B53" w:rsidRPr="00237AB3">
      <w:rPr>
        <w:rFonts w:cs="Arial"/>
        <w:b/>
        <w:bCs/>
        <w:color w:val="FFFFFF" w:themeColor="background1"/>
        <w:sz w:val="52"/>
        <w:szCs w:val="52"/>
      </w:rPr>
      <w:t>edure</w:t>
    </w:r>
    <w:r w:rsidR="000D3B39">
      <w:rPr>
        <w:rFonts w:ascii="Arial" w:hAnsi="Arial" w:cs="Arial"/>
        <w:b/>
        <w:bCs/>
        <w:color w:val="FFFFFF" w:themeColor="background1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209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6748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02D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34C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96AF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32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12C6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C0C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DA6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A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D0C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E3C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3A04FD5"/>
    <w:multiLevelType w:val="multilevel"/>
    <w:tmpl w:val="A2AA0012"/>
    <w:styleLink w:val="CurrentList3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49740E"/>
    <w:multiLevelType w:val="hybridMultilevel"/>
    <w:tmpl w:val="2CA412E0"/>
    <w:lvl w:ilvl="0" w:tplc="EDEC2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FC16FC"/>
    <w:multiLevelType w:val="hybridMultilevel"/>
    <w:tmpl w:val="0BCE26F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8485B27"/>
    <w:multiLevelType w:val="multilevel"/>
    <w:tmpl w:val="8530EB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0B197CD8"/>
    <w:multiLevelType w:val="multilevel"/>
    <w:tmpl w:val="5DC0F13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B6144AC"/>
    <w:multiLevelType w:val="hybridMultilevel"/>
    <w:tmpl w:val="D5D013FA"/>
    <w:lvl w:ilvl="0" w:tplc="EDEC25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51F30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FD676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E30918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FCA746B"/>
    <w:multiLevelType w:val="hybridMultilevel"/>
    <w:tmpl w:val="E0DE2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147B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65D3347"/>
    <w:multiLevelType w:val="hybridMultilevel"/>
    <w:tmpl w:val="CF267D6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9ED46DA"/>
    <w:multiLevelType w:val="hybridMultilevel"/>
    <w:tmpl w:val="9C3420C0"/>
    <w:lvl w:ilvl="0" w:tplc="EDEC2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F72CFE"/>
    <w:multiLevelType w:val="multilevel"/>
    <w:tmpl w:val="96FE215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5D3D99"/>
    <w:multiLevelType w:val="hybridMultilevel"/>
    <w:tmpl w:val="EAAC45AE"/>
    <w:lvl w:ilvl="0" w:tplc="3A4E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801810"/>
    <w:multiLevelType w:val="hybridMultilevel"/>
    <w:tmpl w:val="B5D08E70"/>
    <w:lvl w:ilvl="0" w:tplc="2FD676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E7CEC"/>
    <w:multiLevelType w:val="hybridMultilevel"/>
    <w:tmpl w:val="E6BA03DE"/>
    <w:lvl w:ilvl="0" w:tplc="A042B54E">
      <w:start w:val="1"/>
      <w:numFmt w:val="decimal"/>
      <w:lvlText w:val="%1."/>
      <w:lvlJc w:val="left"/>
      <w:pPr>
        <w:ind w:left="720" w:hanging="360"/>
      </w:pPr>
      <w:rPr>
        <w:color w:val="E51F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02806"/>
    <w:multiLevelType w:val="hybridMultilevel"/>
    <w:tmpl w:val="CB12002A"/>
    <w:lvl w:ilvl="0" w:tplc="2F762D24">
      <w:start w:val="1"/>
      <w:numFmt w:val="bullet"/>
      <w:lvlText w:val=""/>
      <w:lvlJc w:val="left"/>
      <w:pPr>
        <w:ind w:left="433" w:hanging="433"/>
      </w:pPr>
      <w:rPr>
        <w:rFonts w:ascii="Symbol" w:hAnsi="Symbol"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15922"/>
    <w:multiLevelType w:val="multilevel"/>
    <w:tmpl w:val="6B143B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28" w15:restartNumberingAfterBreak="0">
    <w:nsid w:val="2E6504CA"/>
    <w:multiLevelType w:val="hybridMultilevel"/>
    <w:tmpl w:val="C33E93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BF5EC8"/>
    <w:multiLevelType w:val="multilevel"/>
    <w:tmpl w:val="F0A0E086"/>
    <w:styleLink w:val="CurrentList5"/>
    <w:lvl w:ilvl="0">
      <w:start w:val="1"/>
      <w:numFmt w:val="bullet"/>
      <w:lvlText w:val=""/>
      <w:lvlJc w:val="left"/>
      <w:pPr>
        <w:ind w:left="717" w:hanging="717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A21683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61A34E5"/>
    <w:multiLevelType w:val="multilevel"/>
    <w:tmpl w:val="A2AA0012"/>
    <w:styleLink w:val="CurrentList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BB5232"/>
    <w:multiLevelType w:val="hybridMultilevel"/>
    <w:tmpl w:val="027A77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8511AB"/>
    <w:multiLevelType w:val="hybridMultilevel"/>
    <w:tmpl w:val="943C2C62"/>
    <w:lvl w:ilvl="0" w:tplc="EDEC25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51F3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C217BA6"/>
    <w:multiLevelType w:val="hybridMultilevel"/>
    <w:tmpl w:val="F62CBBB2"/>
    <w:lvl w:ilvl="0" w:tplc="7A2C719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FB5E9B"/>
    <w:multiLevelType w:val="multilevel"/>
    <w:tmpl w:val="8E4C7B96"/>
    <w:lvl w:ilvl="0">
      <w:start w:val="1"/>
      <w:numFmt w:val="decimal"/>
      <w:lvlText w:val="%1."/>
      <w:lvlJc w:val="left"/>
      <w:pPr>
        <w:ind w:left="720" w:hanging="360"/>
      </w:pPr>
      <w:rPr>
        <w:rFonts w:ascii="FoundrySterling-Light" w:hAnsi="FoundrySterling-Light"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D70F48"/>
    <w:multiLevelType w:val="multilevel"/>
    <w:tmpl w:val="718C61DA"/>
    <w:styleLink w:val="CurrentList6"/>
    <w:lvl w:ilvl="0">
      <w:start w:val="1"/>
      <w:numFmt w:val="decimal"/>
      <w:lvlText w:val="%1."/>
      <w:lvlJc w:val="left"/>
      <w:pPr>
        <w:ind w:left="567" w:hanging="207"/>
      </w:pPr>
      <w:rPr>
        <w:rFonts w:ascii="Griffith Sans Text" w:hAnsi="Griffith Sans Text" w:cs="Arial" w:hint="default"/>
        <w:color w:val="E51F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83189A"/>
    <w:multiLevelType w:val="hybridMultilevel"/>
    <w:tmpl w:val="6728D2B8"/>
    <w:lvl w:ilvl="0" w:tplc="975E68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217059B"/>
    <w:multiLevelType w:val="hybridMultilevel"/>
    <w:tmpl w:val="0254C00C"/>
    <w:lvl w:ilvl="0" w:tplc="4CD4D1F8">
      <w:start w:val="1"/>
      <w:numFmt w:val="bullet"/>
      <w:pStyle w:val="ListParagraph"/>
      <w:lvlText w:val=""/>
      <w:lvlJc w:val="left"/>
      <w:pPr>
        <w:ind w:left="433" w:hanging="433"/>
      </w:pPr>
      <w:rPr>
        <w:rFonts w:ascii="Symbol" w:hAnsi="Symbol"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930D8A"/>
    <w:multiLevelType w:val="multilevel"/>
    <w:tmpl w:val="DFB84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96702E"/>
    <w:multiLevelType w:val="multilevel"/>
    <w:tmpl w:val="E23E1C56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E309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C452C"/>
    <w:multiLevelType w:val="hybridMultilevel"/>
    <w:tmpl w:val="984ADE7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51F30"/>
      </w:rPr>
    </w:lvl>
    <w:lvl w:ilvl="1" w:tplc="0C090017">
      <w:start w:val="1"/>
      <w:numFmt w:val="lowerLetter"/>
      <w:lvlText w:val="%2)"/>
      <w:lvlJc w:val="left"/>
      <w:pPr>
        <w:ind w:left="1494" w:hanging="360"/>
      </w:p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E30918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BA2519"/>
    <w:multiLevelType w:val="multilevel"/>
    <w:tmpl w:val="E50A4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43" w15:restartNumberingAfterBreak="0">
    <w:nsid w:val="784F466E"/>
    <w:multiLevelType w:val="multilevel"/>
    <w:tmpl w:val="5442D44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D2A1B0A"/>
    <w:multiLevelType w:val="hybridMultilevel"/>
    <w:tmpl w:val="DCB00214"/>
    <w:lvl w:ilvl="0" w:tplc="2BB2AB80">
      <w:start w:val="1"/>
      <w:numFmt w:val="decimal"/>
      <w:lvlText w:val="%1."/>
      <w:lvlJc w:val="left"/>
      <w:pPr>
        <w:ind w:left="567" w:hanging="207"/>
      </w:pPr>
      <w:rPr>
        <w:rFonts w:ascii="Griffith Sans Text" w:hAnsi="Griffith Sans Text" w:cs="Arial" w:hint="default"/>
        <w:color w:val="E51F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77392">
    <w:abstractNumId w:val="34"/>
  </w:num>
  <w:num w:numId="2" w16cid:durableId="396825147">
    <w:abstractNumId w:val="44"/>
  </w:num>
  <w:num w:numId="3" w16cid:durableId="1304701530">
    <w:abstractNumId w:val="39"/>
  </w:num>
  <w:num w:numId="4" w16cid:durableId="352269857">
    <w:abstractNumId w:val="35"/>
  </w:num>
  <w:num w:numId="5" w16cid:durableId="1640375799">
    <w:abstractNumId w:val="19"/>
  </w:num>
  <w:num w:numId="6" w16cid:durableId="282806425">
    <w:abstractNumId w:val="11"/>
  </w:num>
  <w:num w:numId="7" w16cid:durableId="11499526">
    <w:abstractNumId w:val="0"/>
  </w:num>
  <w:num w:numId="8" w16cid:durableId="974262011">
    <w:abstractNumId w:val="1"/>
  </w:num>
  <w:num w:numId="9" w16cid:durableId="670838881">
    <w:abstractNumId w:val="2"/>
  </w:num>
  <w:num w:numId="10" w16cid:durableId="1500076090">
    <w:abstractNumId w:val="3"/>
  </w:num>
  <w:num w:numId="11" w16cid:durableId="2034839024">
    <w:abstractNumId w:val="4"/>
  </w:num>
  <w:num w:numId="12" w16cid:durableId="1866287719">
    <w:abstractNumId w:val="9"/>
  </w:num>
  <w:num w:numId="13" w16cid:durableId="1445615780">
    <w:abstractNumId w:val="5"/>
  </w:num>
  <w:num w:numId="14" w16cid:durableId="824932073">
    <w:abstractNumId w:val="6"/>
  </w:num>
  <w:num w:numId="15" w16cid:durableId="1030226476">
    <w:abstractNumId w:val="7"/>
  </w:num>
  <w:num w:numId="16" w16cid:durableId="686830347">
    <w:abstractNumId w:val="8"/>
  </w:num>
  <w:num w:numId="17" w16cid:durableId="760877918">
    <w:abstractNumId w:val="10"/>
  </w:num>
  <w:num w:numId="18" w16cid:durableId="1927572751">
    <w:abstractNumId w:val="30"/>
  </w:num>
  <w:num w:numId="19" w16cid:durableId="1511336397">
    <w:abstractNumId w:val="40"/>
  </w:num>
  <w:num w:numId="20" w16cid:durableId="1666785443">
    <w:abstractNumId w:val="12"/>
  </w:num>
  <w:num w:numId="21" w16cid:durableId="1708486012">
    <w:abstractNumId w:val="31"/>
  </w:num>
  <w:num w:numId="22" w16cid:durableId="831220188">
    <w:abstractNumId w:val="26"/>
  </w:num>
  <w:num w:numId="23" w16cid:durableId="1621642287">
    <w:abstractNumId w:val="29"/>
  </w:num>
  <w:num w:numId="24" w16cid:durableId="1833176348">
    <w:abstractNumId w:val="36"/>
  </w:num>
  <w:num w:numId="25" w16cid:durableId="1126041565">
    <w:abstractNumId w:val="38"/>
  </w:num>
  <w:num w:numId="26" w16cid:durableId="1098252483">
    <w:abstractNumId w:val="22"/>
  </w:num>
  <w:num w:numId="27" w16cid:durableId="1930380739">
    <w:abstractNumId w:val="15"/>
  </w:num>
  <w:num w:numId="28" w16cid:durableId="871302621">
    <w:abstractNumId w:val="16"/>
  </w:num>
  <w:num w:numId="29" w16cid:durableId="991954021">
    <w:abstractNumId w:val="43"/>
  </w:num>
  <w:num w:numId="30" w16cid:durableId="218833091">
    <w:abstractNumId w:val="17"/>
  </w:num>
  <w:num w:numId="31" w16cid:durableId="66726597">
    <w:abstractNumId w:val="37"/>
  </w:num>
  <w:num w:numId="32" w16cid:durableId="1786579993">
    <w:abstractNumId w:val="42"/>
  </w:num>
  <w:num w:numId="33" w16cid:durableId="1071662295">
    <w:abstractNumId w:val="24"/>
  </w:num>
  <w:num w:numId="34" w16cid:durableId="944117931">
    <w:abstractNumId w:val="23"/>
  </w:num>
  <w:num w:numId="35" w16cid:durableId="754860717">
    <w:abstractNumId w:val="21"/>
  </w:num>
  <w:num w:numId="36" w16cid:durableId="177352507">
    <w:abstractNumId w:val="25"/>
  </w:num>
  <w:num w:numId="37" w16cid:durableId="205606250">
    <w:abstractNumId w:val="28"/>
  </w:num>
  <w:num w:numId="38" w16cid:durableId="1468162544">
    <w:abstractNumId w:val="18"/>
  </w:num>
  <w:num w:numId="39" w16cid:durableId="494805997">
    <w:abstractNumId w:val="14"/>
  </w:num>
  <w:num w:numId="40" w16cid:durableId="1925142735">
    <w:abstractNumId w:val="33"/>
  </w:num>
  <w:num w:numId="41" w16cid:durableId="1536498250">
    <w:abstractNumId w:val="41"/>
  </w:num>
  <w:num w:numId="42" w16cid:durableId="1858229674">
    <w:abstractNumId w:val="27"/>
  </w:num>
  <w:num w:numId="43" w16cid:durableId="931353702">
    <w:abstractNumId w:val="13"/>
  </w:num>
  <w:num w:numId="44" w16cid:durableId="1624799617">
    <w:abstractNumId w:val="20"/>
  </w:num>
  <w:num w:numId="45" w16cid:durableId="196630681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F"/>
    <w:rsid w:val="00000632"/>
    <w:rsid w:val="00001B5F"/>
    <w:rsid w:val="00011B1B"/>
    <w:rsid w:val="00015EC4"/>
    <w:rsid w:val="00021EFB"/>
    <w:rsid w:val="00033F9F"/>
    <w:rsid w:val="00034496"/>
    <w:rsid w:val="00040160"/>
    <w:rsid w:val="00046299"/>
    <w:rsid w:val="00047EA7"/>
    <w:rsid w:val="00052590"/>
    <w:rsid w:val="00055BAA"/>
    <w:rsid w:val="0006473D"/>
    <w:rsid w:val="000652A0"/>
    <w:rsid w:val="00067836"/>
    <w:rsid w:val="000728E0"/>
    <w:rsid w:val="000760A1"/>
    <w:rsid w:val="00083FFC"/>
    <w:rsid w:val="00091E5E"/>
    <w:rsid w:val="000B17D8"/>
    <w:rsid w:val="000B192C"/>
    <w:rsid w:val="000B71D9"/>
    <w:rsid w:val="000C0E96"/>
    <w:rsid w:val="000C57B7"/>
    <w:rsid w:val="000C7000"/>
    <w:rsid w:val="000D1C61"/>
    <w:rsid w:val="000D3B39"/>
    <w:rsid w:val="000E01AE"/>
    <w:rsid w:val="000E5131"/>
    <w:rsid w:val="000F1CE9"/>
    <w:rsid w:val="000F5EB6"/>
    <w:rsid w:val="000F7677"/>
    <w:rsid w:val="00103826"/>
    <w:rsid w:val="00104FF2"/>
    <w:rsid w:val="001065DE"/>
    <w:rsid w:val="00117DCE"/>
    <w:rsid w:val="001308C3"/>
    <w:rsid w:val="001520D3"/>
    <w:rsid w:val="00154994"/>
    <w:rsid w:val="00160E25"/>
    <w:rsid w:val="0016404C"/>
    <w:rsid w:val="00164E41"/>
    <w:rsid w:val="00170E32"/>
    <w:rsid w:val="001800F9"/>
    <w:rsid w:val="001868B0"/>
    <w:rsid w:val="0019459E"/>
    <w:rsid w:val="001968C3"/>
    <w:rsid w:val="001A124A"/>
    <w:rsid w:val="001A64A0"/>
    <w:rsid w:val="001A66AF"/>
    <w:rsid w:val="001B0B36"/>
    <w:rsid w:val="001C05D8"/>
    <w:rsid w:val="001C0955"/>
    <w:rsid w:val="001C1A51"/>
    <w:rsid w:val="001C76EC"/>
    <w:rsid w:val="001E1BEE"/>
    <w:rsid w:val="001E1ED9"/>
    <w:rsid w:val="001F271E"/>
    <w:rsid w:val="001F2B57"/>
    <w:rsid w:val="001F636F"/>
    <w:rsid w:val="00201B8F"/>
    <w:rsid w:val="00207FC2"/>
    <w:rsid w:val="002151D5"/>
    <w:rsid w:val="00221E52"/>
    <w:rsid w:val="00221FEC"/>
    <w:rsid w:val="002257C2"/>
    <w:rsid w:val="00225E04"/>
    <w:rsid w:val="00237AB3"/>
    <w:rsid w:val="002439DB"/>
    <w:rsid w:val="00251974"/>
    <w:rsid w:val="00257D7C"/>
    <w:rsid w:val="00261945"/>
    <w:rsid w:val="002622A9"/>
    <w:rsid w:val="00264ECA"/>
    <w:rsid w:val="002665AF"/>
    <w:rsid w:val="00267CCA"/>
    <w:rsid w:val="00274580"/>
    <w:rsid w:val="00291234"/>
    <w:rsid w:val="002A0717"/>
    <w:rsid w:val="002A3E0E"/>
    <w:rsid w:val="002B29ED"/>
    <w:rsid w:val="002B2DAF"/>
    <w:rsid w:val="002B35C9"/>
    <w:rsid w:val="002B6908"/>
    <w:rsid w:val="002C1FB6"/>
    <w:rsid w:val="002D20C0"/>
    <w:rsid w:val="002D21A9"/>
    <w:rsid w:val="002D233F"/>
    <w:rsid w:val="002E2B77"/>
    <w:rsid w:val="002E568B"/>
    <w:rsid w:val="002E6FC9"/>
    <w:rsid w:val="002F0131"/>
    <w:rsid w:val="002F186F"/>
    <w:rsid w:val="002F2307"/>
    <w:rsid w:val="002F3C8B"/>
    <w:rsid w:val="002F4CA3"/>
    <w:rsid w:val="002F6E0E"/>
    <w:rsid w:val="0031180B"/>
    <w:rsid w:val="0031333E"/>
    <w:rsid w:val="00330E67"/>
    <w:rsid w:val="00334090"/>
    <w:rsid w:val="00334B56"/>
    <w:rsid w:val="00343D34"/>
    <w:rsid w:val="0035677A"/>
    <w:rsid w:val="00360D4B"/>
    <w:rsid w:val="003654D8"/>
    <w:rsid w:val="00366283"/>
    <w:rsid w:val="00386EA0"/>
    <w:rsid w:val="00395AD8"/>
    <w:rsid w:val="003A74D3"/>
    <w:rsid w:val="003D6AAD"/>
    <w:rsid w:val="003E2390"/>
    <w:rsid w:val="003F7778"/>
    <w:rsid w:val="0040296F"/>
    <w:rsid w:val="00410ED5"/>
    <w:rsid w:val="00421B70"/>
    <w:rsid w:val="004238EF"/>
    <w:rsid w:val="004344DE"/>
    <w:rsid w:val="00441285"/>
    <w:rsid w:val="004415C7"/>
    <w:rsid w:val="00456A0E"/>
    <w:rsid w:val="0046665F"/>
    <w:rsid w:val="00466DD2"/>
    <w:rsid w:val="004713AA"/>
    <w:rsid w:val="00474CA9"/>
    <w:rsid w:val="00481C9C"/>
    <w:rsid w:val="00482467"/>
    <w:rsid w:val="0048248F"/>
    <w:rsid w:val="00484C1B"/>
    <w:rsid w:val="004922AF"/>
    <w:rsid w:val="00493EC2"/>
    <w:rsid w:val="00496A60"/>
    <w:rsid w:val="004A00B5"/>
    <w:rsid w:val="004A1751"/>
    <w:rsid w:val="004A708C"/>
    <w:rsid w:val="004B2C98"/>
    <w:rsid w:val="004B784E"/>
    <w:rsid w:val="004C69B3"/>
    <w:rsid w:val="004C75C6"/>
    <w:rsid w:val="004D24FC"/>
    <w:rsid w:val="004D5E3C"/>
    <w:rsid w:val="004E1818"/>
    <w:rsid w:val="004E594B"/>
    <w:rsid w:val="004E7EF9"/>
    <w:rsid w:val="0050449E"/>
    <w:rsid w:val="005051B1"/>
    <w:rsid w:val="00516206"/>
    <w:rsid w:val="005224CD"/>
    <w:rsid w:val="00522BA9"/>
    <w:rsid w:val="00530F69"/>
    <w:rsid w:val="00541A95"/>
    <w:rsid w:val="00552F80"/>
    <w:rsid w:val="00553466"/>
    <w:rsid w:val="005554CF"/>
    <w:rsid w:val="005572C3"/>
    <w:rsid w:val="005632E8"/>
    <w:rsid w:val="00564540"/>
    <w:rsid w:val="0056680F"/>
    <w:rsid w:val="005746E7"/>
    <w:rsid w:val="00575CC3"/>
    <w:rsid w:val="00584AE9"/>
    <w:rsid w:val="005926AC"/>
    <w:rsid w:val="0059325A"/>
    <w:rsid w:val="00593F30"/>
    <w:rsid w:val="005B0483"/>
    <w:rsid w:val="005B1942"/>
    <w:rsid w:val="005B5B91"/>
    <w:rsid w:val="005B6220"/>
    <w:rsid w:val="005C3E98"/>
    <w:rsid w:val="005D08AF"/>
    <w:rsid w:val="005D1898"/>
    <w:rsid w:val="005D7EA1"/>
    <w:rsid w:val="005E3228"/>
    <w:rsid w:val="005E5813"/>
    <w:rsid w:val="005F014A"/>
    <w:rsid w:val="0060012F"/>
    <w:rsid w:val="00603BCC"/>
    <w:rsid w:val="0061147C"/>
    <w:rsid w:val="00613014"/>
    <w:rsid w:val="00625385"/>
    <w:rsid w:val="00625E9C"/>
    <w:rsid w:val="006467E3"/>
    <w:rsid w:val="00647A1D"/>
    <w:rsid w:val="006519D0"/>
    <w:rsid w:val="00654CFD"/>
    <w:rsid w:val="00654E97"/>
    <w:rsid w:val="0065502D"/>
    <w:rsid w:val="0067432D"/>
    <w:rsid w:val="006906E6"/>
    <w:rsid w:val="006A0D50"/>
    <w:rsid w:val="006A16D3"/>
    <w:rsid w:val="006A4837"/>
    <w:rsid w:val="006A5781"/>
    <w:rsid w:val="006A7083"/>
    <w:rsid w:val="006A7F5C"/>
    <w:rsid w:val="006B61C2"/>
    <w:rsid w:val="006C42D8"/>
    <w:rsid w:val="006C594F"/>
    <w:rsid w:val="006D10A5"/>
    <w:rsid w:val="006D7CAB"/>
    <w:rsid w:val="006E18F3"/>
    <w:rsid w:val="006E7342"/>
    <w:rsid w:val="006F4576"/>
    <w:rsid w:val="006F4919"/>
    <w:rsid w:val="0070341D"/>
    <w:rsid w:val="007066FB"/>
    <w:rsid w:val="00716737"/>
    <w:rsid w:val="007225FE"/>
    <w:rsid w:val="00724189"/>
    <w:rsid w:val="00732202"/>
    <w:rsid w:val="00734916"/>
    <w:rsid w:val="00736216"/>
    <w:rsid w:val="007418A5"/>
    <w:rsid w:val="00746A0E"/>
    <w:rsid w:val="00751170"/>
    <w:rsid w:val="007512F5"/>
    <w:rsid w:val="00763E65"/>
    <w:rsid w:val="00764D3B"/>
    <w:rsid w:val="007720B7"/>
    <w:rsid w:val="00772928"/>
    <w:rsid w:val="00785535"/>
    <w:rsid w:val="00786706"/>
    <w:rsid w:val="00790080"/>
    <w:rsid w:val="00791C73"/>
    <w:rsid w:val="007A183B"/>
    <w:rsid w:val="007A1AED"/>
    <w:rsid w:val="007B5079"/>
    <w:rsid w:val="007B700A"/>
    <w:rsid w:val="007C0260"/>
    <w:rsid w:val="007C37DE"/>
    <w:rsid w:val="007D1C4B"/>
    <w:rsid w:val="007D4084"/>
    <w:rsid w:val="007D4B90"/>
    <w:rsid w:val="007E37D3"/>
    <w:rsid w:val="007E4E51"/>
    <w:rsid w:val="007E7C86"/>
    <w:rsid w:val="007F3429"/>
    <w:rsid w:val="008011BC"/>
    <w:rsid w:val="008044B4"/>
    <w:rsid w:val="00806598"/>
    <w:rsid w:val="00811AE1"/>
    <w:rsid w:val="00811F90"/>
    <w:rsid w:val="008122F0"/>
    <w:rsid w:val="00816D8A"/>
    <w:rsid w:val="00820F73"/>
    <w:rsid w:val="008239FE"/>
    <w:rsid w:val="00825029"/>
    <w:rsid w:val="00830B58"/>
    <w:rsid w:val="00840C83"/>
    <w:rsid w:val="00842E6F"/>
    <w:rsid w:val="008605D5"/>
    <w:rsid w:val="0086570C"/>
    <w:rsid w:val="00865E12"/>
    <w:rsid w:val="00871911"/>
    <w:rsid w:val="00871C38"/>
    <w:rsid w:val="00871D81"/>
    <w:rsid w:val="008735AB"/>
    <w:rsid w:val="008776AD"/>
    <w:rsid w:val="008A4F60"/>
    <w:rsid w:val="008B6956"/>
    <w:rsid w:val="008C05CD"/>
    <w:rsid w:val="008C300D"/>
    <w:rsid w:val="008C5983"/>
    <w:rsid w:val="008D0A1C"/>
    <w:rsid w:val="008D2294"/>
    <w:rsid w:val="008D57B3"/>
    <w:rsid w:val="008F2DE0"/>
    <w:rsid w:val="00904689"/>
    <w:rsid w:val="00913A1A"/>
    <w:rsid w:val="00915E22"/>
    <w:rsid w:val="0092371D"/>
    <w:rsid w:val="00941205"/>
    <w:rsid w:val="00946822"/>
    <w:rsid w:val="00947015"/>
    <w:rsid w:val="0095172A"/>
    <w:rsid w:val="009518A2"/>
    <w:rsid w:val="00961ACB"/>
    <w:rsid w:val="00966619"/>
    <w:rsid w:val="009670D8"/>
    <w:rsid w:val="00983DA0"/>
    <w:rsid w:val="009933D9"/>
    <w:rsid w:val="00993A5D"/>
    <w:rsid w:val="009A401F"/>
    <w:rsid w:val="009A4600"/>
    <w:rsid w:val="009B37D4"/>
    <w:rsid w:val="009B6B0A"/>
    <w:rsid w:val="009C10A2"/>
    <w:rsid w:val="009C1E14"/>
    <w:rsid w:val="009C2FEF"/>
    <w:rsid w:val="009C5A4B"/>
    <w:rsid w:val="009C7B84"/>
    <w:rsid w:val="009D2761"/>
    <w:rsid w:val="009E11AD"/>
    <w:rsid w:val="009E2594"/>
    <w:rsid w:val="009E6537"/>
    <w:rsid w:val="009F074C"/>
    <w:rsid w:val="009F56F5"/>
    <w:rsid w:val="009F693D"/>
    <w:rsid w:val="009F6D27"/>
    <w:rsid w:val="00A03B53"/>
    <w:rsid w:val="00A10384"/>
    <w:rsid w:val="00A129EA"/>
    <w:rsid w:val="00A144B2"/>
    <w:rsid w:val="00A15D12"/>
    <w:rsid w:val="00A3242E"/>
    <w:rsid w:val="00A45BDF"/>
    <w:rsid w:val="00A50780"/>
    <w:rsid w:val="00A55F73"/>
    <w:rsid w:val="00A56091"/>
    <w:rsid w:val="00A5683C"/>
    <w:rsid w:val="00A57044"/>
    <w:rsid w:val="00A74789"/>
    <w:rsid w:val="00A82ADB"/>
    <w:rsid w:val="00AA12A3"/>
    <w:rsid w:val="00AA188E"/>
    <w:rsid w:val="00AA391D"/>
    <w:rsid w:val="00AB00BF"/>
    <w:rsid w:val="00AC1EA9"/>
    <w:rsid w:val="00AD3B17"/>
    <w:rsid w:val="00AE11DE"/>
    <w:rsid w:val="00AE36C9"/>
    <w:rsid w:val="00AE4387"/>
    <w:rsid w:val="00AF5791"/>
    <w:rsid w:val="00AF719E"/>
    <w:rsid w:val="00B11F04"/>
    <w:rsid w:val="00B24AD5"/>
    <w:rsid w:val="00B25332"/>
    <w:rsid w:val="00B26F8D"/>
    <w:rsid w:val="00B332CB"/>
    <w:rsid w:val="00B42BD2"/>
    <w:rsid w:val="00B47BB0"/>
    <w:rsid w:val="00B508D5"/>
    <w:rsid w:val="00B52233"/>
    <w:rsid w:val="00B66181"/>
    <w:rsid w:val="00B82F08"/>
    <w:rsid w:val="00B9062A"/>
    <w:rsid w:val="00B94585"/>
    <w:rsid w:val="00BB2A3C"/>
    <w:rsid w:val="00BB5130"/>
    <w:rsid w:val="00BB58D7"/>
    <w:rsid w:val="00BC1883"/>
    <w:rsid w:val="00BD26DB"/>
    <w:rsid w:val="00BE0DBF"/>
    <w:rsid w:val="00BF387D"/>
    <w:rsid w:val="00C00B53"/>
    <w:rsid w:val="00C03728"/>
    <w:rsid w:val="00C07C7C"/>
    <w:rsid w:val="00C155A1"/>
    <w:rsid w:val="00C22059"/>
    <w:rsid w:val="00C23095"/>
    <w:rsid w:val="00C2475A"/>
    <w:rsid w:val="00C31251"/>
    <w:rsid w:val="00C32760"/>
    <w:rsid w:val="00C4026A"/>
    <w:rsid w:val="00C577E2"/>
    <w:rsid w:val="00C62871"/>
    <w:rsid w:val="00C76573"/>
    <w:rsid w:val="00C77710"/>
    <w:rsid w:val="00C80060"/>
    <w:rsid w:val="00C82133"/>
    <w:rsid w:val="00CA1972"/>
    <w:rsid w:val="00CA6305"/>
    <w:rsid w:val="00CA6AC5"/>
    <w:rsid w:val="00CA75B5"/>
    <w:rsid w:val="00CB435B"/>
    <w:rsid w:val="00CD119B"/>
    <w:rsid w:val="00CD68E1"/>
    <w:rsid w:val="00CF4794"/>
    <w:rsid w:val="00CF611B"/>
    <w:rsid w:val="00CF6FF3"/>
    <w:rsid w:val="00D042D8"/>
    <w:rsid w:val="00D101CB"/>
    <w:rsid w:val="00D25E65"/>
    <w:rsid w:val="00D434E9"/>
    <w:rsid w:val="00D500F6"/>
    <w:rsid w:val="00D5046D"/>
    <w:rsid w:val="00D532D6"/>
    <w:rsid w:val="00D9134A"/>
    <w:rsid w:val="00DA2384"/>
    <w:rsid w:val="00DA2D28"/>
    <w:rsid w:val="00DB0FC8"/>
    <w:rsid w:val="00DB76F9"/>
    <w:rsid w:val="00DB7E17"/>
    <w:rsid w:val="00DD6067"/>
    <w:rsid w:val="00DE1756"/>
    <w:rsid w:val="00DE45C5"/>
    <w:rsid w:val="00DF3DF3"/>
    <w:rsid w:val="00E14D21"/>
    <w:rsid w:val="00E15C50"/>
    <w:rsid w:val="00E166E0"/>
    <w:rsid w:val="00E20D0C"/>
    <w:rsid w:val="00E21C52"/>
    <w:rsid w:val="00E233BB"/>
    <w:rsid w:val="00E633D7"/>
    <w:rsid w:val="00E65234"/>
    <w:rsid w:val="00E67BB3"/>
    <w:rsid w:val="00E702F7"/>
    <w:rsid w:val="00E7138A"/>
    <w:rsid w:val="00E77B43"/>
    <w:rsid w:val="00E826C9"/>
    <w:rsid w:val="00E9677E"/>
    <w:rsid w:val="00EA50A4"/>
    <w:rsid w:val="00EA6C74"/>
    <w:rsid w:val="00EA768F"/>
    <w:rsid w:val="00EB67A0"/>
    <w:rsid w:val="00EB7614"/>
    <w:rsid w:val="00EB7EA9"/>
    <w:rsid w:val="00EC5612"/>
    <w:rsid w:val="00ED4B4B"/>
    <w:rsid w:val="00ED6047"/>
    <w:rsid w:val="00EE1B96"/>
    <w:rsid w:val="00EE310F"/>
    <w:rsid w:val="00EE3570"/>
    <w:rsid w:val="00EE7384"/>
    <w:rsid w:val="00EF0887"/>
    <w:rsid w:val="00EF1247"/>
    <w:rsid w:val="00F04562"/>
    <w:rsid w:val="00F073B9"/>
    <w:rsid w:val="00F252F4"/>
    <w:rsid w:val="00F2780F"/>
    <w:rsid w:val="00F311DC"/>
    <w:rsid w:val="00F41383"/>
    <w:rsid w:val="00F5144F"/>
    <w:rsid w:val="00F54199"/>
    <w:rsid w:val="00F55C18"/>
    <w:rsid w:val="00F719CF"/>
    <w:rsid w:val="00F71CDF"/>
    <w:rsid w:val="00F74238"/>
    <w:rsid w:val="00F7432A"/>
    <w:rsid w:val="00F80692"/>
    <w:rsid w:val="00F81A67"/>
    <w:rsid w:val="00F82C4C"/>
    <w:rsid w:val="00FA2481"/>
    <w:rsid w:val="00FA2CC9"/>
    <w:rsid w:val="00FA2D28"/>
    <w:rsid w:val="00FA6AC6"/>
    <w:rsid w:val="00FB180D"/>
    <w:rsid w:val="00FB329E"/>
    <w:rsid w:val="00FC2CDB"/>
    <w:rsid w:val="00FC349F"/>
    <w:rsid w:val="00FC6899"/>
    <w:rsid w:val="00FD349F"/>
    <w:rsid w:val="00FE60E5"/>
    <w:rsid w:val="00FF586B"/>
    <w:rsid w:val="0AFFFB42"/>
    <w:rsid w:val="17ED296B"/>
    <w:rsid w:val="18B918E0"/>
    <w:rsid w:val="1D8C8A03"/>
    <w:rsid w:val="1FBB8AFB"/>
    <w:rsid w:val="20C42AC5"/>
    <w:rsid w:val="225FFB26"/>
    <w:rsid w:val="240C317D"/>
    <w:rsid w:val="28D72A30"/>
    <w:rsid w:val="2C0ECAF2"/>
    <w:rsid w:val="2F466BB4"/>
    <w:rsid w:val="2F4D294F"/>
    <w:rsid w:val="355899A1"/>
    <w:rsid w:val="38242AA9"/>
    <w:rsid w:val="436ECAD6"/>
    <w:rsid w:val="49DE0C5A"/>
    <w:rsid w:val="57005232"/>
    <w:rsid w:val="65FF8275"/>
    <w:rsid w:val="67E35933"/>
    <w:rsid w:val="69317A8B"/>
    <w:rsid w:val="73A8736A"/>
    <w:rsid w:val="73FD7ED2"/>
    <w:rsid w:val="76B3B46F"/>
    <w:rsid w:val="771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255D3"/>
  <w15:docId w15:val="{3CD504D1-2ABC-4342-BD91-D7732732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70D8"/>
    <w:rPr>
      <w:rFonts w:ascii="Griffith Sans Text" w:hAnsi="Griffith Sans Text" w:cs="Times New Roman (Body CS)"/>
      <w:kern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2D8"/>
    <w:pPr>
      <w:keepNext/>
      <w:keepLines/>
      <w:spacing w:before="480" w:after="0"/>
      <w:outlineLvl w:val="0"/>
    </w:pPr>
    <w:rPr>
      <w:rFonts w:ascii="Griffith Serif Text" w:eastAsiaTheme="majorEastAsia" w:hAnsi="Griffith Serif Text" w:cs="Times New Roman (Headings CS)"/>
      <w:b/>
      <w:bCs/>
      <w:color w:val="E51F30"/>
      <w:sz w:val="48"/>
      <w:szCs w:val="28"/>
      <w14:ligatures w14:val="al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2D8"/>
    <w:pPr>
      <w:keepNext/>
      <w:keepLines/>
      <w:spacing w:before="200" w:after="120"/>
      <w:outlineLvl w:val="1"/>
    </w:pPr>
    <w:rPr>
      <w:rFonts w:ascii="Griffith Serif Text" w:eastAsiaTheme="majorEastAsia" w:hAnsi="Griffith Serif Text" w:cs="Times New Roman (Headings CS)"/>
      <w:b/>
      <w:bCs/>
      <w:iCs/>
      <w:color w:val="E51F30"/>
      <w:sz w:val="32"/>
      <w:szCs w:val="26"/>
      <w14:ligatures w14:val="al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8E0"/>
    <w:pPr>
      <w:keepNext/>
      <w:keepLines/>
      <w:spacing w:before="200" w:after="0"/>
      <w:outlineLvl w:val="2"/>
    </w:pPr>
    <w:rPr>
      <w:rFonts w:ascii="Griffith Serif Text" w:eastAsiaTheme="majorEastAsia" w:hAnsi="Griffith Serif Text" w:cs="Times New Roman (Headings CS)"/>
      <w:b/>
      <w:bCs/>
      <w:color w:val="E51F30"/>
      <w:sz w:val="28"/>
      <w14:ligatures w14:val="al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D28"/>
    <w:pPr>
      <w:keepNext/>
      <w:keepLines/>
      <w:spacing w:before="200" w:after="120"/>
      <w:outlineLvl w:val="3"/>
    </w:pPr>
    <w:rPr>
      <w:rFonts w:eastAsiaTheme="majorEastAsia" w:cs="Times New Roman (Headings CS)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2D28"/>
    <w:pPr>
      <w:keepNext/>
      <w:keepLines/>
      <w:spacing w:before="200" w:after="120"/>
      <w:outlineLvl w:val="4"/>
    </w:pPr>
    <w:rPr>
      <w:rFonts w:eastAsiaTheme="majorEastAsia" w:cs="Times New Roman (Headings CS)"/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35"/>
    <w:pPr>
      <w:keepNext/>
      <w:keepLines/>
      <w:spacing w:before="200" w:after="0"/>
      <w:outlineLvl w:val="5"/>
    </w:pPr>
    <w:rPr>
      <w:rFonts w:eastAsiaTheme="majorEastAsia" w:cs="Times New Roman (Headings CS)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576"/>
    <w:pPr>
      <w:spacing w:before="240" w:after="60"/>
      <w:outlineLvl w:val="6"/>
    </w:pPr>
    <w:rPr>
      <w:rFonts w:eastAsiaTheme="minorEastAsia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576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576"/>
    <w:pPr>
      <w:spacing w:before="240" w:after="60"/>
      <w:outlineLvl w:val="8"/>
    </w:pPr>
    <w:rPr>
      <w:rFonts w:eastAsiaTheme="majorEastAsia" w:cs="Times New Roman (Headings CS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42D8"/>
    <w:rPr>
      <w:rFonts w:ascii="Griffith Serif Text" w:eastAsiaTheme="majorEastAsia" w:hAnsi="Griffith Serif Text" w:cs="Times New Roman (Headings CS)"/>
      <w:b/>
      <w:bCs/>
      <w:color w:val="E51F30"/>
      <w:kern w:val="2"/>
      <w:sz w:val="48"/>
      <w:szCs w:val="28"/>
      <w14:ligatures w14:val="all"/>
    </w:rPr>
  </w:style>
  <w:style w:type="character" w:customStyle="1" w:styleId="Heading2Char">
    <w:name w:val="Heading 2 Char"/>
    <w:link w:val="Heading2"/>
    <w:uiPriority w:val="9"/>
    <w:rsid w:val="006C42D8"/>
    <w:rPr>
      <w:rFonts w:ascii="Griffith Serif Text" w:eastAsiaTheme="majorEastAsia" w:hAnsi="Griffith Serif Text" w:cs="Times New Roman (Headings CS)"/>
      <w:b/>
      <w:bCs/>
      <w:iCs/>
      <w:color w:val="E51F30"/>
      <w:kern w:val="2"/>
      <w:sz w:val="32"/>
      <w:szCs w:val="26"/>
      <w14:ligatures w14:val="all"/>
    </w:rPr>
  </w:style>
  <w:style w:type="character" w:customStyle="1" w:styleId="Heading3Char">
    <w:name w:val="Heading 3 Char"/>
    <w:link w:val="Heading3"/>
    <w:uiPriority w:val="9"/>
    <w:rsid w:val="000728E0"/>
    <w:rPr>
      <w:rFonts w:ascii="Griffith Serif Text" w:eastAsiaTheme="majorEastAsia" w:hAnsi="Griffith Serif Text" w:cs="Times New Roman (Headings CS)"/>
      <w:b/>
      <w:bCs/>
      <w:color w:val="E51F30"/>
      <w:kern w:val="2"/>
      <w:sz w:val="28"/>
      <w14:ligatures w14:val="all"/>
    </w:rPr>
  </w:style>
  <w:style w:type="character" w:customStyle="1" w:styleId="Heading4Char">
    <w:name w:val="Heading 4 Char"/>
    <w:link w:val="Heading4"/>
    <w:uiPriority w:val="9"/>
    <w:rsid w:val="00FA2D28"/>
    <w:rPr>
      <w:rFonts w:ascii="Griffith Sans Text" w:eastAsiaTheme="majorEastAsia" w:hAnsi="Griffith Sans Text" w:cs="Times New Roman (Headings CS)"/>
      <w:b/>
      <w:bCs/>
      <w:iCs/>
      <w:kern w:val="2"/>
      <w:sz w:val="24"/>
    </w:rPr>
  </w:style>
  <w:style w:type="character" w:customStyle="1" w:styleId="Heading5Char">
    <w:name w:val="Heading 5 Char"/>
    <w:link w:val="Heading5"/>
    <w:uiPriority w:val="9"/>
    <w:rsid w:val="00FA2D28"/>
    <w:rPr>
      <w:rFonts w:ascii="Griffith Sans Text" w:eastAsiaTheme="majorEastAsia" w:hAnsi="Griffith Sans Text" w:cs="Times New Roman (Headings CS)"/>
      <w:b/>
      <w:kern w:val="2"/>
      <w:sz w:val="20"/>
    </w:rPr>
  </w:style>
  <w:style w:type="numbering" w:customStyle="1" w:styleId="CurrentList4">
    <w:name w:val="Current List4"/>
    <w:uiPriority w:val="99"/>
    <w:rsid w:val="00B26F8D"/>
    <w:pPr>
      <w:numPr>
        <w:numId w:val="21"/>
      </w:numPr>
    </w:pPr>
  </w:style>
  <w:style w:type="character" w:customStyle="1" w:styleId="Heading6Char">
    <w:name w:val="Heading 6 Char"/>
    <w:link w:val="Heading6"/>
    <w:uiPriority w:val="9"/>
    <w:semiHidden/>
    <w:rsid w:val="00785535"/>
    <w:rPr>
      <w:rFonts w:ascii="Griffith Sans Text" w:eastAsiaTheme="majorEastAsia" w:hAnsi="Griffith Sans Text" w:cs="Times New Roman (Headings CS)"/>
      <w:i/>
      <w:iCs/>
      <w:kern w:val="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4576"/>
    <w:pPr>
      <w:spacing w:after="300" w:line="240" w:lineRule="auto"/>
      <w:contextualSpacing/>
    </w:pPr>
    <w:rPr>
      <w:rFonts w:ascii="Griffith Serif Text" w:eastAsiaTheme="majorEastAsia" w:hAnsi="Griffith Serif Text" w:cs="Times New Roman (Headings CS)"/>
      <w:b/>
      <w:color w:val="E51F30"/>
      <w:spacing w:val="5"/>
      <w:sz w:val="24"/>
      <w:szCs w:val="52"/>
    </w:rPr>
  </w:style>
  <w:style w:type="character" w:customStyle="1" w:styleId="TitleChar">
    <w:name w:val="Title Char"/>
    <w:link w:val="Title"/>
    <w:uiPriority w:val="10"/>
    <w:rsid w:val="006F4576"/>
    <w:rPr>
      <w:rFonts w:ascii="Griffith Serif Text" w:eastAsiaTheme="majorEastAsia" w:hAnsi="Griffith Serif Text" w:cs="Times New Roman (Headings CS)"/>
      <w:b/>
      <w:color w:val="E51F30"/>
      <w:spacing w:val="5"/>
      <w:kern w:val="2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F4576"/>
    <w:pPr>
      <w:numPr>
        <w:ilvl w:val="1"/>
      </w:numPr>
    </w:pPr>
    <w:rPr>
      <w:i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6F4576"/>
    <w:rPr>
      <w:rFonts w:ascii="Griffith Sans Text" w:hAnsi="Griffith Sans Text" w:cs="Times New Roman (Body CS)"/>
      <w:i/>
      <w:iCs/>
      <w:spacing w:val="15"/>
      <w:kern w:val="2"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4576"/>
    <w:rPr>
      <w:rFonts w:ascii="Griffith Sans Text" w:eastAsiaTheme="minorEastAsia" w:hAnsi="Griffith Sans Text" w:cs="Times New Roman (Body CS)"/>
      <w:kern w:val="2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576"/>
    <w:rPr>
      <w:rFonts w:ascii="Griffith Sans Text" w:eastAsiaTheme="minorEastAsia" w:hAnsi="Griffith Sans Text" w:cs="Times New Roman (Body CS)"/>
      <w:i/>
      <w:iCs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4576"/>
    <w:rPr>
      <w:rFonts w:ascii="Griffith Sans Text" w:eastAsiaTheme="majorEastAsia" w:hAnsi="Griffith Sans Text" w:cs="Times New Roman (Headings CS)"/>
      <w:i/>
      <w:kern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4576"/>
    <w:rPr>
      <w:bCs/>
      <w:sz w:val="16"/>
      <w:szCs w:val="20"/>
    </w:rPr>
  </w:style>
  <w:style w:type="character" w:styleId="Strong">
    <w:name w:val="Strong"/>
    <w:basedOn w:val="DefaultParagraphFont"/>
    <w:uiPriority w:val="22"/>
    <w:rsid w:val="006F4576"/>
    <w:rPr>
      <w:b/>
      <w:bCs/>
    </w:rPr>
  </w:style>
  <w:style w:type="character" w:styleId="Emphasis">
    <w:name w:val="Emphasis"/>
    <w:uiPriority w:val="20"/>
    <w:rsid w:val="00575CC3"/>
    <w:rPr>
      <w:i/>
      <w:iCs/>
    </w:rPr>
  </w:style>
  <w:style w:type="paragraph" w:styleId="ListParagraph">
    <w:name w:val="List Paragraph"/>
    <w:basedOn w:val="Normal"/>
    <w:uiPriority w:val="34"/>
    <w:qFormat/>
    <w:rsid w:val="008C5983"/>
    <w:pPr>
      <w:numPr>
        <w:numId w:val="25"/>
      </w:numPr>
    </w:pPr>
    <w:rPr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575C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CC3"/>
    <w:rPr>
      <w:rFonts w:ascii="FoundrySterling-Light" w:hAnsi="FoundrySterling-Light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48248F"/>
    <w:pPr>
      <w:pBdr>
        <w:bottom w:val="single" w:sz="4" w:space="4" w:color="DA1E12"/>
      </w:pBdr>
      <w:spacing w:before="200" w:after="280"/>
      <w:ind w:left="936" w:right="936"/>
    </w:pPr>
    <w:rPr>
      <w:b/>
      <w:bCs/>
      <w:i/>
      <w:iCs/>
      <w:color w:val="E51F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48F"/>
    <w:rPr>
      <w:rFonts w:ascii="Griffith Sans Text" w:hAnsi="Griffith Sans Text" w:cs="Times New Roman (Body CS)"/>
      <w:b/>
      <w:bCs/>
      <w:i/>
      <w:iCs/>
      <w:color w:val="E51F30"/>
      <w:kern w:val="2"/>
      <w:sz w:val="20"/>
    </w:rPr>
  </w:style>
  <w:style w:type="character" w:styleId="SubtleEmphasis">
    <w:name w:val="Subtle Emphasis"/>
    <w:uiPriority w:val="19"/>
    <w:rsid w:val="00575CC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8248F"/>
    <w:rPr>
      <w:b/>
      <w:bCs/>
      <w:i/>
      <w:iCs/>
      <w:color w:val="E51F30"/>
    </w:rPr>
  </w:style>
  <w:style w:type="character" w:styleId="SubtleReference">
    <w:name w:val="Subtle Reference"/>
    <w:uiPriority w:val="31"/>
    <w:rsid w:val="0048248F"/>
    <w:rPr>
      <w:smallCaps/>
      <w:color w:val="E51F30"/>
      <w:u w:val="single"/>
    </w:rPr>
  </w:style>
  <w:style w:type="character" w:styleId="IntenseReference">
    <w:name w:val="Intense Reference"/>
    <w:uiPriority w:val="32"/>
    <w:rsid w:val="0048248F"/>
    <w:rPr>
      <w:b/>
      <w:bCs/>
      <w:smallCaps/>
      <w:color w:val="E51F30"/>
      <w:spacing w:val="5"/>
      <w:u w:val="single"/>
    </w:rPr>
  </w:style>
  <w:style w:type="character" w:styleId="BookTitle">
    <w:name w:val="Book Title"/>
    <w:uiPriority w:val="33"/>
    <w:rsid w:val="00575C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C3"/>
    <w:pPr>
      <w:keepLines w:val="0"/>
      <w:spacing w:before="240" w:after="60"/>
      <w:outlineLvl w:val="9"/>
    </w:pPr>
    <w:rPr>
      <w:rFonts w:asciiTheme="majorHAnsi" w:hAnsiTheme="majorHAnsi"/>
      <w:caps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404C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404C"/>
    <w:rPr>
      <w:rFonts w:ascii="Griffith Sans Text" w:hAnsi="Griffith Sans Text" w:cs="Times New Roman (Body CS)"/>
      <w:kern w:val="2"/>
      <w:sz w:val="16"/>
    </w:rPr>
  </w:style>
  <w:style w:type="numbering" w:customStyle="1" w:styleId="CurrentList3">
    <w:name w:val="Current List3"/>
    <w:uiPriority w:val="99"/>
    <w:rsid w:val="00EB67A0"/>
    <w:pPr>
      <w:numPr>
        <w:numId w:val="20"/>
      </w:numPr>
    </w:pPr>
  </w:style>
  <w:style w:type="paragraph" w:styleId="Footer">
    <w:name w:val="footer"/>
    <w:basedOn w:val="Normal"/>
    <w:link w:val="FooterChar"/>
    <w:uiPriority w:val="99"/>
    <w:unhideWhenUsed/>
    <w:rsid w:val="009F074C"/>
    <w:pPr>
      <w:tabs>
        <w:tab w:val="center" w:pos="4513"/>
        <w:tab w:val="right" w:pos="9026"/>
      </w:tabs>
      <w:spacing w:after="0" w:line="240" w:lineRule="auto"/>
    </w:pPr>
  </w:style>
  <w:style w:type="numbering" w:customStyle="1" w:styleId="CurrentList5">
    <w:name w:val="Current List5"/>
    <w:uiPriority w:val="99"/>
    <w:rsid w:val="0050449E"/>
    <w:pPr>
      <w:numPr>
        <w:numId w:val="23"/>
      </w:numPr>
    </w:pPr>
  </w:style>
  <w:style w:type="paragraph" w:customStyle="1" w:styleId="blockquote">
    <w:name w:val="block quote"/>
    <w:basedOn w:val="Normal"/>
    <w:link w:val="blockquoteChar"/>
    <w:qFormat/>
    <w:rsid w:val="00CA6305"/>
    <w:pPr>
      <w:spacing w:before="120" w:after="240" w:line="240" w:lineRule="auto"/>
      <w:ind w:left="454" w:right="454"/>
    </w:pPr>
  </w:style>
  <w:style w:type="numbering" w:customStyle="1" w:styleId="CurrentList6">
    <w:name w:val="Current List6"/>
    <w:uiPriority w:val="99"/>
    <w:rsid w:val="0050449E"/>
    <w:pPr>
      <w:numPr>
        <w:numId w:val="24"/>
      </w:numPr>
    </w:pPr>
  </w:style>
  <w:style w:type="character" w:customStyle="1" w:styleId="blockquoteChar">
    <w:name w:val="block quote Char"/>
    <w:basedOn w:val="DefaultParagraphFont"/>
    <w:link w:val="blockquote"/>
    <w:rsid w:val="00CA6305"/>
    <w:rPr>
      <w:rFonts w:ascii="Griffith Sans Text" w:hAnsi="Griffith Sans Text" w:cs="Times New Roman (Body CS)"/>
      <w:kern w:val="2"/>
      <w:sz w:val="18"/>
    </w:rPr>
  </w:style>
  <w:style w:type="paragraph" w:customStyle="1" w:styleId="Numberedlist">
    <w:name w:val="Numbered list"/>
    <w:basedOn w:val="ListParagraph"/>
    <w:qFormat/>
    <w:rsid w:val="008C5983"/>
    <w:pPr>
      <w:numPr>
        <w:numId w:val="0"/>
      </w:numPr>
    </w:pPr>
  </w:style>
  <w:style w:type="paragraph" w:styleId="BlockText">
    <w:name w:val="Block Text"/>
    <w:basedOn w:val="Normal"/>
    <w:uiPriority w:val="99"/>
    <w:semiHidden/>
    <w:unhideWhenUsed/>
    <w:rsid w:val="008122F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E30918"/>
    </w:rPr>
  </w:style>
  <w:style w:type="character" w:styleId="FollowedHyperlink">
    <w:name w:val="FollowedHyperlink"/>
    <w:basedOn w:val="DefaultParagraphFont"/>
    <w:uiPriority w:val="99"/>
    <w:semiHidden/>
    <w:unhideWhenUsed/>
    <w:rsid w:val="00360D4B"/>
    <w:rPr>
      <w:color w:val="7F7F7F" w:themeColor="text1" w:themeTint="80"/>
      <w:u w:val="single"/>
    </w:rPr>
  </w:style>
  <w:style w:type="character" w:styleId="Hyperlink">
    <w:name w:val="Hyperlink"/>
    <w:basedOn w:val="DefaultParagraphFont"/>
    <w:uiPriority w:val="99"/>
    <w:unhideWhenUsed/>
    <w:rsid w:val="00225E04"/>
    <w:rPr>
      <w:color w:val="E30918"/>
      <w:u w:val="none"/>
    </w:rPr>
  </w:style>
  <w:style w:type="character" w:styleId="Mention">
    <w:name w:val="Mention"/>
    <w:basedOn w:val="DefaultParagraphFont"/>
    <w:uiPriority w:val="99"/>
    <w:unhideWhenUsed/>
    <w:rsid w:val="00360D4B"/>
    <w:rPr>
      <w:color w:val="E30918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4576"/>
  </w:style>
  <w:style w:type="numbering" w:customStyle="1" w:styleId="CurrentList1">
    <w:name w:val="Current List1"/>
    <w:uiPriority w:val="99"/>
    <w:rsid w:val="0048248F"/>
    <w:pPr>
      <w:numPr>
        <w:numId w:val="18"/>
      </w:numPr>
    </w:pPr>
  </w:style>
  <w:style w:type="numbering" w:customStyle="1" w:styleId="CurrentList2">
    <w:name w:val="Current List2"/>
    <w:uiPriority w:val="99"/>
    <w:rsid w:val="00267CCA"/>
    <w:pPr>
      <w:numPr>
        <w:numId w:val="19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6F4576"/>
    <w:pPr>
      <w:spacing w:after="100"/>
    </w:pPr>
  </w:style>
  <w:style w:type="numbering" w:customStyle="1" w:styleId="CurrentList7">
    <w:name w:val="Current List7"/>
    <w:uiPriority w:val="99"/>
    <w:rsid w:val="008C5983"/>
    <w:pPr>
      <w:numPr>
        <w:numId w:val="2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F074C"/>
    <w:rPr>
      <w:rFonts w:ascii="Griffith Sans Text" w:hAnsi="Griffith Sans Text" w:cs="Times New Roman (Body CS)"/>
      <w:kern w:val="2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A144B2"/>
  </w:style>
  <w:style w:type="paragraph" w:customStyle="1" w:styleId="NormalWhite">
    <w:name w:val="Normal (White)"/>
    <w:basedOn w:val="Normal"/>
    <w:qFormat/>
    <w:rsid w:val="00A144B2"/>
    <w:pPr>
      <w:jc w:val="both"/>
    </w:pPr>
    <w:rPr>
      <w:rFonts w:ascii="Arial" w:hAnsi="Arial" w:cstheme="minorBidi"/>
      <w:color w:val="FFFFFF" w:themeColor="background1"/>
      <w:kern w:val="0"/>
      <w:sz w:val="20"/>
      <w:u w:color="F04E45"/>
    </w:rPr>
  </w:style>
  <w:style w:type="character" w:customStyle="1" w:styleId="normaltextrun">
    <w:name w:val="normaltextrun"/>
    <w:basedOn w:val="DefaultParagraphFont"/>
    <w:rsid w:val="00A144B2"/>
  </w:style>
  <w:style w:type="table" w:styleId="TableGrid">
    <w:name w:val="Table Grid"/>
    <w:basedOn w:val="TableNormal"/>
    <w:uiPriority w:val="59"/>
    <w:rsid w:val="00E7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E77B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77B43"/>
    <w:pPr>
      <w:spacing w:before="20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7B43"/>
    <w:rPr>
      <w:rFonts w:ascii="Calibri" w:eastAsia="Times New Roman" w:hAnsi="Calibri" w:cs="Times New Roman"/>
      <w:sz w:val="20"/>
      <w:szCs w:val="20"/>
    </w:rPr>
  </w:style>
  <w:style w:type="character" w:customStyle="1" w:styleId="ui-provider">
    <w:name w:val="ui-provider"/>
    <w:basedOn w:val="DefaultParagraphFont"/>
    <w:rsid w:val="00E77B43"/>
  </w:style>
  <w:style w:type="character" w:styleId="UnresolvedMention">
    <w:name w:val="Unresolved Mention"/>
    <w:basedOn w:val="DefaultParagraphFont"/>
    <w:uiPriority w:val="99"/>
    <w:rsid w:val="007225F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B37D4"/>
    <w:pPr>
      <w:spacing w:after="0" w:line="240" w:lineRule="auto"/>
    </w:pPr>
    <w:rPr>
      <w:rFonts w:ascii="FOUNDRYSTERLING-BOOK" w:hAnsi="FOUNDRYSTERLING-BOOK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B37D4"/>
    <w:rPr>
      <w:rFonts w:ascii="FOUNDRYSTERLING-BOOK" w:hAnsi="FOUNDRYSTERLING-BOOK"/>
      <w:sz w:val="20"/>
    </w:rPr>
  </w:style>
  <w:style w:type="character" w:styleId="PlaceholderText">
    <w:name w:val="Placeholder Text"/>
    <w:basedOn w:val="DefaultParagraphFont"/>
    <w:uiPriority w:val="99"/>
    <w:semiHidden/>
    <w:rsid w:val="008735A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46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299"/>
    <w:rPr>
      <w:rFonts w:ascii="Griffith Sans Text" w:hAnsi="Griffith Sans Text" w:cs="Times New Roman (Body CS)"/>
      <w:kern w:val="2"/>
      <w:sz w:val="20"/>
      <w:szCs w:val="20"/>
    </w:rPr>
  </w:style>
  <w:style w:type="paragraph" w:styleId="Revision">
    <w:name w:val="Revision"/>
    <w:hidden/>
    <w:uiPriority w:val="99"/>
    <w:semiHidden/>
    <w:rsid w:val="001065DE"/>
    <w:pPr>
      <w:spacing w:after="0" w:line="240" w:lineRule="auto"/>
    </w:pPr>
    <w:rPr>
      <w:rFonts w:ascii="Griffith Sans Text" w:hAnsi="Griffith Sans Text" w:cs="Times New Roman (Body CS)"/>
      <w:kern w:val="2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5DE"/>
    <w:rPr>
      <w:rFonts w:ascii="Griffith Sans Text" w:hAnsi="Griffith Sans Text" w:cs="Times New Roman (Body CS)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lassic.austlii.edu.au/au/legis/cth/consol_act/fbtaa1986312/" TargetMode="External"/><Relationship Id="rId18" Type="http://schemas.openxmlformats.org/officeDocument/2006/relationships/hyperlink" Target="https://sharepointpubstor.blob.core.windows.net/policylibrary-prod/Hospitality%20and%20Entertainment%20Policy.pdf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intranet.secure.griffith.edu.au/finance/spending-and-receiving-money/concur/Completing-Attendee-Information-in-Concur-Quick-Guide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5.austlii.edu.au/au/legis/cth/consol_act/itaa1997240/index.html" TargetMode="External"/><Relationship Id="rId17" Type="http://schemas.openxmlformats.org/officeDocument/2006/relationships/hyperlink" Target="https://sharepointpubstor.blob.core.windows.net/policylibrary-prod/Gifts%20and%20Benefits%20Policy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harepointpubstor.blob.core.windows.net/policylibrary-prod/Fraud%20and%20Corruption%20Control%20Policy.pdf" TargetMode="External"/><Relationship Id="rId20" Type="http://schemas.openxmlformats.org/officeDocument/2006/relationships/hyperlink" Target="https://intranet.secure.griffith.edu.au/finance/spending-and-receiving-money/purchasing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ranet.secure.griffith.edu.au/finance/spending-and-receiving-money/concur/Completing-Attendee-Information-in-Concur-Quick-Guide.pdf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sharepointpubstor.blob.core.windows.net/policylibrary-prod/Conflict%20of%20Interest%20Policy.pdf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intranet.secure.griffith.edu.au/finance/spending-and-receiving-money/purchasing" TargetMode="External"/><Relationship Id="rId19" Type="http://schemas.openxmlformats.org/officeDocument/2006/relationships/hyperlink" Target="https://intranet.secure.griffith.edu.au/finance/taxation/DOC-Hospitality-and-Catering-Quick-Gui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arepointpubstor.blob.core.windows.net/policylibrary-prod/Code%20of%20Conduct.pdf" TargetMode="External"/><Relationship Id="rId22" Type="http://schemas.openxmlformats.org/officeDocument/2006/relationships/hyperlink" Target="https://intranet.secure.griffith.edu.au/finance/spending-and-receiving-money/spending-university-funds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FC67E7C0249B4845D88F6BDF2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543E-BEF1-4DE9-888E-1B6064EAEF9C}"/>
      </w:docPartPr>
      <w:docPartBody>
        <w:p w:rsidR="002D19FA" w:rsidRDefault="008011BC" w:rsidP="008011BC">
          <w:pPr>
            <w:pStyle w:val="7E3FC67E7C0249B4845D88F6BDF294755"/>
          </w:pPr>
          <w:r>
            <w:rPr>
              <w:rFonts w:ascii="Arial" w:hAnsi="Arial" w:cs="Arial"/>
              <w:sz w:val="20"/>
              <w:szCs w:val="24"/>
            </w:rPr>
            <w:t>Select an Audience</w:t>
          </w:r>
        </w:p>
      </w:docPartBody>
    </w:docPart>
    <w:docPart>
      <w:docPartPr>
        <w:name w:val="5895EF9B990741AE897416FB89EB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8D5C-94DA-4F25-9475-61AB9DE76CCB}"/>
      </w:docPartPr>
      <w:docPartBody>
        <w:p w:rsidR="002D19FA" w:rsidRDefault="008011BC" w:rsidP="008011BC">
          <w:pPr>
            <w:pStyle w:val="5895EF9B990741AE897416FB89EB4AC94"/>
          </w:pPr>
          <w:r>
            <w:rPr>
              <w:rFonts w:ascii="Arial" w:hAnsi="Arial" w:cs="Arial"/>
              <w:sz w:val="20"/>
              <w:szCs w:val="24"/>
            </w:rPr>
            <w:t>Select a Category</w:t>
          </w:r>
        </w:p>
      </w:docPartBody>
    </w:docPart>
    <w:docPart>
      <w:docPartPr>
        <w:name w:val="228893AC381244D1BE689B7FF13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9C1A-9793-4C7A-B201-A04136125D99}"/>
      </w:docPartPr>
      <w:docPartBody>
        <w:p w:rsidR="002D19FA" w:rsidRDefault="008011BC" w:rsidP="008011BC">
          <w:pPr>
            <w:pStyle w:val="228893AC381244D1BE689B7FF131A90F2"/>
          </w:pPr>
          <w:r>
            <w:rPr>
              <w:rFonts w:ascii="Arial" w:hAnsi="Arial" w:cs="Arial"/>
              <w:sz w:val="20"/>
              <w:szCs w:val="24"/>
              <w:lang w:val="en-GB"/>
            </w:rPr>
            <w:t>Select an Operational Policy Subcategory</w:t>
          </w:r>
        </w:p>
      </w:docPartBody>
    </w:docPart>
    <w:docPart>
      <w:docPartPr>
        <w:name w:val="95907F526AAB44608D3FF7BAF794E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B10C-CF0B-4CF9-9BC1-BA053114CEEE}"/>
      </w:docPartPr>
      <w:docPartBody>
        <w:p w:rsidR="002D19FA" w:rsidRDefault="008011BC" w:rsidP="008011BC">
          <w:pPr>
            <w:pStyle w:val="95907F526AAB44608D3FF7BAF794E6E01"/>
          </w:pPr>
          <w:r>
            <w:rPr>
              <w:rFonts w:ascii="Arial" w:hAnsi="Arial" w:cs="Arial"/>
              <w:sz w:val="20"/>
              <w:szCs w:val="24"/>
              <w:lang w:val="en-GB"/>
            </w:rPr>
            <w:t>Select a Governance Policy Subcategory</w:t>
          </w:r>
        </w:p>
      </w:docPartBody>
    </w:docPart>
    <w:docPart>
      <w:docPartPr>
        <w:name w:val="F2053069A3884FB7903D6C3F87A7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654D-8D35-4E80-87C6-864390C91D1E}"/>
      </w:docPartPr>
      <w:docPartBody>
        <w:p w:rsidR="002D19FA" w:rsidRDefault="008011BC" w:rsidP="008011BC">
          <w:pPr>
            <w:pStyle w:val="F2053069A3884FB7903D6C3F87A7221C"/>
          </w:pPr>
          <w:r>
            <w:rPr>
              <w:rFonts w:ascii="Arial" w:hAnsi="Arial" w:cs="Arial"/>
              <w:sz w:val="20"/>
              <w:szCs w:val="24"/>
            </w:rPr>
            <w:t>Select the relevant SDG</w:t>
          </w:r>
        </w:p>
      </w:docPartBody>
    </w:docPart>
    <w:docPart>
      <w:docPartPr>
        <w:name w:val="51D200499E654B60842EFC49E62E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0166-53B6-4E20-89A9-7D6BE1E01E01}"/>
      </w:docPartPr>
      <w:docPartBody>
        <w:p w:rsidR="002D19FA" w:rsidRDefault="008011BC" w:rsidP="008011BC">
          <w:pPr>
            <w:pStyle w:val="51D200499E654B60842EFC49E62ED952"/>
          </w:pPr>
          <w:r>
            <w:rPr>
              <w:rFonts w:ascii="Arial" w:hAnsi="Arial" w:cs="Arial"/>
              <w:sz w:val="20"/>
              <w:szCs w:val="24"/>
            </w:rPr>
            <w:t>Select the relevant SDG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riffith Sans Text">
    <w:altName w:val="Calibri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riffith Serif Text">
    <w:altName w:val="Calibri"/>
    <w:panose1 w:val="00000000000000000000"/>
    <w:charset w:val="00"/>
    <w:family w:val="modern"/>
    <w:notTrueType/>
    <w:pitch w:val="variable"/>
    <w:sig w:usb0="A00000EF" w:usb1="400084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BC"/>
    <w:rsid w:val="00041E21"/>
    <w:rsid w:val="000F25D8"/>
    <w:rsid w:val="00180DA7"/>
    <w:rsid w:val="00232549"/>
    <w:rsid w:val="002B6EE3"/>
    <w:rsid w:val="002D19FA"/>
    <w:rsid w:val="008011BC"/>
    <w:rsid w:val="008B45A8"/>
    <w:rsid w:val="008C4B6C"/>
    <w:rsid w:val="00AD34E9"/>
    <w:rsid w:val="00E4202B"/>
    <w:rsid w:val="00E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1BC"/>
    <w:rPr>
      <w:color w:val="808080"/>
    </w:rPr>
  </w:style>
  <w:style w:type="paragraph" w:customStyle="1" w:styleId="7E3FC67E7C0249B4845D88F6BDF294755">
    <w:name w:val="7E3FC67E7C0249B4845D88F6BDF294755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5895EF9B990741AE897416FB89EB4AC94">
    <w:name w:val="5895EF9B990741AE897416FB89EB4AC94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228893AC381244D1BE689B7FF131A90F2">
    <w:name w:val="228893AC381244D1BE689B7FF131A90F2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95907F526AAB44608D3FF7BAF794E6E01">
    <w:name w:val="95907F526AAB44608D3FF7BAF794E6E01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F2053069A3884FB7903D6C3F87A7221C">
    <w:name w:val="F2053069A3884FB7903D6C3F87A7221C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51D200499E654B60842EFC49E62ED952">
    <w:name w:val="51D200499E654B60842EFC49E62ED952"/>
    <w:rsid w:val="00801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c662e-0380-4817-843d-2c7e10d40c39">
      <Value>558</Value>
      <Value>114</Value>
      <Value>583</Value>
      <Value>526</Value>
      <Value>77</Value>
    </TaxCatchAll>
    <SharedWithUsers xmlns="b40c662e-0380-4817-843d-2c7e10d40c39">
      <UserInfo>
        <DisplayName>Hilda Yu</DisplayName>
        <AccountId>44</AccountId>
        <AccountType/>
      </UserInfo>
      <UserInfo>
        <DisplayName>Mark Buckle</DisplayName>
        <AccountId>47</AccountId>
        <AccountType/>
      </UserInfo>
    </SharedWithUsers>
    <PublishOn xmlns="2f261a70-825f-4a37-b7b5-f6ecc2f4c5fa">2024-02-21T03:59:08+00:00</PublishOn>
    <GlossaryGUIDS xmlns="2f261a70-825f-4a37-b7b5-f6ecc2f4c5fa" xsi:nil="true"/>
    <UpdateAzure xmlns="2f261a70-825f-4a37-b7b5-f6ecc2f4c5fa">No</UpdateAzure>
    <Attention xmlns="2f261a70-825f-4a37-b7b5-f6ecc2f4c5fa" xsi:nil="true"/>
    <f84964a8904e4defbc18e1b78d5d80c6 xmlns="2f261a70-825f-4a37-b7b5-f6ecc2f4c5fa">
      <Terms xmlns="http://schemas.microsoft.com/office/infopath/2007/PartnerControls"/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4aa22cf4-03a0-4167-aaa7-1894a1ac6b82</TermId>
        </TermInfo>
      </Terms>
    </l92b321e1c6d4932b3b7fc50f551e57a>
    <policysummary xmlns="2f261a70-825f-4a37-b7b5-f6ecc2f4c5fa">The purpose of this procedure is to guide appropriate spending of University money on hospitality and entertainment in accordance with the Hospitality and Entertainment Policy.</policysummary>
    <PolicyCategoryPath xmlns="2f261a70-825f-4a37-b7b5-f6ecc2f4c5fa">Operational</PolicyCategoryPath>
    <PolicyCategory0 xmlns="2f261a70-825f-4a37-b7b5-f6ecc2f4c5fa">General</PolicyCategory0>
    <docsort xmlns="2f261a70-825f-4a37-b7b5-f6ecc2f4c5fa" xsi:nil="true"/>
    <RecentlyPublished xmlns="2f261a70-825f-4a37-b7b5-f6ecc2f4c5fa">false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/>
    </cb2cae79e6954dd59be5b9155b36b74a>
    <GlossaryValues xmlns="2f261a70-825f-4a37-b7b5-f6ecc2f4c5fa" xsi:nil="true"/>
    <PolicyCategoryParent xmlns="2f261a70-825f-4a37-b7b5-f6ecc2f4c5fa">Operational</PolicyCategoryParent>
    <LastPublished xmlns="2f261a70-825f-4a37-b7b5-f6ecc2f4c5fa" xsi:nil="true"/>
    <doccomments xmlns="2f261a70-825f-4a37-b7b5-f6ecc2f4c5fa" xsi:nil="true"/>
    <datedeclared xmlns="2f261a70-825f-4a37-b7b5-f6ecc2f4c5fa">2024-02-20T14:00:00+00:00</datedeclared>
    <PrivatePolicy xmlns="2f261a70-825f-4a37-b7b5-f6ecc2f4c5fa">false</PrivatePolicy>
    <policyadvisor xmlns="2f261a70-825f-4a37-b7b5-f6ecc2f4c5fa">
      <UserInfo>
        <DisplayName>Mark Buckle</DisplayName>
        <AccountId>92</AccountId>
        <AccountType/>
      </UserInfo>
    </policyadvisor>
    <ldaa366a71354cc9a085959c4f1fc5d3 xmlns="2f261a70-825f-4a37-b7b5-f6ecc2f4c5fa">
      <Terms xmlns="http://schemas.microsoft.com/office/infopath/2007/PartnerControls"/>
    </ldaa366a71354cc9a085959c4f1fc5d3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45ee306d-49ae-43fa-a3ef-02f70754fd2d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</TermName>
          <TermId xmlns="http://schemas.microsoft.com/office/infopath/2007/PartnerControls">71ae2c77-9666-4d6a-a97b-3458c18553a0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2028</TermName>
          <TermId xmlns="http://schemas.microsoft.com/office/infopath/2007/PartnerControls">3482dbca-7716-46bb-b113-935721929a44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Financial Officer</TermName>
          <TermId xmlns="http://schemas.microsoft.com/office/infopath/2007/PartnerControls">59adb015-80f0-47d1-a2a2-01dc1e9132a8</TermId>
        </TermInfo>
      </Terms>
    </c4c72b675d9b4d35a824d1eba5c21e27>
    <extlink xmlns="2f261a70-825f-4a37-b7b5-f6ecc2f4c5fa">
      <Url xsi:nil="true"/>
      <Description xsi:nil="true"/>
    </ext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40652-C612-469F-A883-847B763E4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1a70-825f-4a37-b7b5-f6ecc2f4c5fa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1E057-6B15-4853-B8C3-1649F412ED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6e6b88c-8d12-40de-97ca-53d6a0947b55"/>
    <ds:schemaRef ds:uri="http://schemas.microsoft.com/office/2006/metadata/properties"/>
    <ds:schemaRef ds:uri="bacd1cd2-1dd3-4f11-98e6-3c5dee1c3255"/>
    <ds:schemaRef ds:uri="http://www.w3.org/XML/1998/namespace"/>
    <ds:schemaRef ds:uri="http://purl.org/dc/dcmitype/"/>
    <ds:schemaRef ds:uri="http://purl.org/dc/elements/1.1/"/>
    <ds:schemaRef ds:uri="b40c662e-0380-4817-843d-2c7e10d40c39"/>
    <ds:schemaRef ds:uri="2f261a70-825f-4a37-b7b5-f6ecc2f4c5fa"/>
  </ds:schemaRefs>
</ds:datastoreItem>
</file>

<file path=customXml/itemProps3.xml><?xml version="1.0" encoding="utf-8"?>
<ds:datastoreItem xmlns:ds="http://schemas.openxmlformats.org/officeDocument/2006/customXml" ds:itemID="{BD7A4176-EFE2-40B2-AFB5-B298F79ABAB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Privilege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1559</Words>
  <Characters>8891</Characters>
  <Application>Microsoft Office Word</Application>
  <DocSecurity>0</DocSecurity>
  <Lines>74</Lines>
  <Paragraphs>20</Paragraphs>
  <ScaleCrop>false</ScaleCrop>
  <Company>Griffith University</Company>
  <LinksUpToDate>false</LinksUpToDate>
  <CharactersWithSpaces>10430</CharactersWithSpaces>
  <SharedDoc>false</SharedDoc>
  <HLinks>
    <vt:vector size="126" baseType="variant">
      <vt:variant>
        <vt:i4>8192060</vt:i4>
      </vt:variant>
      <vt:variant>
        <vt:i4>60</vt:i4>
      </vt:variant>
      <vt:variant>
        <vt:i4>0</vt:i4>
      </vt:variant>
      <vt:variant>
        <vt:i4>5</vt:i4>
      </vt:variant>
      <vt:variant>
        <vt:lpwstr>https://intranet.secure.griffith.edu.au/finance/spending-and-receiving-money/spending-university-funds</vt:lpwstr>
      </vt:variant>
      <vt:variant>
        <vt:lpwstr/>
      </vt:variant>
      <vt:variant>
        <vt:i4>6029340</vt:i4>
      </vt:variant>
      <vt:variant>
        <vt:i4>57</vt:i4>
      </vt:variant>
      <vt:variant>
        <vt:i4>0</vt:i4>
      </vt:variant>
      <vt:variant>
        <vt:i4>5</vt:i4>
      </vt:variant>
      <vt:variant>
        <vt:lpwstr>https://intranet.secure.griffith.edu.au/finance/spending-and-receiving-money/concur/Completing-Attendee-Information-in-Concur-Quick-Guide.pdf</vt:lpwstr>
      </vt:variant>
      <vt:variant>
        <vt:lpwstr/>
      </vt:variant>
      <vt:variant>
        <vt:i4>3801200</vt:i4>
      </vt:variant>
      <vt:variant>
        <vt:i4>54</vt:i4>
      </vt:variant>
      <vt:variant>
        <vt:i4>0</vt:i4>
      </vt:variant>
      <vt:variant>
        <vt:i4>5</vt:i4>
      </vt:variant>
      <vt:variant>
        <vt:lpwstr>https://intranet.secure.griffith.edu.au/finance/spending-and-receiving-money/purchasing</vt:lpwstr>
      </vt:variant>
      <vt:variant>
        <vt:lpwstr/>
      </vt:variant>
      <vt:variant>
        <vt:i4>1310729</vt:i4>
      </vt:variant>
      <vt:variant>
        <vt:i4>51</vt:i4>
      </vt:variant>
      <vt:variant>
        <vt:i4>0</vt:i4>
      </vt:variant>
      <vt:variant>
        <vt:i4>5</vt:i4>
      </vt:variant>
      <vt:variant>
        <vt:lpwstr>https://intranet.secure.griffith.edu.au/finance/taxation/DOC-Hospitality-and-Catering-Quick-Guide.pdf</vt:lpwstr>
      </vt:variant>
      <vt:variant>
        <vt:lpwstr/>
      </vt:variant>
      <vt:variant>
        <vt:i4>196625</vt:i4>
      </vt:variant>
      <vt:variant>
        <vt:i4>48</vt:i4>
      </vt:variant>
      <vt:variant>
        <vt:i4>0</vt:i4>
      </vt:variant>
      <vt:variant>
        <vt:i4>5</vt:i4>
      </vt:variant>
      <vt:variant>
        <vt:lpwstr>https://sharepointpubstor.blob.core.windows.net/policylibrary-prod/Gifts and Benefits Policy.pdf</vt:lpwstr>
      </vt:variant>
      <vt:variant>
        <vt:lpwstr/>
      </vt:variant>
      <vt:variant>
        <vt:i4>2556008</vt:i4>
      </vt:variant>
      <vt:variant>
        <vt:i4>45</vt:i4>
      </vt:variant>
      <vt:variant>
        <vt:i4>0</vt:i4>
      </vt:variant>
      <vt:variant>
        <vt:i4>5</vt:i4>
      </vt:variant>
      <vt:variant>
        <vt:lpwstr>https://sharepointpubstor.blob.core.windows.net/policylibrary-prod/Fraud and Corruption Control Policy.pdf</vt:lpwstr>
      </vt:variant>
      <vt:variant>
        <vt:lpwstr/>
      </vt:variant>
      <vt:variant>
        <vt:i4>3276857</vt:i4>
      </vt:variant>
      <vt:variant>
        <vt:i4>42</vt:i4>
      </vt:variant>
      <vt:variant>
        <vt:i4>0</vt:i4>
      </vt:variant>
      <vt:variant>
        <vt:i4>5</vt:i4>
      </vt:variant>
      <vt:variant>
        <vt:lpwstr>https://sharepointpubstor.blob.core.windows.net/policylibrary-prod/Conflict of Interest Policy.pdf</vt:lpwstr>
      </vt:variant>
      <vt:variant>
        <vt:lpwstr/>
      </vt:variant>
      <vt:variant>
        <vt:i4>7864362</vt:i4>
      </vt:variant>
      <vt:variant>
        <vt:i4>39</vt:i4>
      </vt:variant>
      <vt:variant>
        <vt:i4>0</vt:i4>
      </vt:variant>
      <vt:variant>
        <vt:i4>5</vt:i4>
      </vt:variant>
      <vt:variant>
        <vt:lpwstr>https://sharepointpubstor.blob.core.windows.net/policylibrary-prod/Code of Conduct.pdf</vt:lpwstr>
      </vt:variant>
      <vt:variant>
        <vt:lpwstr/>
      </vt:variant>
      <vt:variant>
        <vt:i4>786486</vt:i4>
      </vt:variant>
      <vt:variant>
        <vt:i4>36</vt:i4>
      </vt:variant>
      <vt:variant>
        <vt:i4>0</vt:i4>
      </vt:variant>
      <vt:variant>
        <vt:i4>5</vt:i4>
      </vt:variant>
      <vt:variant>
        <vt:lpwstr>http://classic.austlii.edu.au/au/legis/cth/consol_act/fbtaa1986312/</vt:lpwstr>
      </vt:variant>
      <vt:variant>
        <vt:lpwstr/>
      </vt:variant>
      <vt:variant>
        <vt:i4>6094884</vt:i4>
      </vt:variant>
      <vt:variant>
        <vt:i4>33</vt:i4>
      </vt:variant>
      <vt:variant>
        <vt:i4>0</vt:i4>
      </vt:variant>
      <vt:variant>
        <vt:i4>5</vt:i4>
      </vt:variant>
      <vt:variant>
        <vt:lpwstr>http://www5.austlii.edu.au/au/legis/cth/consol_act/itaa1997240/index.html</vt:lpwstr>
      </vt:variant>
      <vt:variant>
        <vt:lpwstr/>
      </vt:variant>
      <vt:variant>
        <vt:i4>6029340</vt:i4>
      </vt:variant>
      <vt:variant>
        <vt:i4>30</vt:i4>
      </vt:variant>
      <vt:variant>
        <vt:i4>0</vt:i4>
      </vt:variant>
      <vt:variant>
        <vt:i4>5</vt:i4>
      </vt:variant>
      <vt:variant>
        <vt:lpwstr>https://intranet.secure.griffith.edu.au/finance/spending-and-receiving-money/concur/Completing-Attendee-Information-in-Concur-Quick-Guide.pdf</vt:lpwstr>
      </vt:variant>
      <vt:variant>
        <vt:lpwstr/>
      </vt:variant>
      <vt:variant>
        <vt:i4>3801200</vt:i4>
      </vt:variant>
      <vt:variant>
        <vt:i4>27</vt:i4>
      </vt:variant>
      <vt:variant>
        <vt:i4>0</vt:i4>
      </vt:variant>
      <vt:variant>
        <vt:i4>5</vt:i4>
      </vt:variant>
      <vt:variant>
        <vt:lpwstr>https://intranet.secure.griffith.edu.au/finance/spending-and-receiving-money/purchasing</vt:lpwstr>
      </vt:variant>
      <vt:variant>
        <vt:lpwstr/>
      </vt:variant>
      <vt:variant>
        <vt:i4>7733270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_7.0_Related_Policy</vt:lpwstr>
      </vt:variant>
      <vt:variant>
        <vt:i4>1900633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_6.0_Information</vt:lpwstr>
      </vt:variant>
      <vt:variant>
        <vt:i4>4063242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_4.0_Roles,_responsibilities</vt:lpwstr>
      </vt:variant>
      <vt:variant>
        <vt:i4>5636208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_3.4_Non-compliance_and</vt:lpwstr>
      </vt:variant>
      <vt:variant>
        <vt:i4>3342382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_3.2_[Insert_sub-heading]</vt:lpwstr>
      </vt:variant>
      <vt:variant>
        <vt:i4>3145774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_3.1_[Insert_sub-heading]</vt:lpwstr>
      </vt:variant>
      <vt:variant>
        <vt:i4>2097219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_3.0_Policy_statement</vt:lpwstr>
      </vt:variant>
      <vt:variant>
        <vt:i4>8060989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_2.0_Scope</vt:lpwstr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_1.0_Purpose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Hospitality and Entertainment Procedure</dc:title>
  <dc:subject/>
  <dc:creator>Jen Lofgren</dc:creator>
  <cp:keywords/>
  <cp:lastModifiedBy>Charlie Partridge</cp:lastModifiedBy>
  <cp:revision>4</cp:revision>
  <dcterms:created xsi:type="dcterms:W3CDTF">2024-02-21T01:45:00Z</dcterms:created>
  <dcterms:modified xsi:type="dcterms:W3CDTF">2024-02-22T05:33:00Z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aa4be3-f650-4692-881a-64ae220cbceb_Enabled">
    <vt:lpwstr>true</vt:lpwstr>
  </property>
  <property fmtid="{D5CDD505-2E9C-101B-9397-08002B2CF9AE}" pid="3" name="MSIP_Label_adaa4be3-f650-4692-881a-64ae220cbceb_SetDate">
    <vt:lpwstr>2022-11-24T04:58:38Z</vt:lpwstr>
  </property>
  <property fmtid="{D5CDD505-2E9C-101B-9397-08002B2CF9AE}" pid="4" name="MSIP_Label_adaa4be3-f650-4692-881a-64ae220cbceb_Method">
    <vt:lpwstr>Standard</vt:lpwstr>
  </property>
  <property fmtid="{D5CDD505-2E9C-101B-9397-08002B2CF9AE}" pid="5" name="MSIP_Label_adaa4be3-f650-4692-881a-64ae220cbceb_Name">
    <vt:lpwstr>OFFICIAL  Internal (External sharing)</vt:lpwstr>
  </property>
  <property fmtid="{D5CDD505-2E9C-101B-9397-08002B2CF9AE}" pid="6" name="MSIP_Label_adaa4be3-f650-4692-881a-64ae220cbceb_SiteId">
    <vt:lpwstr>5a7cc8ab-a4dc-4f9b-bf60-66714049ad62</vt:lpwstr>
  </property>
  <property fmtid="{D5CDD505-2E9C-101B-9397-08002B2CF9AE}" pid="7" name="MSIP_Label_adaa4be3-f650-4692-881a-64ae220cbceb_ActionId">
    <vt:lpwstr>a19a9a8a-2b15-49a8-856f-b8db22bb0da1</vt:lpwstr>
  </property>
  <property fmtid="{D5CDD505-2E9C-101B-9397-08002B2CF9AE}" pid="8" name="MSIP_Label_adaa4be3-f650-4692-881a-64ae220cbceb_ContentBits">
    <vt:lpwstr>0</vt:lpwstr>
  </property>
  <property fmtid="{D5CDD505-2E9C-101B-9397-08002B2CF9AE}" pid="9" name="ContentTypeId">
    <vt:lpwstr>0x010100D8585E08B4909F4CA72F2CA699ABA3ED</vt:lpwstr>
  </property>
  <property fmtid="{D5CDD505-2E9C-101B-9397-08002B2CF9AE}" pid="10" name="Order">
    <vt:r8>44300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  <property fmtid="{D5CDD505-2E9C-101B-9397-08002B2CF9AE}" pid="15" name="policysection">
    <vt:lpwstr/>
  </property>
  <property fmtid="{D5CDD505-2E9C-101B-9397-08002B2CF9AE}" pid="16" name="appauthority">
    <vt:lpwstr>583;#Chief Financial Officer|59adb015-80f0-47d1-a2a2-01dc1e9132a8</vt:lpwstr>
  </property>
  <property fmtid="{D5CDD505-2E9C-101B-9397-08002B2CF9AE}" pid="17" name="policycategory">
    <vt:lpwstr/>
  </property>
  <property fmtid="{D5CDD505-2E9C-101B-9397-08002B2CF9AE}" pid="18" name="officearea">
    <vt:lpwstr>114;#Finance|4aa22cf4-03a0-4167-aaa7-1894a1ac6b82</vt:lpwstr>
  </property>
  <property fmtid="{D5CDD505-2E9C-101B-9397-08002B2CF9AE}" pid="19" name="policy-category">
    <vt:lpwstr>526;#Operational|71ae2c77-9666-4d6a-a97b-3458c18553a0</vt:lpwstr>
  </property>
  <property fmtid="{D5CDD505-2E9C-101B-9397-08002B2CF9AE}" pid="20" name="glossaryterms">
    <vt:lpwstr/>
  </property>
  <property fmtid="{D5CDD505-2E9C-101B-9397-08002B2CF9AE}" pid="21" name="policyreview">
    <vt:lpwstr>558;#2028|3482dbca-7716-46bb-b113-935721929a44</vt:lpwstr>
  </property>
  <property fmtid="{D5CDD505-2E9C-101B-9397-08002B2CF9AE}" pid="22" name="policyaudience">
    <vt:lpwstr>77;#Staff|45ee306d-49ae-43fa-a3ef-02f70754fd2d</vt:lpwstr>
  </property>
  <property fmtid="{D5CDD505-2E9C-101B-9397-08002B2CF9AE}" pid="23" name="Managed_Testing_Field">
    <vt:lpwstr/>
  </property>
</Properties>
</file>