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E92C" w14:textId="28854E22" w:rsidR="00BE5D36" w:rsidRPr="00EF4E76" w:rsidRDefault="00462941" w:rsidP="004E2D27">
      <w:pPr>
        <w:pStyle w:val="ContentsHeading1"/>
        <w:pBdr>
          <w:bottom w:val="none" w:sz="0" w:space="0" w:color="auto"/>
        </w:pBdr>
        <w:spacing w:before="120" w:after="120"/>
        <w:rPr>
          <w:rFonts w:ascii="Arial" w:hAnsi="Arial" w:cs="Arial"/>
          <w:sz w:val="52"/>
          <w:szCs w:val="52"/>
        </w:rPr>
      </w:pPr>
      <w:bookmarkStart w:id="0" w:name="_Ref20321537"/>
      <w:bookmarkStart w:id="1" w:name="_Ref20411738"/>
      <w:bookmarkStart w:id="2" w:name="_Ref20411785"/>
      <w:r w:rsidRPr="00EF4E76">
        <w:rPr>
          <w:rFonts w:ascii="Arial" w:hAnsi="Arial" w:cs="Arial"/>
          <w:sz w:val="52"/>
          <w:szCs w:val="52"/>
        </w:rPr>
        <w:t>Higher Degree</w:t>
      </w:r>
      <w:r w:rsidR="00A95051" w:rsidRPr="00EF4E76">
        <w:rPr>
          <w:rFonts w:ascii="Arial" w:hAnsi="Arial" w:cs="Arial"/>
          <w:sz w:val="52"/>
          <w:szCs w:val="52"/>
        </w:rPr>
        <w:t xml:space="preserve"> by</w:t>
      </w:r>
      <w:r w:rsidRPr="00EF4E76">
        <w:rPr>
          <w:rFonts w:ascii="Arial" w:hAnsi="Arial" w:cs="Arial"/>
          <w:sz w:val="52"/>
          <w:szCs w:val="52"/>
        </w:rPr>
        <w:t xml:space="preserve"> Research</w:t>
      </w:r>
    </w:p>
    <w:p w14:paraId="6E6BA144" w14:textId="2BDA4702" w:rsidR="00890170" w:rsidRPr="00EF4E76" w:rsidRDefault="00462941" w:rsidP="004E2D27">
      <w:pPr>
        <w:pStyle w:val="ContentsHeading1"/>
        <w:pBdr>
          <w:bottom w:val="none" w:sz="0" w:space="0" w:color="auto"/>
        </w:pBdr>
        <w:spacing w:before="120" w:after="120"/>
        <w:rPr>
          <w:rFonts w:ascii="Arial" w:hAnsi="Arial" w:cs="Arial"/>
          <w:sz w:val="52"/>
          <w:szCs w:val="52"/>
        </w:rPr>
      </w:pPr>
      <w:r w:rsidRPr="00EF4E76">
        <w:rPr>
          <w:rFonts w:ascii="Arial" w:hAnsi="Arial" w:cs="Arial"/>
          <w:sz w:val="52"/>
          <w:szCs w:val="52"/>
        </w:rPr>
        <w:t>Admission</w:t>
      </w:r>
    </w:p>
    <w:p w14:paraId="757C4A4A" w14:textId="5C70AE37" w:rsidR="00997DEA" w:rsidRPr="00EF4E76" w:rsidRDefault="00997DEA" w:rsidP="00793F1D">
      <w:pPr>
        <w:spacing w:after="0" w:line="240" w:lineRule="auto"/>
        <w:ind w:right="-207"/>
        <w:rPr>
          <w:rFonts w:cs="Arial"/>
          <w:color w:val="E30918"/>
          <w:sz w:val="24"/>
          <w:szCs w:val="24"/>
          <w:shd w:val="clear" w:color="auto" w:fill="FFFFFF"/>
        </w:rPr>
      </w:pPr>
      <w:r w:rsidRPr="00EF4E76">
        <w:rPr>
          <w:rFonts w:cs="Arial"/>
          <w:color w:val="E30918"/>
          <w:sz w:val="24"/>
          <w:szCs w:val="24"/>
          <w:shd w:val="clear" w:color="auto" w:fill="FFFFFF"/>
        </w:rPr>
        <w:fldChar w:fldCharType="begin"/>
      </w:r>
      <w:r w:rsidRPr="00EF4E76">
        <w:rPr>
          <w:rFonts w:cs="Arial"/>
          <w:color w:val="E30918"/>
          <w:sz w:val="24"/>
          <w:szCs w:val="24"/>
          <w:shd w:val="clear" w:color="auto" w:fill="FFFFFF"/>
        </w:rPr>
        <w:instrText xml:space="preserve"> REF _Ref20480964 \h  \* MERGEFORMAT </w:instrText>
      </w:r>
      <w:r w:rsidRPr="00EF4E76">
        <w:rPr>
          <w:rFonts w:cs="Arial"/>
          <w:color w:val="E30918"/>
          <w:sz w:val="24"/>
          <w:szCs w:val="24"/>
          <w:shd w:val="clear" w:color="auto" w:fill="FFFFFF"/>
        </w:rPr>
      </w:r>
      <w:r w:rsidRPr="00EF4E76">
        <w:rPr>
          <w:rFonts w:cs="Arial"/>
          <w:color w:val="E30918"/>
          <w:sz w:val="24"/>
          <w:szCs w:val="24"/>
          <w:shd w:val="clear" w:color="auto" w:fill="FFFFFF"/>
        </w:rPr>
        <w:fldChar w:fldCharType="separate"/>
      </w:r>
      <w:r w:rsidR="009B21D4" w:rsidRPr="00EF4E76">
        <w:rPr>
          <w:rFonts w:cs="Arial"/>
          <w:color w:val="E30918"/>
          <w:sz w:val="24"/>
          <w:szCs w:val="24"/>
          <w:shd w:val="clear" w:color="auto" w:fill="FFFFFF"/>
        </w:rPr>
        <w:t>1.0 Purpose</w:t>
      </w:r>
      <w:r w:rsidRPr="00EF4E76">
        <w:rPr>
          <w:rFonts w:cs="Arial"/>
          <w:color w:val="E30918"/>
          <w:sz w:val="24"/>
          <w:szCs w:val="24"/>
          <w:shd w:val="clear" w:color="auto" w:fill="FFFFFF"/>
        </w:rPr>
        <w:fldChar w:fldCharType="end"/>
      </w:r>
    </w:p>
    <w:p w14:paraId="31BF4EB4" w14:textId="29931ACE" w:rsidR="0006416D" w:rsidRPr="00EF4E76" w:rsidRDefault="00A72D48" w:rsidP="00793F1D">
      <w:pPr>
        <w:spacing w:after="0" w:line="240" w:lineRule="auto"/>
        <w:ind w:right="-207"/>
        <w:rPr>
          <w:rFonts w:cs="Arial"/>
          <w:color w:val="E30918"/>
          <w:sz w:val="24"/>
          <w:szCs w:val="24"/>
          <w:shd w:val="clear" w:color="auto" w:fill="FFFFFF"/>
        </w:rPr>
      </w:pPr>
      <w:hyperlink w:anchor="_2.0_Scope" w:history="1">
        <w:r w:rsidR="0006416D" w:rsidRPr="00EF4E76">
          <w:rPr>
            <w:rStyle w:val="Hyperlink"/>
            <w:rFonts w:cs="Arial"/>
            <w:sz w:val="24"/>
            <w:szCs w:val="24"/>
            <w:u w:val="none"/>
            <w:shd w:val="clear" w:color="auto" w:fill="FFFFFF"/>
          </w:rPr>
          <w:t>2.0 Scope</w:t>
        </w:r>
      </w:hyperlink>
    </w:p>
    <w:p w14:paraId="7D620F17" w14:textId="149FBF2E" w:rsidR="0006416D" w:rsidRPr="00EF4E76" w:rsidRDefault="00A72D48" w:rsidP="00793F1D">
      <w:pPr>
        <w:spacing w:after="0" w:line="240" w:lineRule="auto"/>
        <w:ind w:right="-207"/>
        <w:rPr>
          <w:rFonts w:cs="Arial"/>
          <w:color w:val="E30918"/>
          <w:sz w:val="24"/>
          <w:szCs w:val="24"/>
          <w:shd w:val="clear" w:color="auto" w:fill="FFFFFF"/>
        </w:rPr>
      </w:pPr>
      <w:hyperlink w:anchor="_3.0_Procedure" w:history="1">
        <w:r w:rsidR="0006416D" w:rsidRPr="00EF4E76">
          <w:rPr>
            <w:rStyle w:val="Hyperlink"/>
            <w:rFonts w:cs="Arial"/>
            <w:sz w:val="24"/>
            <w:szCs w:val="24"/>
            <w:u w:val="none"/>
            <w:shd w:val="clear" w:color="auto" w:fill="FFFFFF"/>
          </w:rPr>
          <w:t>3.0 Procedure</w:t>
        </w:r>
      </w:hyperlink>
    </w:p>
    <w:p w14:paraId="53CA93CB" w14:textId="6186F94A" w:rsidR="00B57117" w:rsidRPr="00A36BF1" w:rsidRDefault="00A72D48" w:rsidP="00793F1D">
      <w:pPr>
        <w:spacing w:after="0" w:line="240" w:lineRule="auto"/>
        <w:ind w:left="284" w:right="-207"/>
        <w:rPr>
          <w:rFonts w:cs="Arial"/>
          <w:color w:val="E30918"/>
          <w:sz w:val="24"/>
          <w:szCs w:val="24"/>
          <w:shd w:val="clear" w:color="auto" w:fill="FFFFFF"/>
        </w:rPr>
      </w:pPr>
      <w:hyperlink w:anchor="_Minimum_qualification_requirements" w:history="1">
        <w:r w:rsidR="00435A8C" w:rsidRPr="00A36BF1">
          <w:rPr>
            <w:rStyle w:val="Hyperlink"/>
            <w:rFonts w:cs="Arial"/>
            <w:sz w:val="24"/>
            <w:szCs w:val="24"/>
            <w:u w:val="none"/>
            <w:shd w:val="clear" w:color="auto" w:fill="FFFFFF"/>
          </w:rPr>
          <w:t>3.1 Minimum qualification requirements for admission</w:t>
        </w:r>
      </w:hyperlink>
      <w:r w:rsidR="00435A8C" w:rsidRPr="00A36BF1">
        <w:rPr>
          <w:rFonts w:cs="Arial"/>
          <w:color w:val="E30918"/>
          <w:sz w:val="24"/>
          <w:szCs w:val="24"/>
          <w:shd w:val="clear" w:color="auto" w:fill="FFFFFF"/>
        </w:rPr>
        <w:t xml:space="preserve"> </w:t>
      </w:r>
      <w:r w:rsidR="00D47366" w:rsidRPr="00A36BF1">
        <w:rPr>
          <w:rFonts w:cs="Arial"/>
          <w:color w:val="E30918"/>
          <w:sz w:val="24"/>
          <w:szCs w:val="24"/>
          <w:shd w:val="clear" w:color="auto" w:fill="FFFFFF"/>
        </w:rPr>
        <w:t>I</w:t>
      </w:r>
      <w:r w:rsidR="00D47366" w:rsidRPr="00A36BF1">
        <w:rPr>
          <w:rStyle w:val="Hyperlink"/>
          <w:rFonts w:cs="Arial"/>
          <w:sz w:val="24"/>
          <w:szCs w:val="24"/>
          <w:u w:val="none"/>
          <w:shd w:val="clear" w:color="auto" w:fill="FFFFFF"/>
        </w:rPr>
        <w:t xml:space="preserve"> </w:t>
      </w:r>
      <w:hyperlink w:anchor="_Requirements_for_Candidates" w:history="1">
        <w:r w:rsidR="007C66FF" w:rsidRPr="00A36BF1">
          <w:rPr>
            <w:rStyle w:val="Hyperlink"/>
            <w:rFonts w:cs="Arial"/>
            <w:sz w:val="24"/>
            <w:szCs w:val="24"/>
            <w:u w:val="none"/>
            <w:shd w:val="clear" w:color="auto" w:fill="FFFFFF"/>
          </w:rPr>
          <w:t xml:space="preserve">3.2 English </w:t>
        </w:r>
        <w:r w:rsidR="00435A8C" w:rsidRPr="00A36BF1">
          <w:rPr>
            <w:rStyle w:val="Hyperlink"/>
            <w:rFonts w:cs="Arial"/>
            <w:sz w:val="24"/>
            <w:szCs w:val="24"/>
            <w:u w:val="none"/>
            <w:shd w:val="clear" w:color="auto" w:fill="FFFFFF"/>
          </w:rPr>
          <w:t>l</w:t>
        </w:r>
        <w:r w:rsidR="007C66FF" w:rsidRPr="00A36BF1">
          <w:rPr>
            <w:rStyle w:val="Hyperlink"/>
            <w:rFonts w:cs="Arial"/>
            <w:sz w:val="24"/>
            <w:szCs w:val="24"/>
            <w:u w:val="none"/>
            <w:shd w:val="clear" w:color="auto" w:fill="FFFFFF"/>
          </w:rPr>
          <w:t xml:space="preserve">anguage </w:t>
        </w:r>
        <w:r w:rsidR="00435A8C" w:rsidRPr="00A36BF1">
          <w:rPr>
            <w:rStyle w:val="Hyperlink"/>
            <w:rFonts w:cs="Arial"/>
            <w:sz w:val="24"/>
            <w:szCs w:val="24"/>
            <w:u w:val="none"/>
            <w:shd w:val="clear" w:color="auto" w:fill="FFFFFF"/>
          </w:rPr>
          <w:t>p</w:t>
        </w:r>
        <w:r w:rsidR="007C66FF" w:rsidRPr="00A36BF1">
          <w:rPr>
            <w:rStyle w:val="Hyperlink"/>
            <w:rFonts w:cs="Arial"/>
            <w:sz w:val="24"/>
            <w:szCs w:val="24"/>
            <w:u w:val="none"/>
            <w:shd w:val="clear" w:color="auto" w:fill="FFFFFF"/>
          </w:rPr>
          <w:t xml:space="preserve">roficiency </w:t>
        </w:r>
        <w:r w:rsidR="00435A8C" w:rsidRPr="00A36BF1">
          <w:rPr>
            <w:rStyle w:val="Hyperlink"/>
            <w:rFonts w:cs="Arial"/>
            <w:sz w:val="24"/>
            <w:szCs w:val="24"/>
            <w:u w:val="none"/>
            <w:shd w:val="clear" w:color="auto" w:fill="FFFFFF"/>
          </w:rPr>
          <w:t>r</w:t>
        </w:r>
        <w:r w:rsidR="007C66FF" w:rsidRPr="00A36BF1">
          <w:rPr>
            <w:rStyle w:val="Hyperlink"/>
            <w:rFonts w:cs="Arial"/>
            <w:sz w:val="24"/>
            <w:szCs w:val="24"/>
            <w:u w:val="none"/>
            <w:shd w:val="clear" w:color="auto" w:fill="FFFFFF"/>
          </w:rPr>
          <w:t>equirements</w:t>
        </w:r>
      </w:hyperlink>
      <w:r w:rsidR="00C97759" w:rsidRPr="00A36BF1">
        <w:rPr>
          <w:rFonts w:cs="Arial"/>
          <w:color w:val="E30918"/>
          <w:sz w:val="24"/>
          <w:szCs w:val="24"/>
          <w:shd w:val="clear" w:color="auto" w:fill="FFFFFF"/>
        </w:rPr>
        <w:t xml:space="preserve"> I</w:t>
      </w:r>
      <w:r w:rsidR="00842D35" w:rsidRPr="00A36BF1">
        <w:rPr>
          <w:rStyle w:val="Hyperlink"/>
          <w:rFonts w:cs="Arial"/>
          <w:sz w:val="24"/>
          <w:szCs w:val="24"/>
          <w:u w:val="none"/>
          <w:shd w:val="clear" w:color="auto" w:fill="FFFFFF"/>
        </w:rPr>
        <w:t xml:space="preserve"> </w:t>
      </w:r>
      <w:hyperlink w:anchor="_Mode_of_attendance" w:history="1">
        <w:r w:rsidR="00C16421" w:rsidRPr="00A36BF1">
          <w:rPr>
            <w:rStyle w:val="Hyperlink"/>
            <w:rFonts w:cs="Arial"/>
            <w:sz w:val="24"/>
            <w:szCs w:val="24"/>
            <w:u w:val="none"/>
            <w:shd w:val="clear" w:color="auto" w:fill="FFFFFF"/>
          </w:rPr>
          <w:t xml:space="preserve">3.3 </w:t>
        </w:r>
        <w:r w:rsidR="007C66FF" w:rsidRPr="00A36BF1">
          <w:rPr>
            <w:rStyle w:val="Hyperlink"/>
            <w:rFonts w:cs="Arial"/>
            <w:sz w:val="24"/>
            <w:szCs w:val="24"/>
            <w:u w:val="none"/>
            <w:shd w:val="clear" w:color="auto" w:fill="FFFFFF"/>
          </w:rPr>
          <w:t xml:space="preserve">Mode of </w:t>
        </w:r>
        <w:r w:rsidR="00435A8C" w:rsidRPr="00A36BF1">
          <w:rPr>
            <w:rStyle w:val="Hyperlink"/>
            <w:rFonts w:cs="Arial"/>
            <w:sz w:val="24"/>
            <w:szCs w:val="24"/>
            <w:u w:val="none"/>
            <w:shd w:val="clear" w:color="auto" w:fill="FFFFFF"/>
          </w:rPr>
          <w:t>a</w:t>
        </w:r>
        <w:r w:rsidR="007C66FF" w:rsidRPr="00A36BF1">
          <w:rPr>
            <w:rStyle w:val="Hyperlink"/>
            <w:rFonts w:cs="Arial"/>
            <w:sz w:val="24"/>
            <w:szCs w:val="24"/>
            <w:u w:val="none"/>
            <w:shd w:val="clear" w:color="auto" w:fill="FFFFFF"/>
          </w:rPr>
          <w:t>ttendance - Remote candidature</w:t>
        </w:r>
      </w:hyperlink>
      <w:r w:rsidR="00842D35" w:rsidRPr="00A36BF1">
        <w:rPr>
          <w:rStyle w:val="Hyperlink"/>
          <w:rFonts w:cs="Arial"/>
          <w:sz w:val="24"/>
          <w:szCs w:val="24"/>
          <w:u w:val="none"/>
          <w:shd w:val="clear" w:color="auto" w:fill="FFFFFF"/>
        </w:rPr>
        <w:t xml:space="preserve"> </w:t>
      </w:r>
      <w:r w:rsidR="00572ED9" w:rsidRPr="00A36BF1">
        <w:rPr>
          <w:rFonts w:cs="Arial"/>
          <w:color w:val="E30918"/>
          <w:sz w:val="24"/>
          <w:szCs w:val="24"/>
          <w:shd w:val="clear" w:color="auto" w:fill="FFFFFF"/>
        </w:rPr>
        <w:t>I</w:t>
      </w:r>
      <w:r w:rsidR="00842D35" w:rsidRPr="00A36BF1">
        <w:rPr>
          <w:rStyle w:val="Hyperlink"/>
          <w:rFonts w:cs="Arial"/>
          <w:sz w:val="24"/>
          <w:szCs w:val="24"/>
          <w:u w:val="none"/>
          <w:shd w:val="clear" w:color="auto" w:fill="FFFFFF"/>
        </w:rPr>
        <w:t xml:space="preserve"> </w:t>
      </w:r>
      <w:hyperlink w:anchor="_Prior_Higher_Degree" w:history="1">
        <w:r w:rsidR="007C66FF" w:rsidRPr="00A36BF1">
          <w:rPr>
            <w:rStyle w:val="Hyperlink"/>
            <w:rFonts w:cs="Arial"/>
            <w:sz w:val="24"/>
            <w:szCs w:val="24"/>
            <w:u w:val="none"/>
            <w:shd w:val="clear" w:color="auto" w:fill="FFFFFF"/>
          </w:rPr>
          <w:t xml:space="preserve">3.4 Recognition of </w:t>
        </w:r>
        <w:r w:rsidR="00435A8C" w:rsidRPr="00A36BF1">
          <w:rPr>
            <w:rStyle w:val="Hyperlink"/>
            <w:rFonts w:cs="Arial"/>
            <w:sz w:val="24"/>
            <w:szCs w:val="24"/>
            <w:u w:val="none"/>
            <w:shd w:val="clear" w:color="auto" w:fill="FFFFFF"/>
          </w:rPr>
          <w:t>prior research undertaken in an HDR program</w:t>
        </w:r>
      </w:hyperlink>
      <w:r w:rsidR="00842D35" w:rsidRPr="00A36BF1">
        <w:rPr>
          <w:rStyle w:val="Hyperlink"/>
          <w:rFonts w:cs="Arial"/>
          <w:sz w:val="24"/>
          <w:szCs w:val="24"/>
          <w:u w:val="none"/>
          <w:shd w:val="clear" w:color="auto" w:fill="FFFFFF"/>
        </w:rPr>
        <w:t xml:space="preserve"> </w:t>
      </w:r>
      <w:r w:rsidR="00574BC1" w:rsidRPr="00A36BF1">
        <w:rPr>
          <w:rFonts w:cs="Arial"/>
          <w:color w:val="E30918"/>
          <w:sz w:val="24"/>
          <w:szCs w:val="24"/>
          <w:shd w:val="clear" w:color="auto" w:fill="FFFFFF"/>
        </w:rPr>
        <w:t>I</w:t>
      </w:r>
      <w:r w:rsidR="00842D35" w:rsidRPr="00A36BF1">
        <w:rPr>
          <w:rStyle w:val="Hyperlink"/>
          <w:rFonts w:cs="Arial"/>
          <w:sz w:val="24"/>
          <w:szCs w:val="24"/>
          <w:u w:val="none"/>
          <w:shd w:val="clear" w:color="auto" w:fill="FFFFFF"/>
        </w:rPr>
        <w:t xml:space="preserve"> </w:t>
      </w:r>
      <w:hyperlink w:anchor="_Application_Assessment_and" w:history="1">
        <w:r w:rsidR="007C66FF" w:rsidRPr="00A36BF1">
          <w:rPr>
            <w:rStyle w:val="Hyperlink"/>
            <w:rFonts w:cs="Arial"/>
            <w:sz w:val="24"/>
            <w:szCs w:val="24"/>
            <w:u w:val="none"/>
            <w:shd w:val="clear" w:color="auto" w:fill="FFFFFF"/>
          </w:rPr>
          <w:t>3.5 Application Assessment and Selection</w:t>
        </w:r>
      </w:hyperlink>
      <w:r w:rsidR="0030738B" w:rsidRPr="00A36BF1">
        <w:rPr>
          <w:rStyle w:val="Hyperlink"/>
          <w:rFonts w:cs="Arial"/>
          <w:sz w:val="24"/>
          <w:szCs w:val="24"/>
          <w:u w:val="none"/>
          <w:shd w:val="clear" w:color="auto" w:fill="FFFFFF"/>
        </w:rPr>
        <w:t xml:space="preserve"> </w:t>
      </w:r>
      <w:r w:rsidR="00572ED9" w:rsidRPr="00A36BF1">
        <w:rPr>
          <w:rFonts w:cs="Arial"/>
          <w:color w:val="E30918"/>
          <w:sz w:val="24"/>
          <w:szCs w:val="24"/>
          <w:shd w:val="clear" w:color="auto" w:fill="FFFFFF"/>
        </w:rPr>
        <w:t>I</w:t>
      </w:r>
      <w:r w:rsidR="0030738B" w:rsidRPr="00A36BF1">
        <w:rPr>
          <w:rStyle w:val="Hyperlink"/>
          <w:rFonts w:cs="Arial"/>
          <w:sz w:val="24"/>
          <w:szCs w:val="24"/>
          <w:u w:val="none"/>
          <w:shd w:val="clear" w:color="auto" w:fill="FFFFFF"/>
        </w:rPr>
        <w:t xml:space="preserve"> </w:t>
      </w:r>
      <w:hyperlink w:anchor="_Prior_Higher_Degree_1" w:history="1">
        <w:r w:rsidR="007C66FF" w:rsidRPr="00A36BF1">
          <w:rPr>
            <w:rStyle w:val="Hyperlink"/>
            <w:rFonts w:cs="Arial"/>
            <w:sz w:val="24"/>
            <w:szCs w:val="24"/>
            <w:u w:val="none"/>
            <w:shd w:val="clear" w:color="auto" w:fill="FFFFFF"/>
          </w:rPr>
          <w:t>3.6 Admission and Readmission Procedures</w:t>
        </w:r>
      </w:hyperlink>
      <w:r w:rsidR="007C66FF" w:rsidRPr="00A36BF1">
        <w:rPr>
          <w:rStyle w:val="Hyperlink"/>
          <w:rFonts w:cs="Arial"/>
          <w:sz w:val="24"/>
          <w:szCs w:val="24"/>
          <w:u w:val="none"/>
          <w:shd w:val="clear" w:color="auto" w:fill="FFFFFF"/>
        </w:rPr>
        <w:t xml:space="preserve"> </w:t>
      </w:r>
      <w:r w:rsidR="00152D86" w:rsidRPr="00A36BF1">
        <w:rPr>
          <w:rStyle w:val="Hyperlink"/>
          <w:rFonts w:cs="Arial"/>
          <w:sz w:val="24"/>
          <w:szCs w:val="24"/>
          <w:u w:val="none"/>
          <w:shd w:val="clear" w:color="auto" w:fill="FFFFFF"/>
        </w:rPr>
        <w:t xml:space="preserve">I </w:t>
      </w:r>
      <w:hyperlink w:anchor="_Admission_Offers" w:history="1">
        <w:r w:rsidR="00152D86" w:rsidRPr="00A36BF1">
          <w:rPr>
            <w:rStyle w:val="Hyperlink"/>
            <w:rFonts w:cs="Arial"/>
            <w:sz w:val="24"/>
            <w:szCs w:val="24"/>
            <w:u w:val="none"/>
            <w:shd w:val="clear" w:color="auto" w:fill="FFFFFF"/>
          </w:rPr>
          <w:t>3.7 Admission Offers</w:t>
        </w:r>
      </w:hyperlink>
      <w:r w:rsidR="00152D86" w:rsidRPr="00A36BF1">
        <w:rPr>
          <w:rStyle w:val="Hyperlink"/>
          <w:rFonts w:cs="Arial"/>
          <w:sz w:val="24"/>
          <w:szCs w:val="24"/>
          <w:u w:val="none"/>
          <w:shd w:val="clear" w:color="auto" w:fill="FFFFFF"/>
        </w:rPr>
        <w:t xml:space="preserve"> I </w:t>
      </w:r>
      <w:hyperlink w:anchor="_Review_and_Appeal" w:history="1">
        <w:r w:rsidR="0044376B" w:rsidRPr="00A36BF1">
          <w:rPr>
            <w:rStyle w:val="Hyperlink"/>
            <w:rFonts w:cs="Arial"/>
            <w:sz w:val="24"/>
            <w:szCs w:val="24"/>
            <w:u w:val="none"/>
            <w:shd w:val="clear" w:color="auto" w:fill="FFFFFF"/>
          </w:rPr>
          <w:t>3.8 Review and Appeal</w:t>
        </w:r>
      </w:hyperlink>
    </w:p>
    <w:p w14:paraId="4A6E6A60" w14:textId="1A0F9336" w:rsidR="00997DEA" w:rsidRPr="00EF4E76" w:rsidRDefault="00997DEA" w:rsidP="00793F1D">
      <w:pPr>
        <w:spacing w:after="0" w:line="240" w:lineRule="auto"/>
        <w:ind w:right="-207"/>
        <w:rPr>
          <w:rFonts w:cs="Arial"/>
          <w:color w:val="E30918"/>
          <w:sz w:val="24"/>
          <w:szCs w:val="24"/>
          <w:shd w:val="clear" w:color="auto" w:fill="FFFFFF"/>
        </w:rPr>
      </w:pPr>
      <w:r w:rsidRPr="00EF4E76">
        <w:rPr>
          <w:rFonts w:cs="Arial"/>
          <w:color w:val="E30918"/>
          <w:sz w:val="24"/>
          <w:szCs w:val="24"/>
          <w:shd w:val="clear" w:color="auto" w:fill="FFFFFF"/>
        </w:rPr>
        <w:fldChar w:fldCharType="begin"/>
      </w:r>
      <w:r w:rsidRPr="00EF4E76">
        <w:rPr>
          <w:rFonts w:cs="Arial"/>
          <w:color w:val="E30918"/>
          <w:sz w:val="24"/>
          <w:szCs w:val="24"/>
          <w:shd w:val="clear" w:color="auto" w:fill="FFFFFF"/>
        </w:rPr>
        <w:instrText xml:space="preserve"> REF _Ref20320732 \h  \* MERGEFORMAT </w:instrText>
      </w:r>
      <w:r w:rsidRPr="00EF4E76">
        <w:rPr>
          <w:rFonts w:cs="Arial"/>
          <w:color w:val="E30918"/>
          <w:sz w:val="24"/>
          <w:szCs w:val="24"/>
          <w:shd w:val="clear" w:color="auto" w:fill="FFFFFF"/>
        </w:rPr>
      </w:r>
      <w:r w:rsidRPr="00EF4E76">
        <w:rPr>
          <w:rFonts w:cs="Arial"/>
          <w:color w:val="E30918"/>
          <w:sz w:val="24"/>
          <w:szCs w:val="24"/>
          <w:shd w:val="clear" w:color="auto" w:fill="FFFFFF"/>
        </w:rPr>
        <w:fldChar w:fldCharType="separate"/>
      </w:r>
      <w:r w:rsidR="009B21D4" w:rsidRPr="00EF4E76">
        <w:rPr>
          <w:rFonts w:cs="Arial"/>
          <w:color w:val="E30918"/>
          <w:sz w:val="24"/>
          <w:szCs w:val="24"/>
        </w:rPr>
        <w:t>4.0 Definitions</w:t>
      </w:r>
      <w:r w:rsidRPr="00EF4E76">
        <w:rPr>
          <w:rFonts w:cs="Arial"/>
          <w:color w:val="E30918"/>
          <w:sz w:val="24"/>
          <w:szCs w:val="24"/>
          <w:shd w:val="clear" w:color="auto" w:fill="FFFFFF"/>
        </w:rPr>
        <w:fldChar w:fldCharType="end"/>
      </w:r>
    </w:p>
    <w:p w14:paraId="29689EF6" w14:textId="4234298C" w:rsidR="00890170" w:rsidRPr="00EF4E76" w:rsidRDefault="00A72D48" w:rsidP="00793F1D">
      <w:pPr>
        <w:spacing w:after="0" w:line="240" w:lineRule="auto"/>
        <w:ind w:right="-207"/>
        <w:rPr>
          <w:rFonts w:cs="Arial"/>
          <w:color w:val="E30918"/>
          <w:sz w:val="24"/>
          <w:szCs w:val="24"/>
          <w:shd w:val="clear" w:color="auto" w:fill="FFFFFF"/>
        </w:rPr>
      </w:pPr>
      <w:hyperlink w:anchor="_5.0_Information" w:history="1">
        <w:r w:rsidR="00890170" w:rsidRPr="00EF4E76">
          <w:rPr>
            <w:rStyle w:val="Hyperlink"/>
            <w:rFonts w:cs="Arial"/>
            <w:sz w:val="24"/>
            <w:szCs w:val="24"/>
            <w:u w:val="none"/>
            <w:shd w:val="clear" w:color="auto" w:fill="FFFFFF"/>
          </w:rPr>
          <w:t>5.0 Information</w:t>
        </w:r>
      </w:hyperlink>
    </w:p>
    <w:p w14:paraId="5A1DEF29" w14:textId="0D1712CE" w:rsidR="00890170" w:rsidRPr="00EF4E76" w:rsidRDefault="00A72D48" w:rsidP="00793F1D">
      <w:pPr>
        <w:spacing w:after="0" w:line="240" w:lineRule="auto"/>
        <w:ind w:right="-207"/>
        <w:rPr>
          <w:rFonts w:cs="Arial"/>
          <w:color w:val="E30918"/>
          <w:sz w:val="24"/>
          <w:szCs w:val="24"/>
          <w:shd w:val="clear" w:color="auto" w:fill="FFFFFF"/>
        </w:rPr>
      </w:pPr>
      <w:hyperlink w:anchor="_6.0_Related_Policy" w:history="1">
        <w:r w:rsidR="00890170" w:rsidRPr="00EF4E76">
          <w:rPr>
            <w:rStyle w:val="Hyperlink"/>
            <w:rFonts w:cs="Arial"/>
            <w:sz w:val="24"/>
            <w:szCs w:val="24"/>
            <w:u w:val="none"/>
            <w:shd w:val="clear" w:color="auto" w:fill="FFFFFF"/>
          </w:rPr>
          <w:t>6.0 Related policy documents and supporting documents</w:t>
        </w:r>
      </w:hyperlink>
    </w:p>
    <w:p w14:paraId="2E800012" w14:textId="1BD2C619" w:rsidR="00BC55CF" w:rsidRPr="00EF4E76" w:rsidRDefault="00BC55CF" w:rsidP="004E2D27">
      <w:pPr>
        <w:pStyle w:val="Heading2"/>
        <w:spacing w:before="120" w:line="240" w:lineRule="auto"/>
        <w:ind w:left="426" w:hanging="426"/>
        <w:rPr>
          <w:rFonts w:ascii="Arial" w:hAnsi="Arial" w:cs="Arial"/>
          <w:b/>
          <w:bCs/>
          <w:sz w:val="32"/>
          <w:szCs w:val="32"/>
          <w:shd w:val="clear" w:color="auto" w:fill="FFFFFF"/>
        </w:rPr>
      </w:pPr>
      <w:bookmarkStart w:id="3" w:name="_Ref20480964"/>
      <w:r w:rsidRPr="00EF4E76">
        <w:rPr>
          <w:rFonts w:ascii="Arial" w:hAnsi="Arial" w:cs="Arial"/>
          <w:b/>
          <w:bCs/>
          <w:sz w:val="32"/>
          <w:szCs w:val="32"/>
          <w:shd w:val="clear" w:color="auto" w:fill="FFFFFF"/>
        </w:rPr>
        <w:t>1.0 Purpose</w:t>
      </w:r>
      <w:bookmarkEnd w:id="0"/>
      <w:bookmarkEnd w:id="1"/>
      <w:bookmarkEnd w:id="2"/>
      <w:bookmarkEnd w:id="3"/>
    </w:p>
    <w:p w14:paraId="025E627D" w14:textId="7C42CD88" w:rsidR="002F4FCD" w:rsidRPr="00EF4E76" w:rsidRDefault="002F4FCD" w:rsidP="004E2D27">
      <w:pPr>
        <w:spacing w:before="120" w:after="120" w:line="240" w:lineRule="auto"/>
        <w:rPr>
          <w:rFonts w:cs="Arial"/>
          <w:sz w:val="22"/>
        </w:rPr>
      </w:pPr>
      <w:bookmarkStart w:id="4" w:name="_Ref20318879"/>
      <w:bookmarkStart w:id="5" w:name="_Ref20411801"/>
      <w:bookmarkStart w:id="6" w:name="_Ref20480989"/>
      <w:r w:rsidRPr="00EF4E76">
        <w:rPr>
          <w:rFonts w:cs="Arial"/>
          <w:sz w:val="22"/>
        </w:rPr>
        <w:t xml:space="preserve">This </w:t>
      </w:r>
      <w:r w:rsidR="00A72D48">
        <w:rPr>
          <w:rFonts w:cs="Arial"/>
          <w:sz w:val="22"/>
        </w:rPr>
        <w:t>P</w:t>
      </w:r>
      <w:r w:rsidRPr="00EF4E76">
        <w:rPr>
          <w:rFonts w:cs="Arial"/>
          <w:sz w:val="22"/>
        </w:rPr>
        <w:t xml:space="preserve">rocedure supports the </w:t>
      </w:r>
      <w:r w:rsidRPr="00EF4E76">
        <w:rPr>
          <w:rFonts w:cs="Arial"/>
          <w:i/>
          <w:iCs/>
          <w:sz w:val="22"/>
        </w:rPr>
        <w:t>Higher Degree</w:t>
      </w:r>
      <w:r w:rsidR="00A95051" w:rsidRPr="00EF4E76">
        <w:rPr>
          <w:rFonts w:cs="Arial"/>
          <w:i/>
          <w:iCs/>
          <w:sz w:val="22"/>
        </w:rPr>
        <w:t xml:space="preserve"> by</w:t>
      </w:r>
      <w:r w:rsidRPr="00EF4E76">
        <w:rPr>
          <w:rFonts w:cs="Arial"/>
          <w:i/>
          <w:iCs/>
          <w:sz w:val="22"/>
        </w:rPr>
        <w:t xml:space="preserve"> Research Policy</w:t>
      </w:r>
      <w:r w:rsidRPr="00EF4E76">
        <w:rPr>
          <w:rFonts w:cs="Arial"/>
          <w:sz w:val="22"/>
        </w:rPr>
        <w:t xml:space="preserve"> by documenting the requirements and processes </w:t>
      </w:r>
      <w:r w:rsidR="00451237" w:rsidRPr="00EF4E76">
        <w:rPr>
          <w:rFonts w:cs="Arial"/>
          <w:sz w:val="22"/>
        </w:rPr>
        <w:t xml:space="preserve">for </w:t>
      </w:r>
      <w:r w:rsidR="009237A0" w:rsidRPr="00EF4E76">
        <w:rPr>
          <w:rFonts w:cs="Arial"/>
          <w:sz w:val="22"/>
        </w:rPr>
        <w:t xml:space="preserve">admission into the University’s higher degree by </w:t>
      </w:r>
      <w:r w:rsidR="00451237" w:rsidRPr="00EF4E76">
        <w:rPr>
          <w:rFonts w:cs="Arial"/>
          <w:sz w:val="22"/>
        </w:rPr>
        <w:t>research (HDR)</w:t>
      </w:r>
      <w:r w:rsidR="00916289" w:rsidRPr="00EF4E76">
        <w:rPr>
          <w:rFonts w:cs="Arial"/>
          <w:sz w:val="22"/>
        </w:rPr>
        <w:t xml:space="preserve"> </w:t>
      </w:r>
      <w:r w:rsidR="00451237" w:rsidRPr="00EF4E76">
        <w:rPr>
          <w:rFonts w:cs="Arial"/>
          <w:sz w:val="22"/>
        </w:rPr>
        <w:t>programs.</w:t>
      </w:r>
    </w:p>
    <w:p w14:paraId="65297E40" w14:textId="46355ACA" w:rsidR="00F97A5A" w:rsidRPr="00EF4E76" w:rsidRDefault="007706AB" w:rsidP="004E2D27">
      <w:pPr>
        <w:pStyle w:val="Heading2"/>
        <w:spacing w:before="120" w:line="240" w:lineRule="auto"/>
        <w:ind w:left="426" w:hanging="426"/>
        <w:rPr>
          <w:rFonts w:ascii="Arial" w:hAnsi="Arial" w:cs="Arial"/>
          <w:b/>
          <w:bCs/>
          <w:sz w:val="32"/>
          <w:szCs w:val="32"/>
        </w:rPr>
      </w:pPr>
      <w:bookmarkStart w:id="7" w:name="_2.0_Scope"/>
      <w:bookmarkEnd w:id="7"/>
      <w:r w:rsidRPr="00EF4E76">
        <w:rPr>
          <w:rFonts w:ascii="Arial" w:hAnsi="Arial" w:cs="Arial"/>
          <w:b/>
          <w:bCs/>
          <w:sz w:val="32"/>
          <w:szCs w:val="32"/>
        </w:rPr>
        <w:t xml:space="preserve">2.0 </w:t>
      </w:r>
      <w:r w:rsidR="00F97A5A" w:rsidRPr="00EF4E76">
        <w:rPr>
          <w:rFonts w:ascii="Arial" w:hAnsi="Arial" w:cs="Arial"/>
          <w:b/>
          <w:bCs/>
          <w:sz w:val="32"/>
          <w:szCs w:val="32"/>
        </w:rPr>
        <w:t>Scope</w:t>
      </w:r>
      <w:bookmarkEnd w:id="4"/>
      <w:bookmarkEnd w:id="5"/>
      <w:bookmarkEnd w:id="6"/>
    </w:p>
    <w:p w14:paraId="42FD76D3" w14:textId="3F2BA7C8" w:rsidR="00F451BA" w:rsidRPr="00EF4E76" w:rsidRDefault="00F451BA" w:rsidP="004E2D27">
      <w:pPr>
        <w:spacing w:before="120" w:after="120" w:line="240" w:lineRule="auto"/>
        <w:rPr>
          <w:rFonts w:cs="Arial"/>
          <w:sz w:val="22"/>
        </w:rPr>
      </w:pPr>
      <w:bookmarkStart w:id="8" w:name="_Ref20318910"/>
      <w:bookmarkStart w:id="9" w:name="_Ref20411814"/>
      <w:bookmarkStart w:id="10" w:name="_Ref20481014"/>
      <w:r w:rsidRPr="00EF4E76">
        <w:rPr>
          <w:rFonts w:cs="Arial"/>
          <w:sz w:val="22"/>
        </w:rPr>
        <w:t xml:space="preserve">This </w:t>
      </w:r>
      <w:r w:rsidR="00A72D48">
        <w:rPr>
          <w:rFonts w:cs="Arial"/>
          <w:sz w:val="22"/>
        </w:rPr>
        <w:t>P</w:t>
      </w:r>
      <w:r w:rsidRPr="00EF4E76">
        <w:rPr>
          <w:rFonts w:cs="Arial"/>
          <w:sz w:val="22"/>
        </w:rPr>
        <w:t xml:space="preserve">rocedure applies to </w:t>
      </w:r>
      <w:r w:rsidR="003377C1" w:rsidRPr="00EF4E76">
        <w:rPr>
          <w:rFonts w:cs="Arial"/>
          <w:sz w:val="22"/>
        </w:rPr>
        <w:t xml:space="preserve">the University’s </w:t>
      </w:r>
      <w:r w:rsidR="009237A0" w:rsidRPr="00EF4E76">
        <w:rPr>
          <w:rFonts w:cs="Arial"/>
          <w:sz w:val="22"/>
        </w:rPr>
        <w:t>HDR programs</w:t>
      </w:r>
      <w:r w:rsidR="001A6314" w:rsidRPr="00EF4E76">
        <w:rPr>
          <w:rFonts w:cs="Arial"/>
          <w:sz w:val="22"/>
        </w:rPr>
        <w:t>,</w:t>
      </w:r>
      <w:r w:rsidR="00E56947" w:rsidRPr="00EF4E76">
        <w:rPr>
          <w:rFonts w:cs="Arial"/>
          <w:sz w:val="22"/>
        </w:rPr>
        <w:t xml:space="preserve"> except the PhD by Prior Publication Program, </w:t>
      </w:r>
      <w:r w:rsidR="007E50BA" w:rsidRPr="00EF4E76">
        <w:rPr>
          <w:rFonts w:cs="Arial"/>
          <w:sz w:val="22"/>
        </w:rPr>
        <w:t>and applicants seeking to be admitted to</w:t>
      </w:r>
      <w:r w:rsidR="00E06FC7" w:rsidRPr="00EF4E76">
        <w:rPr>
          <w:rFonts w:cs="Arial"/>
          <w:sz w:val="22"/>
        </w:rPr>
        <w:t xml:space="preserve"> </w:t>
      </w:r>
      <w:r w:rsidR="00E56947" w:rsidRPr="00EF4E76">
        <w:rPr>
          <w:rFonts w:cs="Arial"/>
          <w:sz w:val="22"/>
        </w:rPr>
        <w:t xml:space="preserve">these programs </w:t>
      </w:r>
      <w:r w:rsidR="00E06FC7" w:rsidRPr="00EF4E76">
        <w:rPr>
          <w:rFonts w:cs="Arial"/>
          <w:sz w:val="22"/>
        </w:rPr>
        <w:t>at Griffith University</w:t>
      </w:r>
      <w:r w:rsidR="00452470" w:rsidRPr="00EF4E76">
        <w:rPr>
          <w:rFonts w:cs="Arial"/>
          <w:sz w:val="22"/>
        </w:rPr>
        <w:t>.</w:t>
      </w:r>
      <w:r w:rsidR="0089567E" w:rsidRPr="00EF4E76">
        <w:rPr>
          <w:rFonts w:cs="Arial"/>
          <w:sz w:val="22"/>
        </w:rPr>
        <w:t xml:space="preserve"> </w:t>
      </w:r>
      <w:r w:rsidR="001E1929" w:rsidRPr="00EF4E76">
        <w:rPr>
          <w:rFonts w:cs="Arial"/>
          <w:sz w:val="22"/>
        </w:rPr>
        <w:t xml:space="preserve">Where </w:t>
      </w:r>
      <w:r w:rsidR="00885183" w:rsidRPr="00EF4E76">
        <w:rPr>
          <w:rFonts w:cs="Arial"/>
          <w:sz w:val="22"/>
        </w:rPr>
        <w:t xml:space="preserve">sections of this procedure apply to the PhD by Prior Publication program, these </w:t>
      </w:r>
      <w:r w:rsidR="001E1929" w:rsidRPr="00EF4E76">
        <w:rPr>
          <w:rFonts w:cs="Arial"/>
          <w:sz w:val="22"/>
        </w:rPr>
        <w:t xml:space="preserve">are </w:t>
      </w:r>
      <w:r w:rsidR="00885183" w:rsidRPr="00EF4E76">
        <w:rPr>
          <w:rFonts w:cs="Arial"/>
          <w:sz w:val="22"/>
        </w:rPr>
        <w:t xml:space="preserve">referenced in the </w:t>
      </w:r>
      <w:r w:rsidR="00885183" w:rsidRPr="00EF4E76">
        <w:rPr>
          <w:rFonts w:cs="Arial"/>
          <w:i/>
          <w:iCs/>
          <w:sz w:val="22"/>
        </w:rPr>
        <w:t>PhD by Prior Publication Procedure</w:t>
      </w:r>
      <w:r w:rsidR="00885183" w:rsidRPr="00EF4E76">
        <w:rPr>
          <w:rFonts w:cs="Arial"/>
          <w:sz w:val="22"/>
        </w:rPr>
        <w:t xml:space="preserve">. </w:t>
      </w:r>
    </w:p>
    <w:p w14:paraId="16734CDB" w14:textId="6CB89D73" w:rsidR="00C91165" w:rsidRPr="00EF4E76" w:rsidRDefault="007706AB" w:rsidP="004E2D27">
      <w:pPr>
        <w:pStyle w:val="Heading2"/>
        <w:spacing w:before="120" w:line="240" w:lineRule="auto"/>
        <w:ind w:left="426" w:hanging="426"/>
        <w:rPr>
          <w:rFonts w:ascii="Arial" w:hAnsi="Arial" w:cs="Arial"/>
          <w:b/>
          <w:bCs/>
          <w:sz w:val="32"/>
          <w:szCs w:val="32"/>
        </w:rPr>
      </w:pPr>
      <w:bookmarkStart w:id="11" w:name="_3.0_Procedure"/>
      <w:bookmarkEnd w:id="11"/>
      <w:r w:rsidRPr="00EF4E76">
        <w:rPr>
          <w:rFonts w:ascii="Arial" w:hAnsi="Arial" w:cs="Arial"/>
          <w:b/>
          <w:bCs/>
          <w:sz w:val="32"/>
          <w:szCs w:val="32"/>
        </w:rPr>
        <w:t xml:space="preserve">3.0 </w:t>
      </w:r>
      <w:r w:rsidR="00C91165" w:rsidRPr="00EF4E76">
        <w:rPr>
          <w:rFonts w:ascii="Arial" w:hAnsi="Arial" w:cs="Arial"/>
          <w:b/>
          <w:bCs/>
          <w:sz w:val="32"/>
          <w:szCs w:val="32"/>
        </w:rPr>
        <w:t>P</w:t>
      </w:r>
      <w:bookmarkEnd w:id="8"/>
      <w:r w:rsidR="00A71AD8" w:rsidRPr="00EF4E76">
        <w:rPr>
          <w:rFonts w:ascii="Arial" w:hAnsi="Arial" w:cs="Arial"/>
          <w:b/>
          <w:bCs/>
          <w:sz w:val="32"/>
          <w:szCs w:val="32"/>
        </w:rPr>
        <w:t>rocedure</w:t>
      </w:r>
      <w:bookmarkEnd w:id="9"/>
      <w:bookmarkEnd w:id="10"/>
    </w:p>
    <w:p w14:paraId="05FB7B65" w14:textId="380C0E68" w:rsidR="0059228C" w:rsidRPr="00EF4E76" w:rsidRDefault="005906C8" w:rsidP="004E2D27">
      <w:pPr>
        <w:spacing w:before="120" w:after="120" w:line="240" w:lineRule="auto"/>
        <w:ind w:right="27"/>
        <w:rPr>
          <w:rFonts w:cs="Arial"/>
          <w:sz w:val="22"/>
        </w:rPr>
      </w:pPr>
      <w:bookmarkStart w:id="12" w:name="_Qualifications_for_Candidature"/>
      <w:bookmarkEnd w:id="12"/>
      <w:r w:rsidRPr="00EF4E76">
        <w:rPr>
          <w:rFonts w:cs="Arial"/>
          <w:sz w:val="22"/>
        </w:rPr>
        <w:t xml:space="preserve">In </w:t>
      </w:r>
      <w:r w:rsidR="00C46360" w:rsidRPr="00EF4E76">
        <w:rPr>
          <w:rFonts w:cs="Arial"/>
          <w:sz w:val="22"/>
        </w:rPr>
        <w:t>its admissions</w:t>
      </w:r>
      <w:r w:rsidR="00994B36" w:rsidRPr="00EF4E76">
        <w:rPr>
          <w:rFonts w:cs="Arial"/>
          <w:sz w:val="22"/>
        </w:rPr>
        <w:t xml:space="preserve"> to HDR programs</w:t>
      </w:r>
      <w:r w:rsidRPr="00EF4E76">
        <w:rPr>
          <w:rFonts w:cs="Arial"/>
          <w:sz w:val="22"/>
        </w:rPr>
        <w:t xml:space="preserve">, the </w:t>
      </w:r>
      <w:r w:rsidR="00AE20B5" w:rsidRPr="00EF4E76">
        <w:rPr>
          <w:rFonts w:cs="Arial"/>
          <w:sz w:val="22"/>
        </w:rPr>
        <w:t>U</w:t>
      </w:r>
      <w:r w:rsidRPr="00EF4E76">
        <w:rPr>
          <w:rFonts w:cs="Arial"/>
          <w:sz w:val="22"/>
        </w:rPr>
        <w:t>ni</w:t>
      </w:r>
      <w:r w:rsidR="0059228C" w:rsidRPr="00EF4E76">
        <w:rPr>
          <w:rFonts w:cs="Arial"/>
          <w:sz w:val="22"/>
        </w:rPr>
        <w:t xml:space="preserve">versity </w:t>
      </w:r>
      <w:r w:rsidR="0059228C" w:rsidRPr="00EF4E76">
        <w:rPr>
          <w:rFonts w:cs="Arial"/>
          <w:sz w:val="22"/>
          <w:u w:val="single"/>
        </w:rPr>
        <w:t>will</w:t>
      </w:r>
      <w:r w:rsidR="0059228C" w:rsidRPr="00EF4E76">
        <w:rPr>
          <w:rFonts w:cs="Arial"/>
          <w:sz w:val="22"/>
        </w:rPr>
        <w:t>:</w:t>
      </w:r>
    </w:p>
    <w:p w14:paraId="611593ED" w14:textId="353F08CB" w:rsidR="00CF5229" w:rsidRPr="00EF4E76" w:rsidRDefault="0059228C" w:rsidP="004E2D27">
      <w:pPr>
        <w:pStyle w:val="ListParagraph"/>
        <w:numPr>
          <w:ilvl w:val="1"/>
          <w:numId w:val="16"/>
        </w:numPr>
        <w:spacing w:before="120" w:after="120" w:line="240" w:lineRule="auto"/>
        <w:ind w:left="567" w:right="27" w:hanging="283"/>
        <w:rPr>
          <w:rFonts w:cs="Arial"/>
          <w:sz w:val="22"/>
        </w:rPr>
      </w:pPr>
      <w:r w:rsidRPr="00EF4E76">
        <w:rPr>
          <w:rFonts w:cs="Arial"/>
          <w:sz w:val="22"/>
        </w:rPr>
        <w:t>M</w:t>
      </w:r>
      <w:r w:rsidR="00CF5229" w:rsidRPr="00EF4E76">
        <w:rPr>
          <w:rFonts w:cs="Arial"/>
          <w:sz w:val="22"/>
        </w:rPr>
        <w:t>a</w:t>
      </w:r>
      <w:r w:rsidRPr="00EF4E76">
        <w:rPr>
          <w:rFonts w:cs="Arial"/>
          <w:sz w:val="22"/>
        </w:rPr>
        <w:t>k</w:t>
      </w:r>
      <w:r w:rsidR="00CF5229" w:rsidRPr="00EF4E76">
        <w:rPr>
          <w:rFonts w:cs="Arial"/>
          <w:sz w:val="22"/>
        </w:rPr>
        <w:t xml:space="preserve">e </w:t>
      </w:r>
      <w:r w:rsidRPr="00EF4E76">
        <w:rPr>
          <w:rFonts w:cs="Arial"/>
          <w:sz w:val="22"/>
        </w:rPr>
        <w:t xml:space="preserve">offers based </w:t>
      </w:r>
      <w:r w:rsidR="00CF5229" w:rsidRPr="00EF4E76">
        <w:rPr>
          <w:rFonts w:cs="Arial"/>
          <w:sz w:val="22"/>
        </w:rPr>
        <w:t>on merit and demonstrated achievement</w:t>
      </w:r>
      <w:r w:rsidRPr="00EF4E76">
        <w:rPr>
          <w:rFonts w:cs="Arial"/>
          <w:sz w:val="22"/>
        </w:rPr>
        <w:t xml:space="preserve">. Academic achievement </w:t>
      </w:r>
      <w:r w:rsidR="00677497" w:rsidRPr="00EF4E76">
        <w:rPr>
          <w:rFonts w:cs="Arial"/>
          <w:sz w:val="22"/>
        </w:rPr>
        <w:t xml:space="preserve">will be especially relevant, </w:t>
      </w:r>
      <w:r w:rsidR="00CF5229" w:rsidRPr="00EF4E76">
        <w:rPr>
          <w:rFonts w:cs="Arial"/>
          <w:sz w:val="22"/>
        </w:rPr>
        <w:t xml:space="preserve">but </w:t>
      </w:r>
      <w:r w:rsidR="00677497" w:rsidRPr="00EF4E76">
        <w:rPr>
          <w:rFonts w:cs="Arial"/>
          <w:sz w:val="22"/>
        </w:rPr>
        <w:t xml:space="preserve">the </w:t>
      </w:r>
      <w:r w:rsidR="00AE20B5" w:rsidRPr="00EF4E76">
        <w:rPr>
          <w:rFonts w:cs="Arial"/>
          <w:sz w:val="22"/>
        </w:rPr>
        <w:t>U</w:t>
      </w:r>
      <w:r w:rsidR="00677497" w:rsidRPr="00EF4E76">
        <w:rPr>
          <w:rFonts w:cs="Arial"/>
          <w:sz w:val="22"/>
        </w:rPr>
        <w:t xml:space="preserve">niversity </w:t>
      </w:r>
      <w:r w:rsidR="00CF5229" w:rsidRPr="00EF4E76">
        <w:rPr>
          <w:rFonts w:cs="Arial"/>
          <w:sz w:val="22"/>
        </w:rPr>
        <w:t xml:space="preserve">may also take account of other factors that demonstrate research preparedness in </w:t>
      </w:r>
      <w:r w:rsidR="00677497" w:rsidRPr="00EF4E76">
        <w:rPr>
          <w:rFonts w:cs="Arial"/>
          <w:sz w:val="22"/>
        </w:rPr>
        <w:t xml:space="preserve">the relevant </w:t>
      </w:r>
      <w:r w:rsidR="00CF5229" w:rsidRPr="00EF4E76">
        <w:rPr>
          <w:rFonts w:cs="Arial"/>
          <w:sz w:val="22"/>
        </w:rPr>
        <w:t>area.</w:t>
      </w:r>
    </w:p>
    <w:p w14:paraId="13D8E755" w14:textId="4B046932" w:rsidR="00CF5229" w:rsidRPr="00EF4E76" w:rsidRDefault="00AE20B5" w:rsidP="004E2D27">
      <w:pPr>
        <w:pStyle w:val="ListParagraph"/>
        <w:numPr>
          <w:ilvl w:val="1"/>
          <w:numId w:val="16"/>
        </w:numPr>
        <w:spacing w:before="120" w:after="120" w:line="240" w:lineRule="auto"/>
        <w:ind w:left="567" w:right="27" w:hanging="283"/>
        <w:rPr>
          <w:rFonts w:cs="Arial"/>
          <w:sz w:val="22"/>
        </w:rPr>
      </w:pPr>
      <w:r w:rsidRPr="00EF4E76">
        <w:rPr>
          <w:rFonts w:cs="Arial"/>
          <w:sz w:val="22"/>
        </w:rPr>
        <w:t>O</w:t>
      </w:r>
      <w:r w:rsidR="00CF5229" w:rsidRPr="00EF4E76">
        <w:rPr>
          <w:rFonts w:cs="Arial"/>
          <w:sz w:val="22"/>
        </w:rPr>
        <w:t xml:space="preserve">nly </w:t>
      </w:r>
      <w:r w:rsidRPr="00EF4E76">
        <w:rPr>
          <w:rFonts w:cs="Arial"/>
          <w:sz w:val="22"/>
        </w:rPr>
        <w:t xml:space="preserve">make offers </w:t>
      </w:r>
      <w:r w:rsidR="00CF5229" w:rsidRPr="00EF4E76">
        <w:rPr>
          <w:rFonts w:cs="Arial"/>
          <w:sz w:val="22"/>
        </w:rPr>
        <w:t xml:space="preserve">where there is an appropriate fit between the applicant, research environment, available </w:t>
      </w:r>
      <w:proofErr w:type="gramStart"/>
      <w:r w:rsidR="00CF5229" w:rsidRPr="00EF4E76">
        <w:rPr>
          <w:rFonts w:cs="Arial"/>
          <w:sz w:val="22"/>
        </w:rPr>
        <w:t>resources</w:t>
      </w:r>
      <w:proofErr w:type="gramEnd"/>
      <w:r w:rsidR="00CF5229" w:rsidRPr="00EF4E76">
        <w:rPr>
          <w:rFonts w:cs="Arial"/>
          <w:sz w:val="22"/>
        </w:rPr>
        <w:t xml:space="preserve"> and supervision.</w:t>
      </w:r>
    </w:p>
    <w:p w14:paraId="26BEBB3D" w14:textId="1D294B8F" w:rsidR="0095463A" w:rsidRPr="00EF4E76" w:rsidRDefault="0095463A" w:rsidP="004E2D27">
      <w:pPr>
        <w:pStyle w:val="ListParagraph"/>
        <w:numPr>
          <w:ilvl w:val="1"/>
          <w:numId w:val="16"/>
        </w:numPr>
        <w:spacing w:before="120" w:after="120" w:line="240" w:lineRule="auto"/>
        <w:ind w:left="567" w:right="27" w:hanging="283"/>
        <w:rPr>
          <w:rFonts w:cs="Arial"/>
          <w:sz w:val="22"/>
        </w:rPr>
      </w:pPr>
      <w:r w:rsidRPr="00EF4E76">
        <w:rPr>
          <w:rFonts w:cs="Arial"/>
          <w:sz w:val="22"/>
        </w:rPr>
        <w:t xml:space="preserve">Ensure </w:t>
      </w:r>
      <w:r w:rsidR="00E623B1" w:rsidRPr="00EF4E76">
        <w:rPr>
          <w:rFonts w:cs="Arial"/>
          <w:sz w:val="22"/>
        </w:rPr>
        <w:t xml:space="preserve">admission processes </w:t>
      </w:r>
      <w:r w:rsidRPr="00EF4E76">
        <w:rPr>
          <w:rFonts w:cs="Arial"/>
          <w:sz w:val="22"/>
        </w:rPr>
        <w:t>comply with relevant regulatory and reporting requirements.</w:t>
      </w:r>
    </w:p>
    <w:p w14:paraId="650CD8C8" w14:textId="5E15920E" w:rsidR="00696E8F" w:rsidRPr="00EF4E76" w:rsidRDefault="00CF5229" w:rsidP="004E2D27">
      <w:pPr>
        <w:spacing w:before="120" w:after="120" w:line="240" w:lineRule="auto"/>
        <w:ind w:right="27"/>
        <w:rPr>
          <w:rFonts w:cs="Arial"/>
          <w:sz w:val="22"/>
        </w:rPr>
      </w:pPr>
      <w:r w:rsidRPr="00EF4E76">
        <w:rPr>
          <w:rFonts w:cs="Arial"/>
          <w:sz w:val="22"/>
        </w:rPr>
        <w:t xml:space="preserve">The University may also seek to achieve strategic objectives through its admissions. </w:t>
      </w:r>
    </w:p>
    <w:p w14:paraId="37B75173" w14:textId="12209623" w:rsidR="005E633A" w:rsidRPr="00EF4E76" w:rsidRDefault="005E633A" w:rsidP="004E2D27">
      <w:pPr>
        <w:pStyle w:val="Heading3"/>
        <w:spacing w:before="120" w:after="120"/>
        <w:ind w:left="567" w:firstLine="0"/>
        <w:rPr>
          <w:rFonts w:cs="Arial"/>
          <w:b/>
          <w:bCs/>
          <w:sz w:val="28"/>
          <w:szCs w:val="28"/>
        </w:rPr>
      </w:pPr>
      <w:bookmarkStart w:id="13" w:name="_Qualifications_for_Candidature_1"/>
      <w:bookmarkStart w:id="14" w:name="_Minimum_qualification_requirements"/>
      <w:bookmarkEnd w:id="13"/>
      <w:bookmarkEnd w:id="14"/>
      <w:r w:rsidRPr="00EF4E76">
        <w:rPr>
          <w:rFonts w:cs="Arial"/>
          <w:b/>
          <w:bCs/>
          <w:sz w:val="28"/>
          <w:szCs w:val="28"/>
        </w:rPr>
        <w:t xml:space="preserve">3.1 </w:t>
      </w:r>
      <w:r w:rsidR="00491EE7" w:rsidRPr="00EF4E76">
        <w:rPr>
          <w:rFonts w:cs="Arial"/>
          <w:b/>
          <w:bCs/>
          <w:sz w:val="28"/>
          <w:szCs w:val="28"/>
        </w:rPr>
        <w:t xml:space="preserve">Minimum </w:t>
      </w:r>
      <w:r w:rsidR="007737AA" w:rsidRPr="00EF4E76">
        <w:rPr>
          <w:rFonts w:cs="Arial"/>
          <w:b/>
          <w:bCs/>
          <w:sz w:val="28"/>
          <w:szCs w:val="28"/>
        </w:rPr>
        <w:t>q</w:t>
      </w:r>
      <w:r w:rsidR="00491EE7" w:rsidRPr="00EF4E76">
        <w:rPr>
          <w:rFonts w:cs="Arial"/>
          <w:b/>
          <w:bCs/>
          <w:sz w:val="28"/>
          <w:szCs w:val="28"/>
        </w:rPr>
        <w:t xml:space="preserve">ualification </w:t>
      </w:r>
      <w:r w:rsidR="007737AA" w:rsidRPr="00EF4E76">
        <w:rPr>
          <w:rFonts w:cs="Arial"/>
          <w:b/>
          <w:bCs/>
          <w:sz w:val="28"/>
          <w:szCs w:val="28"/>
        </w:rPr>
        <w:t>re</w:t>
      </w:r>
      <w:r w:rsidR="00491EE7" w:rsidRPr="00EF4E76">
        <w:rPr>
          <w:rFonts w:cs="Arial"/>
          <w:b/>
          <w:bCs/>
          <w:sz w:val="28"/>
          <w:szCs w:val="28"/>
        </w:rPr>
        <w:t xml:space="preserve">quirements for </w:t>
      </w:r>
      <w:r w:rsidR="007737AA" w:rsidRPr="00EF4E76">
        <w:rPr>
          <w:rFonts w:cs="Arial"/>
          <w:b/>
          <w:bCs/>
          <w:sz w:val="28"/>
          <w:szCs w:val="28"/>
        </w:rPr>
        <w:t>a</w:t>
      </w:r>
      <w:r w:rsidR="00491EE7" w:rsidRPr="00EF4E76">
        <w:rPr>
          <w:rFonts w:cs="Arial"/>
          <w:b/>
          <w:bCs/>
          <w:sz w:val="28"/>
          <w:szCs w:val="28"/>
        </w:rPr>
        <w:t>dmission</w:t>
      </w:r>
      <w:bookmarkStart w:id="15" w:name="_3.2_&lt;Insert_sub-heading&gt;"/>
      <w:bookmarkStart w:id="16" w:name="_Doctoral_Degree"/>
      <w:bookmarkStart w:id="17" w:name="_Masters_Degree_(Research)"/>
      <w:bookmarkStart w:id="18" w:name="_Hlk134018367"/>
      <w:bookmarkEnd w:id="15"/>
      <w:bookmarkEnd w:id="16"/>
      <w:bookmarkEnd w:id="17"/>
    </w:p>
    <w:p w14:paraId="140A8E3D" w14:textId="4F94235C" w:rsidR="005E633A" w:rsidRPr="00EF4E76" w:rsidRDefault="005E633A" w:rsidP="005F048D">
      <w:pPr>
        <w:pStyle w:val="Heading4"/>
        <w:tabs>
          <w:tab w:val="clear" w:pos="1843"/>
        </w:tabs>
        <w:spacing w:before="120"/>
        <w:ind w:left="851"/>
        <w:rPr>
          <w:b/>
          <w:bCs w:val="0"/>
          <w:szCs w:val="24"/>
          <w:lang w:eastAsia="en-GB"/>
        </w:rPr>
      </w:pPr>
      <w:r w:rsidRPr="00EF4E76">
        <w:rPr>
          <w:b/>
          <w:bCs w:val="0"/>
          <w:szCs w:val="24"/>
          <w:lang w:eastAsia="en-GB"/>
        </w:rPr>
        <w:t>3.1.1</w:t>
      </w:r>
    </w:p>
    <w:p w14:paraId="707C016A" w14:textId="77777777" w:rsidR="005E633A" w:rsidRPr="00EF4E76" w:rsidRDefault="00193044" w:rsidP="005F048D">
      <w:pPr>
        <w:spacing w:before="120" w:after="120" w:line="240" w:lineRule="auto"/>
        <w:ind w:left="851"/>
        <w:rPr>
          <w:rFonts w:cs="Arial"/>
          <w:b/>
          <w:sz w:val="22"/>
          <w:lang w:eastAsia="en-GB"/>
        </w:rPr>
      </w:pPr>
      <w:r w:rsidRPr="00EF4E76">
        <w:rPr>
          <w:rFonts w:cs="Arial"/>
          <w:sz w:val="22"/>
        </w:rPr>
        <w:t>Applicants must provide documen</w:t>
      </w:r>
      <w:r w:rsidR="00AC4B2F" w:rsidRPr="00EF4E76">
        <w:rPr>
          <w:rFonts w:cs="Arial"/>
          <w:sz w:val="22"/>
        </w:rPr>
        <w:t>ted evidence as part of their application for admission to demonstrate that they meet</w:t>
      </w:r>
      <w:r w:rsidR="00E65775" w:rsidRPr="00EF4E76">
        <w:rPr>
          <w:rFonts w:cs="Arial"/>
          <w:sz w:val="22"/>
        </w:rPr>
        <w:t>:</w:t>
      </w:r>
      <w:bookmarkStart w:id="19" w:name="_Hlk134168578"/>
      <w:bookmarkStart w:id="20" w:name="_Hlk134095617"/>
      <w:bookmarkStart w:id="21" w:name="_Hlk134018496"/>
      <w:bookmarkEnd w:id="18"/>
    </w:p>
    <w:p w14:paraId="2BDAFF71" w14:textId="34173E82" w:rsidR="005E633A" w:rsidRPr="00EF4E76" w:rsidRDefault="00DC1C85" w:rsidP="005F048D">
      <w:pPr>
        <w:pStyle w:val="ListParagraph"/>
        <w:numPr>
          <w:ilvl w:val="0"/>
          <w:numId w:val="6"/>
        </w:numPr>
        <w:spacing w:before="120" w:after="120" w:line="240" w:lineRule="auto"/>
        <w:ind w:left="1134" w:hanging="283"/>
        <w:rPr>
          <w:rFonts w:cs="Arial"/>
          <w:sz w:val="22"/>
        </w:rPr>
      </w:pPr>
      <w:r w:rsidRPr="00EF4E76">
        <w:rPr>
          <w:rFonts w:cs="Arial"/>
          <w:sz w:val="22"/>
        </w:rPr>
        <w:t>The qualifications requirement for entry to that program</w:t>
      </w:r>
      <w:bookmarkEnd w:id="19"/>
      <w:r w:rsidR="00D6555A" w:rsidRPr="00EF4E76">
        <w:rPr>
          <w:rFonts w:cs="Arial"/>
          <w:sz w:val="22"/>
        </w:rPr>
        <w:t>:</w:t>
      </w:r>
    </w:p>
    <w:p w14:paraId="0B0AA690" w14:textId="44DEB5CF" w:rsidR="005E633A" w:rsidRPr="00EF4E76" w:rsidRDefault="00E65775" w:rsidP="005F048D">
      <w:pPr>
        <w:pStyle w:val="ListParagraph"/>
        <w:numPr>
          <w:ilvl w:val="1"/>
          <w:numId w:val="5"/>
        </w:numPr>
        <w:spacing w:before="120" w:after="120" w:line="240" w:lineRule="auto"/>
        <w:ind w:left="1418" w:hanging="284"/>
        <w:rPr>
          <w:rFonts w:cs="Arial"/>
          <w:b/>
          <w:sz w:val="22"/>
          <w:lang w:eastAsia="en-GB"/>
        </w:rPr>
      </w:pPr>
      <w:r w:rsidRPr="00EF4E76">
        <w:rPr>
          <w:rFonts w:cs="Arial"/>
          <w:sz w:val="22"/>
        </w:rPr>
        <w:t xml:space="preserve">The minimum </w:t>
      </w:r>
      <w:r w:rsidR="003212EB" w:rsidRPr="00EF4E76">
        <w:rPr>
          <w:rFonts w:cs="Arial"/>
          <w:sz w:val="22"/>
        </w:rPr>
        <w:t>qualification</w:t>
      </w:r>
      <w:r w:rsidRPr="00EF4E76">
        <w:rPr>
          <w:rFonts w:cs="Arial"/>
          <w:sz w:val="22"/>
        </w:rPr>
        <w:t xml:space="preserve"> requirement</w:t>
      </w:r>
      <w:r w:rsidR="00B455B5" w:rsidRPr="00EF4E76">
        <w:rPr>
          <w:rFonts w:cs="Arial"/>
          <w:sz w:val="22"/>
        </w:rPr>
        <w:t xml:space="preserve"> </w:t>
      </w:r>
      <w:r w:rsidR="00393B9D" w:rsidRPr="00EF4E76">
        <w:rPr>
          <w:rFonts w:cs="Arial"/>
          <w:sz w:val="22"/>
        </w:rPr>
        <w:t xml:space="preserve">for </w:t>
      </w:r>
      <w:r w:rsidR="003212EB" w:rsidRPr="00EF4E76">
        <w:rPr>
          <w:rFonts w:cs="Arial"/>
          <w:sz w:val="22"/>
        </w:rPr>
        <w:t xml:space="preserve">admission to </w:t>
      </w:r>
      <w:r w:rsidR="00393B9D" w:rsidRPr="00EF4E76">
        <w:rPr>
          <w:rFonts w:cs="Arial"/>
          <w:sz w:val="22"/>
        </w:rPr>
        <w:t xml:space="preserve">the </w:t>
      </w:r>
      <w:r w:rsidR="00F26122" w:rsidRPr="00EF4E76">
        <w:rPr>
          <w:rFonts w:cs="Arial"/>
          <w:sz w:val="22"/>
        </w:rPr>
        <w:t xml:space="preserve">HDR program </w:t>
      </w:r>
      <w:r w:rsidRPr="00EF4E76">
        <w:rPr>
          <w:rFonts w:cs="Arial"/>
          <w:sz w:val="22"/>
        </w:rPr>
        <w:t xml:space="preserve">as </w:t>
      </w:r>
      <w:r w:rsidR="007541A6" w:rsidRPr="00EF4E76">
        <w:rPr>
          <w:rFonts w:cs="Arial"/>
          <w:sz w:val="22"/>
        </w:rPr>
        <w:t xml:space="preserve">set out </w:t>
      </w:r>
      <w:r w:rsidR="00F26122" w:rsidRPr="00EF4E76">
        <w:rPr>
          <w:rFonts w:cs="Arial"/>
          <w:sz w:val="22"/>
        </w:rPr>
        <w:t xml:space="preserve">on the University’s </w:t>
      </w:r>
      <w:hyperlink r:id="rId11" w:history="1">
        <w:r w:rsidR="00F26122" w:rsidRPr="00A72D48">
          <w:rPr>
            <w:rStyle w:val="Hyperlink"/>
            <w:rFonts w:cs="Arial"/>
            <w:sz w:val="22"/>
          </w:rPr>
          <w:t>Degree Finder website</w:t>
        </w:r>
      </w:hyperlink>
      <w:r w:rsidR="00607E9B" w:rsidRPr="00EF4E76">
        <w:rPr>
          <w:rFonts w:cs="Arial"/>
          <w:sz w:val="22"/>
        </w:rPr>
        <w:t>;</w:t>
      </w:r>
      <w:r w:rsidR="006D063E" w:rsidRPr="00EF4E76">
        <w:rPr>
          <w:rFonts w:cs="Arial"/>
          <w:sz w:val="22"/>
        </w:rPr>
        <w:t xml:space="preserve"> </w:t>
      </w:r>
      <w:r w:rsidR="009F6581" w:rsidRPr="00EF4E76">
        <w:rPr>
          <w:rFonts w:cs="Arial"/>
          <w:sz w:val="22"/>
        </w:rPr>
        <w:t>or</w:t>
      </w:r>
    </w:p>
    <w:p w14:paraId="2B3B0AF5" w14:textId="32DAB2D0" w:rsidR="00E65775" w:rsidRPr="00EF4E76" w:rsidRDefault="00950DD7" w:rsidP="005F048D">
      <w:pPr>
        <w:pStyle w:val="ListParagraph"/>
        <w:numPr>
          <w:ilvl w:val="1"/>
          <w:numId w:val="5"/>
        </w:numPr>
        <w:spacing w:before="120" w:after="120" w:line="240" w:lineRule="auto"/>
        <w:ind w:left="1418" w:hanging="284"/>
        <w:rPr>
          <w:rFonts w:cs="Arial"/>
          <w:b/>
          <w:sz w:val="22"/>
          <w:lang w:eastAsia="en-GB"/>
        </w:rPr>
      </w:pPr>
      <w:r w:rsidRPr="00EF4E76">
        <w:rPr>
          <w:rFonts w:cs="Arial"/>
          <w:sz w:val="22"/>
        </w:rPr>
        <w:t xml:space="preserve">An equivalent level of attainment </w:t>
      </w:r>
      <w:r w:rsidR="00E36565" w:rsidRPr="00EF4E76">
        <w:rPr>
          <w:rFonts w:cs="Arial"/>
          <w:sz w:val="22"/>
        </w:rPr>
        <w:t xml:space="preserve">as specified in </w:t>
      </w:r>
      <w:r w:rsidR="00701327" w:rsidRPr="00EF4E76">
        <w:rPr>
          <w:rFonts w:cs="Arial"/>
          <w:sz w:val="22"/>
        </w:rPr>
        <w:t xml:space="preserve">the </w:t>
      </w:r>
      <w:r w:rsidR="00701327" w:rsidRPr="00EF4E76">
        <w:rPr>
          <w:rFonts w:cs="Arial"/>
          <w:i/>
          <w:sz w:val="22"/>
        </w:rPr>
        <w:t>Equivalent Qualifications for HDR Program Admission Schedule</w:t>
      </w:r>
      <w:r w:rsidR="00607E9B" w:rsidRPr="00EF4E76">
        <w:rPr>
          <w:rFonts w:cs="Arial"/>
          <w:i/>
          <w:sz w:val="22"/>
        </w:rPr>
        <w:t>.</w:t>
      </w:r>
    </w:p>
    <w:bookmarkEnd w:id="20"/>
    <w:p w14:paraId="2ADCAD66" w14:textId="77777777" w:rsidR="005E633A" w:rsidRPr="00EF4E76" w:rsidRDefault="007B6BAF" w:rsidP="005F048D">
      <w:pPr>
        <w:pStyle w:val="ListParagraph"/>
        <w:numPr>
          <w:ilvl w:val="0"/>
          <w:numId w:val="6"/>
        </w:numPr>
        <w:spacing w:before="120" w:after="120" w:line="240" w:lineRule="auto"/>
        <w:ind w:left="1134" w:hanging="283"/>
        <w:rPr>
          <w:rFonts w:cs="Arial"/>
          <w:sz w:val="22"/>
        </w:rPr>
      </w:pPr>
      <w:r w:rsidRPr="00EF4E76">
        <w:rPr>
          <w:rFonts w:cs="Arial"/>
          <w:sz w:val="22"/>
        </w:rPr>
        <w:t>Any o</w:t>
      </w:r>
      <w:r w:rsidR="00E73C8A" w:rsidRPr="00EF4E76">
        <w:rPr>
          <w:rFonts w:cs="Arial"/>
          <w:sz w:val="22"/>
        </w:rPr>
        <w:t>ther a</w:t>
      </w:r>
      <w:r w:rsidR="00111930" w:rsidRPr="00EF4E76">
        <w:rPr>
          <w:rFonts w:cs="Arial"/>
          <w:sz w:val="22"/>
        </w:rPr>
        <w:t xml:space="preserve">dmission requirements </w:t>
      </w:r>
      <w:r w:rsidR="00E73C8A" w:rsidRPr="00EF4E76">
        <w:rPr>
          <w:rFonts w:cs="Arial"/>
          <w:sz w:val="22"/>
        </w:rPr>
        <w:t xml:space="preserve">specified </w:t>
      </w:r>
      <w:r w:rsidR="00723C67" w:rsidRPr="00EF4E76">
        <w:rPr>
          <w:rFonts w:cs="Arial"/>
          <w:sz w:val="22"/>
        </w:rPr>
        <w:t>on the specific HDR program requirements page on the University’s Degree Finder website.</w:t>
      </w:r>
      <w:bookmarkStart w:id="22" w:name="_Hlk134168094"/>
      <w:bookmarkEnd w:id="21"/>
    </w:p>
    <w:p w14:paraId="1BB4FCAB" w14:textId="77777777" w:rsidR="00A72D48" w:rsidRDefault="00A72D48">
      <w:pPr>
        <w:spacing w:after="0" w:line="240" w:lineRule="auto"/>
        <w:rPr>
          <w:rFonts w:cs="Arial"/>
          <w:b/>
          <w:sz w:val="22"/>
          <w:szCs w:val="24"/>
        </w:rPr>
      </w:pPr>
      <w:r>
        <w:rPr>
          <w:b/>
          <w:bCs/>
          <w:szCs w:val="24"/>
        </w:rPr>
        <w:br w:type="page"/>
      </w:r>
    </w:p>
    <w:p w14:paraId="43E11ADC" w14:textId="4134A544" w:rsidR="005E633A" w:rsidRPr="00EF4E76" w:rsidRDefault="005E633A" w:rsidP="005F048D">
      <w:pPr>
        <w:pStyle w:val="Heading4"/>
        <w:tabs>
          <w:tab w:val="clear" w:pos="1843"/>
        </w:tabs>
        <w:spacing w:before="120"/>
        <w:ind w:left="851"/>
        <w:rPr>
          <w:b/>
          <w:bCs w:val="0"/>
        </w:rPr>
      </w:pPr>
      <w:r w:rsidRPr="00EF4E76">
        <w:rPr>
          <w:b/>
          <w:bCs w:val="0"/>
          <w:szCs w:val="24"/>
        </w:rPr>
        <w:lastRenderedPageBreak/>
        <w:t xml:space="preserve">3.1.2 </w:t>
      </w:r>
    </w:p>
    <w:p w14:paraId="10F25A99" w14:textId="77777777" w:rsidR="005E633A" w:rsidRPr="00EF4E76" w:rsidRDefault="00062F15" w:rsidP="009004DD">
      <w:pPr>
        <w:spacing w:before="120" w:after="120" w:line="240" w:lineRule="auto"/>
        <w:ind w:left="851"/>
        <w:rPr>
          <w:rFonts w:cs="Arial"/>
          <w:sz w:val="22"/>
        </w:rPr>
      </w:pPr>
      <w:r w:rsidRPr="00EF4E76">
        <w:rPr>
          <w:rFonts w:cs="Arial"/>
          <w:sz w:val="22"/>
        </w:rPr>
        <w:t>A</w:t>
      </w:r>
      <w:r w:rsidR="00BC29B3" w:rsidRPr="00EF4E76">
        <w:rPr>
          <w:rFonts w:cs="Arial"/>
          <w:sz w:val="22"/>
        </w:rPr>
        <w:t>n applicant’s qualifying degree or equivalent qualifying activity and</w:t>
      </w:r>
      <w:r w:rsidR="00336BC7" w:rsidRPr="00EF4E76">
        <w:rPr>
          <w:rFonts w:cs="Arial"/>
          <w:sz w:val="22"/>
        </w:rPr>
        <w:t>/or</w:t>
      </w:r>
      <w:r w:rsidR="00BC29B3" w:rsidRPr="00EF4E76">
        <w:rPr>
          <w:rFonts w:cs="Arial"/>
          <w:sz w:val="22"/>
        </w:rPr>
        <w:t xml:space="preserve"> outputs</w:t>
      </w:r>
      <w:r w:rsidRPr="00EF4E76">
        <w:rPr>
          <w:rFonts w:cs="Arial"/>
          <w:sz w:val="22"/>
        </w:rPr>
        <w:t xml:space="preserve"> will</w:t>
      </w:r>
      <w:r w:rsidR="00BC29B3" w:rsidRPr="00EF4E76">
        <w:rPr>
          <w:rFonts w:cs="Arial"/>
          <w:sz w:val="22"/>
        </w:rPr>
        <w:t>:</w:t>
      </w:r>
    </w:p>
    <w:p w14:paraId="11B8FABB" w14:textId="77777777" w:rsidR="005E633A" w:rsidRPr="00EF4E76" w:rsidRDefault="004D4913" w:rsidP="005F048D">
      <w:pPr>
        <w:pStyle w:val="ListParagraph"/>
        <w:numPr>
          <w:ilvl w:val="0"/>
          <w:numId w:val="6"/>
        </w:numPr>
        <w:spacing w:before="120" w:after="120" w:line="240" w:lineRule="auto"/>
        <w:ind w:left="1134" w:hanging="283"/>
        <w:rPr>
          <w:rFonts w:cs="Arial"/>
          <w:sz w:val="22"/>
        </w:rPr>
      </w:pPr>
      <w:r w:rsidRPr="00EF4E76">
        <w:rPr>
          <w:rFonts w:cs="Arial"/>
          <w:sz w:val="22"/>
        </w:rPr>
        <w:t>B</w:t>
      </w:r>
      <w:r w:rsidR="00062F15" w:rsidRPr="00EF4E76">
        <w:rPr>
          <w:rFonts w:cs="Arial"/>
          <w:sz w:val="22"/>
        </w:rPr>
        <w:t>e</w:t>
      </w:r>
      <w:r w:rsidR="00182475" w:rsidRPr="00EF4E76">
        <w:rPr>
          <w:rFonts w:cs="Arial"/>
          <w:sz w:val="22"/>
        </w:rPr>
        <w:t xml:space="preserve"> </w:t>
      </w:r>
      <w:r w:rsidR="00F8654D" w:rsidRPr="00EF4E76">
        <w:rPr>
          <w:rFonts w:cs="Arial"/>
          <w:sz w:val="22"/>
        </w:rPr>
        <w:t xml:space="preserve">in </w:t>
      </w:r>
      <w:r w:rsidR="00182475" w:rsidRPr="00EF4E76">
        <w:rPr>
          <w:rFonts w:cs="Arial"/>
          <w:sz w:val="22"/>
        </w:rPr>
        <w:t xml:space="preserve">the same discipline </w:t>
      </w:r>
      <w:r w:rsidR="000B4485" w:rsidRPr="00EF4E76">
        <w:rPr>
          <w:rFonts w:cs="Arial"/>
          <w:sz w:val="22"/>
        </w:rPr>
        <w:t xml:space="preserve">area </w:t>
      </w:r>
      <w:r w:rsidR="00182475" w:rsidRPr="00EF4E76">
        <w:rPr>
          <w:rFonts w:cs="Arial"/>
          <w:sz w:val="22"/>
        </w:rPr>
        <w:t>as the proposed research topic</w:t>
      </w:r>
      <w:r w:rsidRPr="00EF4E76">
        <w:rPr>
          <w:rFonts w:cs="Arial"/>
          <w:sz w:val="22"/>
        </w:rPr>
        <w:t>;</w:t>
      </w:r>
      <w:r w:rsidR="00477647" w:rsidRPr="00EF4E76">
        <w:rPr>
          <w:rFonts w:cs="Arial"/>
          <w:sz w:val="22"/>
        </w:rPr>
        <w:t xml:space="preserve"> and</w:t>
      </w:r>
    </w:p>
    <w:p w14:paraId="5A8C90F7" w14:textId="216A9A95" w:rsidR="00BC29B3" w:rsidRPr="00EF4E76" w:rsidRDefault="00477647" w:rsidP="005F048D">
      <w:pPr>
        <w:pStyle w:val="ListParagraph"/>
        <w:numPr>
          <w:ilvl w:val="0"/>
          <w:numId w:val="6"/>
        </w:numPr>
        <w:spacing w:before="120" w:after="120" w:line="240" w:lineRule="auto"/>
        <w:ind w:left="1134" w:hanging="283"/>
        <w:rPr>
          <w:rFonts w:cs="Arial"/>
          <w:bCs/>
        </w:rPr>
      </w:pPr>
      <w:r w:rsidRPr="00EF4E76">
        <w:rPr>
          <w:rFonts w:cs="Arial"/>
          <w:sz w:val="22"/>
        </w:rPr>
        <w:t>H</w:t>
      </w:r>
      <w:r w:rsidR="00182475" w:rsidRPr="00EF4E76">
        <w:rPr>
          <w:rFonts w:cs="Arial"/>
          <w:sz w:val="22"/>
        </w:rPr>
        <w:t>ave been obtained</w:t>
      </w:r>
      <w:r w:rsidR="00F12869" w:rsidRPr="00EF4E76">
        <w:rPr>
          <w:rFonts w:cs="Arial"/>
          <w:sz w:val="22"/>
        </w:rPr>
        <w:t xml:space="preserve"> or undertaken </w:t>
      </w:r>
      <w:r w:rsidR="00182475" w:rsidRPr="00EF4E76">
        <w:rPr>
          <w:rFonts w:cs="Arial"/>
          <w:sz w:val="22"/>
        </w:rPr>
        <w:t>less than 10 years prior to application</w:t>
      </w:r>
      <w:r w:rsidR="006C23A2" w:rsidRPr="00EF4E76">
        <w:rPr>
          <w:rFonts w:cs="Arial"/>
          <w:sz w:val="22"/>
        </w:rPr>
        <w:t>.</w:t>
      </w:r>
    </w:p>
    <w:p w14:paraId="23940281" w14:textId="77777777" w:rsidR="005E633A" w:rsidRPr="00EF4E76" w:rsidRDefault="000150F1" w:rsidP="009004DD">
      <w:pPr>
        <w:spacing w:before="120" w:after="120" w:line="240" w:lineRule="auto"/>
        <w:ind w:left="851"/>
        <w:rPr>
          <w:rFonts w:cs="Arial"/>
          <w:sz w:val="22"/>
        </w:rPr>
      </w:pPr>
      <w:r w:rsidRPr="00EF4E76">
        <w:rPr>
          <w:rFonts w:cs="Arial"/>
          <w:sz w:val="22"/>
        </w:rPr>
        <w:t xml:space="preserve">Where this is not the case, </w:t>
      </w:r>
      <w:r w:rsidR="002967C5" w:rsidRPr="00EF4E76">
        <w:rPr>
          <w:rFonts w:cs="Arial"/>
          <w:sz w:val="22"/>
        </w:rPr>
        <w:t>additional evidence will be required to determine the suitability of the applicant’s background for the research they propose to undertake.</w:t>
      </w:r>
    </w:p>
    <w:p w14:paraId="6E6D7DCB" w14:textId="42F845D3" w:rsidR="005E633A" w:rsidRPr="00EF4E76" w:rsidRDefault="005E633A" w:rsidP="005F048D">
      <w:pPr>
        <w:pStyle w:val="Heading4"/>
        <w:tabs>
          <w:tab w:val="clear" w:pos="1843"/>
        </w:tabs>
        <w:spacing w:before="120"/>
        <w:ind w:left="851"/>
        <w:rPr>
          <w:b/>
          <w:bCs w:val="0"/>
        </w:rPr>
      </w:pPr>
      <w:r w:rsidRPr="00EF4E76">
        <w:rPr>
          <w:b/>
          <w:bCs w:val="0"/>
          <w:szCs w:val="24"/>
        </w:rPr>
        <w:t>3.1.3</w:t>
      </w:r>
    </w:p>
    <w:p w14:paraId="6530DF8C" w14:textId="0030E27D" w:rsidR="00193044" w:rsidRPr="00EF4E76" w:rsidRDefault="00D074F9" w:rsidP="009004DD">
      <w:pPr>
        <w:spacing w:before="120" w:after="120" w:line="240" w:lineRule="auto"/>
        <w:ind w:left="851"/>
        <w:rPr>
          <w:rFonts w:cs="Arial"/>
          <w:sz w:val="22"/>
        </w:rPr>
      </w:pPr>
      <w:r w:rsidRPr="00EF4E76">
        <w:rPr>
          <w:rFonts w:cs="Arial"/>
          <w:sz w:val="22"/>
        </w:rPr>
        <w:t xml:space="preserve">International applicants must also </w:t>
      </w:r>
      <w:r w:rsidR="003441E7" w:rsidRPr="00EF4E76">
        <w:rPr>
          <w:rFonts w:cs="Arial"/>
          <w:sz w:val="22"/>
        </w:rPr>
        <w:t xml:space="preserve">meet the English language proficiency requirements for admission to an HDR program (refer to section 3.2). </w:t>
      </w:r>
    </w:p>
    <w:p w14:paraId="788EED89" w14:textId="331D78DD" w:rsidR="00B11DA1" w:rsidRPr="00EF4E76" w:rsidRDefault="00D66D68" w:rsidP="009004DD">
      <w:pPr>
        <w:pStyle w:val="Heading3"/>
        <w:spacing w:before="120" w:after="120"/>
        <w:ind w:left="567" w:firstLine="0"/>
        <w:rPr>
          <w:rFonts w:cs="Arial"/>
          <w:b/>
          <w:bCs/>
          <w:sz w:val="28"/>
          <w:szCs w:val="28"/>
        </w:rPr>
      </w:pPr>
      <w:bookmarkStart w:id="23" w:name="_Establishing_Equivalence"/>
      <w:bookmarkStart w:id="24" w:name="_3.3_&lt;Insert_sub-heading&gt;"/>
      <w:bookmarkStart w:id="25" w:name="_Requirements_for_Candidates"/>
      <w:bookmarkEnd w:id="22"/>
      <w:bookmarkEnd w:id="23"/>
      <w:bookmarkEnd w:id="24"/>
      <w:bookmarkEnd w:id="25"/>
      <w:r w:rsidRPr="00EF4E76">
        <w:rPr>
          <w:rFonts w:cs="Arial"/>
          <w:b/>
          <w:bCs/>
          <w:sz w:val="28"/>
          <w:szCs w:val="28"/>
        </w:rPr>
        <w:t xml:space="preserve">3.2 </w:t>
      </w:r>
      <w:r w:rsidR="0086263A" w:rsidRPr="00EF4E76">
        <w:rPr>
          <w:rFonts w:cs="Arial"/>
          <w:b/>
          <w:bCs/>
          <w:sz w:val="28"/>
          <w:szCs w:val="28"/>
        </w:rPr>
        <w:t xml:space="preserve">English </w:t>
      </w:r>
      <w:r w:rsidR="007737AA" w:rsidRPr="00EF4E76">
        <w:rPr>
          <w:rFonts w:cs="Arial"/>
          <w:b/>
          <w:bCs/>
          <w:sz w:val="28"/>
          <w:szCs w:val="28"/>
        </w:rPr>
        <w:t>l</w:t>
      </w:r>
      <w:r w:rsidR="0086263A" w:rsidRPr="00EF4E76">
        <w:rPr>
          <w:rFonts w:cs="Arial"/>
          <w:b/>
          <w:bCs/>
          <w:sz w:val="28"/>
          <w:szCs w:val="28"/>
        </w:rPr>
        <w:t xml:space="preserve">anguage </w:t>
      </w:r>
      <w:r w:rsidR="007737AA" w:rsidRPr="00EF4E76">
        <w:rPr>
          <w:rFonts w:cs="Arial"/>
          <w:b/>
          <w:bCs/>
          <w:sz w:val="28"/>
          <w:szCs w:val="28"/>
        </w:rPr>
        <w:t>p</w:t>
      </w:r>
      <w:r w:rsidR="0086263A" w:rsidRPr="00EF4E76">
        <w:rPr>
          <w:rFonts w:cs="Arial"/>
          <w:b/>
          <w:bCs/>
          <w:sz w:val="28"/>
          <w:szCs w:val="28"/>
        </w:rPr>
        <w:t xml:space="preserve">roficiency </w:t>
      </w:r>
      <w:r w:rsidR="007737AA" w:rsidRPr="00EF4E76">
        <w:rPr>
          <w:rFonts w:cs="Arial"/>
          <w:b/>
          <w:bCs/>
          <w:sz w:val="28"/>
          <w:szCs w:val="28"/>
        </w:rPr>
        <w:t>r</w:t>
      </w:r>
      <w:r w:rsidR="002327E4" w:rsidRPr="00EF4E76">
        <w:rPr>
          <w:rFonts w:cs="Arial"/>
          <w:b/>
          <w:bCs/>
          <w:sz w:val="28"/>
          <w:szCs w:val="28"/>
        </w:rPr>
        <w:t>equirements</w:t>
      </w:r>
    </w:p>
    <w:p w14:paraId="6EA58E1E" w14:textId="2CCF3CD0" w:rsidR="005E633A" w:rsidRPr="00EF4E76" w:rsidRDefault="005E633A" w:rsidP="005F048D">
      <w:pPr>
        <w:pStyle w:val="Heading4"/>
        <w:tabs>
          <w:tab w:val="clear" w:pos="1843"/>
        </w:tabs>
        <w:spacing w:before="120"/>
        <w:ind w:left="851"/>
        <w:rPr>
          <w:b/>
          <w:bCs w:val="0"/>
        </w:rPr>
      </w:pPr>
      <w:r w:rsidRPr="00EF4E76">
        <w:rPr>
          <w:b/>
          <w:bCs w:val="0"/>
          <w:szCs w:val="24"/>
        </w:rPr>
        <w:t>3.2.1</w:t>
      </w:r>
    </w:p>
    <w:p w14:paraId="28CE86A7" w14:textId="0437E053" w:rsidR="005201B0" w:rsidRPr="00EF4E76" w:rsidRDefault="00D20FE3" w:rsidP="009004DD">
      <w:pPr>
        <w:spacing w:before="120" w:after="120" w:line="240" w:lineRule="auto"/>
        <w:ind w:left="851"/>
        <w:rPr>
          <w:rFonts w:cs="Arial"/>
        </w:rPr>
      </w:pPr>
      <w:r w:rsidRPr="00EF4E76">
        <w:rPr>
          <w:rFonts w:cs="Arial"/>
          <w:sz w:val="22"/>
          <w:szCs w:val="24"/>
        </w:rPr>
        <w:t xml:space="preserve">International applicants must provide documentary evidence of their English language </w:t>
      </w:r>
      <w:r w:rsidRPr="00EF4E76">
        <w:rPr>
          <w:rFonts w:cs="Arial"/>
          <w:sz w:val="22"/>
        </w:rPr>
        <w:t>proficiency</w:t>
      </w:r>
      <w:r w:rsidRPr="00EF4E76">
        <w:rPr>
          <w:rFonts w:cs="Arial"/>
          <w:sz w:val="22"/>
          <w:szCs w:val="24"/>
        </w:rPr>
        <w:t xml:space="preserve"> in their HDR program application.</w:t>
      </w:r>
    </w:p>
    <w:p w14:paraId="58142BE0" w14:textId="2C5146A6" w:rsidR="005E633A" w:rsidRPr="00EF4E76" w:rsidRDefault="005E633A" w:rsidP="005F048D">
      <w:pPr>
        <w:pStyle w:val="Heading4"/>
        <w:tabs>
          <w:tab w:val="clear" w:pos="1843"/>
        </w:tabs>
        <w:spacing w:before="120"/>
        <w:ind w:left="851"/>
        <w:rPr>
          <w:b/>
          <w:bCs w:val="0"/>
        </w:rPr>
      </w:pPr>
      <w:r w:rsidRPr="00EF4E76">
        <w:rPr>
          <w:b/>
          <w:bCs w:val="0"/>
        </w:rPr>
        <w:t>3.2.2</w:t>
      </w:r>
    </w:p>
    <w:p w14:paraId="72CB2313" w14:textId="1E5FB0F3" w:rsidR="00D20FE3" w:rsidRPr="00EF4E76" w:rsidRDefault="00D20FE3" w:rsidP="009004DD">
      <w:pPr>
        <w:spacing w:before="120" w:after="120" w:line="240" w:lineRule="auto"/>
        <w:ind w:left="851"/>
        <w:rPr>
          <w:rFonts w:cs="Arial"/>
          <w:sz w:val="22"/>
        </w:rPr>
      </w:pPr>
      <w:r w:rsidRPr="00EF4E76">
        <w:rPr>
          <w:rFonts w:cs="Arial"/>
          <w:sz w:val="22"/>
        </w:rPr>
        <w:t>The minimum English language test score requirements for such applicants for entry to HDR programs</w:t>
      </w:r>
      <w:r w:rsidR="00350471" w:rsidRPr="00EF4E76">
        <w:rPr>
          <w:rStyle w:val="FootnoteReference"/>
          <w:rFonts w:cs="Arial"/>
          <w:sz w:val="22"/>
        </w:rPr>
        <w:footnoteReference w:id="2"/>
      </w:r>
      <w:r w:rsidRPr="00EF4E76">
        <w:rPr>
          <w:rFonts w:cs="Arial"/>
          <w:sz w:val="22"/>
        </w:rPr>
        <w:t xml:space="preserve"> are </w:t>
      </w:r>
      <w:r w:rsidR="002A703E" w:rsidRPr="00EF4E76">
        <w:rPr>
          <w:rFonts w:cs="Arial"/>
          <w:sz w:val="22"/>
        </w:rPr>
        <w:t>the</w:t>
      </w:r>
      <w:r w:rsidRPr="00EF4E76">
        <w:rPr>
          <w:rFonts w:cs="Arial"/>
          <w:sz w:val="22"/>
        </w:rPr>
        <w:t xml:space="preserve"> follow</w:t>
      </w:r>
      <w:r w:rsidR="002A703E" w:rsidRPr="00EF4E76">
        <w:rPr>
          <w:rFonts w:cs="Arial"/>
          <w:sz w:val="22"/>
        </w:rPr>
        <w:t>ing in-person</w:t>
      </w:r>
      <w:r w:rsidR="00350471" w:rsidRPr="00EF4E76">
        <w:rPr>
          <w:rStyle w:val="FootnoteReference"/>
          <w:rFonts w:cs="Arial"/>
          <w:sz w:val="22"/>
        </w:rPr>
        <w:footnoteReference w:id="3"/>
      </w:r>
      <w:r w:rsidR="002A703E" w:rsidRPr="00EF4E76">
        <w:rPr>
          <w:rFonts w:cs="Arial"/>
          <w:sz w:val="22"/>
        </w:rPr>
        <w:t xml:space="preserve"> tests</w:t>
      </w:r>
      <w:r w:rsidRPr="00EF4E76">
        <w:rPr>
          <w:rFonts w:cs="Arial"/>
          <w:sz w:val="22"/>
        </w:rPr>
        <w:t>:</w:t>
      </w:r>
    </w:p>
    <w:p w14:paraId="760D7FB1" w14:textId="073757C4" w:rsidR="00D20FE3" w:rsidRPr="00EF4E76" w:rsidRDefault="00477647" w:rsidP="009004DD">
      <w:pPr>
        <w:pStyle w:val="ListParagraph"/>
        <w:numPr>
          <w:ilvl w:val="0"/>
          <w:numId w:val="6"/>
        </w:numPr>
        <w:spacing w:before="120" w:after="120" w:line="240" w:lineRule="auto"/>
        <w:ind w:left="1134" w:hanging="283"/>
        <w:rPr>
          <w:rFonts w:cs="Arial"/>
          <w:sz w:val="22"/>
        </w:rPr>
      </w:pPr>
      <w:r w:rsidRPr="00EF4E76">
        <w:rPr>
          <w:rFonts w:cs="Arial"/>
          <w:sz w:val="22"/>
        </w:rPr>
        <w:t>A</w:t>
      </w:r>
      <w:r w:rsidR="00D20FE3" w:rsidRPr="00EF4E76">
        <w:rPr>
          <w:rFonts w:cs="Arial"/>
          <w:sz w:val="22"/>
        </w:rPr>
        <w:t xml:space="preserve">n overall band score of 6.5 on the International English Language Testing System (IELTS) </w:t>
      </w:r>
      <w:r w:rsidR="000D6019" w:rsidRPr="00EF4E76">
        <w:rPr>
          <w:rFonts w:cs="Arial"/>
          <w:sz w:val="22"/>
        </w:rPr>
        <w:t xml:space="preserve">Academic </w:t>
      </w:r>
      <w:r w:rsidR="00D20FE3" w:rsidRPr="00EF4E76">
        <w:rPr>
          <w:rFonts w:cs="Arial"/>
          <w:sz w:val="22"/>
        </w:rPr>
        <w:t xml:space="preserve">with no band score less than </w:t>
      </w:r>
      <w:proofErr w:type="gramStart"/>
      <w:r w:rsidR="00D20FE3" w:rsidRPr="00EF4E76">
        <w:rPr>
          <w:rFonts w:cs="Arial"/>
          <w:sz w:val="22"/>
        </w:rPr>
        <w:t>6.0;</w:t>
      </w:r>
      <w:proofErr w:type="gramEnd"/>
    </w:p>
    <w:p w14:paraId="7EE8A9CD" w14:textId="287BCA5B" w:rsidR="00D20FE3" w:rsidRPr="00EF4E76" w:rsidRDefault="00477647" w:rsidP="009004DD">
      <w:pPr>
        <w:pStyle w:val="ListParagraph"/>
        <w:numPr>
          <w:ilvl w:val="0"/>
          <w:numId w:val="6"/>
        </w:numPr>
        <w:spacing w:before="120" w:after="120" w:line="240" w:lineRule="auto"/>
        <w:ind w:left="1134" w:hanging="283"/>
        <w:rPr>
          <w:rFonts w:cs="Arial"/>
          <w:sz w:val="22"/>
        </w:rPr>
      </w:pPr>
      <w:r w:rsidRPr="00EF4E76">
        <w:rPr>
          <w:rFonts w:cs="Arial"/>
          <w:sz w:val="22"/>
        </w:rPr>
        <w:t>A</w:t>
      </w:r>
      <w:r w:rsidR="00D20FE3" w:rsidRPr="00EF4E76">
        <w:rPr>
          <w:rFonts w:cs="Arial"/>
          <w:sz w:val="22"/>
        </w:rPr>
        <w:t xml:space="preserve"> score of 575 on the Paper-based Test of English as a Foreign </w:t>
      </w:r>
      <w:proofErr w:type="gramStart"/>
      <w:r w:rsidR="00D20FE3" w:rsidRPr="00EF4E76">
        <w:rPr>
          <w:rFonts w:cs="Arial"/>
          <w:sz w:val="22"/>
        </w:rPr>
        <w:t>Language</w:t>
      </w:r>
      <w:r w:rsidR="004E3D4D" w:rsidRPr="00EF4E76">
        <w:rPr>
          <w:rFonts w:cs="Arial"/>
          <w:sz w:val="22"/>
        </w:rPr>
        <w:t>;</w:t>
      </w:r>
      <w:proofErr w:type="gramEnd"/>
    </w:p>
    <w:p w14:paraId="3EC70B18" w14:textId="4436BE7D" w:rsidR="00D20FE3" w:rsidRPr="00EF4E76" w:rsidRDefault="00477647" w:rsidP="009004DD">
      <w:pPr>
        <w:pStyle w:val="ListParagraph"/>
        <w:numPr>
          <w:ilvl w:val="0"/>
          <w:numId w:val="6"/>
        </w:numPr>
        <w:spacing w:before="120" w:after="120" w:line="240" w:lineRule="auto"/>
        <w:ind w:left="1134" w:hanging="283"/>
        <w:rPr>
          <w:rFonts w:cs="Arial"/>
          <w:sz w:val="22"/>
        </w:rPr>
      </w:pPr>
      <w:r w:rsidRPr="00EF4E76">
        <w:rPr>
          <w:rFonts w:cs="Arial"/>
          <w:sz w:val="22"/>
        </w:rPr>
        <w:t>A</w:t>
      </w:r>
      <w:r w:rsidR="00D20FE3" w:rsidRPr="00EF4E76">
        <w:rPr>
          <w:rFonts w:cs="Arial"/>
          <w:sz w:val="22"/>
        </w:rPr>
        <w:t xml:space="preserve"> score of 79 on </w:t>
      </w:r>
      <w:r w:rsidR="00AC5754" w:rsidRPr="00EF4E76">
        <w:rPr>
          <w:rFonts w:cs="Arial"/>
          <w:sz w:val="22"/>
        </w:rPr>
        <w:t xml:space="preserve">the </w:t>
      </w:r>
      <w:r w:rsidR="00D20FE3" w:rsidRPr="00EF4E76">
        <w:rPr>
          <w:rFonts w:cs="Arial"/>
          <w:sz w:val="22"/>
        </w:rPr>
        <w:t>TOEFL</w:t>
      </w:r>
      <w:r w:rsidR="00AC5754" w:rsidRPr="00EF4E76">
        <w:rPr>
          <w:rFonts w:cs="Arial"/>
          <w:sz w:val="22"/>
        </w:rPr>
        <w:t xml:space="preserve"> iBT</w:t>
      </w:r>
      <w:r w:rsidR="00D20FE3" w:rsidRPr="00EF4E76">
        <w:rPr>
          <w:rFonts w:cs="Arial"/>
          <w:sz w:val="22"/>
        </w:rPr>
        <w:t xml:space="preserve"> with no sub-score less than </w:t>
      </w:r>
      <w:proofErr w:type="gramStart"/>
      <w:r w:rsidR="00D20FE3" w:rsidRPr="00EF4E76">
        <w:rPr>
          <w:rFonts w:cs="Arial"/>
          <w:sz w:val="22"/>
        </w:rPr>
        <w:t>19;</w:t>
      </w:r>
      <w:proofErr w:type="gramEnd"/>
    </w:p>
    <w:p w14:paraId="750167AA" w14:textId="5F004E2A" w:rsidR="00D20FE3" w:rsidRPr="00EF4E76" w:rsidRDefault="00477647" w:rsidP="009004DD">
      <w:pPr>
        <w:pStyle w:val="ListParagraph"/>
        <w:numPr>
          <w:ilvl w:val="0"/>
          <w:numId w:val="6"/>
        </w:numPr>
        <w:spacing w:before="120" w:after="120" w:line="240" w:lineRule="auto"/>
        <w:ind w:left="1134" w:hanging="283"/>
        <w:rPr>
          <w:rFonts w:cs="Arial"/>
          <w:sz w:val="22"/>
        </w:rPr>
      </w:pPr>
      <w:r w:rsidRPr="00EF4E76">
        <w:rPr>
          <w:rFonts w:cs="Arial"/>
          <w:sz w:val="22"/>
        </w:rPr>
        <w:t>A</w:t>
      </w:r>
      <w:r w:rsidR="00D20FE3" w:rsidRPr="00EF4E76">
        <w:rPr>
          <w:rFonts w:cs="Arial"/>
          <w:sz w:val="22"/>
        </w:rPr>
        <w:t xml:space="preserve"> score of no less than 3+ in each skill of the International Second Language Proficiency Rating (ISLPR) (conducted by ISLPR Language Services only</w:t>
      </w:r>
      <w:proofErr w:type="gramStart"/>
      <w:r w:rsidR="00D20FE3" w:rsidRPr="00EF4E76">
        <w:rPr>
          <w:rFonts w:cs="Arial"/>
          <w:sz w:val="22"/>
        </w:rPr>
        <w:t>);</w:t>
      </w:r>
      <w:proofErr w:type="gramEnd"/>
    </w:p>
    <w:p w14:paraId="51F2DDB1" w14:textId="4E0277FA" w:rsidR="00D20FE3" w:rsidRPr="00EF4E76" w:rsidRDefault="00477647" w:rsidP="009004DD">
      <w:pPr>
        <w:pStyle w:val="ListParagraph"/>
        <w:numPr>
          <w:ilvl w:val="0"/>
          <w:numId w:val="6"/>
        </w:numPr>
        <w:spacing w:before="120" w:after="120" w:line="240" w:lineRule="auto"/>
        <w:ind w:left="1134" w:hanging="283"/>
        <w:rPr>
          <w:rFonts w:cs="Arial"/>
          <w:sz w:val="22"/>
        </w:rPr>
      </w:pPr>
      <w:r w:rsidRPr="00EF4E76">
        <w:rPr>
          <w:rFonts w:cs="Arial"/>
          <w:sz w:val="22"/>
        </w:rPr>
        <w:t>A</w:t>
      </w:r>
      <w:r w:rsidR="00D20FE3" w:rsidRPr="00EF4E76">
        <w:rPr>
          <w:rFonts w:cs="Arial"/>
          <w:sz w:val="22"/>
        </w:rPr>
        <w:t xml:space="preserve"> minimum overall score 176 (no score less than 169) on C1 Advanced or C2 Proficiency</w:t>
      </w:r>
      <w:r w:rsidR="00F76D86" w:rsidRPr="00EF4E76">
        <w:rPr>
          <w:rFonts w:cs="Arial"/>
          <w:sz w:val="22"/>
        </w:rPr>
        <w:t>;</w:t>
      </w:r>
      <w:r w:rsidR="00D20FE3" w:rsidRPr="00EF4E76">
        <w:rPr>
          <w:rFonts w:cs="Arial"/>
          <w:sz w:val="22"/>
        </w:rPr>
        <w:t xml:space="preserve"> or</w:t>
      </w:r>
    </w:p>
    <w:p w14:paraId="6D2FAFBB" w14:textId="5028B7C8" w:rsidR="00D20FE3" w:rsidRPr="00EF4E76" w:rsidRDefault="00477647" w:rsidP="009004DD">
      <w:pPr>
        <w:pStyle w:val="ListParagraph"/>
        <w:numPr>
          <w:ilvl w:val="0"/>
          <w:numId w:val="6"/>
        </w:numPr>
        <w:spacing w:before="120" w:after="120" w:line="240" w:lineRule="auto"/>
        <w:ind w:left="1134" w:hanging="283"/>
        <w:rPr>
          <w:rFonts w:cs="Arial"/>
          <w:sz w:val="22"/>
        </w:rPr>
      </w:pPr>
      <w:r w:rsidRPr="00EF4E76">
        <w:rPr>
          <w:rFonts w:cs="Arial"/>
          <w:sz w:val="22"/>
        </w:rPr>
        <w:t>A</w:t>
      </w:r>
      <w:r w:rsidR="00D20FE3" w:rsidRPr="00EF4E76">
        <w:rPr>
          <w:rFonts w:cs="Arial"/>
          <w:sz w:val="22"/>
        </w:rPr>
        <w:t xml:space="preserve"> minimum score of 58 in Pearson Test of English Academic (PTE</w:t>
      </w:r>
      <w:r w:rsidR="00F76D86" w:rsidRPr="00EF4E76">
        <w:rPr>
          <w:rFonts w:cs="Arial"/>
          <w:sz w:val="22"/>
        </w:rPr>
        <w:t>)</w:t>
      </w:r>
      <w:r w:rsidR="00D20FE3" w:rsidRPr="00EF4E76">
        <w:rPr>
          <w:rFonts w:cs="Arial"/>
          <w:sz w:val="22"/>
        </w:rPr>
        <w:t xml:space="preserve"> Academic, with </w:t>
      </w:r>
      <w:r w:rsidR="00255D5E" w:rsidRPr="00EF4E76">
        <w:rPr>
          <w:rFonts w:cs="Arial"/>
          <w:sz w:val="22"/>
        </w:rPr>
        <w:t>no score less than 50</w:t>
      </w:r>
      <w:r w:rsidR="00D20FE3" w:rsidRPr="00EF4E76">
        <w:rPr>
          <w:rFonts w:cs="Arial"/>
          <w:sz w:val="22"/>
        </w:rPr>
        <w:t>.</w:t>
      </w:r>
    </w:p>
    <w:p w14:paraId="45CD7B65" w14:textId="7703BD49" w:rsidR="005E633A" w:rsidRPr="00EF4E76" w:rsidRDefault="005E633A" w:rsidP="005F048D">
      <w:pPr>
        <w:pStyle w:val="Heading4"/>
        <w:tabs>
          <w:tab w:val="clear" w:pos="1843"/>
        </w:tabs>
        <w:spacing w:before="120"/>
        <w:ind w:left="851"/>
        <w:rPr>
          <w:b/>
          <w:bCs w:val="0"/>
        </w:rPr>
      </w:pPr>
      <w:r w:rsidRPr="00EF4E76">
        <w:rPr>
          <w:b/>
          <w:bCs w:val="0"/>
        </w:rPr>
        <w:t>3.2.3</w:t>
      </w:r>
    </w:p>
    <w:p w14:paraId="6D167D05" w14:textId="444FD5E5" w:rsidR="005201B0" w:rsidRPr="00EF4E76" w:rsidRDefault="00D20FE3" w:rsidP="009004DD">
      <w:pPr>
        <w:spacing w:before="120" w:after="120" w:line="240" w:lineRule="auto"/>
        <w:ind w:left="851"/>
        <w:rPr>
          <w:rFonts w:cs="Arial"/>
        </w:rPr>
      </w:pPr>
      <w:r w:rsidRPr="00EF4E76">
        <w:rPr>
          <w:rFonts w:cs="Arial"/>
          <w:sz w:val="22"/>
          <w:szCs w:val="24"/>
        </w:rPr>
        <w:t>English test results must be no more than two years old at the point of application submission.</w:t>
      </w:r>
    </w:p>
    <w:p w14:paraId="3701AAD1" w14:textId="4325CFAD" w:rsidR="005E633A" w:rsidRPr="00EF4E76" w:rsidRDefault="005E633A" w:rsidP="005F048D">
      <w:pPr>
        <w:pStyle w:val="Heading4"/>
        <w:tabs>
          <w:tab w:val="clear" w:pos="1843"/>
        </w:tabs>
        <w:spacing w:before="120"/>
        <w:ind w:left="851"/>
        <w:rPr>
          <w:b/>
          <w:bCs w:val="0"/>
        </w:rPr>
      </w:pPr>
      <w:r w:rsidRPr="00EF4E76">
        <w:rPr>
          <w:b/>
          <w:bCs w:val="0"/>
        </w:rPr>
        <w:t>3.2.4</w:t>
      </w:r>
    </w:p>
    <w:p w14:paraId="0E3054AC" w14:textId="45A127F2" w:rsidR="00D20FE3" w:rsidRPr="00EF4E76" w:rsidRDefault="00D20FE3" w:rsidP="009004DD">
      <w:pPr>
        <w:spacing w:before="120" w:after="120" w:line="240" w:lineRule="auto"/>
        <w:ind w:left="851"/>
        <w:rPr>
          <w:rFonts w:cs="Arial"/>
          <w:sz w:val="22"/>
          <w:szCs w:val="24"/>
        </w:rPr>
      </w:pPr>
      <w:r w:rsidRPr="00EF4E76">
        <w:rPr>
          <w:rFonts w:cs="Arial"/>
          <w:sz w:val="22"/>
          <w:szCs w:val="24"/>
        </w:rPr>
        <w:t xml:space="preserve">An applicant may be exempt from the requirement to provide an English language test score as detailed in section 3.2.2 if the applicant meets the English language entry requirements as outlined in </w:t>
      </w:r>
      <w:r w:rsidR="00C6191D" w:rsidRPr="00EF4E76">
        <w:rPr>
          <w:rFonts w:cs="Arial"/>
          <w:iCs/>
          <w:sz w:val="22"/>
          <w:szCs w:val="24"/>
        </w:rPr>
        <w:t>the</w:t>
      </w:r>
      <w:r w:rsidR="0012258F" w:rsidRPr="00EF4E76">
        <w:rPr>
          <w:rFonts w:cs="Arial"/>
          <w:i/>
          <w:sz w:val="22"/>
          <w:szCs w:val="24"/>
        </w:rPr>
        <w:t xml:space="preserve"> English Language Proficiency Schedule.</w:t>
      </w:r>
    </w:p>
    <w:p w14:paraId="7BA9CDAB" w14:textId="17AA1D07" w:rsidR="003D1AB7" w:rsidRPr="00EF4E76" w:rsidRDefault="005E633A" w:rsidP="009004DD">
      <w:pPr>
        <w:pStyle w:val="Heading3"/>
        <w:spacing w:before="120" w:after="120"/>
        <w:ind w:left="567" w:firstLine="0"/>
        <w:rPr>
          <w:rFonts w:cs="Arial"/>
          <w:b/>
          <w:bCs/>
          <w:sz w:val="28"/>
          <w:szCs w:val="28"/>
        </w:rPr>
      </w:pPr>
      <w:bookmarkStart w:id="26" w:name="_Mode_of_attendance"/>
      <w:bookmarkEnd w:id="26"/>
      <w:r w:rsidRPr="00EF4E76">
        <w:rPr>
          <w:rFonts w:cs="Arial"/>
          <w:b/>
          <w:bCs/>
          <w:sz w:val="28"/>
          <w:szCs w:val="28"/>
        </w:rPr>
        <w:t xml:space="preserve">3.3 </w:t>
      </w:r>
      <w:r w:rsidR="003D1AB7" w:rsidRPr="00EF4E76">
        <w:rPr>
          <w:rFonts w:cs="Arial"/>
          <w:b/>
          <w:bCs/>
          <w:sz w:val="28"/>
          <w:szCs w:val="28"/>
        </w:rPr>
        <w:t>Mode of attendance – Remote candidature</w:t>
      </w:r>
    </w:p>
    <w:p w14:paraId="72151E13" w14:textId="2004E724" w:rsidR="00D66D68" w:rsidRPr="00EF4E76" w:rsidRDefault="00D66D68" w:rsidP="009004DD">
      <w:pPr>
        <w:pStyle w:val="Heading4"/>
        <w:tabs>
          <w:tab w:val="clear" w:pos="1843"/>
        </w:tabs>
        <w:spacing w:before="120"/>
        <w:ind w:left="851"/>
        <w:rPr>
          <w:b/>
          <w:bCs w:val="0"/>
        </w:rPr>
      </w:pPr>
      <w:r w:rsidRPr="00EF4E76">
        <w:rPr>
          <w:b/>
          <w:bCs w:val="0"/>
        </w:rPr>
        <w:t>3.3.1</w:t>
      </w:r>
    </w:p>
    <w:p w14:paraId="3C44037B" w14:textId="0DE3AA9E" w:rsidR="003D1AB7" w:rsidRPr="00EF4E76" w:rsidRDefault="003D1AB7" w:rsidP="009004DD">
      <w:pPr>
        <w:spacing w:before="120" w:after="120" w:line="240" w:lineRule="auto"/>
        <w:ind w:left="851"/>
        <w:rPr>
          <w:rFonts w:cs="Arial"/>
          <w:sz w:val="22"/>
          <w:szCs w:val="24"/>
        </w:rPr>
      </w:pPr>
      <w:r w:rsidRPr="00EF4E76">
        <w:rPr>
          <w:rFonts w:cs="Arial"/>
          <w:sz w:val="22"/>
          <w:szCs w:val="24"/>
        </w:rPr>
        <w:t xml:space="preserve">An applicant </w:t>
      </w:r>
      <w:r w:rsidRPr="00EF4E76">
        <w:rPr>
          <w:rFonts w:cs="Arial"/>
          <w:sz w:val="22"/>
        </w:rPr>
        <w:t>may</w:t>
      </w:r>
      <w:r w:rsidRPr="00EF4E76">
        <w:rPr>
          <w:rFonts w:cs="Arial"/>
          <w:sz w:val="22"/>
          <w:szCs w:val="24"/>
        </w:rPr>
        <w:t xml:space="preserve"> apply to undertake their HDR candidature as remote (off campus) mode. Remote candidature may be approved where the candidate: </w:t>
      </w:r>
    </w:p>
    <w:p w14:paraId="18466C90" w14:textId="4C2E91D9" w:rsidR="003D1AB7" w:rsidRPr="00EF4E76" w:rsidRDefault="00925AEA" w:rsidP="009004DD">
      <w:pPr>
        <w:pStyle w:val="ListParagraph"/>
        <w:numPr>
          <w:ilvl w:val="0"/>
          <w:numId w:val="6"/>
        </w:numPr>
        <w:spacing w:before="120" w:after="120" w:line="240" w:lineRule="auto"/>
        <w:ind w:left="1134" w:hanging="283"/>
        <w:rPr>
          <w:rFonts w:cs="Arial"/>
          <w:sz w:val="22"/>
          <w:szCs w:val="24"/>
        </w:rPr>
      </w:pPr>
      <w:r w:rsidRPr="00EF4E76">
        <w:rPr>
          <w:rFonts w:cs="Arial"/>
          <w:sz w:val="22"/>
        </w:rPr>
        <w:lastRenderedPageBreak/>
        <w:t>H</w:t>
      </w:r>
      <w:r w:rsidR="003D1AB7" w:rsidRPr="00EF4E76">
        <w:rPr>
          <w:rFonts w:cs="Arial"/>
          <w:sz w:val="22"/>
        </w:rPr>
        <w:t>as</w:t>
      </w:r>
      <w:r w:rsidR="003D1AB7" w:rsidRPr="00EF4E76">
        <w:rPr>
          <w:rFonts w:cs="Arial"/>
          <w:sz w:val="22"/>
          <w:szCs w:val="24"/>
        </w:rPr>
        <w:t xml:space="preserve"> appropriate supervision and access to resources; and </w:t>
      </w:r>
    </w:p>
    <w:p w14:paraId="60BF92D9" w14:textId="18634973" w:rsidR="003D1AB7" w:rsidRPr="00EF4E76" w:rsidRDefault="00925AEA" w:rsidP="009004DD">
      <w:pPr>
        <w:pStyle w:val="ListParagraph"/>
        <w:numPr>
          <w:ilvl w:val="0"/>
          <w:numId w:val="6"/>
        </w:numPr>
        <w:spacing w:before="120" w:after="120" w:line="240" w:lineRule="auto"/>
        <w:ind w:left="1134" w:hanging="283"/>
        <w:rPr>
          <w:rFonts w:cs="Arial"/>
        </w:rPr>
      </w:pPr>
      <w:proofErr w:type="gramStart"/>
      <w:r w:rsidRPr="00EF4E76">
        <w:rPr>
          <w:rFonts w:cs="Arial"/>
          <w:sz w:val="22"/>
          <w:szCs w:val="24"/>
        </w:rPr>
        <w:t>I</w:t>
      </w:r>
      <w:r w:rsidR="003D1AB7" w:rsidRPr="00EF4E76">
        <w:rPr>
          <w:rFonts w:cs="Arial"/>
          <w:sz w:val="22"/>
          <w:szCs w:val="24"/>
        </w:rPr>
        <w:t>s able to</w:t>
      </w:r>
      <w:proofErr w:type="gramEnd"/>
      <w:r w:rsidR="003D1AB7" w:rsidRPr="00EF4E76">
        <w:rPr>
          <w:rFonts w:cs="Arial"/>
          <w:sz w:val="22"/>
          <w:szCs w:val="24"/>
        </w:rPr>
        <w:t xml:space="preserve"> attend the University for </w:t>
      </w:r>
      <w:r w:rsidR="005C545A" w:rsidRPr="00EF4E76">
        <w:rPr>
          <w:rFonts w:cs="Arial"/>
          <w:sz w:val="22"/>
          <w:szCs w:val="24"/>
        </w:rPr>
        <w:t xml:space="preserve">periods of time </w:t>
      </w:r>
      <w:r w:rsidR="003D1AB7" w:rsidRPr="00EF4E76">
        <w:rPr>
          <w:rFonts w:cs="Arial"/>
          <w:sz w:val="22"/>
          <w:szCs w:val="24"/>
        </w:rPr>
        <w:t>where required for the</w:t>
      </w:r>
      <w:r w:rsidR="00771E97" w:rsidRPr="00EF4E76">
        <w:rPr>
          <w:rFonts w:cs="Arial"/>
          <w:sz w:val="22"/>
          <w:szCs w:val="24"/>
        </w:rPr>
        <w:t xml:space="preserve"> HDR </w:t>
      </w:r>
      <w:r w:rsidR="00771E97" w:rsidRPr="00EF4E76">
        <w:rPr>
          <w:rFonts w:cs="Arial"/>
          <w:sz w:val="22"/>
        </w:rPr>
        <w:t>program</w:t>
      </w:r>
      <w:r w:rsidR="00771E97" w:rsidRPr="00EF4E76">
        <w:rPr>
          <w:rFonts w:cs="Arial"/>
          <w:sz w:val="22"/>
          <w:szCs w:val="24"/>
        </w:rPr>
        <w:t xml:space="preserve"> and the</w:t>
      </w:r>
      <w:r w:rsidR="003D1AB7" w:rsidRPr="00EF4E76">
        <w:rPr>
          <w:rFonts w:cs="Arial"/>
          <w:sz w:val="22"/>
          <w:szCs w:val="24"/>
        </w:rPr>
        <w:t xml:space="preserve"> research project. </w:t>
      </w:r>
    </w:p>
    <w:p w14:paraId="30717410" w14:textId="5E132F49" w:rsidR="003D1AB7" w:rsidRPr="00EF4E76" w:rsidRDefault="003D1AB7" w:rsidP="009004DD">
      <w:pPr>
        <w:pStyle w:val="Heading3"/>
        <w:numPr>
          <w:ilvl w:val="1"/>
          <w:numId w:val="9"/>
        </w:numPr>
        <w:spacing w:before="120" w:after="120"/>
        <w:ind w:left="1134" w:hanging="567"/>
        <w:rPr>
          <w:rFonts w:cs="Arial"/>
          <w:b/>
          <w:bCs/>
          <w:sz w:val="28"/>
          <w:szCs w:val="28"/>
        </w:rPr>
      </w:pPr>
      <w:bookmarkStart w:id="27" w:name="_Prior_Higher_Degree"/>
      <w:bookmarkStart w:id="28" w:name="_Recognition_of_Prior"/>
      <w:bookmarkEnd w:id="27"/>
      <w:bookmarkEnd w:id="28"/>
      <w:r w:rsidRPr="00EF4E76">
        <w:rPr>
          <w:rFonts w:cs="Arial"/>
          <w:b/>
          <w:bCs/>
          <w:sz w:val="28"/>
          <w:szCs w:val="28"/>
        </w:rPr>
        <w:t xml:space="preserve">Recognition of </w:t>
      </w:r>
      <w:r w:rsidR="00574B28" w:rsidRPr="00EF4E76">
        <w:rPr>
          <w:rFonts w:cs="Arial"/>
          <w:b/>
          <w:bCs/>
          <w:sz w:val="28"/>
          <w:szCs w:val="28"/>
        </w:rPr>
        <w:t>p</w:t>
      </w:r>
      <w:r w:rsidRPr="00EF4E76">
        <w:rPr>
          <w:rFonts w:cs="Arial"/>
          <w:b/>
          <w:bCs/>
          <w:sz w:val="28"/>
          <w:szCs w:val="28"/>
        </w:rPr>
        <w:t xml:space="preserve">rior </w:t>
      </w:r>
      <w:r w:rsidR="00574B28" w:rsidRPr="00EF4E76">
        <w:rPr>
          <w:rFonts w:cs="Arial"/>
          <w:b/>
          <w:bCs/>
          <w:sz w:val="28"/>
          <w:szCs w:val="28"/>
        </w:rPr>
        <w:t>research undertaken in a</w:t>
      </w:r>
      <w:r w:rsidR="000E3AB6" w:rsidRPr="00EF4E76">
        <w:rPr>
          <w:rFonts w:cs="Arial"/>
          <w:b/>
          <w:bCs/>
          <w:sz w:val="28"/>
          <w:szCs w:val="28"/>
        </w:rPr>
        <w:t>n</w:t>
      </w:r>
      <w:r w:rsidR="00574B28" w:rsidRPr="00EF4E76">
        <w:rPr>
          <w:rFonts w:cs="Arial"/>
          <w:b/>
          <w:bCs/>
          <w:sz w:val="28"/>
          <w:szCs w:val="28"/>
        </w:rPr>
        <w:t xml:space="preserve"> HDR program</w:t>
      </w:r>
    </w:p>
    <w:p w14:paraId="162804CA" w14:textId="0C9AE792" w:rsidR="00D66D68" w:rsidRPr="00EF4E76" w:rsidRDefault="00D66D68" w:rsidP="009004DD">
      <w:pPr>
        <w:pStyle w:val="Heading4"/>
        <w:tabs>
          <w:tab w:val="clear" w:pos="1843"/>
        </w:tabs>
        <w:spacing w:before="120"/>
        <w:ind w:left="851"/>
        <w:rPr>
          <w:b/>
          <w:bCs w:val="0"/>
        </w:rPr>
      </w:pPr>
      <w:r w:rsidRPr="00EF4E76">
        <w:rPr>
          <w:b/>
          <w:bCs w:val="0"/>
        </w:rPr>
        <w:t>3.4.1</w:t>
      </w:r>
    </w:p>
    <w:p w14:paraId="0B7E4C81" w14:textId="714599BE" w:rsidR="003D1AB7" w:rsidRPr="00EF4E76" w:rsidRDefault="003D1AB7" w:rsidP="009004DD">
      <w:pPr>
        <w:spacing w:before="120" w:after="120" w:line="240" w:lineRule="auto"/>
        <w:ind w:left="851"/>
        <w:rPr>
          <w:rFonts w:cs="Arial"/>
          <w:sz w:val="22"/>
          <w:szCs w:val="24"/>
        </w:rPr>
      </w:pPr>
      <w:r w:rsidRPr="00EF4E76">
        <w:rPr>
          <w:rFonts w:cs="Arial"/>
          <w:sz w:val="22"/>
          <w:szCs w:val="24"/>
        </w:rPr>
        <w:t xml:space="preserve">Prior research undertaken while enrolled in an HDR program at this or another </w:t>
      </w:r>
      <w:r w:rsidRPr="00EF4E76">
        <w:rPr>
          <w:rFonts w:cs="Arial"/>
          <w:sz w:val="22"/>
        </w:rPr>
        <w:t>institution</w:t>
      </w:r>
      <w:r w:rsidRPr="00EF4E76">
        <w:rPr>
          <w:rFonts w:cs="Arial"/>
          <w:sz w:val="22"/>
          <w:szCs w:val="24"/>
        </w:rPr>
        <w:t xml:space="preserve"> may be </w:t>
      </w:r>
      <w:r w:rsidRPr="00EF4E76">
        <w:rPr>
          <w:rFonts w:cs="Arial"/>
          <w:sz w:val="22"/>
        </w:rPr>
        <w:t>recognised</w:t>
      </w:r>
      <w:r w:rsidRPr="00EF4E76">
        <w:rPr>
          <w:rFonts w:cs="Arial"/>
          <w:sz w:val="22"/>
          <w:szCs w:val="24"/>
        </w:rPr>
        <w:t xml:space="preserve"> towards the HDR program for which the applicant has applied where:</w:t>
      </w:r>
    </w:p>
    <w:p w14:paraId="0749974E" w14:textId="152B7A5C" w:rsidR="003D1AB7" w:rsidRPr="00EF4E76" w:rsidRDefault="003D1AB7" w:rsidP="009004DD">
      <w:pPr>
        <w:pStyle w:val="ListParagraph"/>
        <w:numPr>
          <w:ilvl w:val="0"/>
          <w:numId w:val="6"/>
        </w:numPr>
        <w:spacing w:before="120" w:after="120" w:line="240" w:lineRule="auto"/>
        <w:ind w:left="1134" w:hanging="283"/>
        <w:rPr>
          <w:rFonts w:cs="Arial"/>
          <w:sz w:val="22"/>
          <w:szCs w:val="24"/>
        </w:rPr>
      </w:pPr>
      <w:r w:rsidRPr="00EF4E76">
        <w:rPr>
          <w:rFonts w:cs="Arial"/>
          <w:sz w:val="22"/>
          <w:szCs w:val="24"/>
        </w:rPr>
        <w:t xml:space="preserve">The </w:t>
      </w:r>
      <w:r w:rsidRPr="00EF4E76">
        <w:rPr>
          <w:rFonts w:cs="Arial"/>
          <w:sz w:val="22"/>
        </w:rPr>
        <w:t>research</w:t>
      </w:r>
      <w:r w:rsidRPr="00EF4E76">
        <w:rPr>
          <w:rFonts w:cs="Arial"/>
          <w:sz w:val="22"/>
          <w:szCs w:val="24"/>
        </w:rPr>
        <w:t xml:space="preserve"> has not been recognised for another </w:t>
      </w:r>
      <w:proofErr w:type="gramStart"/>
      <w:r w:rsidRPr="00EF4E76">
        <w:rPr>
          <w:rFonts w:cs="Arial"/>
          <w:sz w:val="22"/>
          <w:szCs w:val="24"/>
        </w:rPr>
        <w:t>award</w:t>
      </w:r>
      <w:r w:rsidR="004426B4" w:rsidRPr="00EF4E76">
        <w:rPr>
          <w:rFonts w:cs="Arial"/>
          <w:sz w:val="22"/>
          <w:szCs w:val="24"/>
        </w:rPr>
        <w:t>;</w:t>
      </w:r>
      <w:proofErr w:type="gramEnd"/>
    </w:p>
    <w:p w14:paraId="2D3E45C8" w14:textId="2398A9B6" w:rsidR="003D1AB7" w:rsidRPr="00EF4E76" w:rsidRDefault="003D1AB7" w:rsidP="009004DD">
      <w:pPr>
        <w:pStyle w:val="ListParagraph"/>
        <w:numPr>
          <w:ilvl w:val="0"/>
          <w:numId w:val="6"/>
        </w:numPr>
        <w:spacing w:before="120" w:after="120" w:line="240" w:lineRule="auto"/>
        <w:ind w:left="1134" w:hanging="283"/>
        <w:rPr>
          <w:rFonts w:cs="Arial"/>
          <w:sz w:val="22"/>
          <w:szCs w:val="24"/>
        </w:rPr>
      </w:pPr>
      <w:r w:rsidRPr="00EF4E76">
        <w:rPr>
          <w:rFonts w:cs="Arial"/>
          <w:sz w:val="22"/>
          <w:szCs w:val="24"/>
        </w:rPr>
        <w:t xml:space="preserve">The </w:t>
      </w:r>
      <w:r w:rsidRPr="00EF4E76">
        <w:rPr>
          <w:rFonts w:cs="Arial"/>
          <w:sz w:val="22"/>
        </w:rPr>
        <w:t>research</w:t>
      </w:r>
      <w:r w:rsidRPr="00EF4E76">
        <w:rPr>
          <w:rFonts w:cs="Arial"/>
          <w:sz w:val="22"/>
          <w:szCs w:val="24"/>
        </w:rPr>
        <w:t xml:space="preserve"> has been undertaken at the same level as the </w:t>
      </w:r>
      <w:proofErr w:type="gramStart"/>
      <w:r w:rsidRPr="00EF4E76">
        <w:rPr>
          <w:rFonts w:cs="Arial"/>
          <w:sz w:val="22"/>
          <w:szCs w:val="24"/>
        </w:rPr>
        <w:t>program</w:t>
      </w:r>
      <w:r w:rsidR="004D4913" w:rsidRPr="00EF4E76">
        <w:rPr>
          <w:rFonts w:cs="Arial"/>
          <w:sz w:val="22"/>
          <w:szCs w:val="24"/>
        </w:rPr>
        <w:t>;</w:t>
      </w:r>
      <w:proofErr w:type="gramEnd"/>
    </w:p>
    <w:p w14:paraId="4907D735" w14:textId="2A1D9267" w:rsidR="003D1AB7" w:rsidRPr="00EF4E76" w:rsidRDefault="003D1AB7" w:rsidP="009004DD">
      <w:pPr>
        <w:pStyle w:val="ListParagraph"/>
        <w:numPr>
          <w:ilvl w:val="0"/>
          <w:numId w:val="6"/>
        </w:numPr>
        <w:spacing w:before="120" w:after="120" w:line="240" w:lineRule="auto"/>
        <w:ind w:left="1134" w:hanging="283"/>
        <w:rPr>
          <w:rFonts w:cs="Arial"/>
          <w:sz w:val="22"/>
          <w:szCs w:val="24"/>
        </w:rPr>
      </w:pPr>
      <w:r w:rsidRPr="00EF4E76">
        <w:rPr>
          <w:rFonts w:cs="Arial"/>
          <w:sz w:val="22"/>
          <w:szCs w:val="24"/>
        </w:rPr>
        <w:t>The research has been undertaken within the last three years prior to lodging the application</w:t>
      </w:r>
      <w:r w:rsidR="004D4913" w:rsidRPr="00EF4E76">
        <w:rPr>
          <w:rFonts w:cs="Arial"/>
          <w:sz w:val="22"/>
          <w:szCs w:val="24"/>
        </w:rPr>
        <w:t>;</w:t>
      </w:r>
      <w:r w:rsidRPr="00EF4E76">
        <w:rPr>
          <w:rFonts w:cs="Arial"/>
          <w:sz w:val="22"/>
          <w:szCs w:val="24"/>
        </w:rPr>
        <w:t xml:space="preserve"> and</w:t>
      </w:r>
    </w:p>
    <w:p w14:paraId="4CD7E604" w14:textId="5C56D261" w:rsidR="003D1AB7" w:rsidRPr="00EF4E76" w:rsidRDefault="003D1AB7" w:rsidP="009004DD">
      <w:pPr>
        <w:pStyle w:val="ListParagraph"/>
        <w:numPr>
          <w:ilvl w:val="0"/>
          <w:numId w:val="6"/>
        </w:numPr>
        <w:spacing w:before="120" w:after="120" w:line="240" w:lineRule="auto"/>
        <w:ind w:left="1134" w:hanging="283"/>
        <w:rPr>
          <w:rFonts w:cs="Arial"/>
          <w:sz w:val="22"/>
          <w:szCs w:val="24"/>
        </w:rPr>
      </w:pPr>
      <w:r w:rsidRPr="00EF4E76">
        <w:rPr>
          <w:rFonts w:cs="Arial"/>
          <w:sz w:val="22"/>
          <w:szCs w:val="24"/>
        </w:rPr>
        <w:t xml:space="preserve">The applicant will have a minimum of one-year full time enrolment remaining to complete the </w:t>
      </w:r>
      <w:r w:rsidR="00B649EE" w:rsidRPr="00EF4E76">
        <w:rPr>
          <w:rFonts w:cs="Arial"/>
          <w:sz w:val="22"/>
          <w:szCs w:val="24"/>
        </w:rPr>
        <w:t>HDR</w:t>
      </w:r>
      <w:r w:rsidRPr="00EF4E76">
        <w:rPr>
          <w:rFonts w:cs="Arial"/>
          <w:sz w:val="22"/>
          <w:szCs w:val="24"/>
        </w:rPr>
        <w:t xml:space="preserve"> program.</w:t>
      </w:r>
    </w:p>
    <w:p w14:paraId="11A01886" w14:textId="5FCD8761" w:rsidR="003D1AB7" w:rsidRPr="00EF4E76" w:rsidRDefault="003D1AB7" w:rsidP="009004DD">
      <w:pPr>
        <w:spacing w:before="120" w:after="120" w:line="240" w:lineRule="auto"/>
        <w:ind w:left="851"/>
        <w:rPr>
          <w:rFonts w:cs="Arial"/>
          <w:lang w:eastAsia="en-GB"/>
        </w:rPr>
      </w:pPr>
      <w:r w:rsidRPr="00EF4E76">
        <w:rPr>
          <w:rFonts w:cs="Arial"/>
          <w:sz w:val="22"/>
          <w:szCs w:val="24"/>
          <w:lang w:eastAsia="en-GB"/>
        </w:rPr>
        <w:t>Where the prior research was undertaken more than three years prior to application, recognition will not exceed one year full</w:t>
      </w:r>
      <w:r w:rsidR="00E7343D" w:rsidRPr="00EF4E76">
        <w:rPr>
          <w:rFonts w:cs="Arial"/>
          <w:sz w:val="22"/>
          <w:szCs w:val="24"/>
          <w:lang w:eastAsia="en-GB"/>
        </w:rPr>
        <w:t>-</w:t>
      </w:r>
      <w:r w:rsidRPr="00EF4E76">
        <w:rPr>
          <w:rFonts w:cs="Arial"/>
          <w:sz w:val="22"/>
          <w:szCs w:val="24"/>
          <w:lang w:eastAsia="en-GB"/>
        </w:rPr>
        <w:t xml:space="preserve">time equivalent for </w:t>
      </w:r>
      <w:r w:rsidR="007D03F6" w:rsidRPr="00EF4E76">
        <w:rPr>
          <w:rFonts w:cs="Arial"/>
          <w:sz w:val="22"/>
          <w:szCs w:val="24"/>
          <w:lang w:eastAsia="en-GB"/>
        </w:rPr>
        <w:t>d</w:t>
      </w:r>
      <w:r w:rsidRPr="00EF4E76">
        <w:rPr>
          <w:rFonts w:cs="Arial"/>
          <w:sz w:val="22"/>
          <w:szCs w:val="24"/>
          <w:lang w:eastAsia="en-GB"/>
        </w:rPr>
        <w:t xml:space="preserve">octoral programs, or six months full-time equivalent for </w:t>
      </w:r>
      <w:r w:rsidR="007D03F6" w:rsidRPr="00EF4E76">
        <w:rPr>
          <w:rFonts w:cs="Arial"/>
          <w:sz w:val="22"/>
          <w:szCs w:val="24"/>
          <w:lang w:eastAsia="en-GB"/>
        </w:rPr>
        <w:t>masters (research)</w:t>
      </w:r>
      <w:r w:rsidRPr="00EF4E76">
        <w:rPr>
          <w:rFonts w:cs="Arial"/>
          <w:sz w:val="22"/>
          <w:szCs w:val="24"/>
          <w:lang w:eastAsia="en-GB"/>
        </w:rPr>
        <w:t xml:space="preserve"> programs.</w:t>
      </w:r>
      <w:r w:rsidRPr="00EF4E76">
        <w:rPr>
          <w:rFonts w:cs="Arial"/>
          <w:sz w:val="22"/>
          <w:szCs w:val="24"/>
        </w:rPr>
        <w:t xml:space="preserve"> </w:t>
      </w:r>
    </w:p>
    <w:p w14:paraId="45D983D4" w14:textId="7E43232F" w:rsidR="003D1AB7" w:rsidRPr="00EF4E76" w:rsidRDefault="00D66D68" w:rsidP="009004DD">
      <w:pPr>
        <w:pStyle w:val="Heading4"/>
        <w:tabs>
          <w:tab w:val="clear" w:pos="1843"/>
        </w:tabs>
        <w:spacing w:before="120"/>
        <w:ind w:left="851"/>
        <w:rPr>
          <w:b/>
          <w:bCs w:val="0"/>
        </w:rPr>
      </w:pPr>
      <w:r w:rsidRPr="00EF4E76">
        <w:rPr>
          <w:b/>
          <w:bCs w:val="0"/>
        </w:rPr>
        <w:t xml:space="preserve">3.4.2 </w:t>
      </w:r>
      <w:r w:rsidR="003D1AB7" w:rsidRPr="00EF4E76">
        <w:rPr>
          <w:b/>
          <w:bCs w:val="0"/>
        </w:rPr>
        <w:t xml:space="preserve">Reduction in the program submission </w:t>
      </w:r>
      <w:proofErr w:type="gramStart"/>
      <w:r w:rsidR="003D1AB7" w:rsidRPr="00EF4E76">
        <w:rPr>
          <w:b/>
          <w:bCs w:val="0"/>
        </w:rPr>
        <w:t>dates</w:t>
      </w:r>
      <w:proofErr w:type="gramEnd"/>
    </w:p>
    <w:p w14:paraId="44A329DE" w14:textId="62C04F1A" w:rsidR="003D1AB7" w:rsidRPr="00EF4E76" w:rsidRDefault="003D1AB7" w:rsidP="009004DD">
      <w:pPr>
        <w:spacing w:before="120" w:after="120" w:line="240" w:lineRule="auto"/>
        <w:ind w:left="851"/>
        <w:rPr>
          <w:rFonts w:cs="Arial"/>
          <w:sz w:val="22"/>
          <w:lang w:eastAsia="en-GB"/>
        </w:rPr>
      </w:pPr>
      <w:r w:rsidRPr="00EF4E76">
        <w:rPr>
          <w:rFonts w:cs="Arial"/>
          <w:sz w:val="22"/>
          <w:lang w:eastAsia="en-GB"/>
        </w:rPr>
        <w:t xml:space="preserve">The </w:t>
      </w:r>
      <w:r w:rsidRPr="00EF4E76">
        <w:rPr>
          <w:rFonts w:cs="Arial"/>
          <w:sz w:val="22"/>
          <w:szCs w:val="24"/>
          <w:lang w:eastAsia="en-GB"/>
        </w:rPr>
        <w:t>following</w:t>
      </w:r>
      <w:r w:rsidRPr="00EF4E76">
        <w:rPr>
          <w:rFonts w:cs="Arial"/>
          <w:sz w:val="22"/>
          <w:lang w:eastAsia="en-GB"/>
        </w:rPr>
        <w:t xml:space="preserve"> applies to the program submission dates where a request for recognition of prior research is approved:</w:t>
      </w:r>
    </w:p>
    <w:p w14:paraId="4289F8EC" w14:textId="2EF1AAAE" w:rsidR="003D1AB7" w:rsidRPr="00EF4E76" w:rsidRDefault="003D1AB7" w:rsidP="009004DD">
      <w:pPr>
        <w:pStyle w:val="ListParagraph"/>
        <w:numPr>
          <w:ilvl w:val="0"/>
          <w:numId w:val="6"/>
        </w:numPr>
        <w:spacing w:before="120" w:after="120" w:line="240" w:lineRule="auto"/>
        <w:ind w:left="1134" w:hanging="283"/>
        <w:rPr>
          <w:rFonts w:cs="Arial"/>
          <w:sz w:val="22"/>
        </w:rPr>
      </w:pPr>
      <w:r w:rsidRPr="00EF4E76">
        <w:rPr>
          <w:rFonts w:cs="Arial"/>
          <w:sz w:val="22"/>
        </w:rPr>
        <w:t>International candidates will</w:t>
      </w:r>
      <w:r w:rsidR="004329BC" w:rsidRPr="00EF4E76">
        <w:rPr>
          <w:rFonts w:cs="Arial"/>
          <w:sz w:val="22"/>
        </w:rPr>
        <w:t xml:space="preserve"> normally</w:t>
      </w:r>
      <w:r w:rsidR="004D4913" w:rsidRPr="00EF4E76">
        <w:rPr>
          <w:rFonts w:cs="Arial"/>
          <w:sz w:val="22"/>
        </w:rPr>
        <w:t xml:space="preserve"> </w:t>
      </w:r>
      <w:r w:rsidRPr="00EF4E76">
        <w:rPr>
          <w:rFonts w:cs="Arial"/>
          <w:sz w:val="22"/>
        </w:rPr>
        <w:t>not have the period deducted from their program submission dates</w:t>
      </w:r>
      <w:r w:rsidR="00A72D48">
        <w:rPr>
          <w:rFonts w:cs="Arial"/>
          <w:sz w:val="22"/>
        </w:rPr>
        <w:t>.</w:t>
      </w:r>
    </w:p>
    <w:p w14:paraId="473F406F" w14:textId="14A8E58C" w:rsidR="003D1AB7" w:rsidRPr="00EF4E76" w:rsidRDefault="007624E7" w:rsidP="009004DD">
      <w:pPr>
        <w:pStyle w:val="ListParagraph"/>
        <w:numPr>
          <w:ilvl w:val="0"/>
          <w:numId w:val="6"/>
        </w:numPr>
        <w:spacing w:before="120" w:after="120" w:line="240" w:lineRule="auto"/>
        <w:ind w:left="1134" w:hanging="283"/>
        <w:rPr>
          <w:rFonts w:cs="Arial"/>
          <w:sz w:val="22"/>
        </w:rPr>
      </w:pPr>
      <w:r w:rsidRPr="00EF4E76">
        <w:rPr>
          <w:rFonts w:cs="Arial"/>
          <w:sz w:val="22"/>
        </w:rPr>
        <w:t>For d</w:t>
      </w:r>
      <w:r w:rsidR="003D1AB7" w:rsidRPr="00EF4E76">
        <w:rPr>
          <w:rFonts w:cs="Arial"/>
          <w:sz w:val="22"/>
        </w:rPr>
        <w:t>omestic candidates</w:t>
      </w:r>
      <w:r w:rsidRPr="00EF4E76">
        <w:rPr>
          <w:rFonts w:cs="Arial"/>
          <w:sz w:val="22"/>
        </w:rPr>
        <w:t>,</w:t>
      </w:r>
      <w:r w:rsidR="00AA15A5" w:rsidRPr="00EF4E76">
        <w:rPr>
          <w:rFonts w:cs="Arial"/>
          <w:sz w:val="22"/>
        </w:rPr>
        <w:t xml:space="preserve"> w</w:t>
      </w:r>
      <w:r w:rsidR="003D1AB7" w:rsidRPr="00EF4E76">
        <w:rPr>
          <w:rFonts w:cs="Arial"/>
          <w:sz w:val="22"/>
        </w:rPr>
        <w:t xml:space="preserve">here the prior research was undertaken within the three years prior to </w:t>
      </w:r>
      <w:r w:rsidR="003D1AB7" w:rsidRPr="00EF4E76">
        <w:rPr>
          <w:rFonts w:cs="Arial"/>
          <w:iCs/>
          <w:sz w:val="22"/>
        </w:rPr>
        <w:t>application</w:t>
      </w:r>
      <w:r w:rsidR="003D1AB7" w:rsidRPr="00EF4E76">
        <w:rPr>
          <w:rFonts w:cs="Arial"/>
          <w:sz w:val="22"/>
        </w:rPr>
        <w:t xml:space="preserve">, the period will be deducted from the program submission dates as well as the period of </w:t>
      </w:r>
      <w:hyperlink r:id="rId12" w:anchor=":~:text=The%20funding%20provided%20through%20the%20RTP%20offers%20the,a%20candidate%20within%20a%20maximum%20period%20of%20candidature." w:history="1">
        <w:r w:rsidR="003D1AB7" w:rsidRPr="00EF4E76">
          <w:rPr>
            <w:rStyle w:val="Hyperlink"/>
            <w:rFonts w:cs="Arial"/>
            <w:i/>
            <w:iCs/>
            <w:sz w:val="22"/>
            <w:lang w:eastAsia="en-GB"/>
          </w:rPr>
          <w:t>Research Training Program (RTP)_Domestic Fee Offset</w:t>
        </w:r>
      </w:hyperlink>
      <w:r w:rsidR="003D1AB7" w:rsidRPr="00EF4E76">
        <w:rPr>
          <w:rFonts w:cs="Arial"/>
          <w:sz w:val="22"/>
          <w:lang w:eastAsia="en-GB"/>
        </w:rPr>
        <w:t xml:space="preserve"> support.</w:t>
      </w:r>
    </w:p>
    <w:p w14:paraId="39F1D3B9" w14:textId="20C23CA3" w:rsidR="003D1AB7" w:rsidRPr="00EF4E76" w:rsidRDefault="00D66D68" w:rsidP="009004DD">
      <w:pPr>
        <w:pStyle w:val="Heading4"/>
        <w:tabs>
          <w:tab w:val="clear" w:pos="1843"/>
        </w:tabs>
        <w:spacing w:before="120"/>
        <w:ind w:left="851"/>
        <w:rPr>
          <w:b/>
          <w:bCs w:val="0"/>
        </w:rPr>
      </w:pPr>
      <w:r w:rsidRPr="00EF4E76">
        <w:rPr>
          <w:b/>
          <w:bCs w:val="0"/>
        </w:rPr>
        <w:t xml:space="preserve">3.4.3 </w:t>
      </w:r>
      <w:r w:rsidR="003D1AB7" w:rsidRPr="00EF4E76">
        <w:rPr>
          <w:b/>
          <w:bCs w:val="0"/>
        </w:rPr>
        <w:t>Credit for Coursework</w:t>
      </w:r>
    </w:p>
    <w:p w14:paraId="7C9D3071" w14:textId="77777777" w:rsidR="002B41BB" w:rsidRPr="00EF4E76" w:rsidRDefault="003D1AB7" w:rsidP="009004DD">
      <w:pPr>
        <w:spacing w:before="120" w:after="120" w:line="240" w:lineRule="auto"/>
        <w:ind w:left="851"/>
        <w:rPr>
          <w:rFonts w:cs="Arial"/>
          <w:sz w:val="22"/>
          <w:szCs w:val="24"/>
          <w:lang w:eastAsia="en-GB"/>
        </w:rPr>
      </w:pPr>
      <w:r w:rsidRPr="00EF4E76">
        <w:rPr>
          <w:rFonts w:cs="Arial"/>
          <w:sz w:val="22"/>
          <w:szCs w:val="24"/>
          <w:lang w:eastAsia="en-GB"/>
        </w:rPr>
        <w:t xml:space="preserve">A candidate can apply for credit at the point of admission. Applications for credit are to be made via the </w:t>
      </w:r>
      <w:r w:rsidRPr="00EF4E76">
        <w:rPr>
          <w:rFonts w:cs="Arial"/>
          <w:i/>
          <w:iCs/>
          <w:sz w:val="22"/>
          <w:szCs w:val="24"/>
          <w:lang w:eastAsia="en-GB"/>
        </w:rPr>
        <w:t>Online Credit</w:t>
      </w:r>
      <w:r w:rsidRPr="00EF4E76">
        <w:rPr>
          <w:rFonts w:cs="Arial"/>
          <w:sz w:val="22"/>
          <w:szCs w:val="24"/>
          <w:lang w:eastAsia="en-GB"/>
        </w:rPr>
        <w:t xml:space="preserve"> </w:t>
      </w:r>
      <w:r w:rsidRPr="00EF4E76">
        <w:rPr>
          <w:rFonts w:cs="Arial"/>
          <w:i/>
          <w:iCs/>
          <w:sz w:val="22"/>
          <w:szCs w:val="24"/>
          <w:lang w:eastAsia="en-GB"/>
        </w:rPr>
        <w:t>Application</w:t>
      </w:r>
      <w:r w:rsidRPr="00EF4E76">
        <w:rPr>
          <w:rFonts w:cs="Arial"/>
          <w:sz w:val="22"/>
          <w:szCs w:val="24"/>
          <w:lang w:eastAsia="en-GB"/>
        </w:rPr>
        <w:t>.</w:t>
      </w:r>
    </w:p>
    <w:p w14:paraId="4FA0A913" w14:textId="133700FC" w:rsidR="002B41BB" w:rsidRPr="00EF4E76" w:rsidRDefault="003D1AB7" w:rsidP="009004DD">
      <w:pPr>
        <w:spacing w:before="120" w:after="120" w:line="240" w:lineRule="auto"/>
        <w:ind w:left="851"/>
        <w:rPr>
          <w:rFonts w:cs="Arial"/>
          <w:b/>
          <w:bCs/>
          <w:sz w:val="22"/>
          <w:szCs w:val="24"/>
        </w:rPr>
      </w:pPr>
      <w:r w:rsidRPr="00EF4E76">
        <w:rPr>
          <w:rFonts w:cs="Arial"/>
          <w:sz w:val="22"/>
          <w:szCs w:val="24"/>
        </w:rPr>
        <w:t xml:space="preserve">The inclusion of a coursework component in a </w:t>
      </w:r>
      <w:r w:rsidR="00507033" w:rsidRPr="00EF4E76">
        <w:rPr>
          <w:rFonts w:cs="Arial"/>
          <w:sz w:val="22"/>
          <w:szCs w:val="24"/>
        </w:rPr>
        <w:t>d</w:t>
      </w:r>
      <w:r w:rsidRPr="00EF4E76">
        <w:rPr>
          <w:rFonts w:cs="Arial"/>
          <w:sz w:val="22"/>
          <w:szCs w:val="24"/>
        </w:rPr>
        <w:t xml:space="preserve">octoral or </w:t>
      </w:r>
      <w:r w:rsidR="00507033" w:rsidRPr="00EF4E76">
        <w:rPr>
          <w:rFonts w:cs="Arial"/>
          <w:sz w:val="22"/>
          <w:szCs w:val="24"/>
        </w:rPr>
        <w:t>masters (research)</w:t>
      </w:r>
      <w:r w:rsidRPr="00EF4E76">
        <w:rPr>
          <w:rFonts w:cs="Arial"/>
          <w:sz w:val="22"/>
          <w:szCs w:val="24"/>
        </w:rPr>
        <w:t xml:space="preserve"> program, and </w:t>
      </w:r>
      <w:r w:rsidRPr="00EF4E76">
        <w:rPr>
          <w:rFonts w:cs="Arial"/>
          <w:sz w:val="22"/>
          <w:szCs w:val="24"/>
          <w:lang w:eastAsia="en-GB"/>
        </w:rPr>
        <w:t>provision</w:t>
      </w:r>
      <w:r w:rsidRPr="00EF4E76">
        <w:rPr>
          <w:rFonts w:cs="Arial"/>
          <w:sz w:val="22"/>
          <w:szCs w:val="24"/>
        </w:rPr>
        <w:t xml:space="preserve"> for award of credit, will be specified in the admission and program requirements of the HDR program as set out on the University’s </w:t>
      </w:r>
      <w:hyperlink r:id="rId13" w:history="1">
        <w:r w:rsidRPr="00EF4E76">
          <w:rPr>
            <w:rStyle w:val="Hyperlink"/>
            <w:rFonts w:cs="Arial"/>
            <w:sz w:val="22"/>
            <w:szCs w:val="24"/>
          </w:rPr>
          <w:t>Degree Finder</w:t>
        </w:r>
      </w:hyperlink>
      <w:r w:rsidRPr="00EF4E76">
        <w:rPr>
          <w:rFonts w:cs="Arial"/>
          <w:sz w:val="22"/>
          <w:szCs w:val="24"/>
        </w:rPr>
        <w:t xml:space="preserve"> </w:t>
      </w:r>
      <w:r w:rsidRPr="00EF4E76">
        <w:rPr>
          <w:rFonts w:cs="Arial"/>
          <w:sz w:val="22"/>
          <w:szCs w:val="24"/>
          <w:lang w:eastAsia="en-GB"/>
        </w:rPr>
        <w:t>website</w:t>
      </w:r>
      <w:r w:rsidRPr="00EF4E76">
        <w:rPr>
          <w:rFonts w:cs="Arial"/>
          <w:sz w:val="22"/>
          <w:szCs w:val="24"/>
        </w:rPr>
        <w:t>.</w:t>
      </w:r>
    </w:p>
    <w:p w14:paraId="5233CB80" w14:textId="37D5489A" w:rsidR="003D1AB7" w:rsidRPr="00EF4E76" w:rsidRDefault="003D1AB7" w:rsidP="009004DD">
      <w:pPr>
        <w:spacing w:before="120" w:after="120" w:line="240" w:lineRule="auto"/>
        <w:ind w:left="851"/>
        <w:rPr>
          <w:rFonts w:cs="Arial"/>
          <w:sz w:val="22"/>
          <w:szCs w:val="24"/>
          <w:lang w:eastAsia="en-GB"/>
        </w:rPr>
      </w:pPr>
      <w:r w:rsidRPr="00EF4E76">
        <w:rPr>
          <w:rFonts w:cs="Arial"/>
          <w:sz w:val="22"/>
          <w:szCs w:val="24"/>
        </w:rPr>
        <w:t xml:space="preserve">For </w:t>
      </w:r>
      <w:r w:rsidR="007B13DC" w:rsidRPr="00EF4E76">
        <w:rPr>
          <w:rFonts w:cs="Arial"/>
          <w:sz w:val="22"/>
          <w:szCs w:val="24"/>
          <w:lang w:eastAsia="en-GB"/>
        </w:rPr>
        <w:t>d</w:t>
      </w:r>
      <w:r w:rsidRPr="00EF4E76">
        <w:rPr>
          <w:rFonts w:cs="Arial"/>
          <w:sz w:val="22"/>
          <w:szCs w:val="24"/>
          <w:lang w:eastAsia="en-GB"/>
        </w:rPr>
        <w:t>octoral</w:t>
      </w:r>
      <w:r w:rsidRPr="00EF4E76">
        <w:rPr>
          <w:rFonts w:cs="Arial"/>
          <w:sz w:val="22"/>
          <w:szCs w:val="24"/>
        </w:rPr>
        <w:t xml:space="preserve"> programs:</w:t>
      </w:r>
    </w:p>
    <w:p w14:paraId="2812DC9F" w14:textId="21464F44" w:rsidR="003D1AB7" w:rsidRPr="00EF4E76" w:rsidRDefault="00AF6F7B" w:rsidP="009004DD">
      <w:pPr>
        <w:pStyle w:val="ListParagraph"/>
        <w:numPr>
          <w:ilvl w:val="0"/>
          <w:numId w:val="6"/>
        </w:numPr>
        <w:spacing w:before="120" w:after="120" w:line="240" w:lineRule="auto"/>
        <w:ind w:left="1134" w:hanging="283"/>
        <w:rPr>
          <w:rFonts w:cs="Arial"/>
          <w:sz w:val="22"/>
          <w:szCs w:val="24"/>
        </w:rPr>
      </w:pPr>
      <w:r w:rsidRPr="00EF4E76">
        <w:rPr>
          <w:rFonts w:cs="Arial"/>
          <w:sz w:val="22"/>
          <w:szCs w:val="24"/>
        </w:rPr>
        <w:t>C</w:t>
      </w:r>
      <w:r w:rsidR="003D1AB7" w:rsidRPr="00EF4E76">
        <w:rPr>
          <w:rFonts w:cs="Arial"/>
          <w:sz w:val="22"/>
          <w:szCs w:val="24"/>
        </w:rPr>
        <w:t xml:space="preserve">redit </w:t>
      </w:r>
      <w:r w:rsidR="003D1AB7" w:rsidRPr="00EF4E76">
        <w:rPr>
          <w:rFonts w:cs="Arial"/>
          <w:sz w:val="22"/>
        </w:rPr>
        <w:t>may</w:t>
      </w:r>
      <w:r w:rsidR="003D1AB7" w:rsidRPr="00EF4E76">
        <w:rPr>
          <w:rFonts w:cs="Arial"/>
          <w:sz w:val="22"/>
          <w:szCs w:val="24"/>
        </w:rPr>
        <w:t xml:space="preserve"> be granted for prior </w:t>
      </w:r>
      <w:r w:rsidR="00AE64B5" w:rsidRPr="00EF4E76">
        <w:rPr>
          <w:rFonts w:cs="Arial"/>
          <w:sz w:val="22"/>
          <w:szCs w:val="24"/>
        </w:rPr>
        <w:t>d</w:t>
      </w:r>
      <w:r w:rsidR="003D1AB7" w:rsidRPr="00EF4E76">
        <w:rPr>
          <w:rFonts w:cs="Arial"/>
          <w:sz w:val="22"/>
          <w:szCs w:val="24"/>
        </w:rPr>
        <w:t>octoral</w:t>
      </w:r>
      <w:r w:rsidR="00520331" w:rsidRPr="00EF4E76">
        <w:rPr>
          <w:rFonts w:cs="Arial"/>
          <w:sz w:val="22"/>
          <w:szCs w:val="24"/>
        </w:rPr>
        <w:t>-</w:t>
      </w:r>
      <w:r w:rsidR="003D1AB7" w:rsidRPr="00EF4E76">
        <w:rPr>
          <w:rFonts w:cs="Arial"/>
          <w:sz w:val="22"/>
          <w:szCs w:val="24"/>
        </w:rPr>
        <w:t>level coursework</w:t>
      </w:r>
      <w:r w:rsidRPr="00EF4E76">
        <w:rPr>
          <w:rFonts w:cs="Arial"/>
          <w:sz w:val="22"/>
          <w:szCs w:val="24"/>
        </w:rPr>
        <w:t>; and</w:t>
      </w:r>
    </w:p>
    <w:p w14:paraId="76A6818C" w14:textId="001C75C7" w:rsidR="003D1AB7" w:rsidRPr="00EF4E76" w:rsidRDefault="00AF6F7B" w:rsidP="009004DD">
      <w:pPr>
        <w:pStyle w:val="ListParagraph"/>
        <w:numPr>
          <w:ilvl w:val="0"/>
          <w:numId w:val="6"/>
        </w:numPr>
        <w:spacing w:before="120" w:after="120" w:line="240" w:lineRule="auto"/>
        <w:ind w:left="1134" w:hanging="283"/>
        <w:rPr>
          <w:rFonts w:cs="Arial"/>
          <w:sz w:val="22"/>
          <w:szCs w:val="24"/>
        </w:rPr>
      </w:pPr>
      <w:r w:rsidRPr="00EF4E76">
        <w:rPr>
          <w:rFonts w:cs="Arial"/>
          <w:sz w:val="22"/>
          <w:szCs w:val="24"/>
        </w:rPr>
        <w:t>T</w:t>
      </w:r>
      <w:r w:rsidR="003D1AB7" w:rsidRPr="00EF4E76">
        <w:rPr>
          <w:rFonts w:cs="Arial"/>
          <w:sz w:val="22"/>
          <w:szCs w:val="24"/>
        </w:rPr>
        <w:t>he maximum amount of credit that may be granted towards</w:t>
      </w:r>
      <w:r w:rsidR="00520331" w:rsidRPr="00EF4E76">
        <w:rPr>
          <w:rFonts w:cs="Arial"/>
          <w:sz w:val="22"/>
          <w:szCs w:val="24"/>
        </w:rPr>
        <w:t xml:space="preserve"> the </w:t>
      </w:r>
      <w:r w:rsidR="003D1AB7" w:rsidRPr="00EF4E76">
        <w:rPr>
          <w:rFonts w:cs="Arial"/>
          <w:sz w:val="22"/>
          <w:szCs w:val="24"/>
        </w:rPr>
        <w:t xml:space="preserve">program will not exceed one-year full-time or equivalent (80CP). </w:t>
      </w:r>
    </w:p>
    <w:p w14:paraId="550036F2" w14:textId="3A5F1F51" w:rsidR="00580BCA" w:rsidRPr="00EF4E76" w:rsidRDefault="003D1AB7" w:rsidP="009004DD">
      <w:pPr>
        <w:spacing w:before="120" w:after="120" w:line="240" w:lineRule="auto"/>
        <w:ind w:left="851"/>
        <w:rPr>
          <w:rFonts w:cs="Arial"/>
          <w:sz w:val="22"/>
          <w:szCs w:val="24"/>
        </w:rPr>
      </w:pPr>
      <w:r w:rsidRPr="00EF4E76">
        <w:rPr>
          <w:rFonts w:cs="Arial"/>
          <w:sz w:val="22"/>
          <w:szCs w:val="24"/>
        </w:rPr>
        <w:t xml:space="preserve">Refer to section 14 of the </w:t>
      </w:r>
      <w:r w:rsidRPr="00EF4E76">
        <w:rPr>
          <w:rFonts w:cs="Arial"/>
          <w:i/>
          <w:iCs/>
          <w:sz w:val="22"/>
          <w:szCs w:val="24"/>
        </w:rPr>
        <w:t>Postgraduate Qualifications (AQF 8 &amp; 9) Policy</w:t>
      </w:r>
      <w:r w:rsidRPr="00EF4E76">
        <w:rPr>
          <w:rFonts w:cs="Arial"/>
          <w:sz w:val="22"/>
          <w:szCs w:val="24"/>
        </w:rPr>
        <w:t xml:space="preserve"> for credit requirements and amounts for </w:t>
      </w:r>
      <w:r w:rsidR="00104DF1" w:rsidRPr="00EF4E76">
        <w:rPr>
          <w:rFonts w:cs="Arial"/>
          <w:sz w:val="22"/>
          <w:szCs w:val="24"/>
        </w:rPr>
        <w:t>m</w:t>
      </w:r>
      <w:r w:rsidRPr="00EF4E76">
        <w:rPr>
          <w:rFonts w:cs="Arial"/>
          <w:sz w:val="22"/>
          <w:szCs w:val="24"/>
        </w:rPr>
        <w:t>asters (</w:t>
      </w:r>
      <w:r w:rsidR="00104DF1" w:rsidRPr="00EF4E76">
        <w:rPr>
          <w:rFonts w:cs="Arial"/>
          <w:sz w:val="22"/>
          <w:szCs w:val="24"/>
        </w:rPr>
        <w:t>r</w:t>
      </w:r>
      <w:r w:rsidRPr="00EF4E76">
        <w:rPr>
          <w:rFonts w:cs="Arial"/>
          <w:sz w:val="22"/>
          <w:szCs w:val="24"/>
        </w:rPr>
        <w:t>esearch) program</w:t>
      </w:r>
      <w:r w:rsidR="00104DF1" w:rsidRPr="00EF4E76">
        <w:rPr>
          <w:rFonts w:cs="Arial"/>
          <w:sz w:val="22"/>
          <w:szCs w:val="24"/>
        </w:rPr>
        <w:t>s</w:t>
      </w:r>
      <w:r w:rsidRPr="00EF4E76">
        <w:rPr>
          <w:rFonts w:cs="Arial"/>
          <w:sz w:val="22"/>
          <w:szCs w:val="24"/>
        </w:rPr>
        <w:t>.</w:t>
      </w:r>
    </w:p>
    <w:p w14:paraId="1861B63C" w14:textId="505E2A2A" w:rsidR="003D1AB7" w:rsidRPr="00EF4E76" w:rsidRDefault="003D1AB7" w:rsidP="009004DD">
      <w:pPr>
        <w:spacing w:before="120" w:after="120" w:line="240" w:lineRule="auto"/>
        <w:ind w:left="851"/>
        <w:rPr>
          <w:rFonts w:cs="Arial"/>
          <w:sz w:val="22"/>
          <w:szCs w:val="24"/>
        </w:rPr>
      </w:pPr>
      <w:r w:rsidRPr="00EF4E76">
        <w:rPr>
          <w:rFonts w:cs="Arial"/>
          <w:sz w:val="22"/>
          <w:szCs w:val="24"/>
        </w:rPr>
        <w:t xml:space="preserve">Coursework undertaken in </w:t>
      </w:r>
      <w:r w:rsidR="00687010" w:rsidRPr="00EF4E76">
        <w:rPr>
          <w:rFonts w:cs="Arial"/>
          <w:sz w:val="22"/>
          <w:szCs w:val="24"/>
        </w:rPr>
        <w:t xml:space="preserve">Griffith </w:t>
      </w:r>
      <w:r w:rsidRPr="00EF4E76">
        <w:rPr>
          <w:rFonts w:cs="Arial"/>
          <w:sz w:val="22"/>
          <w:szCs w:val="24"/>
        </w:rPr>
        <w:t>HDR programs which allow for a conversion to another HDR program (</w:t>
      </w:r>
      <w:r w:rsidR="00687010" w:rsidRPr="00EF4E76">
        <w:rPr>
          <w:rFonts w:cs="Arial"/>
          <w:sz w:val="22"/>
          <w:szCs w:val="24"/>
        </w:rPr>
        <w:t>see</w:t>
      </w:r>
      <w:r w:rsidRPr="00EF4E76">
        <w:rPr>
          <w:rFonts w:cs="Arial"/>
          <w:sz w:val="22"/>
          <w:szCs w:val="24"/>
        </w:rPr>
        <w:t xml:space="preserve"> section </w:t>
      </w:r>
      <w:r w:rsidR="00D64422" w:rsidRPr="00EF4E76">
        <w:rPr>
          <w:rFonts w:cs="Arial"/>
          <w:sz w:val="22"/>
          <w:szCs w:val="24"/>
        </w:rPr>
        <w:t>3.6.7</w:t>
      </w:r>
      <w:r w:rsidR="00687010" w:rsidRPr="00EF4E76">
        <w:rPr>
          <w:rFonts w:cs="Arial"/>
          <w:sz w:val="22"/>
          <w:szCs w:val="24"/>
        </w:rPr>
        <w:t xml:space="preserve"> (Program Transfers) </w:t>
      </w:r>
      <w:r w:rsidRPr="00EF4E76">
        <w:rPr>
          <w:rFonts w:cs="Arial"/>
          <w:sz w:val="22"/>
          <w:szCs w:val="24"/>
        </w:rPr>
        <w:t xml:space="preserve">of the </w:t>
      </w:r>
      <w:r w:rsidR="00D74714" w:rsidRPr="00EF4E76">
        <w:rPr>
          <w:rFonts w:cs="Arial"/>
          <w:i/>
          <w:iCs/>
          <w:sz w:val="22"/>
          <w:szCs w:val="24"/>
        </w:rPr>
        <w:t>H</w:t>
      </w:r>
      <w:r w:rsidR="00C32636" w:rsidRPr="00EF4E76">
        <w:rPr>
          <w:rFonts w:cs="Arial"/>
          <w:i/>
          <w:iCs/>
          <w:sz w:val="22"/>
          <w:szCs w:val="24"/>
        </w:rPr>
        <w:t>igher Degree by Research</w:t>
      </w:r>
      <w:r w:rsidR="00D74714" w:rsidRPr="00EF4E76">
        <w:rPr>
          <w:rFonts w:cs="Arial"/>
          <w:i/>
          <w:iCs/>
          <w:sz w:val="22"/>
          <w:szCs w:val="24"/>
        </w:rPr>
        <w:t xml:space="preserve"> Enrolment</w:t>
      </w:r>
      <w:r w:rsidR="00A21565" w:rsidRPr="00EF4E76">
        <w:rPr>
          <w:rFonts w:cs="Arial"/>
          <w:i/>
          <w:iCs/>
          <w:sz w:val="22"/>
          <w:szCs w:val="24"/>
        </w:rPr>
        <w:t xml:space="preserve"> and </w:t>
      </w:r>
      <w:r w:rsidR="00A21565" w:rsidRPr="00EF4E76">
        <w:rPr>
          <w:rFonts w:cs="Arial"/>
          <w:sz w:val="22"/>
          <w:szCs w:val="24"/>
        </w:rPr>
        <w:t>Variations</w:t>
      </w:r>
      <w:r w:rsidR="00A21565" w:rsidRPr="00EF4E76">
        <w:rPr>
          <w:rFonts w:cs="Arial"/>
          <w:i/>
          <w:iCs/>
          <w:sz w:val="22"/>
          <w:szCs w:val="24"/>
        </w:rPr>
        <w:t xml:space="preserve"> to Candidature</w:t>
      </w:r>
      <w:r w:rsidR="00D74714" w:rsidRPr="00EF4E76">
        <w:rPr>
          <w:rFonts w:cs="Arial"/>
          <w:i/>
          <w:iCs/>
          <w:sz w:val="22"/>
          <w:szCs w:val="24"/>
        </w:rPr>
        <w:t xml:space="preserve"> Procedure</w:t>
      </w:r>
      <w:r w:rsidRPr="00EF4E76">
        <w:rPr>
          <w:rFonts w:cs="Arial"/>
          <w:sz w:val="22"/>
          <w:szCs w:val="24"/>
        </w:rPr>
        <w:t xml:space="preserve">) may be counted towards satisfying the coursework requirements of the program to which the candidate has transferred. </w:t>
      </w:r>
      <w:r w:rsidR="00F36087" w:rsidRPr="00EF4E76">
        <w:rPr>
          <w:rFonts w:cs="Arial"/>
          <w:sz w:val="22"/>
          <w:szCs w:val="24"/>
        </w:rPr>
        <w:t>In such program transfers, a</w:t>
      </w:r>
      <w:r w:rsidR="00957151" w:rsidRPr="00EF4E76">
        <w:rPr>
          <w:rFonts w:cs="Arial"/>
          <w:sz w:val="22"/>
          <w:szCs w:val="24"/>
        </w:rPr>
        <w:t xml:space="preserve"> separate</w:t>
      </w:r>
      <w:r w:rsidRPr="00EF4E76">
        <w:rPr>
          <w:rFonts w:cs="Arial"/>
          <w:sz w:val="22"/>
          <w:szCs w:val="24"/>
        </w:rPr>
        <w:t xml:space="preserve"> application for credit does not need to be lodged</w:t>
      </w:r>
      <w:r w:rsidR="00957151" w:rsidRPr="00EF4E76">
        <w:rPr>
          <w:rFonts w:cs="Arial"/>
          <w:sz w:val="22"/>
          <w:szCs w:val="24"/>
        </w:rPr>
        <w:t xml:space="preserve"> and </w:t>
      </w:r>
      <w:r w:rsidR="00B6674B" w:rsidRPr="00EF4E76">
        <w:rPr>
          <w:rFonts w:cs="Arial"/>
          <w:sz w:val="22"/>
          <w:szCs w:val="24"/>
        </w:rPr>
        <w:t xml:space="preserve">the limit on credit towards a doctoral program as specified above </w:t>
      </w:r>
      <w:r w:rsidR="003C2716" w:rsidRPr="00EF4E76">
        <w:rPr>
          <w:rFonts w:cs="Arial"/>
          <w:sz w:val="22"/>
          <w:szCs w:val="24"/>
        </w:rPr>
        <w:t>will not apply</w:t>
      </w:r>
      <w:r w:rsidRPr="00EF4E76">
        <w:rPr>
          <w:rFonts w:cs="Arial"/>
          <w:sz w:val="22"/>
          <w:szCs w:val="24"/>
        </w:rPr>
        <w:t>.</w:t>
      </w:r>
    </w:p>
    <w:p w14:paraId="1C077598" w14:textId="77777777" w:rsidR="00A72D48" w:rsidRDefault="00A72D48">
      <w:pPr>
        <w:spacing w:after="0" w:line="240" w:lineRule="auto"/>
        <w:rPr>
          <w:rFonts w:eastAsia="Times New Roman" w:cs="Arial"/>
          <w:b/>
          <w:bCs/>
          <w:color w:val="E30918"/>
          <w:sz w:val="28"/>
          <w:szCs w:val="28"/>
          <w:lang w:eastAsia="en-GB"/>
        </w:rPr>
      </w:pPr>
      <w:bookmarkStart w:id="29" w:name="_Application_Assessment_and"/>
      <w:bookmarkEnd w:id="29"/>
      <w:r>
        <w:rPr>
          <w:rFonts w:cs="Arial"/>
          <w:b/>
          <w:bCs/>
          <w:sz w:val="28"/>
          <w:szCs w:val="28"/>
        </w:rPr>
        <w:br w:type="page"/>
      </w:r>
    </w:p>
    <w:p w14:paraId="545A3354" w14:textId="56E4A129" w:rsidR="00B1201D" w:rsidRPr="00EF4E76" w:rsidRDefault="005E633A" w:rsidP="009004DD">
      <w:pPr>
        <w:pStyle w:val="Heading3"/>
        <w:spacing w:before="120" w:after="120"/>
        <w:ind w:left="567" w:firstLine="0"/>
        <w:rPr>
          <w:rFonts w:cs="Arial"/>
          <w:b/>
          <w:bCs/>
          <w:sz w:val="28"/>
          <w:szCs w:val="28"/>
        </w:rPr>
      </w:pPr>
      <w:r w:rsidRPr="00EF4E76">
        <w:rPr>
          <w:rFonts w:cs="Arial"/>
          <w:b/>
          <w:bCs/>
          <w:sz w:val="28"/>
          <w:szCs w:val="28"/>
        </w:rPr>
        <w:lastRenderedPageBreak/>
        <w:t xml:space="preserve">3.5 </w:t>
      </w:r>
      <w:r w:rsidR="00A7538E" w:rsidRPr="00EF4E76">
        <w:rPr>
          <w:rFonts w:cs="Arial"/>
          <w:b/>
          <w:bCs/>
          <w:sz w:val="28"/>
          <w:szCs w:val="28"/>
        </w:rPr>
        <w:t>Application Assessment</w:t>
      </w:r>
      <w:r w:rsidR="00B52704" w:rsidRPr="00EF4E76">
        <w:rPr>
          <w:rFonts w:cs="Arial"/>
          <w:b/>
          <w:bCs/>
          <w:sz w:val="28"/>
          <w:szCs w:val="28"/>
        </w:rPr>
        <w:t xml:space="preserve"> and Selection</w:t>
      </w:r>
    </w:p>
    <w:p w14:paraId="5A8EBF01" w14:textId="4D1CE18D" w:rsidR="00D66D68" w:rsidRPr="00EF4E76" w:rsidRDefault="00D66D68" w:rsidP="009004DD">
      <w:pPr>
        <w:pStyle w:val="Heading4"/>
        <w:tabs>
          <w:tab w:val="clear" w:pos="1843"/>
        </w:tabs>
        <w:spacing w:before="120"/>
        <w:ind w:left="851"/>
        <w:rPr>
          <w:b/>
          <w:bCs w:val="0"/>
        </w:rPr>
      </w:pPr>
      <w:r w:rsidRPr="00EF4E76">
        <w:rPr>
          <w:b/>
          <w:bCs w:val="0"/>
        </w:rPr>
        <w:t>3.5.1</w:t>
      </w:r>
    </w:p>
    <w:p w14:paraId="49112628" w14:textId="1665CDA4" w:rsidR="00E92D26" w:rsidRPr="00EF4E76" w:rsidRDefault="00275D1A" w:rsidP="009004DD">
      <w:pPr>
        <w:spacing w:before="120" w:after="120" w:line="240" w:lineRule="auto"/>
        <w:ind w:left="851"/>
        <w:rPr>
          <w:rFonts w:cs="Arial"/>
        </w:rPr>
      </w:pPr>
      <w:r w:rsidRPr="00EF4E76">
        <w:rPr>
          <w:rFonts w:cs="Arial"/>
          <w:sz w:val="22"/>
          <w:szCs w:val="24"/>
          <w:lang w:eastAsia="en-GB"/>
        </w:rPr>
        <w:t>Decision</w:t>
      </w:r>
      <w:r w:rsidRPr="00EF4E76">
        <w:rPr>
          <w:rFonts w:cs="Arial"/>
          <w:sz w:val="22"/>
          <w:szCs w:val="24"/>
        </w:rPr>
        <w:t xml:space="preserve">-makers in the assessment </w:t>
      </w:r>
      <w:r w:rsidR="009D4DA2" w:rsidRPr="00EF4E76">
        <w:rPr>
          <w:rFonts w:cs="Arial"/>
          <w:sz w:val="22"/>
          <w:szCs w:val="24"/>
        </w:rPr>
        <w:t xml:space="preserve">of applications </w:t>
      </w:r>
      <w:r w:rsidRPr="00EF4E76">
        <w:rPr>
          <w:rFonts w:cs="Arial"/>
          <w:sz w:val="22"/>
          <w:szCs w:val="24"/>
        </w:rPr>
        <w:t>and selection of applicants for admission to an HDR program</w:t>
      </w:r>
      <w:r w:rsidR="009D4DA2" w:rsidRPr="00EF4E76">
        <w:rPr>
          <w:rFonts w:cs="Arial"/>
          <w:sz w:val="22"/>
          <w:szCs w:val="24"/>
        </w:rPr>
        <w:t xml:space="preserve"> are </w:t>
      </w:r>
      <w:r w:rsidR="00FC0C14" w:rsidRPr="00EF4E76">
        <w:rPr>
          <w:rFonts w:cs="Arial"/>
          <w:sz w:val="22"/>
          <w:szCs w:val="24"/>
        </w:rPr>
        <w:t xml:space="preserve">specified in the </w:t>
      </w:r>
      <w:r w:rsidR="00771B2A" w:rsidRPr="00EF4E76">
        <w:rPr>
          <w:rFonts w:cs="Arial"/>
          <w:i/>
          <w:sz w:val="22"/>
          <w:szCs w:val="24"/>
        </w:rPr>
        <w:t>HDR Academic Decisions Schedule</w:t>
      </w:r>
      <w:r w:rsidR="00E97C8B" w:rsidRPr="00EF4E76">
        <w:rPr>
          <w:rFonts w:cs="Arial"/>
          <w:sz w:val="22"/>
          <w:szCs w:val="24"/>
        </w:rPr>
        <w:t>.</w:t>
      </w:r>
    </w:p>
    <w:p w14:paraId="5C4BE365" w14:textId="51587689" w:rsidR="00D66D68" w:rsidRPr="00EF4E76" w:rsidRDefault="00D66D68" w:rsidP="009004DD">
      <w:pPr>
        <w:pStyle w:val="Heading4"/>
        <w:tabs>
          <w:tab w:val="clear" w:pos="1843"/>
        </w:tabs>
        <w:spacing w:before="120"/>
        <w:ind w:left="851"/>
        <w:rPr>
          <w:b/>
          <w:bCs w:val="0"/>
        </w:rPr>
      </w:pPr>
      <w:bookmarkStart w:id="30" w:name="_Hlk134098594"/>
      <w:r w:rsidRPr="00EF4E76">
        <w:rPr>
          <w:b/>
          <w:bCs w:val="0"/>
        </w:rPr>
        <w:t>3.5.2</w:t>
      </w:r>
    </w:p>
    <w:p w14:paraId="7DDEE738" w14:textId="3765D277" w:rsidR="00770934" w:rsidRPr="00EF4E76" w:rsidRDefault="005301AD" w:rsidP="009004DD">
      <w:pPr>
        <w:spacing w:before="120" w:after="120" w:line="240" w:lineRule="auto"/>
        <w:ind w:left="851"/>
        <w:rPr>
          <w:rFonts w:cs="Arial"/>
          <w:sz w:val="22"/>
          <w:szCs w:val="24"/>
        </w:rPr>
      </w:pPr>
      <w:r w:rsidRPr="00EF4E76">
        <w:rPr>
          <w:rFonts w:cs="Arial"/>
          <w:sz w:val="22"/>
          <w:szCs w:val="24"/>
        </w:rPr>
        <w:t>By recommending an offer of admission to be made to an applicant, the enrolling</w:t>
      </w:r>
      <w:r w:rsidR="00E451A5" w:rsidRPr="00EF4E76">
        <w:rPr>
          <w:rFonts w:cs="Arial"/>
          <w:sz w:val="22"/>
          <w:szCs w:val="24"/>
        </w:rPr>
        <w:t xml:space="preserve"> </w:t>
      </w:r>
      <w:r w:rsidR="00E451A5" w:rsidRPr="00EF4E76">
        <w:rPr>
          <w:rFonts w:cs="Arial"/>
          <w:sz w:val="22"/>
          <w:szCs w:val="24"/>
          <w:lang w:eastAsia="en-GB"/>
        </w:rPr>
        <w:t>Element</w:t>
      </w:r>
      <w:r w:rsidR="00E451A5" w:rsidRPr="00EF4E76">
        <w:rPr>
          <w:rFonts w:cs="Arial"/>
          <w:sz w:val="22"/>
          <w:szCs w:val="24"/>
        </w:rPr>
        <w:t xml:space="preserve"> </w:t>
      </w:r>
      <w:r w:rsidR="00B65EC8" w:rsidRPr="00EF4E76">
        <w:rPr>
          <w:rFonts w:cs="Arial"/>
          <w:sz w:val="22"/>
          <w:szCs w:val="24"/>
        </w:rPr>
        <w:t>confirms</w:t>
      </w:r>
      <w:r w:rsidR="007533D5" w:rsidRPr="00EF4E76">
        <w:rPr>
          <w:rFonts w:cs="Arial"/>
          <w:sz w:val="22"/>
          <w:szCs w:val="24"/>
        </w:rPr>
        <w:t xml:space="preserve"> that</w:t>
      </w:r>
      <w:r w:rsidR="00D0552C" w:rsidRPr="00EF4E76">
        <w:rPr>
          <w:rFonts w:cs="Arial"/>
          <w:sz w:val="22"/>
          <w:szCs w:val="24"/>
        </w:rPr>
        <w:t>:</w:t>
      </w:r>
      <w:bookmarkEnd w:id="30"/>
    </w:p>
    <w:p w14:paraId="353986B0" w14:textId="33DD1220" w:rsidR="0082136C" w:rsidRPr="00EF4E76" w:rsidRDefault="00277504" w:rsidP="009004DD">
      <w:pPr>
        <w:pStyle w:val="ListParagraph"/>
        <w:numPr>
          <w:ilvl w:val="0"/>
          <w:numId w:val="6"/>
        </w:numPr>
        <w:spacing w:before="120" w:after="120" w:line="240" w:lineRule="auto"/>
        <w:ind w:left="1134" w:hanging="283"/>
        <w:rPr>
          <w:rFonts w:cs="Arial"/>
          <w:sz w:val="22"/>
          <w:szCs w:val="24"/>
        </w:rPr>
      </w:pPr>
      <w:r w:rsidRPr="00EF4E76">
        <w:rPr>
          <w:rFonts w:cs="Arial"/>
          <w:iCs/>
          <w:sz w:val="22"/>
        </w:rPr>
        <w:t>T</w:t>
      </w:r>
      <w:r w:rsidR="0082136C" w:rsidRPr="00EF4E76">
        <w:rPr>
          <w:rFonts w:cs="Arial"/>
          <w:iCs/>
          <w:sz w:val="22"/>
        </w:rPr>
        <w:t>he</w:t>
      </w:r>
      <w:r w:rsidR="0082136C" w:rsidRPr="00EF4E76">
        <w:rPr>
          <w:rFonts w:cs="Arial"/>
          <w:sz w:val="22"/>
          <w:szCs w:val="24"/>
        </w:rPr>
        <w:t xml:space="preserve"> applicant has demonstrated that they have an appropriate </w:t>
      </w:r>
      <w:r w:rsidR="00231835" w:rsidRPr="00EF4E76">
        <w:rPr>
          <w:rFonts w:cs="Arial"/>
          <w:sz w:val="22"/>
          <w:szCs w:val="24"/>
        </w:rPr>
        <w:t xml:space="preserve">level of research preparedness to successfully complete the </w:t>
      </w:r>
      <w:proofErr w:type="gramStart"/>
      <w:r w:rsidR="00231835" w:rsidRPr="00EF4E76">
        <w:rPr>
          <w:rFonts w:cs="Arial"/>
          <w:sz w:val="22"/>
          <w:szCs w:val="24"/>
        </w:rPr>
        <w:t>program</w:t>
      </w:r>
      <w:r w:rsidR="007533D5" w:rsidRPr="00EF4E76">
        <w:rPr>
          <w:rFonts w:cs="Arial"/>
          <w:sz w:val="22"/>
          <w:szCs w:val="24"/>
        </w:rPr>
        <w:t>;</w:t>
      </w:r>
      <w:proofErr w:type="gramEnd"/>
    </w:p>
    <w:p w14:paraId="1A82450A" w14:textId="430D1E88" w:rsidR="001F395E" w:rsidRPr="00EF4E76" w:rsidRDefault="00277504" w:rsidP="009004DD">
      <w:pPr>
        <w:pStyle w:val="ListParagraph"/>
        <w:numPr>
          <w:ilvl w:val="0"/>
          <w:numId w:val="6"/>
        </w:numPr>
        <w:spacing w:before="120" w:after="120" w:line="240" w:lineRule="auto"/>
        <w:ind w:left="1134" w:hanging="283"/>
        <w:rPr>
          <w:rFonts w:cs="Arial"/>
          <w:sz w:val="22"/>
          <w:szCs w:val="24"/>
        </w:rPr>
      </w:pPr>
      <w:r w:rsidRPr="00EF4E76">
        <w:rPr>
          <w:rFonts w:cs="Arial"/>
          <w:sz w:val="22"/>
          <w:szCs w:val="24"/>
        </w:rPr>
        <w:t>T</w:t>
      </w:r>
      <w:r w:rsidR="00D22A0F" w:rsidRPr="00EF4E76">
        <w:rPr>
          <w:rFonts w:cs="Arial"/>
          <w:sz w:val="22"/>
          <w:szCs w:val="24"/>
        </w:rPr>
        <w:t xml:space="preserve">he </w:t>
      </w:r>
      <w:r w:rsidR="00D22A0F" w:rsidRPr="00EF4E76">
        <w:rPr>
          <w:rFonts w:cs="Arial"/>
          <w:iCs/>
          <w:sz w:val="22"/>
        </w:rPr>
        <w:t>proposed</w:t>
      </w:r>
      <w:r w:rsidR="00D22A0F" w:rsidRPr="00EF4E76">
        <w:rPr>
          <w:rFonts w:cs="Arial"/>
          <w:sz w:val="22"/>
          <w:szCs w:val="24"/>
        </w:rPr>
        <w:t xml:space="preserve"> topic is appropriate </w:t>
      </w:r>
      <w:r w:rsidR="00A95051" w:rsidRPr="00EF4E76">
        <w:rPr>
          <w:rFonts w:cs="Arial"/>
          <w:sz w:val="22"/>
          <w:szCs w:val="24"/>
        </w:rPr>
        <w:t>for a</w:t>
      </w:r>
      <w:r w:rsidR="005341F2" w:rsidRPr="00EF4E76">
        <w:rPr>
          <w:rFonts w:cs="Arial"/>
          <w:sz w:val="22"/>
          <w:szCs w:val="24"/>
        </w:rPr>
        <w:t xml:space="preserve">n HDR </w:t>
      </w:r>
      <w:r w:rsidR="00A95051" w:rsidRPr="00EF4E76">
        <w:rPr>
          <w:rFonts w:cs="Arial"/>
          <w:sz w:val="22"/>
          <w:szCs w:val="24"/>
        </w:rPr>
        <w:t>program</w:t>
      </w:r>
      <w:r w:rsidR="00467BA1" w:rsidRPr="00EF4E76">
        <w:rPr>
          <w:rFonts w:cs="Arial"/>
          <w:sz w:val="22"/>
          <w:szCs w:val="24"/>
        </w:rPr>
        <w:t>,</w:t>
      </w:r>
      <w:r w:rsidR="00A95051" w:rsidRPr="00EF4E76">
        <w:rPr>
          <w:rFonts w:cs="Arial"/>
          <w:sz w:val="22"/>
          <w:szCs w:val="24"/>
        </w:rPr>
        <w:t xml:space="preserve"> </w:t>
      </w:r>
      <w:r w:rsidR="00D22A0F" w:rsidRPr="00EF4E76">
        <w:rPr>
          <w:rFonts w:cs="Arial"/>
          <w:sz w:val="22"/>
          <w:szCs w:val="24"/>
        </w:rPr>
        <w:t xml:space="preserve">and </w:t>
      </w:r>
      <w:r w:rsidR="001F395E" w:rsidRPr="00EF4E76">
        <w:rPr>
          <w:rFonts w:cs="Arial"/>
          <w:sz w:val="22"/>
          <w:szCs w:val="24"/>
        </w:rPr>
        <w:t xml:space="preserve">the program of work can be completed within the maximum period of candidature for the </w:t>
      </w:r>
      <w:proofErr w:type="gramStart"/>
      <w:r w:rsidR="001F395E" w:rsidRPr="00EF4E76">
        <w:rPr>
          <w:rFonts w:cs="Arial"/>
          <w:sz w:val="22"/>
          <w:szCs w:val="24"/>
        </w:rPr>
        <w:t>degree</w:t>
      </w:r>
      <w:r w:rsidR="007533D5" w:rsidRPr="00EF4E76">
        <w:rPr>
          <w:rFonts w:cs="Arial"/>
          <w:sz w:val="22"/>
          <w:szCs w:val="24"/>
        </w:rPr>
        <w:t>;</w:t>
      </w:r>
      <w:proofErr w:type="gramEnd"/>
    </w:p>
    <w:p w14:paraId="55070881" w14:textId="69591721" w:rsidR="00A12EF9" w:rsidRPr="00EF4E76" w:rsidRDefault="00277504" w:rsidP="009004DD">
      <w:pPr>
        <w:pStyle w:val="ListParagraph"/>
        <w:numPr>
          <w:ilvl w:val="0"/>
          <w:numId w:val="6"/>
        </w:numPr>
        <w:spacing w:before="120" w:after="120" w:line="240" w:lineRule="auto"/>
        <w:ind w:left="1134" w:hanging="283"/>
        <w:rPr>
          <w:rFonts w:cs="Arial"/>
          <w:sz w:val="22"/>
          <w:szCs w:val="24"/>
        </w:rPr>
      </w:pPr>
      <w:r w:rsidRPr="00EF4E76">
        <w:rPr>
          <w:rFonts w:cs="Arial"/>
          <w:sz w:val="22"/>
          <w:szCs w:val="24"/>
        </w:rPr>
        <w:t>I</w:t>
      </w:r>
      <w:r w:rsidR="001F395E" w:rsidRPr="00EF4E76">
        <w:rPr>
          <w:rFonts w:cs="Arial"/>
          <w:sz w:val="22"/>
          <w:szCs w:val="24"/>
        </w:rPr>
        <w:t>t</w:t>
      </w:r>
      <w:r w:rsidR="00B2037E" w:rsidRPr="00EF4E76">
        <w:rPr>
          <w:rFonts w:cs="Arial"/>
          <w:sz w:val="22"/>
          <w:szCs w:val="24"/>
        </w:rPr>
        <w:t xml:space="preserve"> h</w:t>
      </w:r>
      <w:r w:rsidR="0057577D" w:rsidRPr="00EF4E76">
        <w:rPr>
          <w:rFonts w:cs="Arial"/>
          <w:sz w:val="22"/>
          <w:szCs w:val="24"/>
        </w:rPr>
        <w:t>a</w:t>
      </w:r>
      <w:r w:rsidR="00B2037E" w:rsidRPr="00EF4E76">
        <w:rPr>
          <w:rFonts w:cs="Arial"/>
          <w:sz w:val="22"/>
          <w:szCs w:val="24"/>
        </w:rPr>
        <w:t xml:space="preserve">s the appropriate discipline expertise to house the </w:t>
      </w:r>
      <w:proofErr w:type="gramStart"/>
      <w:r w:rsidR="00B2037E" w:rsidRPr="00EF4E76">
        <w:rPr>
          <w:rFonts w:cs="Arial"/>
          <w:sz w:val="22"/>
          <w:szCs w:val="24"/>
        </w:rPr>
        <w:t>research</w:t>
      </w:r>
      <w:r w:rsidR="007533D5" w:rsidRPr="00EF4E76">
        <w:rPr>
          <w:rFonts w:cs="Arial"/>
          <w:sz w:val="22"/>
          <w:szCs w:val="24"/>
        </w:rPr>
        <w:t>;</w:t>
      </w:r>
      <w:proofErr w:type="gramEnd"/>
    </w:p>
    <w:p w14:paraId="3EBA3027" w14:textId="173CFB63" w:rsidR="00796CEF" w:rsidRPr="00EF4E76" w:rsidRDefault="00277504" w:rsidP="009004DD">
      <w:pPr>
        <w:pStyle w:val="ListParagraph"/>
        <w:numPr>
          <w:ilvl w:val="0"/>
          <w:numId w:val="6"/>
        </w:numPr>
        <w:spacing w:before="120" w:after="120" w:line="240" w:lineRule="auto"/>
        <w:ind w:left="1134" w:hanging="283"/>
        <w:rPr>
          <w:rFonts w:cs="Arial"/>
          <w:sz w:val="22"/>
          <w:szCs w:val="24"/>
        </w:rPr>
      </w:pPr>
      <w:r w:rsidRPr="00EF4E76">
        <w:rPr>
          <w:rFonts w:cs="Arial"/>
          <w:sz w:val="22"/>
          <w:szCs w:val="24"/>
        </w:rPr>
        <w:t>I</w:t>
      </w:r>
      <w:r w:rsidR="00E07352" w:rsidRPr="00EF4E76">
        <w:rPr>
          <w:rFonts w:cs="Arial"/>
          <w:sz w:val="22"/>
          <w:szCs w:val="24"/>
        </w:rPr>
        <w:t xml:space="preserve">t has </w:t>
      </w:r>
      <w:r w:rsidR="00E83F10" w:rsidRPr="00EF4E76">
        <w:rPr>
          <w:rFonts w:cs="Arial"/>
          <w:sz w:val="22"/>
          <w:szCs w:val="24"/>
        </w:rPr>
        <w:t>the necessary space, resources</w:t>
      </w:r>
      <w:r w:rsidR="00124300" w:rsidRPr="00EF4E76">
        <w:rPr>
          <w:rFonts w:cs="Arial"/>
          <w:sz w:val="22"/>
          <w:szCs w:val="24"/>
        </w:rPr>
        <w:t xml:space="preserve">, </w:t>
      </w:r>
      <w:proofErr w:type="gramStart"/>
      <w:r w:rsidR="00E83F10" w:rsidRPr="00EF4E76">
        <w:rPr>
          <w:rFonts w:cs="Arial"/>
          <w:sz w:val="22"/>
          <w:szCs w:val="24"/>
        </w:rPr>
        <w:t>facilities</w:t>
      </w:r>
      <w:proofErr w:type="gramEnd"/>
      <w:r w:rsidR="007A0783" w:rsidRPr="00EF4E76">
        <w:rPr>
          <w:rFonts w:cs="Arial"/>
          <w:sz w:val="22"/>
          <w:szCs w:val="24"/>
        </w:rPr>
        <w:t xml:space="preserve"> </w:t>
      </w:r>
      <w:r w:rsidR="00124300" w:rsidRPr="00EF4E76">
        <w:rPr>
          <w:rFonts w:cs="Arial"/>
          <w:sz w:val="22"/>
          <w:szCs w:val="24"/>
        </w:rPr>
        <w:t xml:space="preserve">and research environment </w:t>
      </w:r>
      <w:r w:rsidR="002A6A11" w:rsidRPr="00EF4E76">
        <w:rPr>
          <w:rFonts w:cs="Arial"/>
          <w:sz w:val="22"/>
          <w:szCs w:val="24"/>
        </w:rPr>
        <w:t xml:space="preserve">to support the </w:t>
      </w:r>
      <w:r w:rsidR="00483934" w:rsidRPr="00EF4E76">
        <w:rPr>
          <w:rFonts w:cs="Arial"/>
          <w:sz w:val="22"/>
          <w:szCs w:val="24"/>
        </w:rPr>
        <w:t>applicant for the duration of the program</w:t>
      </w:r>
      <w:r w:rsidR="00796CEF" w:rsidRPr="00EF4E76">
        <w:rPr>
          <w:rFonts w:cs="Arial"/>
          <w:sz w:val="22"/>
          <w:szCs w:val="24"/>
        </w:rPr>
        <w:t>,</w:t>
      </w:r>
      <w:r w:rsidR="007A0783" w:rsidRPr="00EF4E76">
        <w:rPr>
          <w:rFonts w:cs="Arial"/>
          <w:sz w:val="22"/>
          <w:szCs w:val="24"/>
        </w:rPr>
        <w:t xml:space="preserve"> </w:t>
      </w:r>
      <w:r w:rsidR="00CA31AF" w:rsidRPr="00EF4E76">
        <w:rPr>
          <w:rFonts w:cs="Arial"/>
          <w:sz w:val="22"/>
          <w:szCs w:val="24"/>
        </w:rPr>
        <w:t xml:space="preserve">in accordance with the </w:t>
      </w:r>
      <w:r w:rsidR="00335724" w:rsidRPr="00EF4E76">
        <w:rPr>
          <w:rFonts w:cs="Arial"/>
          <w:i/>
          <w:iCs/>
          <w:sz w:val="22"/>
          <w:szCs w:val="24"/>
        </w:rPr>
        <w:t xml:space="preserve">HDR Minimum Standard of Resources, Facilities </w:t>
      </w:r>
      <w:r w:rsidR="00335724" w:rsidRPr="00EF4E76">
        <w:rPr>
          <w:rFonts w:cs="Arial"/>
          <w:sz w:val="22"/>
          <w:szCs w:val="24"/>
        </w:rPr>
        <w:t>and</w:t>
      </w:r>
      <w:r w:rsidR="00335724" w:rsidRPr="00EF4E76">
        <w:rPr>
          <w:rFonts w:cs="Arial"/>
          <w:i/>
          <w:iCs/>
          <w:sz w:val="22"/>
          <w:szCs w:val="24"/>
        </w:rPr>
        <w:t xml:space="preserve"> Other Support</w:t>
      </w:r>
      <w:r w:rsidR="00775285" w:rsidRPr="00EF4E76">
        <w:rPr>
          <w:rFonts w:cs="Arial"/>
          <w:i/>
          <w:iCs/>
          <w:sz w:val="22"/>
          <w:szCs w:val="24"/>
        </w:rPr>
        <w:t xml:space="preserve"> Guideline</w:t>
      </w:r>
      <w:r w:rsidR="00E83F10" w:rsidRPr="00EF4E76">
        <w:rPr>
          <w:rFonts w:cs="Arial"/>
          <w:sz w:val="22"/>
          <w:szCs w:val="24"/>
        </w:rPr>
        <w:t xml:space="preserve">; </w:t>
      </w:r>
      <w:r w:rsidRPr="00EF4E76">
        <w:rPr>
          <w:rFonts w:cs="Arial"/>
          <w:sz w:val="22"/>
          <w:szCs w:val="24"/>
        </w:rPr>
        <w:t>and</w:t>
      </w:r>
    </w:p>
    <w:p w14:paraId="602699D3" w14:textId="56F2204E" w:rsidR="00D22A0F" w:rsidRPr="00EF4E76" w:rsidRDefault="00277504" w:rsidP="009004DD">
      <w:pPr>
        <w:pStyle w:val="ListParagraph"/>
        <w:numPr>
          <w:ilvl w:val="0"/>
          <w:numId w:val="6"/>
        </w:numPr>
        <w:spacing w:before="120" w:after="120" w:line="240" w:lineRule="auto"/>
        <w:ind w:left="1134" w:hanging="283"/>
        <w:rPr>
          <w:rFonts w:cs="Arial"/>
          <w:sz w:val="22"/>
          <w:szCs w:val="24"/>
        </w:rPr>
      </w:pPr>
      <w:r w:rsidRPr="00EF4E76">
        <w:rPr>
          <w:rFonts w:cs="Arial"/>
          <w:sz w:val="22"/>
          <w:szCs w:val="24"/>
        </w:rPr>
        <w:t>I</w:t>
      </w:r>
      <w:r w:rsidR="00796CEF" w:rsidRPr="00EF4E76">
        <w:rPr>
          <w:rFonts w:cs="Arial"/>
          <w:sz w:val="22"/>
          <w:szCs w:val="24"/>
        </w:rPr>
        <w:t xml:space="preserve">t has the capacity to </w:t>
      </w:r>
      <w:r w:rsidR="00483934" w:rsidRPr="00EF4E76">
        <w:rPr>
          <w:rFonts w:cs="Arial"/>
          <w:sz w:val="22"/>
          <w:szCs w:val="24"/>
        </w:rPr>
        <w:t xml:space="preserve">provide adequate supervision for the duration of the </w:t>
      </w:r>
      <w:r w:rsidR="00012226" w:rsidRPr="00EF4E76">
        <w:rPr>
          <w:rFonts w:cs="Arial"/>
          <w:sz w:val="22"/>
          <w:szCs w:val="24"/>
        </w:rPr>
        <w:t>progra</w:t>
      </w:r>
      <w:r w:rsidR="00635133" w:rsidRPr="00EF4E76">
        <w:rPr>
          <w:rFonts w:cs="Arial"/>
          <w:sz w:val="22"/>
          <w:szCs w:val="24"/>
        </w:rPr>
        <w:t>m</w:t>
      </w:r>
      <w:r w:rsidR="00531754" w:rsidRPr="00EF4E76">
        <w:rPr>
          <w:rFonts w:cs="Arial"/>
          <w:sz w:val="22"/>
          <w:szCs w:val="24"/>
        </w:rPr>
        <w:t xml:space="preserve">, </w:t>
      </w:r>
      <w:r w:rsidR="00635133" w:rsidRPr="00EF4E76">
        <w:rPr>
          <w:rFonts w:cs="Arial"/>
          <w:sz w:val="22"/>
          <w:szCs w:val="24"/>
        </w:rPr>
        <w:t xml:space="preserve">in accordance with the </w:t>
      </w:r>
      <w:r w:rsidR="00635133" w:rsidRPr="00EF4E76">
        <w:rPr>
          <w:rFonts w:cs="Arial"/>
          <w:i/>
          <w:iCs/>
          <w:sz w:val="22"/>
          <w:szCs w:val="24"/>
        </w:rPr>
        <w:t>H</w:t>
      </w:r>
      <w:r w:rsidR="00C32636" w:rsidRPr="00EF4E76">
        <w:rPr>
          <w:rFonts w:cs="Arial"/>
          <w:i/>
          <w:iCs/>
          <w:sz w:val="22"/>
          <w:szCs w:val="24"/>
        </w:rPr>
        <w:t>igher Degree by Research</w:t>
      </w:r>
      <w:r w:rsidR="00635133" w:rsidRPr="00EF4E76">
        <w:rPr>
          <w:rFonts w:cs="Arial"/>
          <w:i/>
          <w:iCs/>
          <w:sz w:val="22"/>
          <w:szCs w:val="24"/>
        </w:rPr>
        <w:t xml:space="preserve"> Supervision Procedur</w:t>
      </w:r>
      <w:r w:rsidR="00531754" w:rsidRPr="00EF4E76">
        <w:rPr>
          <w:rFonts w:cs="Arial"/>
          <w:i/>
          <w:iCs/>
          <w:sz w:val="22"/>
          <w:szCs w:val="24"/>
        </w:rPr>
        <w:t>e</w:t>
      </w:r>
      <w:r w:rsidR="00531754" w:rsidRPr="00EF4E76">
        <w:rPr>
          <w:rFonts w:cs="Arial"/>
          <w:sz w:val="22"/>
          <w:szCs w:val="24"/>
        </w:rPr>
        <w:t xml:space="preserve"> and the </w:t>
      </w:r>
      <w:r w:rsidR="00531754" w:rsidRPr="00EF4E76">
        <w:rPr>
          <w:rFonts w:cs="Arial"/>
          <w:i/>
          <w:iCs/>
          <w:sz w:val="22"/>
          <w:szCs w:val="24"/>
        </w:rPr>
        <w:t>Code of Practice for the Supervision of HDR Candidates</w:t>
      </w:r>
      <w:r w:rsidR="00531754" w:rsidRPr="00EF4E76">
        <w:rPr>
          <w:rFonts w:cs="Arial"/>
          <w:sz w:val="22"/>
          <w:szCs w:val="24"/>
        </w:rPr>
        <w:t xml:space="preserve">. </w:t>
      </w:r>
    </w:p>
    <w:p w14:paraId="1AEF3CEF" w14:textId="3D57DD28" w:rsidR="00D66D68" w:rsidRPr="00EF4E76" w:rsidRDefault="00D66D68" w:rsidP="009004DD">
      <w:pPr>
        <w:pStyle w:val="Heading4"/>
        <w:tabs>
          <w:tab w:val="clear" w:pos="1843"/>
        </w:tabs>
        <w:spacing w:before="120"/>
        <w:ind w:left="851"/>
        <w:rPr>
          <w:b/>
          <w:bCs w:val="0"/>
        </w:rPr>
      </w:pPr>
      <w:r w:rsidRPr="00EF4E76">
        <w:rPr>
          <w:b/>
          <w:bCs w:val="0"/>
        </w:rPr>
        <w:t>3.5.3</w:t>
      </w:r>
    </w:p>
    <w:p w14:paraId="6F1FF20A" w14:textId="7D069A08" w:rsidR="0029064B" w:rsidRPr="00EF4E76" w:rsidRDefault="00BB6325" w:rsidP="009004DD">
      <w:pPr>
        <w:spacing w:before="120" w:after="120" w:line="240" w:lineRule="auto"/>
        <w:ind w:left="851"/>
        <w:rPr>
          <w:rFonts w:cs="Arial"/>
          <w:b/>
          <w:sz w:val="22"/>
          <w:szCs w:val="24"/>
        </w:rPr>
      </w:pPr>
      <w:r w:rsidRPr="00EF4E76">
        <w:rPr>
          <w:rFonts w:cs="Arial"/>
          <w:sz w:val="22"/>
          <w:szCs w:val="24"/>
        </w:rPr>
        <w:t xml:space="preserve">In </w:t>
      </w:r>
      <w:r w:rsidRPr="00EF4E76">
        <w:rPr>
          <w:rFonts w:cs="Arial"/>
          <w:sz w:val="22"/>
          <w:szCs w:val="24"/>
          <w:lang w:eastAsia="en-GB"/>
        </w:rPr>
        <w:t>making</w:t>
      </w:r>
      <w:r w:rsidRPr="00EF4E76">
        <w:rPr>
          <w:rFonts w:cs="Arial"/>
          <w:sz w:val="22"/>
          <w:szCs w:val="24"/>
        </w:rPr>
        <w:t xml:space="preserve"> an offer of admission to </w:t>
      </w:r>
      <w:r w:rsidR="009641DA" w:rsidRPr="00EF4E76">
        <w:rPr>
          <w:rFonts w:cs="Arial"/>
          <w:sz w:val="22"/>
          <w:szCs w:val="24"/>
        </w:rPr>
        <w:t>an applicant for an HDR program, the decision-maker confirms</w:t>
      </w:r>
      <w:r w:rsidR="00C65392" w:rsidRPr="00EF4E76">
        <w:rPr>
          <w:rFonts w:cs="Arial"/>
          <w:sz w:val="22"/>
          <w:szCs w:val="24"/>
        </w:rPr>
        <w:t xml:space="preserve"> that</w:t>
      </w:r>
      <w:r w:rsidR="00B83D14" w:rsidRPr="00EF4E76">
        <w:rPr>
          <w:rFonts w:cs="Arial"/>
          <w:sz w:val="22"/>
          <w:szCs w:val="24"/>
        </w:rPr>
        <w:t xml:space="preserve"> </w:t>
      </w:r>
      <w:r w:rsidR="00495374" w:rsidRPr="00EF4E76">
        <w:rPr>
          <w:rFonts w:cs="Arial"/>
          <w:sz w:val="22"/>
          <w:szCs w:val="24"/>
        </w:rPr>
        <w:t xml:space="preserve">the proposed research </w:t>
      </w:r>
      <w:r w:rsidR="00D22A0F" w:rsidRPr="00EF4E76">
        <w:rPr>
          <w:rFonts w:cs="Arial"/>
          <w:sz w:val="22"/>
          <w:szCs w:val="24"/>
        </w:rPr>
        <w:t xml:space="preserve">will not expose the University to a risk of contravening any law, including any international embargoes, sanctions or controls and will not place the University at an unacceptable risk of non-compliance with the </w:t>
      </w:r>
      <w:hyperlink r:id="rId14" w:history="1">
        <w:r w:rsidR="00D22A0F" w:rsidRPr="00EF4E76">
          <w:rPr>
            <w:rFonts w:cs="Arial"/>
            <w:i/>
            <w:sz w:val="22"/>
            <w:szCs w:val="24"/>
          </w:rPr>
          <w:t>G</w:t>
        </w:r>
        <w:r w:rsidR="00D22A0F" w:rsidRPr="00EF4E76">
          <w:rPr>
            <w:rFonts w:cs="Arial"/>
            <w:i/>
            <w:iCs/>
            <w:sz w:val="22"/>
            <w:szCs w:val="24"/>
          </w:rPr>
          <w:t>uidelines to Counter Foreign Interference in the Australian University Sector</w:t>
        </w:r>
      </w:hyperlink>
      <w:r w:rsidR="00FE2F6A" w:rsidRPr="00EF4E76">
        <w:rPr>
          <w:rFonts w:cs="Arial"/>
          <w:i/>
          <w:iCs/>
          <w:sz w:val="22"/>
          <w:szCs w:val="24"/>
        </w:rPr>
        <w:t xml:space="preserve">. </w:t>
      </w:r>
    </w:p>
    <w:p w14:paraId="3A4416B2" w14:textId="2D93936A" w:rsidR="00D66D68" w:rsidRPr="00EF4E76" w:rsidRDefault="00D66D68" w:rsidP="009004DD">
      <w:pPr>
        <w:pStyle w:val="Heading4"/>
        <w:tabs>
          <w:tab w:val="clear" w:pos="1843"/>
        </w:tabs>
        <w:spacing w:before="120"/>
        <w:ind w:left="851"/>
        <w:rPr>
          <w:b/>
          <w:bCs w:val="0"/>
        </w:rPr>
      </w:pPr>
      <w:r w:rsidRPr="00EF4E76">
        <w:rPr>
          <w:b/>
          <w:bCs w:val="0"/>
        </w:rPr>
        <w:t>3.5.4</w:t>
      </w:r>
    </w:p>
    <w:p w14:paraId="148622A3" w14:textId="67015C70" w:rsidR="003E6EE8" w:rsidRPr="00EF4E76" w:rsidRDefault="003E6EE8" w:rsidP="009004DD">
      <w:pPr>
        <w:spacing w:before="120" w:after="120" w:line="240" w:lineRule="auto"/>
        <w:ind w:left="851"/>
        <w:rPr>
          <w:rFonts w:cs="Arial"/>
          <w:sz w:val="22"/>
        </w:rPr>
      </w:pPr>
      <w:r w:rsidRPr="00EF4E76">
        <w:rPr>
          <w:rFonts w:cs="Arial"/>
          <w:sz w:val="22"/>
        </w:rPr>
        <w:t xml:space="preserve">Guidance for academic </w:t>
      </w:r>
      <w:r w:rsidR="00656AD5" w:rsidRPr="00EF4E76">
        <w:rPr>
          <w:rFonts w:cs="Arial"/>
          <w:sz w:val="22"/>
        </w:rPr>
        <w:t xml:space="preserve">decision-makers for the assessment of applications for admission is </w:t>
      </w:r>
      <w:r w:rsidR="00636ED4" w:rsidRPr="00EF4E76">
        <w:rPr>
          <w:rFonts w:cs="Arial"/>
          <w:sz w:val="22"/>
        </w:rPr>
        <w:t xml:space="preserve">set out on the </w:t>
      </w:r>
      <w:hyperlink r:id="rId15" w:history="1">
        <w:r w:rsidR="00636ED4" w:rsidRPr="00EF4E76">
          <w:rPr>
            <w:rStyle w:val="Hyperlink"/>
            <w:rFonts w:cs="Arial"/>
            <w:sz w:val="22"/>
          </w:rPr>
          <w:t xml:space="preserve">Guidelines for the assessment of </w:t>
        </w:r>
        <w:r w:rsidR="00636ED4" w:rsidRPr="00EF4E76">
          <w:rPr>
            <w:rStyle w:val="Hyperlink"/>
            <w:rFonts w:cs="Arial"/>
            <w:sz w:val="22"/>
          </w:rPr>
          <w:t>a</w:t>
        </w:r>
        <w:r w:rsidR="00636ED4" w:rsidRPr="00EF4E76">
          <w:rPr>
            <w:rStyle w:val="Hyperlink"/>
            <w:rFonts w:cs="Arial"/>
            <w:sz w:val="22"/>
          </w:rPr>
          <w:t>pplications for HDR admission and scholarship</w:t>
        </w:r>
      </w:hyperlink>
      <w:r w:rsidR="00636ED4" w:rsidRPr="00EF4E76">
        <w:rPr>
          <w:rFonts w:cs="Arial"/>
          <w:sz w:val="22"/>
        </w:rPr>
        <w:t xml:space="preserve"> webpage</w:t>
      </w:r>
      <w:r w:rsidR="00907E6E" w:rsidRPr="00EF4E76">
        <w:rPr>
          <w:rFonts w:cs="Arial"/>
          <w:sz w:val="22"/>
        </w:rPr>
        <w:t xml:space="preserve"> (staff access)</w:t>
      </w:r>
      <w:r w:rsidR="00636ED4" w:rsidRPr="00EF4E76">
        <w:rPr>
          <w:rFonts w:cs="Arial"/>
          <w:sz w:val="22"/>
        </w:rPr>
        <w:t xml:space="preserve">. </w:t>
      </w:r>
    </w:p>
    <w:p w14:paraId="561DE500" w14:textId="5C64DA80" w:rsidR="0034267D" w:rsidRPr="00EF4E76" w:rsidRDefault="005E633A" w:rsidP="009004DD">
      <w:pPr>
        <w:pStyle w:val="Heading3"/>
        <w:spacing w:before="120" w:after="120"/>
        <w:ind w:left="567" w:firstLine="0"/>
        <w:rPr>
          <w:rFonts w:cs="Arial"/>
          <w:b/>
          <w:bCs/>
          <w:sz w:val="28"/>
          <w:szCs w:val="28"/>
        </w:rPr>
      </w:pPr>
      <w:bookmarkStart w:id="31" w:name="_Prior_Higher_Degree_1"/>
      <w:bookmarkStart w:id="32" w:name="_Credit_for_Coursework"/>
      <w:bookmarkStart w:id="33" w:name="_Admission_and_Readmission"/>
      <w:bookmarkStart w:id="34" w:name="_Ref20320710"/>
      <w:bookmarkEnd w:id="31"/>
      <w:bookmarkEnd w:id="32"/>
      <w:bookmarkEnd w:id="33"/>
      <w:r w:rsidRPr="00EF4E76">
        <w:rPr>
          <w:rFonts w:cs="Arial"/>
          <w:b/>
          <w:bCs/>
          <w:sz w:val="28"/>
          <w:szCs w:val="28"/>
        </w:rPr>
        <w:t xml:space="preserve">3.6 </w:t>
      </w:r>
      <w:r w:rsidR="00C73C20" w:rsidRPr="00EF4E76">
        <w:rPr>
          <w:rFonts w:cs="Arial"/>
          <w:b/>
          <w:bCs/>
          <w:sz w:val="28"/>
          <w:szCs w:val="28"/>
        </w:rPr>
        <w:t>Admission and Readmission Procedures</w:t>
      </w:r>
    </w:p>
    <w:p w14:paraId="512D5A95" w14:textId="38964A98" w:rsidR="00D66D68" w:rsidRPr="00EF4E76" w:rsidRDefault="00D66D68" w:rsidP="009004DD">
      <w:pPr>
        <w:pStyle w:val="Heading4"/>
        <w:tabs>
          <w:tab w:val="clear" w:pos="1843"/>
        </w:tabs>
        <w:spacing w:before="120"/>
        <w:ind w:left="851"/>
        <w:rPr>
          <w:b/>
          <w:bCs w:val="0"/>
        </w:rPr>
      </w:pPr>
      <w:r w:rsidRPr="00EF4E76">
        <w:rPr>
          <w:b/>
          <w:bCs w:val="0"/>
        </w:rPr>
        <w:t>3.6.1</w:t>
      </w:r>
    </w:p>
    <w:p w14:paraId="56FA7C32" w14:textId="068C588A" w:rsidR="006408D2" w:rsidRPr="00EF4E76" w:rsidRDefault="006408D2" w:rsidP="009004DD">
      <w:pPr>
        <w:spacing w:before="120" w:after="120" w:line="240" w:lineRule="auto"/>
        <w:ind w:left="851"/>
        <w:rPr>
          <w:rFonts w:cs="Arial"/>
        </w:rPr>
      </w:pPr>
      <w:r w:rsidRPr="00EF4E76">
        <w:rPr>
          <w:rFonts w:cs="Arial"/>
          <w:sz w:val="22"/>
          <w:szCs w:val="24"/>
        </w:rPr>
        <w:t xml:space="preserve">In </w:t>
      </w:r>
      <w:r w:rsidRPr="00EF4E76">
        <w:rPr>
          <w:rFonts w:cs="Arial"/>
          <w:sz w:val="22"/>
        </w:rPr>
        <w:t>making</w:t>
      </w:r>
      <w:r w:rsidRPr="00EF4E76">
        <w:rPr>
          <w:rFonts w:cs="Arial"/>
          <w:sz w:val="22"/>
          <w:szCs w:val="24"/>
        </w:rPr>
        <w:t xml:space="preserve"> an application for admission to an HDR program, </w:t>
      </w:r>
      <w:r w:rsidR="00414355" w:rsidRPr="00EF4E76">
        <w:rPr>
          <w:rFonts w:cs="Arial"/>
          <w:sz w:val="22"/>
          <w:szCs w:val="24"/>
        </w:rPr>
        <w:t xml:space="preserve">an applicant must </w:t>
      </w:r>
      <w:r w:rsidR="00945B0D" w:rsidRPr="00EF4E76">
        <w:rPr>
          <w:rFonts w:cs="Arial"/>
          <w:sz w:val="22"/>
          <w:szCs w:val="24"/>
        </w:rPr>
        <w:t>declar</w:t>
      </w:r>
      <w:r w:rsidR="00593D7B" w:rsidRPr="00EF4E76">
        <w:rPr>
          <w:rFonts w:cs="Arial"/>
          <w:sz w:val="22"/>
          <w:szCs w:val="24"/>
        </w:rPr>
        <w:t>e</w:t>
      </w:r>
      <w:r w:rsidR="00AC3685" w:rsidRPr="00EF4E76">
        <w:rPr>
          <w:rFonts w:cs="Arial"/>
          <w:sz w:val="22"/>
          <w:szCs w:val="24"/>
        </w:rPr>
        <w:t xml:space="preserve"> that all information provided is true and correct. </w:t>
      </w:r>
    </w:p>
    <w:p w14:paraId="0E8F74F1" w14:textId="2283F075" w:rsidR="00D66D68" w:rsidRPr="00EF4E76" w:rsidRDefault="00D66D68" w:rsidP="009004DD">
      <w:pPr>
        <w:pStyle w:val="Heading4"/>
        <w:tabs>
          <w:tab w:val="clear" w:pos="1843"/>
        </w:tabs>
        <w:spacing w:before="120"/>
        <w:ind w:left="851"/>
        <w:rPr>
          <w:b/>
          <w:bCs w:val="0"/>
        </w:rPr>
      </w:pPr>
      <w:r w:rsidRPr="00EF4E76">
        <w:rPr>
          <w:b/>
          <w:bCs w:val="0"/>
        </w:rPr>
        <w:t>3.6.2</w:t>
      </w:r>
    </w:p>
    <w:p w14:paraId="4E3BBA01" w14:textId="53F8E5A9" w:rsidR="00414355" w:rsidRPr="00EF4E76" w:rsidRDefault="00AC3685" w:rsidP="009004DD">
      <w:pPr>
        <w:spacing w:before="120" w:after="120" w:line="240" w:lineRule="auto"/>
        <w:ind w:left="851"/>
        <w:rPr>
          <w:rFonts w:cs="Arial"/>
          <w:sz w:val="22"/>
          <w:szCs w:val="24"/>
        </w:rPr>
      </w:pPr>
      <w:r w:rsidRPr="00EF4E76">
        <w:rPr>
          <w:rFonts w:cs="Arial"/>
          <w:sz w:val="22"/>
          <w:szCs w:val="24"/>
        </w:rPr>
        <w:t xml:space="preserve">Admission </w:t>
      </w:r>
      <w:r w:rsidR="001310CF" w:rsidRPr="00EF4E76">
        <w:rPr>
          <w:rFonts w:cs="Arial"/>
          <w:sz w:val="22"/>
        </w:rPr>
        <w:t>applications</w:t>
      </w:r>
      <w:r w:rsidR="001310CF" w:rsidRPr="00EF4E76">
        <w:rPr>
          <w:rFonts w:cs="Arial"/>
          <w:sz w:val="22"/>
          <w:szCs w:val="24"/>
        </w:rPr>
        <w:t xml:space="preserve"> or </w:t>
      </w:r>
      <w:r w:rsidRPr="00EF4E76">
        <w:rPr>
          <w:rFonts w:cs="Arial"/>
          <w:sz w:val="22"/>
          <w:szCs w:val="24"/>
        </w:rPr>
        <w:t>offers may be withdrawn</w:t>
      </w:r>
      <w:r w:rsidR="006408D2" w:rsidRPr="00EF4E76">
        <w:rPr>
          <w:rFonts w:cs="Arial"/>
          <w:sz w:val="22"/>
          <w:szCs w:val="24"/>
        </w:rPr>
        <w:t>:</w:t>
      </w:r>
      <w:r w:rsidRPr="00EF4E76">
        <w:rPr>
          <w:rFonts w:cs="Arial"/>
          <w:sz w:val="22"/>
          <w:szCs w:val="24"/>
        </w:rPr>
        <w:t xml:space="preserve"> </w:t>
      </w:r>
    </w:p>
    <w:p w14:paraId="62ABB004" w14:textId="39879514" w:rsidR="00414355" w:rsidRPr="00EF4E76" w:rsidRDefault="00D21031" w:rsidP="009004DD">
      <w:pPr>
        <w:pStyle w:val="ListParagraph"/>
        <w:numPr>
          <w:ilvl w:val="0"/>
          <w:numId w:val="6"/>
        </w:numPr>
        <w:spacing w:before="120" w:after="120" w:line="240" w:lineRule="auto"/>
        <w:ind w:left="1134" w:hanging="283"/>
        <w:rPr>
          <w:rFonts w:cs="Arial"/>
          <w:sz w:val="22"/>
          <w:szCs w:val="24"/>
        </w:rPr>
      </w:pPr>
      <w:r w:rsidRPr="00EF4E76">
        <w:rPr>
          <w:rFonts w:cs="Arial"/>
          <w:sz w:val="22"/>
          <w:szCs w:val="24"/>
        </w:rPr>
        <w:t>I</w:t>
      </w:r>
      <w:r w:rsidR="00AC3685" w:rsidRPr="00EF4E76">
        <w:rPr>
          <w:rFonts w:cs="Arial"/>
          <w:sz w:val="22"/>
          <w:szCs w:val="24"/>
        </w:rPr>
        <w:t>f</w:t>
      </w:r>
      <w:r w:rsidR="0034267D" w:rsidRPr="00EF4E76">
        <w:rPr>
          <w:rFonts w:cs="Arial"/>
          <w:sz w:val="22"/>
          <w:szCs w:val="24"/>
        </w:rPr>
        <w:t xml:space="preserve"> it is determined that </w:t>
      </w:r>
      <w:r w:rsidR="00996C03" w:rsidRPr="00EF4E76">
        <w:rPr>
          <w:rFonts w:cs="Arial"/>
          <w:sz w:val="22"/>
          <w:szCs w:val="24"/>
        </w:rPr>
        <w:t>application included</w:t>
      </w:r>
      <w:r w:rsidR="0034267D" w:rsidRPr="00EF4E76">
        <w:rPr>
          <w:rFonts w:cs="Arial"/>
          <w:sz w:val="22"/>
          <w:szCs w:val="24"/>
        </w:rPr>
        <w:t xml:space="preserve"> inaccurate, incomplete, fraudulent, or misleading </w:t>
      </w:r>
      <w:proofErr w:type="gramStart"/>
      <w:r w:rsidR="0034267D" w:rsidRPr="00EF4E76">
        <w:rPr>
          <w:rFonts w:cs="Arial"/>
          <w:sz w:val="22"/>
          <w:szCs w:val="24"/>
        </w:rPr>
        <w:t>information</w:t>
      </w:r>
      <w:r w:rsidRPr="00EF4E76">
        <w:rPr>
          <w:rFonts w:cs="Arial"/>
          <w:sz w:val="22"/>
          <w:szCs w:val="24"/>
        </w:rPr>
        <w:t>;</w:t>
      </w:r>
      <w:proofErr w:type="gramEnd"/>
    </w:p>
    <w:p w14:paraId="25996FFF" w14:textId="3A7AA41A" w:rsidR="009C68AE" w:rsidRPr="00EF4E76" w:rsidRDefault="00D21031" w:rsidP="009004DD">
      <w:pPr>
        <w:pStyle w:val="ListParagraph"/>
        <w:numPr>
          <w:ilvl w:val="0"/>
          <w:numId w:val="6"/>
        </w:numPr>
        <w:spacing w:before="120" w:after="120" w:line="240" w:lineRule="auto"/>
        <w:ind w:left="1134" w:hanging="283"/>
        <w:rPr>
          <w:rFonts w:cs="Arial"/>
          <w:sz w:val="22"/>
          <w:szCs w:val="24"/>
        </w:rPr>
      </w:pPr>
      <w:r w:rsidRPr="00EF4E76">
        <w:rPr>
          <w:rFonts w:cs="Arial"/>
          <w:sz w:val="22"/>
          <w:szCs w:val="24"/>
        </w:rPr>
        <w:t>W</w:t>
      </w:r>
      <w:r w:rsidR="00373710" w:rsidRPr="00EF4E76">
        <w:rPr>
          <w:rFonts w:cs="Arial"/>
          <w:sz w:val="22"/>
          <w:szCs w:val="24"/>
        </w:rPr>
        <w:t xml:space="preserve">here an applicant </w:t>
      </w:r>
      <w:r w:rsidR="0066784F" w:rsidRPr="00EF4E76">
        <w:rPr>
          <w:rFonts w:cs="Arial"/>
          <w:sz w:val="22"/>
          <w:szCs w:val="24"/>
        </w:rPr>
        <w:t>is exclude</w:t>
      </w:r>
      <w:r w:rsidR="009C68AE" w:rsidRPr="00EF4E76">
        <w:rPr>
          <w:rFonts w:cs="Arial"/>
          <w:sz w:val="22"/>
          <w:szCs w:val="24"/>
        </w:rPr>
        <w:t>d from any higher education institution or higher education program at any time</w:t>
      </w:r>
      <w:r w:rsidRPr="00EF4E76">
        <w:rPr>
          <w:rFonts w:cs="Arial"/>
          <w:sz w:val="22"/>
          <w:szCs w:val="24"/>
        </w:rPr>
        <w:t>;</w:t>
      </w:r>
      <w:r w:rsidR="009C68AE" w:rsidRPr="00EF4E76">
        <w:rPr>
          <w:rFonts w:cs="Arial"/>
          <w:sz w:val="22"/>
          <w:szCs w:val="24"/>
        </w:rPr>
        <w:t xml:space="preserve"> or</w:t>
      </w:r>
    </w:p>
    <w:p w14:paraId="7008C2AF" w14:textId="6D6691D9" w:rsidR="00593D7B" w:rsidRPr="00EF4E76" w:rsidRDefault="00D21031" w:rsidP="009004DD">
      <w:pPr>
        <w:pStyle w:val="ListParagraph"/>
        <w:numPr>
          <w:ilvl w:val="0"/>
          <w:numId w:val="6"/>
        </w:numPr>
        <w:spacing w:before="120" w:after="120" w:line="240" w:lineRule="auto"/>
        <w:ind w:left="1134" w:hanging="283"/>
        <w:rPr>
          <w:rFonts w:cs="Arial"/>
          <w:sz w:val="22"/>
          <w:szCs w:val="24"/>
        </w:rPr>
      </w:pPr>
      <w:r w:rsidRPr="00EF4E76">
        <w:rPr>
          <w:rFonts w:cs="Arial"/>
          <w:sz w:val="22"/>
          <w:szCs w:val="24"/>
        </w:rPr>
        <w:t>W</w:t>
      </w:r>
      <w:r w:rsidR="009C68AE" w:rsidRPr="00EF4E76">
        <w:rPr>
          <w:rFonts w:cs="Arial"/>
          <w:sz w:val="22"/>
          <w:szCs w:val="24"/>
        </w:rPr>
        <w:t xml:space="preserve">here an international </w:t>
      </w:r>
      <w:r w:rsidR="00711BA8" w:rsidRPr="00EF4E76">
        <w:rPr>
          <w:rFonts w:cs="Arial"/>
          <w:sz w:val="22"/>
          <w:szCs w:val="24"/>
        </w:rPr>
        <w:t>applicant</w:t>
      </w:r>
      <w:r w:rsidR="009C68AE" w:rsidRPr="00EF4E76">
        <w:rPr>
          <w:rFonts w:cs="Arial"/>
          <w:sz w:val="22"/>
          <w:szCs w:val="24"/>
        </w:rPr>
        <w:t xml:space="preserve"> is identified as not being a Genuine Temporary Entrant or a Genuine Student as defined by the Department of Home Affairs. </w:t>
      </w:r>
    </w:p>
    <w:p w14:paraId="72552B29" w14:textId="77777777" w:rsidR="007309B8" w:rsidRPr="00EF4E76" w:rsidRDefault="002153D4" w:rsidP="009004DD">
      <w:pPr>
        <w:spacing w:before="120" w:after="120" w:line="240" w:lineRule="auto"/>
        <w:ind w:left="851"/>
        <w:rPr>
          <w:rFonts w:cs="Arial"/>
        </w:rPr>
      </w:pPr>
      <w:r w:rsidRPr="00EF4E76">
        <w:rPr>
          <w:rFonts w:cs="Arial"/>
          <w:sz w:val="22"/>
          <w:szCs w:val="24"/>
        </w:rPr>
        <w:t xml:space="preserve">In </w:t>
      </w:r>
      <w:r w:rsidR="009D3766" w:rsidRPr="00EF4E76">
        <w:rPr>
          <w:rFonts w:cs="Arial"/>
          <w:sz w:val="22"/>
          <w:szCs w:val="24"/>
        </w:rPr>
        <w:t xml:space="preserve">such circumstances, </w:t>
      </w:r>
      <w:r w:rsidR="009F280D" w:rsidRPr="00EF4E76">
        <w:rPr>
          <w:rFonts w:cs="Arial"/>
          <w:sz w:val="22"/>
          <w:szCs w:val="24"/>
        </w:rPr>
        <w:t>the person will not be eligible to apply for admission to the University for a period of two years</w:t>
      </w:r>
      <w:r w:rsidR="003D1D6D" w:rsidRPr="00EF4E76">
        <w:rPr>
          <w:rFonts w:cs="Arial"/>
          <w:sz w:val="22"/>
          <w:szCs w:val="24"/>
        </w:rPr>
        <w:t xml:space="preserve">, </w:t>
      </w:r>
      <w:proofErr w:type="gramStart"/>
      <w:r w:rsidR="003D1D6D" w:rsidRPr="00EF4E76">
        <w:rPr>
          <w:rFonts w:cs="Arial"/>
          <w:sz w:val="22"/>
          <w:szCs w:val="24"/>
        </w:rPr>
        <w:t>with the exception of</w:t>
      </w:r>
      <w:proofErr w:type="gramEnd"/>
      <w:r w:rsidR="003D1D6D" w:rsidRPr="00EF4E76">
        <w:rPr>
          <w:rFonts w:cs="Arial"/>
          <w:sz w:val="22"/>
          <w:szCs w:val="24"/>
        </w:rPr>
        <w:t xml:space="preserve"> a person who provides fraudulent information who will not be eligible to apply for admission to the University. </w:t>
      </w:r>
    </w:p>
    <w:p w14:paraId="1D132ADB" w14:textId="652A73C5" w:rsidR="00D66D68" w:rsidRPr="00EF4E76" w:rsidRDefault="00D66D68" w:rsidP="009004DD">
      <w:pPr>
        <w:pStyle w:val="Heading4"/>
        <w:tabs>
          <w:tab w:val="clear" w:pos="1843"/>
        </w:tabs>
        <w:spacing w:before="120"/>
        <w:ind w:left="851"/>
        <w:rPr>
          <w:b/>
          <w:bCs w:val="0"/>
        </w:rPr>
      </w:pPr>
      <w:r w:rsidRPr="00EF4E76">
        <w:rPr>
          <w:b/>
          <w:bCs w:val="0"/>
        </w:rPr>
        <w:t>3.6.3</w:t>
      </w:r>
    </w:p>
    <w:p w14:paraId="104964E8" w14:textId="54C30F84" w:rsidR="00A62DE0" w:rsidRPr="00EF4E76" w:rsidRDefault="002E6E33" w:rsidP="009004DD">
      <w:pPr>
        <w:spacing w:before="120" w:after="120" w:line="240" w:lineRule="auto"/>
        <w:ind w:left="851"/>
        <w:rPr>
          <w:rFonts w:cs="Arial"/>
        </w:rPr>
      </w:pPr>
      <w:r w:rsidRPr="00EF4E76">
        <w:rPr>
          <w:rFonts w:cs="Arial"/>
          <w:sz w:val="22"/>
          <w:szCs w:val="24"/>
        </w:rPr>
        <w:lastRenderedPageBreak/>
        <w:t>Applicants who have previously withdrawn from a</w:t>
      </w:r>
      <w:r w:rsidR="000E3AB6" w:rsidRPr="00EF4E76">
        <w:rPr>
          <w:rFonts w:cs="Arial"/>
          <w:sz w:val="22"/>
          <w:szCs w:val="24"/>
        </w:rPr>
        <w:t>n</w:t>
      </w:r>
      <w:r w:rsidRPr="00EF4E76">
        <w:rPr>
          <w:rFonts w:cs="Arial"/>
          <w:sz w:val="22"/>
          <w:szCs w:val="24"/>
        </w:rPr>
        <w:t xml:space="preserve"> HDR program at this institution will need to seek readmission to their program and follow admission policies and procedures applicable</w:t>
      </w:r>
      <w:r w:rsidR="001579A4" w:rsidRPr="00EF4E76">
        <w:rPr>
          <w:rFonts w:cs="Arial"/>
          <w:sz w:val="22"/>
          <w:szCs w:val="24"/>
        </w:rPr>
        <w:t xml:space="preserve"> at the time of application</w:t>
      </w:r>
      <w:r w:rsidRPr="00EF4E76">
        <w:rPr>
          <w:rFonts w:cs="Arial"/>
          <w:sz w:val="22"/>
          <w:szCs w:val="24"/>
        </w:rPr>
        <w:t>.</w:t>
      </w:r>
      <w:r w:rsidR="00EB3929" w:rsidRPr="00EF4E76">
        <w:rPr>
          <w:rFonts w:cs="Arial"/>
          <w:sz w:val="22"/>
          <w:szCs w:val="24"/>
        </w:rPr>
        <w:t xml:space="preserve"> </w:t>
      </w:r>
      <w:r w:rsidR="00D178BD" w:rsidRPr="00EF4E76">
        <w:rPr>
          <w:rFonts w:cs="Arial"/>
          <w:sz w:val="22"/>
          <w:szCs w:val="24"/>
        </w:rPr>
        <w:t>Refer</w:t>
      </w:r>
      <w:r w:rsidR="00132A0C" w:rsidRPr="00EF4E76">
        <w:rPr>
          <w:rFonts w:cs="Arial"/>
          <w:sz w:val="22"/>
          <w:szCs w:val="24"/>
        </w:rPr>
        <w:t xml:space="preserve"> also </w:t>
      </w:r>
      <w:r w:rsidR="00D178BD" w:rsidRPr="00EF4E76">
        <w:rPr>
          <w:rFonts w:cs="Arial"/>
          <w:sz w:val="22"/>
          <w:szCs w:val="24"/>
        </w:rPr>
        <w:t xml:space="preserve">to </w:t>
      </w:r>
      <w:r w:rsidR="00132A0C" w:rsidRPr="00EF4E76">
        <w:rPr>
          <w:rFonts w:cs="Arial"/>
          <w:sz w:val="22"/>
          <w:szCs w:val="24"/>
        </w:rPr>
        <w:t xml:space="preserve">section </w:t>
      </w:r>
      <w:r w:rsidR="00D90877" w:rsidRPr="00EF4E76">
        <w:rPr>
          <w:rFonts w:cs="Arial"/>
          <w:sz w:val="22"/>
          <w:szCs w:val="24"/>
        </w:rPr>
        <w:t xml:space="preserve">3.8 </w:t>
      </w:r>
      <w:r w:rsidR="00D178BD" w:rsidRPr="00EF4E76">
        <w:rPr>
          <w:rFonts w:cs="Arial"/>
          <w:sz w:val="22"/>
          <w:szCs w:val="24"/>
        </w:rPr>
        <w:t xml:space="preserve">of the </w:t>
      </w:r>
      <w:r w:rsidR="00D178BD" w:rsidRPr="00EF4E76">
        <w:rPr>
          <w:rFonts w:cs="Arial"/>
          <w:i/>
          <w:iCs/>
          <w:sz w:val="22"/>
          <w:szCs w:val="24"/>
        </w:rPr>
        <w:t>H</w:t>
      </w:r>
      <w:r w:rsidR="00F464DB" w:rsidRPr="00EF4E76">
        <w:rPr>
          <w:rFonts w:cs="Arial"/>
          <w:i/>
          <w:iCs/>
          <w:sz w:val="22"/>
          <w:szCs w:val="24"/>
        </w:rPr>
        <w:t>igher Degree by Research</w:t>
      </w:r>
      <w:r w:rsidR="00D178BD" w:rsidRPr="00EF4E76">
        <w:rPr>
          <w:rFonts w:cs="Arial"/>
          <w:i/>
          <w:iCs/>
          <w:sz w:val="22"/>
          <w:szCs w:val="24"/>
        </w:rPr>
        <w:t xml:space="preserve"> Enrolment and Variations to Candidature Procedure</w:t>
      </w:r>
      <w:r w:rsidR="00F52E44" w:rsidRPr="00EF4E76">
        <w:rPr>
          <w:rFonts w:cs="Arial"/>
          <w:i/>
          <w:iCs/>
          <w:sz w:val="22"/>
          <w:szCs w:val="24"/>
        </w:rPr>
        <w:t xml:space="preserve"> </w:t>
      </w:r>
      <w:r w:rsidR="00B26658" w:rsidRPr="00EF4E76">
        <w:rPr>
          <w:rFonts w:cs="Arial"/>
          <w:sz w:val="22"/>
          <w:szCs w:val="24"/>
        </w:rPr>
        <w:t>for further information on</w:t>
      </w:r>
      <w:r w:rsidR="00F52E44" w:rsidRPr="00EF4E76">
        <w:rPr>
          <w:rFonts w:cs="Arial"/>
          <w:sz w:val="22"/>
          <w:szCs w:val="24"/>
        </w:rPr>
        <w:t xml:space="preserve"> </w:t>
      </w:r>
      <w:r w:rsidR="006C68F1" w:rsidRPr="00EF4E76">
        <w:rPr>
          <w:rFonts w:cs="Arial"/>
          <w:sz w:val="22"/>
          <w:szCs w:val="24"/>
        </w:rPr>
        <w:t>withdraw</w:t>
      </w:r>
      <w:r w:rsidR="00B26658" w:rsidRPr="00EF4E76">
        <w:rPr>
          <w:rFonts w:cs="Arial"/>
          <w:sz w:val="22"/>
          <w:szCs w:val="24"/>
        </w:rPr>
        <w:t>al</w:t>
      </w:r>
      <w:r w:rsidR="006C68F1" w:rsidRPr="00EF4E76">
        <w:rPr>
          <w:rFonts w:cs="Arial"/>
          <w:sz w:val="22"/>
          <w:szCs w:val="24"/>
        </w:rPr>
        <w:t xml:space="preserve"> due to lapsed candidature</w:t>
      </w:r>
      <w:r w:rsidR="00D178BD" w:rsidRPr="00EF4E76">
        <w:rPr>
          <w:rFonts w:cs="Arial"/>
          <w:sz w:val="22"/>
          <w:szCs w:val="24"/>
        </w:rPr>
        <w:t>.</w:t>
      </w:r>
    </w:p>
    <w:p w14:paraId="10294A7E" w14:textId="4551A24B" w:rsidR="00D66D68" w:rsidRPr="00EF4E76" w:rsidRDefault="00D66D68" w:rsidP="009004DD">
      <w:pPr>
        <w:pStyle w:val="Heading4"/>
        <w:tabs>
          <w:tab w:val="clear" w:pos="1843"/>
        </w:tabs>
        <w:spacing w:before="120"/>
        <w:ind w:left="851"/>
        <w:rPr>
          <w:b/>
          <w:bCs w:val="0"/>
        </w:rPr>
      </w:pPr>
      <w:r w:rsidRPr="00EF4E76">
        <w:rPr>
          <w:b/>
          <w:bCs w:val="0"/>
        </w:rPr>
        <w:t xml:space="preserve">3.6.4 </w:t>
      </w:r>
    </w:p>
    <w:p w14:paraId="33480309" w14:textId="035FE037" w:rsidR="00A62DE0" w:rsidRPr="00EF4E76" w:rsidRDefault="002A08B9" w:rsidP="009004DD">
      <w:pPr>
        <w:spacing w:before="120" w:after="120" w:line="240" w:lineRule="auto"/>
        <w:ind w:left="851"/>
        <w:rPr>
          <w:rFonts w:cs="Arial"/>
          <w:sz w:val="22"/>
          <w:szCs w:val="24"/>
        </w:rPr>
      </w:pPr>
      <w:r w:rsidRPr="00EF4E76">
        <w:rPr>
          <w:rFonts w:cs="Arial"/>
          <w:sz w:val="22"/>
          <w:szCs w:val="24"/>
        </w:rPr>
        <w:t xml:space="preserve">Applicants </w:t>
      </w:r>
      <w:r w:rsidR="00865801" w:rsidRPr="00EF4E76">
        <w:rPr>
          <w:rFonts w:cs="Arial"/>
          <w:sz w:val="22"/>
          <w:szCs w:val="24"/>
        </w:rPr>
        <w:t xml:space="preserve">seeking readmission to a </w:t>
      </w:r>
      <w:r w:rsidR="00A62DE0" w:rsidRPr="00EF4E76">
        <w:rPr>
          <w:rFonts w:cs="Arial"/>
          <w:sz w:val="22"/>
          <w:szCs w:val="24"/>
        </w:rPr>
        <w:t>m</w:t>
      </w:r>
      <w:r w:rsidR="00865801" w:rsidRPr="00EF4E76">
        <w:rPr>
          <w:rFonts w:cs="Arial"/>
          <w:sz w:val="22"/>
          <w:szCs w:val="24"/>
        </w:rPr>
        <w:t>asters (</w:t>
      </w:r>
      <w:r w:rsidR="00A62DE0" w:rsidRPr="00EF4E76">
        <w:rPr>
          <w:rFonts w:cs="Arial"/>
          <w:sz w:val="22"/>
          <w:szCs w:val="24"/>
        </w:rPr>
        <w:t>r</w:t>
      </w:r>
      <w:r w:rsidR="00865801" w:rsidRPr="00EF4E76">
        <w:rPr>
          <w:rFonts w:cs="Arial"/>
          <w:sz w:val="22"/>
          <w:szCs w:val="24"/>
        </w:rPr>
        <w:t xml:space="preserve">esearch) or </w:t>
      </w:r>
      <w:r w:rsidR="00A62DE0" w:rsidRPr="00EF4E76">
        <w:rPr>
          <w:rFonts w:cs="Arial"/>
          <w:sz w:val="22"/>
          <w:szCs w:val="24"/>
        </w:rPr>
        <w:t>p</w:t>
      </w:r>
      <w:r w:rsidR="00865801" w:rsidRPr="00EF4E76">
        <w:rPr>
          <w:rFonts w:cs="Arial"/>
          <w:sz w:val="22"/>
          <w:szCs w:val="24"/>
        </w:rPr>
        <w:t xml:space="preserve">rofessional </w:t>
      </w:r>
      <w:r w:rsidR="00A62DE0" w:rsidRPr="00EF4E76">
        <w:rPr>
          <w:rFonts w:cs="Arial"/>
          <w:sz w:val="22"/>
          <w:szCs w:val="24"/>
        </w:rPr>
        <w:t>d</w:t>
      </w:r>
      <w:r w:rsidR="00865801" w:rsidRPr="00EF4E76">
        <w:rPr>
          <w:rFonts w:cs="Arial"/>
          <w:sz w:val="22"/>
          <w:szCs w:val="24"/>
        </w:rPr>
        <w:t xml:space="preserve">octorate </w:t>
      </w:r>
      <w:r w:rsidR="00A62DE0" w:rsidRPr="00EF4E76">
        <w:rPr>
          <w:rFonts w:cs="Arial"/>
          <w:sz w:val="22"/>
          <w:szCs w:val="24"/>
        </w:rPr>
        <w:t>p</w:t>
      </w:r>
      <w:r w:rsidR="00865801" w:rsidRPr="00EF4E76">
        <w:rPr>
          <w:rFonts w:cs="Arial"/>
          <w:sz w:val="22"/>
          <w:szCs w:val="24"/>
        </w:rPr>
        <w:t xml:space="preserve">rogram must do so within the maximum period for completing the program as specified in the University’s </w:t>
      </w:r>
      <w:r w:rsidR="00865801" w:rsidRPr="00EF4E76">
        <w:rPr>
          <w:rFonts w:cs="Arial"/>
          <w:i/>
          <w:iCs/>
          <w:sz w:val="22"/>
          <w:szCs w:val="24"/>
        </w:rPr>
        <w:t>Enrolment Procedure</w:t>
      </w:r>
      <w:r w:rsidR="00865801" w:rsidRPr="00EF4E76">
        <w:rPr>
          <w:rFonts w:cs="Arial"/>
          <w:sz w:val="22"/>
          <w:szCs w:val="24"/>
        </w:rPr>
        <w:t>.</w:t>
      </w:r>
    </w:p>
    <w:p w14:paraId="071F6AE9" w14:textId="10D3CBCB" w:rsidR="00D66D68" w:rsidRPr="00EF4E76" w:rsidRDefault="00D66D68" w:rsidP="009004DD">
      <w:pPr>
        <w:pStyle w:val="Heading4"/>
        <w:tabs>
          <w:tab w:val="clear" w:pos="1843"/>
        </w:tabs>
        <w:spacing w:before="120"/>
        <w:ind w:left="851"/>
        <w:rPr>
          <w:b/>
          <w:bCs w:val="0"/>
        </w:rPr>
      </w:pPr>
      <w:r w:rsidRPr="00EF4E76">
        <w:rPr>
          <w:b/>
          <w:bCs w:val="0"/>
        </w:rPr>
        <w:t>3.6.5</w:t>
      </w:r>
    </w:p>
    <w:p w14:paraId="3A4BBE4D" w14:textId="56F5470C" w:rsidR="0052485E" w:rsidRPr="00EF4E76" w:rsidRDefault="003B3F8E" w:rsidP="009004DD">
      <w:pPr>
        <w:spacing w:before="120" w:after="120" w:line="240" w:lineRule="auto"/>
        <w:ind w:left="851"/>
        <w:rPr>
          <w:rFonts w:cs="Arial"/>
          <w:sz w:val="22"/>
          <w:szCs w:val="24"/>
        </w:rPr>
      </w:pPr>
      <w:r w:rsidRPr="00EF4E76">
        <w:rPr>
          <w:rFonts w:cs="Arial"/>
          <w:sz w:val="22"/>
          <w:szCs w:val="24"/>
        </w:rPr>
        <w:t>Section 3.9</w:t>
      </w:r>
      <w:r w:rsidR="002964CF" w:rsidRPr="00EF4E76">
        <w:rPr>
          <w:rFonts w:cs="Arial"/>
          <w:sz w:val="22"/>
          <w:szCs w:val="24"/>
        </w:rPr>
        <w:t xml:space="preserve"> of the</w:t>
      </w:r>
      <w:r w:rsidR="00FB6DAB" w:rsidRPr="00EF4E76">
        <w:rPr>
          <w:rFonts w:cs="Arial"/>
          <w:sz w:val="22"/>
          <w:szCs w:val="24"/>
        </w:rPr>
        <w:t xml:space="preserve"> </w:t>
      </w:r>
      <w:r w:rsidR="00FB6DAB" w:rsidRPr="00EF4E76">
        <w:rPr>
          <w:rFonts w:cs="Arial"/>
          <w:i/>
          <w:iCs/>
          <w:sz w:val="22"/>
          <w:szCs w:val="24"/>
        </w:rPr>
        <w:t>H</w:t>
      </w:r>
      <w:r w:rsidR="00B26658" w:rsidRPr="00EF4E76">
        <w:rPr>
          <w:rFonts w:cs="Arial"/>
          <w:i/>
          <w:iCs/>
          <w:sz w:val="22"/>
          <w:szCs w:val="24"/>
        </w:rPr>
        <w:t>igher Degree by Research</w:t>
      </w:r>
      <w:r w:rsidR="00FB6DAB" w:rsidRPr="00EF4E76">
        <w:rPr>
          <w:rFonts w:cs="Arial"/>
          <w:i/>
          <w:iCs/>
          <w:sz w:val="22"/>
          <w:szCs w:val="24"/>
        </w:rPr>
        <w:t xml:space="preserve"> Academic Progress Procedure</w:t>
      </w:r>
      <w:r w:rsidR="002964CF" w:rsidRPr="00EF4E76">
        <w:rPr>
          <w:rFonts w:cs="Arial"/>
          <w:sz w:val="22"/>
          <w:szCs w:val="24"/>
        </w:rPr>
        <w:t xml:space="preserve"> sets out the </w:t>
      </w:r>
      <w:r w:rsidR="00DE1809" w:rsidRPr="00EF4E76">
        <w:rPr>
          <w:rFonts w:cs="Arial"/>
          <w:sz w:val="22"/>
          <w:szCs w:val="24"/>
        </w:rPr>
        <w:t xml:space="preserve">timeframe and </w:t>
      </w:r>
      <w:r w:rsidR="00DD681F" w:rsidRPr="00EF4E76">
        <w:rPr>
          <w:rFonts w:cs="Arial"/>
          <w:sz w:val="22"/>
          <w:szCs w:val="24"/>
        </w:rPr>
        <w:t xml:space="preserve">requirements for applicants applying for readmission </w:t>
      </w:r>
      <w:r w:rsidR="00B107C0" w:rsidRPr="00EF4E76">
        <w:rPr>
          <w:rFonts w:cs="Arial"/>
          <w:sz w:val="22"/>
          <w:szCs w:val="24"/>
        </w:rPr>
        <w:t xml:space="preserve">where their candidature had previously been terminated by the University. </w:t>
      </w:r>
    </w:p>
    <w:p w14:paraId="6A87A4E6" w14:textId="760C38CF" w:rsidR="00D66D68" w:rsidRPr="00EF4E76" w:rsidRDefault="00D66D68" w:rsidP="009004DD">
      <w:pPr>
        <w:pStyle w:val="Heading4"/>
        <w:tabs>
          <w:tab w:val="clear" w:pos="1843"/>
        </w:tabs>
        <w:spacing w:before="120"/>
        <w:ind w:left="851"/>
        <w:rPr>
          <w:b/>
          <w:bCs w:val="0"/>
        </w:rPr>
      </w:pPr>
      <w:r w:rsidRPr="00EF4E76">
        <w:rPr>
          <w:b/>
          <w:bCs w:val="0"/>
        </w:rPr>
        <w:t>3.6.6</w:t>
      </w:r>
    </w:p>
    <w:p w14:paraId="412C88F0" w14:textId="5B551807" w:rsidR="00C73C20" w:rsidRPr="00EF4E76" w:rsidRDefault="008A0BF5" w:rsidP="009004DD">
      <w:pPr>
        <w:spacing w:before="120" w:after="120" w:line="240" w:lineRule="auto"/>
        <w:ind w:left="851"/>
        <w:rPr>
          <w:rFonts w:cs="Arial"/>
          <w:sz w:val="22"/>
          <w:szCs w:val="24"/>
        </w:rPr>
      </w:pPr>
      <w:r w:rsidRPr="00EF4E76">
        <w:rPr>
          <w:rFonts w:cs="Arial"/>
          <w:sz w:val="22"/>
          <w:szCs w:val="24"/>
        </w:rPr>
        <w:t>Applicants who have previously been enrolled as a</w:t>
      </w:r>
      <w:r w:rsidR="000E3AB6" w:rsidRPr="00EF4E76">
        <w:rPr>
          <w:rFonts w:cs="Arial"/>
          <w:sz w:val="22"/>
          <w:szCs w:val="24"/>
        </w:rPr>
        <w:t>n</w:t>
      </w:r>
      <w:r w:rsidRPr="00EF4E76">
        <w:rPr>
          <w:rFonts w:cs="Arial"/>
          <w:sz w:val="22"/>
          <w:szCs w:val="24"/>
        </w:rPr>
        <w:t xml:space="preserve"> HDR candidate at this or another university who have failed the examination for the degree will not be admitted as a candidate</w:t>
      </w:r>
      <w:r w:rsidR="0082240D" w:rsidRPr="00EF4E76">
        <w:rPr>
          <w:rFonts w:cs="Arial"/>
          <w:sz w:val="22"/>
          <w:szCs w:val="24"/>
        </w:rPr>
        <w:t>.</w:t>
      </w:r>
    </w:p>
    <w:p w14:paraId="40BFE696" w14:textId="0A65AA86" w:rsidR="00E91590" w:rsidRPr="00EF4E76" w:rsidRDefault="005E633A" w:rsidP="009004DD">
      <w:pPr>
        <w:pStyle w:val="Heading3"/>
        <w:spacing w:before="120" w:after="120"/>
        <w:ind w:left="567" w:firstLine="0"/>
        <w:rPr>
          <w:rFonts w:cs="Arial"/>
          <w:b/>
          <w:bCs/>
          <w:sz w:val="28"/>
          <w:szCs w:val="28"/>
        </w:rPr>
      </w:pPr>
      <w:bookmarkStart w:id="35" w:name="_Admission_Offers"/>
      <w:bookmarkEnd w:id="35"/>
      <w:r w:rsidRPr="00EF4E76">
        <w:rPr>
          <w:rFonts w:cs="Arial"/>
          <w:b/>
          <w:bCs/>
          <w:sz w:val="28"/>
          <w:szCs w:val="28"/>
        </w:rPr>
        <w:t xml:space="preserve">3.7 </w:t>
      </w:r>
      <w:r w:rsidR="00C73C20" w:rsidRPr="00EF4E76">
        <w:rPr>
          <w:rFonts w:cs="Arial"/>
          <w:b/>
          <w:bCs/>
          <w:sz w:val="28"/>
          <w:szCs w:val="28"/>
        </w:rPr>
        <w:t>Admission Offers</w:t>
      </w:r>
    </w:p>
    <w:p w14:paraId="7617CE5A" w14:textId="326A2096" w:rsidR="003B515E" w:rsidRPr="00EF4E76" w:rsidRDefault="003B515E" w:rsidP="009004DD">
      <w:pPr>
        <w:pStyle w:val="Heading4"/>
        <w:tabs>
          <w:tab w:val="clear" w:pos="1843"/>
        </w:tabs>
        <w:spacing w:before="120"/>
        <w:ind w:left="851"/>
        <w:rPr>
          <w:b/>
          <w:bCs w:val="0"/>
        </w:rPr>
      </w:pPr>
      <w:r w:rsidRPr="00EF4E76">
        <w:rPr>
          <w:b/>
          <w:bCs w:val="0"/>
        </w:rPr>
        <w:t>3.7.1</w:t>
      </w:r>
    </w:p>
    <w:p w14:paraId="17D9E65F" w14:textId="06902928" w:rsidR="002A1132" w:rsidRPr="00EF4E76" w:rsidRDefault="00C73C20" w:rsidP="009004DD">
      <w:pPr>
        <w:spacing w:before="120" w:after="120" w:line="240" w:lineRule="auto"/>
        <w:ind w:left="851"/>
        <w:rPr>
          <w:rFonts w:cs="Arial"/>
          <w:sz w:val="22"/>
          <w:szCs w:val="24"/>
        </w:rPr>
      </w:pPr>
      <w:r w:rsidRPr="00EF4E76">
        <w:rPr>
          <w:rFonts w:cs="Arial"/>
          <w:sz w:val="22"/>
          <w:szCs w:val="24"/>
        </w:rPr>
        <w:t>Following approval of an application for admission</w:t>
      </w:r>
      <w:r w:rsidR="00F427B2" w:rsidRPr="00EF4E76">
        <w:rPr>
          <w:rFonts w:cs="Arial"/>
          <w:sz w:val="22"/>
          <w:szCs w:val="24"/>
        </w:rPr>
        <w:t>,</w:t>
      </w:r>
      <w:r w:rsidRPr="00EF4E76">
        <w:rPr>
          <w:rFonts w:cs="Arial"/>
          <w:sz w:val="22"/>
          <w:szCs w:val="24"/>
        </w:rPr>
        <w:t xml:space="preserve"> </w:t>
      </w:r>
      <w:r w:rsidR="009D6D66" w:rsidRPr="00EF4E76">
        <w:rPr>
          <w:rFonts w:cs="Arial"/>
          <w:sz w:val="22"/>
          <w:szCs w:val="24"/>
        </w:rPr>
        <w:t>a</w:t>
      </w:r>
      <w:r w:rsidRPr="00EF4E76">
        <w:rPr>
          <w:rFonts w:cs="Arial"/>
          <w:sz w:val="22"/>
          <w:szCs w:val="24"/>
        </w:rPr>
        <w:t>n offer letter</w:t>
      </w:r>
      <w:r w:rsidR="00C86D4F" w:rsidRPr="00EF4E76">
        <w:rPr>
          <w:rFonts w:cs="Arial"/>
          <w:sz w:val="22"/>
          <w:szCs w:val="24"/>
        </w:rPr>
        <w:t xml:space="preserve"> </w:t>
      </w:r>
      <w:r w:rsidR="001C2E5B" w:rsidRPr="00EF4E76">
        <w:rPr>
          <w:rFonts w:cs="Arial"/>
          <w:sz w:val="22"/>
          <w:szCs w:val="24"/>
        </w:rPr>
        <w:t>(valid</w:t>
      </w:r>
      <w:r w:rsidR="00A94B94" w:rsidRPr="00EF4E76">
        <w:rPr>
          <w:rFonts w:cs="Arial"/>
          <w:sz w:val="22"/>
          <w:szCs w:val="24"/>
        </w:rPr>
        <w:t xml:space="preserve"> for six months)</w:t>
      </w:r>
      <w:r w:rsidRPr="00EF4E76">
        <w:rPr>
          <w:rFonts w:cs="Arial"/>
          <w:sz w:val="22"/>
          <w:szCs w:val="24"/>
        </w:rPr>
        <w:t xml:space="preserve"> will be issued</w:t>
      </w:r>
      <w:r w:rsidR="00A94B94" w:rsidRPr="00EF4E76">
        <w:rPr>
          <w:rFonts w:cs="Arial"/>
          <w:sz w:val="22"/>
          <w:szCs w:val="24"/>
        </w:rPr>
        <w:t xml:space="preserve">. </w:t>
      </w:r>
      <w:r w:rsidR="00FA120F" w:rsidRPr="00EF4E76">
        <w:rPr>
          <w:rFonts w:cs="Arial"/>
          <w:sz w:val="22"/>
          <w:szCs w:val="24"/>
        </w:rPr>
        <w:t>T</w:t>
      </w:r>
      <w:r w:rsidR="002204B7" w:rsidRPr="00EF4E76">
        <w:rPr>
          <w:rFonts w:cs="Arial"/>
          <w:sz w:val="22"/>
          <w:szCs w:val="24"/>
        </w:rPr>
        <w:t xml:space="preserve">he offer will lapse if the applicant has not enrolled or sought an extension to </w:t>
      </w:r>
      <w:r w:rsidR="002A1132" w:rsidRPr="00EF4E76">
        <w:rPr>
          <w:rFonts w:cs="Arial"/>
          <w:sz w:val="22"/>
          <w:szCs w:val="24"/>
        </w:rPr>
        <w:t>the commencement date.</w:t>
      </w:r>
    </w:p>
    <w:p w14:paraId="5C1A800C" w14:textId="20496B07" w:rsidR="003B515E" w:rsidRPr="00EF4E76" w:rsidRDefault="003B515E" w:rsidP="009004DD">
      <w:pPr>
        <w:pStyle w:val="Heading4"/>
        <w:tabs>
          <w:tab w:val="clear" w:pos="1843"/>
        </w:tabs>
        <w:spacing w:before="120"/>
        <w:ind w:left="851"/>
        <w:rPr>
          <w:b/>
          <w:bCs w:val="0"/>
        </w:rPr>
      </w:pPr>
      <w:r w:rsidRPr="00EF4E76">
        <w:rPr>
          <w:b/>
          <w:bCs w:val="0"/>
        </w:rPr>
        <w:t>3.7.2</w:t>
      </w:r>
    </w:p>
    <w:p w14:paraId="23A9D023" w14:textId="145173DE" w:rsidR="006F283E" w:rsidRPr="00EF4E76" w:rsidRDefault="00696853" w:rsidP="009004DD">
      <w:pPr>
        <w:spacing w:before="120" w:after="120" w:line="240" w:lineRule="auto"/>
        <w:ind w:left="851"/>
        <w:rPr>
          <w:rFonts w:cs="Arial"/>
        </w:rPr>
      </w:pPr>
      <w:r w:rsidRPr="00EF4E76">
        <w:rPr>
          <w:rFonts w:cs="Arial"/>
          <w:sz w:val="22"/>
          <w:szCs w:val="24"/>
        </w:rPr>
        <w:t>An offer</w:t>
      </w:r>
      <w:r w:rsidR="001C5227" w:rsidRPr="00EF4E76">
        <w:rPr>
          <w:rFonts w:cs="Arial"/>
          <w:sz w:val="22"/>
          <w:szCs w:val="24"/>
        </w:rPr>
        <w:t xml:space="preserve"> of admission to </w:t>
      </w:r>
      <w:r w:rsidR="005E5C74" w:rsidRPr="00EF4E76">
        <w:rPr>
          <w:rFonts w:cs="Arial"/>
          <w:sz w:val="22"/>
          <w:szCs w:val="24"/>
        </w:rPr>
        <w:t>the Doctor of Philosophy or Master of Philosophy program</w:t>
      </w:r>
      <w:r w:rsidR="00F23D22" w:rsidRPr="00EF4E76">
        <w:rPr>
          <w:rFonts w:cs="Arial"/>
          <w:sz w:val="22"/>
          <w:szCs w:val="24"/>
        </w:rPr>
        <w:t>s</w:t>
      </w:r>
      <w:r w:rsidR="005E5C74" w:rsidRPr="00EF4E76">
        <w:rPr>
          <w:rFonts w:cs="Arial"/>
          <w:sz w:val="22"/>
          <w:szCs w:val="24"/>
        </w:rPr>
        <w:t xml:space="preserve"> may include a requirement </w:t>
      </w:r>
      <w:r w:rsidR="001A3E0B" w:rsidRPr="00EF4E76">
        <w:rPr>
          <w:rFonts w:cs="Arial"/>
          <w:sz w:val="22"/>
          <w:szCs w:val="24"/>
        </w:rPr>
        <w:t>for the candidate to complete discipline-specific skills training</w:t>
      </w:r>
      <w:r w:rsidR="006C43F2" w:rsidRPr="00EF4E76">
        <w:rPr>
          <w:rFonts w:cs="Arial"/>
          <w:sz w:val="22"/>
          <w:szCs w:val="24"/>
        </w:rPr>
        <w:t>,</w:t>
      </w:r>
      <w:r w:rsidR="001A3E0B" w:rsidRPr="00EF4E76">
        <w:rPr>
          <w:rFonts w:cs="Arial"/>
          <w:sz w:val="22"/>
          <w:szCs w:val="24"/>
        </w:rPr>
        <w:t xml:space="preserve"> in addition to the research component of the pro</w:t>
      </w:r>
      <w:r w:rsidR="006C43F2" w:rsidRPr="00EF4E76">
        <w:rPr>
          <w:rFonts w:cs="Arial"/>
          <w:sz w:val="22"/>
          <w:szCs w:val="24"/>
        </w:rPr>
        <w:t>gram.</w:t>
      </w:r>
    </w:p>
    <w:p w14:paraId="7F4A8DD3" w14:textId="68360A17" w:rsidR="003B515E" w:rsidRPr="00EF4E76" w:rsidRDefault="003B515E" w:rsidP="009004DD">
      <w:pPr>
        <w:pStyle w:val="Heading4"/>
        <w:tabs>
          <w:tab w:val="clear" w:pos="1843"/>
        </w:tabs>
        <w:spacing w:before="120"/>
        <w:ind w:left="851"/>
        <w:rPr>
          <w:b/>
          <w:bCs w:val="0"/>
        </w:rPr>
      </w:pPr>
      <w:r w:rsidRPr="00EF4E76">
        <w:rPr>
          <w:b/>
          <w:bCs w:val="0"/>
        </w:rPr>
        <w:t>3.7.3</w:t>
      </w:r>
    </w:p>
    <w:p w14:paraId="2904D1AE" w14:textId="7FAF3328" w:rsidR="006F283E" w:rsidRPr="00EF4E76" w:rsidRDefault="00C73C20" w:rsidP="009004DD">
      <w:pPr>
        <w:spacing w:before="120" w:after="120" w:line="240" w:lineRule="auto"/>
        <w:ind w:left="851"/>
        <w:rPr>
          <w:rFonts w:cs="Arial"/>
          <w:sz w:val="22"/>
        </w:rPr>
      </w:pPr>
      <w:r w:rsidRPr="00EF4E76">
        <w:rPr>
          <w:rFonts w:cs="Arial"/>
          <w:sz w:val="22"/>
        </w:rPr>
        <w:t xml:space="preserve">Admission </w:t>
      </w:r>
      <w:r w:rsidRPr="00EF4E76">
        <w:rPr>
          <w:rFonts w:cs="Arial"/>
          <w:sz w:val="22"/>
          <w:szCs w:val="24"/>
        </w:rPr>
        <w:t>offers</w:t>
      </w:r>
      <w:r w:rsidRPr="00EF4E76">
        <w:rPr>
          <w:rFonts w:cs="Arial"/>
          <w:sz w:val="22"/>
        </w:rPr>
        <w:t xml:space="preserve"> are made for the following types of places: </w:t>
      </w:r>
    </w:p>
    <w:p w14:paraId="7A9A4553" w14:textId="1B9472CD" w:rsidR="00C73C20" w:rsidRPr="00EF4E76" w:rsidRDefault="00C73C20" w:rsidP="00A72D48">
      <w:pPr>
        <w:pStyle w:val="ListParagraph"/>
        <w:numPr>
          <w:ilvl w:val="0"/>
          <w:numId w:val="17"/>
        </w:numPr>
        <w:spacing w:before="120" w:after="120" w:line="240" w:lineRule="auto"/>
        <w:ind w:left="1134" w:hanging="283"/>
        <w:rPr>
          <w:rFonts w:cs="Arial"/>
          <w:b/>
          <w:bCs/>
          <w:sz w:val="22"/>
        </w:rPr>
      </w:pPr>
      <w:r w:rsidRPr="00EF4E76">
        <w:rPr>
          <w:rFonts w:cs="Arial"/>
          <w:b/>
          <w:sz w:val="22"/>
        </w:rPr>
        <w:t xml:space="preserve">Domestic </w:t>
      </w:r>
      <w:r w:rsidRPr="00EF4E76">
        <w:rPr>
          <w:rFonts w:cs="Arial"/>
          <w:b/>
          <w:bCs/>
          <w:sz w:val="22"/>
        </w:rPr>
        <w:t xml:space="preserve">Candidate </w:t>
      </w:r>
      <w:r w:rsidRPr="00EF4E76">
        <w:rPr>
          <w:rFonts w:cs="Arial"/>
          <w:b/>
          <w:sz w:val="22"/>
        </w:rPr>
        <w:t>Places</w:t>
      </w:r>
    </w:p>
    <w:p w14:paraId="53565A01" w14:textId="163E956F" w:rsidR="004449DA" w:rsidRPr="00EF4E76" w:rsidRDefault="00C73C20" w:rsidP="009004DD">
      <w:pPr>
        <w:spacing w:before="120" w:after="120" w:line="240" w:lineRule="auto"/>
        <w:ind w:left="1134"/>
        <w:rPr>
          <w:rFonts w:cs="Arial"/>
          <w:sz w:val="22"/>
        </w:rPr>
      </w:pPr>
      <w:r w:rsidRPr="00EF4E76">
        <w:rPr>
          <w:rFonts w:cs="Arial"/>
          <w:sz w:val="22"/>
        </w:rPr>
        <w:t xml:space="preserve">Research Training Program (RTP) support is provided for those HDR programs the University determines will receive </w:t>
      </w:r>
      <w:r w:rsidR="00695D57" w:rsidRPr="00EF4E76">
        <w:rPr>
          <w:rFonts w:cs="Arial"/>
          <w:sz w:val="22"/>
        </w:rPr>
        <w:t>such</w:t>
      </w:r>
      <w:r w:rsidR="00931CE0" w:rsidRPr="00EF4E76">
        <w:rPr>
          <w:rFonts w:cs="Arial"/>
          <w:sz w:val="22"/>
        </w:rPr>
        <w:t xml:space="preserve"> </w:t>
      </w:r>
      <w:r w:rsidRPr="00EF4E76">
        <w:rPr>
          <w:rFonts w:cs="Arial"/>
          <w:sz w:val="22"/>
        </w:rPr>
        <w:t>support. Domestic candidates who are offered a place in an RTP</w:t>
      </w:r>
      <w:r w:rsidR="00931CE0" w:rsidRPr="00EF4E76">
        <w:rPr>
          <w:rFonts w:cs="Arial"/>
          <w:sz w:val="22"/>
        </w:rPr>
        <w:t>-</w:t>
      </w:r>
      <w:r w:rsidRPr="00EF4E76">
        <w:rPr>
          <w:rFonts w:cs="Arial"/>
          <w:sz w:val="22"/>
        </w:rPr>
        <w:t xml:space="preserve">supported HDR program at Griffith University will be provided with an RTP Domestic Fee Offset place, as per the University’s </w:t>
      </w:r>
      <w:hyperlink r:id="rId16" w:anchor=":~:text=The%20funding%20provided%20through%20the%20RTP%20offers%20the,a%20candidate%20within%20a%20maximum%20period%20of%20candidature.">
        <w:r w:rsidRPr="00A72D48">
          <w:rPr>
            <w:rFonts w:cs="Arial"/>
            <w:i/>
            <w:iCs/>
            <w:color w:val="FF0000"/>
            <w:sz w:val="22"/>
            <w:u w:val="single"/>
          </w:rPr>
          <w:t>Rese</w:t>
        </w:r>
        <w:r w:rsidRPr="00A72D48">
          <w:rPr>
            <w:rFonts w:cs="Arial"/>
            <w:i/>
            <w:iCs/>
            <w:color w:val="FF0000"/>
            <w:sz w:val="22"/>
            <w:u w:val="single"/>
          </w:rPr>
          <w:t>a</w:t>
        </w:r>
        <w:r w:rsidRPr="00A72D48">
          <w:rPr>
            <w:rFonts w:cs="Arial"/>
            <w:i/>
            <w:iCs/>
            <w:color w:val="FF0000"/>
            <w:sz w:val="22"/>
            <w:u w:val="single"/>
          </w:rPr>
          <w:t>rch Training Program (RTP) Domestic Fee Offset Guidelines</w:t>
        </w:r>
      </w:hyperlink>
      <w:r w:rsidR="004A7B99" w:rsidRPr="00EF4E76">
        <w:rPr>
          <w:rStyle w:val="FootnoteReference"/>
          <w:rFonts w:cs="Arial"/>
          <w:i/>
          <w:iCs/>
          <w:color w:val="0070C0"/>
          <w:sz w:val="22"/>
          <w:u w:val="single"/>
        </w:rPr>
        <w:footnoteReference w:id="4"/>
      </w:r>
      <w:r w:rsidRPr="00EF4E76">
        <w:rPr>
          <w:rFonts w:cs="Arial"/>
          <w:sz w:val="22"/>
        </w:rPr>
        <w:t>.</w:t>
      </w:r>
    </w:p>
    <w:p w14:paraId="5B37A6C1" w14:textId="0EE50F9C" w:rsidR="00C73C20" w:rsidRPr="00EF4E76" w:rsidRDefault="00C73C20" w:rsidP="009004DD">
      <w:pPr>
        <w:spacing w:before="120" w:after="120" w:line="240" w:lineRule="auto"/>
        <w:ind w:left="1134"/>
        <w:rPr>
          <w:rFonts w:cs="Arial"/>
          <w:sz w:val="22"/>
        </w:rPr>
      </w:pPr>
      <w:r w:rsidRPr="00EF4E76">
        <w:rPr>
          <w:rFonts w:cs="Arial"/>
          <w:sz w:val="22"/>
        </w:rPr>
        <w:t>Domestic candidates enrolled in programs that the University determines will not receive RTP support are required to pay tuition fees as</w:t>
      </w:r>
      <w:r w:rsidR="00E37F82" w:rsidRPr="00EF4E76">
        <w:rPr>
          <w:rFonts w:cs="Arial"/>
          <w:sz w:val="22"/>
        </w:rPr>
        <w:t xml:space="preserve"> detailed in the </w:t>
      </w:r>
      <w:r w:rsidR="00E37F82" w:rsidRPr="00EF4E76">
        <w:rPr>
          <w:rFonts w:cs="Arial"/>
          <w:i/>
          <w:iCs/>
          <w:sz w:val="22"/>
        </w:rPr>
        <w:t>Fees and Charges Procedure</w:t>
      </w:r>
      <w:r w:rsidR="00E37F82" w:rsidRPr="00EF4E76">
        <w:rPr>
          <w:rFonts w:cs="Arial"/>
          <w:sz w:val="22"/>
        </w:rPr>
        <w:t xml:space="preserve"> and the </w:t>
      </w:r>
      <w:r w:rsidR="00E37F82" w:rsidRPr="00EF4E76">
        <w:rPr>
          <w:rFonts w:cs="Arial"/>
          <w:i/>
          <w:iCs/>
          <w:sz w:val="22"/>
        </w:rPr>
        <w:t>Fees and Charges Schedule</w:t>
      </w:r>
      <w:r w:rsidR="00E37F82" w:rsidRPr="00EF4E76">
        <w:rPr>
          <w:rFonts w:cs="Arial"/>
          <w:sz w:val="22"/>
        </w:rPr>
        <w:t>.</w:t>
      </w:r>
    </w:p>
    <w:p w14:paraId="010529E9" w14:textId="24E60D40" w:rsidR="00C73C20" w:rsidRPr="00EF4E76" w:rsidRDefault="00C73C20" w:rsidP="00A72D48">
      <w:pPr>
        <w:pStyle w:val="ListParagraph"/>
        <w:numPr>
          <w:ilvl w:val="0"/>
          <w:numId w:val="17"/>
        </w:numPr>
        <w:spacing w:before="120" w:after="120" w:line="240" w:lineRule="auto"/>
        <w:ind w:left="1134" w:hanging="283"/>
        <w:rPr>
          <w:rFonts w:cs="Arial"/>
          <w:b/>
          <w:bCs/>
          <w:sz w:val="22"/>
        </w:rPr>
      </w:pPr>
      <w:r w:rsidRPr="00EF4E76">
        <w:rPr>
          <w:rFonts w:cs="Arial"/>
          <w:b/>
          <w:bCs/>
          <w:sz w:val="22"/>
        </w:rPr>
        <w:t>International</w:t>
      </w:r>
      <w:r w:rsidRPr="00EF4E76">
        <w:rPr>
          <w:rFonts w:cs="Arial"/>
          <w:b/>
          <w:sz w:val="22"/>
        </w:rPr>
        <w:t xml:space="preserve"> </w:t>
      </w:r>
      <w:r w:rsidRPr="00EF4E76">
        <w:rPr>
          <w:rFonts w:cs="Arial"/>
          <w:b/>
          <w:bCs/>
          <w:sz w:val="22"/>
        </w:rPr>
        <w:t>Candidate</w:t>
      </w:r>
      <w:r w:rsidRPr="00EF4E76">
        <w:rPr>
          <w:rFonts w:cs="Arial"/>
          <w:b/>
          <w:sz w:val="22"/>
        </w:rPr>
        <w:t xml:space="preserve"> Places</w:t>
      </w:r>
    </w:p>
    <w:p w14:paraId="3FE6E018" w14:textId="4FB5BE20" w:rsidR="00B37A1E" w:rsidRPr="00EF4E76" w:rsidRDefault="00C73C20" w:rsidP="009004DD">
      <w:pPr>
        <w:spacing w:before="120" w:after="120" w:line="240" w:lineRule="auto"/>
        <w:ind w:left="1134"/>
        <w:rPr>
          <w:rFonts w:cs="Arial"/>
        </w:rPr>
      </w:pPr>
      <w:r w:rsidRPr="00EF4E76">
        <w:rPr>
          <w:rFonts w:cs="Arial"/>
          <w:sz w:val="22"/>
        </w:rPr>
        <w:t xml:space="preserve">International candidates are required to pay tuition fees as </w:t>
      </w:r>
      <w:r w:rsidR="00FE2C69" w:rsidRPr="00EF4E76">
        <w:rPr>
          <w:rFonts w:cs="Arial"/>
          <w:sz w:val="22"/>
        </w:rPr>
        <w:t xml:space="preserve">detailed </w:t>
      </w:r>
      <w:r w:rsidRPr="00EF4E76">
        <w:rPr>
          <w:rFonts w:cs="Arial"/>
          <w:sz w:val="22"/>
        </w:rPr>
        <w:t xml:space="preserve">in the </w:t>
      </w:r>
      <w:r w:rsidRPr="00EF4E76">
        <w:rPr>
          <w:rFonts w:cs="Arial"/>
          <w:i/>
          <w:iCs/>
          <w:sz w:val="22"/>
        </w:rPr>
        <w:t>Fees and Charges P</w:t>
      </w:r>
      <w:r w:rsidR="00FE2C69" w:rsidRPr="00EF4E76">
        <w:rPr>
          <w:rFonts w:cs="Arial"/>
          <w:i/>
          <w:iCs/>
          <w:sz w:val="22"/>
        </w:rPr>
        <w:t>rocedure</w:t>
      </w:r>
      <w:r w:rsidR="00FE2C69" w:rsidRPr="00EF4E76">
        <w:rPr>
          <w:rFonts w:cs="Arial"/>
          <w:sz w:val="22"/>
        </w:rPr>
        <w:t xml:space="preserve"> and </w:t>
      </w:r>
      <w:r w:rsidR="00E37F82" w:rsidRPr="00EF4E76">
        <w:rPr>
          <w:rFonts w:cs="Arial"/>
          <w:sz w:val="22"/>
        </w:rPr>
        <w:t xml:space="preserve">the </w:t>
      </w:r>
      <w:r w:rsidR="00E37F82" w:rsidRPr="00EF4E76">
        <w:rPr>
          <w:rFonts w:cs="Arial"/>
          <w:i/>
          <w:iCs/>
          <w:sz w:val="22"/>
        </w:rPr>
        <w:t>Fees and Charges Schedule</w:t>
      </w:r>
      <w:r w:rsidR="00E37F82" w:rsidRPr="00EF4E76">
        <w:rPr>
          <w:rFonts w:cs="Arial"/>
          <w:sz w:val="22"/>
        </w:rPr>
        <w:t>.</w:t>
      </w:r>
    </w:p>
    <w:p w14:paraId="7B51163D" w14:textId="6F37D382" w:rsidR="00C73C20" w:rsidRPr="00EF4E76" w:rsidRDefault="005E633A" w:rsidP="009004DD">
      <w:pPr>
        <w:pStyle w:val="Heading3"/>
        <w:spacing w:before="120" w:after="120"/>
        <w:ind w:left="567" w:firstLine="0"/>
        <w:rPr>
          <w:rFonts w:cs="Arial"/>
          <w:b/>
          <w:bCs/>
          <w:sz w:val="28"/>
          <w:szCs w:val="28"/>
        </w:rPr>
      </w:pPr>
      <w:bookmarkStart w:id="36" w:name="_Review_and_Appeal"/>
      <w:bookmarkEnd w:id="36"/>
      <w:r w:rsidRPr="00EF4E76">
        <w:rPr>
          <w:rFonts w:cs="Arial"/>
          <w:b/>
          <w:bCs/>
          <w:sz w:val="28"/>
          <w:szCs w:val="28"/>
        </w:rPr>
        <w:lastRenderedPageBreak/>
        <w:t xml:space="preserve">3.8 </w:t>
      </w:r>
      <w:r w:rsidR="00C73C20" w:rsidRPr="00EF4E76">
        <w:rPr>
          <w:rFonts w:cs="Arial"/>
          <w:b/>
          <w:bCs/>
          <w:sz w:val="28"/>
          <w:szCs w:val="28"/>
        </w:rPr>
        <w:t xml:space="preserve">Review and Appeal </w:t>
      </w:r>
    </w:p>
    <w:p w14:paraId="1BDB0AE5" w14:textId="6100F552" w:rsidR="00141F98" w:rsidRPr="00EF4E76" w:rsidRDefault="00D46BE6" w:rsidP="009004DD">
      <w:pPr>
        <w:spacing w:before="120" w:after="120" w:line="240" w:lineRule="auto"/>
        <w:ind w:left="567"/>
        <w:rPr>
          <w:rFonts w:cs="Arial"/>
          <w:sz w:val="22"/>
          <w:szCs w:val="24"/>
        </w:rPr>
      </w:pPr>
      <w:r w:rsidRPr="00EF4E76">
        <w:rPr>
          <w:rFonts w:cs="Arial"/>
          <w:sz w:val="22"/>
          <w:szCs w:val="24"/>
        </w:rPr>
        <w:t>Unsuccessful a</w:t>
      </w:r>
      <w:r w:rsidR="00C73C20" w:rsidRPr="00EF4E76">
        <w:rPr>
          <w:rFonts w:cs="Arial"/>
          <w:sz w:val="22"/>
          <w:szCs w:val="24"/>
        </w:rPr>
        <w:t>pplicants for admission to a</w:t>
      </w:r>
      <w:r w:rsidR="000E3AB6" w:rsidRPr="00EF4E76">
        <w:rPr>
          <w:rFonts w:cs="Arial"/>
          <w:sz w:val="22"/>
          <w:szCs w:val="24"/>
        </w:rPr>
        <w:t>n</w:t>
      </w:r>
      <w:r w:rsidR="00C73C20" w:rsidRPr="00EF4E76">
        <w:rPr>
          <w:rFonts w:cs="Arial"/>
          <w:sz w:val="22"/>
          <w:szCs w:val="24"/>
        </w:rPr>
        <w:t xml:space="preserve"> HDR</w:t>
      </w:r>
      <w:r w:rsidR="002C4608" w:rsidRPr="00EF4E76">
        <w:rPr>
          <w:rFonts w:cs="Arial"/>
          <w:sz w:val="22"/>
          <w:szCs w:val="24"/>
        </w:rPr>
        <w:t xml:space="preserve"> program</w:t>
      </w:r>
      <w:r w:rsidR="00C73C20" w:rsidRPr="00EF4E76">
        <w:rPr>
          <w:rFonts w:cs="Arial"/>
          <w:sz w:val="22"/>
          <w:szCs w:val="24"/>
        </w:rPr>
        <w:t xml:space="preserve"> may request a review of the decision in accordance with the </w:t>
      </w:r>
      <w:r w:rsidR="00C73C20" w:rsidRPr="00EF4E76">
        <w:rPr>
          <w:rFonts w:cs="Arial"/>
          <w:i/>
          <w:sz w:val="22"/>
          <w:szCs w:val="24"/>
        </w:rPr>
        <w:t>Student Review and Appeals Policy</w:t>
      </w:r>
      <w:r w:rsidR="00C73C20" w:rsidRPr="00EF4E76">
        <w:rPr>
          <w:rFonts w:cs="Arial"/>
          <w:sz w:val="22"/>
          <w:szCs w:val="24"/>
        </w:rPr>
        <w:t xml:space="preserve"> and </w:t>
      </w:r>
      <w:r w:rsidR="00C73C20" w:rsidRPr="00EF4E76">
        <w:rPr>
          <w:rFonts w:cs="Arial"/>
          <w:i/>
          <w:sz w:val="22"/>
          <w:szCs w:val="24"/>
        </w:rPr>
        <w:t>Student Review and Appeals Procedure.</w:t>
      </w:r>
      <w:r w:rsidR="00C73C20" w:rsidRPr="00EF4E76">
        <w:rPr>
          <w:rFonts w:cs="Arial"/>
          <w:sz w:val="22"/>
          <w:szCs w:val="24"/>
        </w:rPr>
        <w:t xml:space="preserve"> </w:t>
      </w:r>
    </w:p>
    <w:p w14:paraId="511719A0" w14:textId="77DDE09D" w:rsidR="00E46DCD" w:rsidRPr="00EF4E76" w:rsidRDefault="00B54CE9" w:rsidP="004E2D27">
      <w:pPr>
        <w:pStyle w:val="Heading2"/>
        <w:spacing w:before="120" w:line="240" w:lineRule="auto"/>
        <w:rPr>
          <w:rFonts w:ascii="Arial" w:hAnsi="Arial" w:cs="Arial"/>
          <w:b/>
          <w:bCs/>
          <w:sz w:val="32"/>
          <w:szCs w:val="32"/>
        </w:rPr>
      </w:pPr>
      <w:bookmarkStart w:id="37" w:name="_4.0_Definitions"/>
      <w:bookmarkStart w:id="38" w:name="_Ref20320732"/>
      <w:bookmarkEnd w:id="37"/>
      <w:r w:rsidRPr="00EF4E76">
        <w:rPr>
          <w:rFonts w:ascii="Arial" w:hAnsi="Arial" w:cs="Arial"/>
          <w:b/>
          <w:bCs/>
          <w:sz w:val="32"/>
          <w:szCs w:val="32"/>
        </w:rPr>
        <w:t>4.0 Definitions</w:t>
      </w:r>
      <w:bookmarkEnd w:id="34"/>
      <w:bookmarkEnd w:id="38"/>
    </w:p>
    <w:p w14:paraId="7E3EE5E3" w14:textId="77777777" w:rsidR="00E46DCD" w:rsidRPr="00EF4E76" w:rsidRDefault="00E46DCD" w:rsidP="004E2D27">
      <w:pPr>
        <w:spacing w:before="120" w:after="120" w:line="240" w:lineRule="auto"/>
        <w:rPr>
          <w:rFonts w:cs="Arial"/>
          <w:sz w:val="22"/>
        </w:rPr>
      </w:pPr>
      <w:r w:rsidRPr="00EF4E76">
        <w:rPr>
          <w:rFonts w:cs="Arial"/>
          <w:b/>
          <w:sz w:val="22"/>
        </w:rPr>
        <w:t>AQF qualification</w:t>
      </w:r>
      <w:r w:rsidRPr="00EF4E76">
        <w:rPr>
          <w:rFonts w:cs="Arial"/>
          <w:sz w:val="22"/>
        </w:rPr>
        <w:t xml:space="preserve"> is a completed University accredited program of learning that leads to formal certification that a graduate has achieved the learning outcomes as described in the AQF.</w:t>
      </w:r>
      <w:r w:rsidRPr="00EF4E76">
        <w:rPr>
          <w:rFonts w:cs="Arial"/>
          <w:b/>
          <w:sz w:val="22"/>
        </w:rPr>
        <w:t xml:space="preserve"> </w:t>
      </w:r>
    </w:p>
    <w:p w14:paraId="4E0642B4" w14:textId="77777777" w:rsidR="00E46DCD" w:rsidRPr="00EF4E76" w:rsidRDefault="00E46DCD" w:rsidP="004E2D27">
      <w:pPr>
        <w:spacing w:before="120" w:after="120" w:line="240" w:lineRule="auto"/>
        <w:rPr>
          <w:rFonts w:cs="Arial"/>
          <w:sz w:val="22"/>
        </w:rPr>
      </w:pPr>
      <w:r w:rsidRPr="00EF4E76">
        <w:rPr>
          <w:rFonts w:cs="Arial"/>
          <w:b/>
          <w:sz w:val="22"/>
        </w:rPr>
        <w:t>Components of a qualification</w:t>
      </w:r>
      <w:r w:rsidRPr="00EF4E76">
        <w:rPr>
          <w:rFonts w:cs="Arial"/>
          <w:sz w:val="22"/>
        </w:rPr>
        <w:t xml:space="preserve"> refer to units of academic work or courses, the completion of which leads to an AQF qualification. </w:t>
      </w:r>
    </w:p>
    <w:p w14:paraId="6139DC5D" w14:textId="77777777" w:rsidR="00E46DCD" w:rsidRPr="00EF4E76" w:rsidRDefault="00E46DCD" w:rsidP="004E2D27">
      <w:pPr>
        <w:spacing w:before="120" w:after="120" w:line="240" w:lineRule="auto"/>
        <w:rPr>
          <w:rFonts w:cs="Arial"/>
          <w:sz w:val="22"/>
        </w:rPr>
      </w:pPr>
      <w:r w:rsidRPr="00EF4E76">
        <w:rPr>
          <w:rFonts w:cs="Arial"/>
          <w:b/>
          <w:sz w:val="22"/>
        </w:rPr>
        <w:t>Coursework</w:t>
      </w:r>
      <w:r w:rsidRPr="00EF4E76">
        <w:rPr>
          <w:rFonts w:cs="Arial"/>
          <w:sz w:val="22"/>
        </w:rPr>
        <w:t xml:space="preserve"> is a method of teaching and learning that leads to the acquisition of skills and knowledge that does not include a major research component. </w:t>
      </w:r>
      <w:proofErr w:type="gramStart"/>
      <w:r w:rsidRPr="00EF4E76">
        <w:rPr>
          <w:rFonts w:cs="Arial"/>
          <w:sz w:val="22"/>
        </w:rPr>
        <w:t>For the purpose of</w:t>
      </w:r>
      <w:proofErr w:type="gramEnd"/>
      <w:r w:rsidRPr="00EF4E76">
        <w:rPr>
          <w:rFonts w:cs="Arial"/>
          <w:sz w:val="22"/>
        </w:rPr>
        <w:t xml:space="preserve"> this policy, the inclusion of coursework in a program is also referred to as the Coursework Component or Structured Learning. </w:t>
      </w:r>
    </w:p>
    <w:p w14:paraId="03C7C7FC" w14:textId="27B8906A" w:rsidR="00E46DCD" w:rsidRPr="00EF4E76" w:rsidRDefault="00E46DCD" w:rsidP="004E2D27">
      <w:pPr>
        <w:spacing w:before="120" w:after="120" w:line="240" w:lineRule="auto"/>
        <w:rPr>
          <w:rFonts w:cs="Arial"/>
          <w:sz w:val="22"/>
        </w:rPr>
      </w:pPr>
      <w:r w:rsidRPr="00EF4E76">
        <w:rPr>
          <w:rFonts w:cs="Arial"/>
          <w:b/>
          <w:sz w:val="22"/>
        </w:rPr>
        <w:t>Discipline</w:t>
      </w:r>
      <w:r w:rsidRPr="00EF4E76">
        <w:rPr>
          <w:rFonts w:cs="Arial"/>
          <w:sz w:val="22"/>
        </w:rPr>
        <w:t xml:space="preserve"> refers to a defined branch of study or learning consistent with the field of education classification in the Australian Standard Classification of Education (ASCED). The ASCED includes 12 broad fields of education with each classification further divided into narrow and detailed fields of education. Same discipline qualifications are designed to deepen knowledge, skills and application and different discipline qualifications are designed to broaden knowledge, skills</w:t>
      </w:r>
      <w:r w:rsidR="00467BA1" w:rsidRPr="00EF4E76">
        <w:rPr>
          <w:rFonts w:cs="Arial"/>
          <w:sz w:val="22"/>
        </w:rPr>
        <w:t>,</w:t>
      </w:r>
      <w:r w:rsidRPr="00EF4E76">
        <w:rPr>
          <w:rFonts w:cs="Arial"/>
          <w:sz w:val="22"/>
        </w:rPr>
        <w:t xml:space="preserve"> and application through further learning. </w:t>
      </w:r>
    </w:p>
    <w:p w14:paraId="224FCD1D" w14:textId="3863C749" w:rsidR="00E46DCD" w:rsidRPr="00EF4E76" w:rsidRDefault="00E46DCD" w:rsidP="004E2D27">
      <w:pPr>
        <w:spacing w:before="120" w:after="120" w:line="240" w:lineRule="auto"/>
        <w:rPr>
          <w:rFonts w:cs="Arial"/>
          <w:sz w:val="22"/>
        </w:rPr>
      </w:pPr>
      <w:r w:rsidRPr="00EF4E76">
        <w:rPr>
          <w:rFonts w:cs="Arial"/>
          <w:b/>
          <w:sz w:val="22"/>
        </w:rPr>
        <w:t xml:space="preserve">Domestic candidate </w:t>
      </w:r>
      <w:r w:rsidRPr="00EF4E76">
        <w:rPr>
          <w:rFonts w:cs="Arial"/>
          <w:sz w:val="22"/>
        </w:rPr>
        <w:t>refers to a</w:t>
      </w:r>
      <w:r w:rsidR="000E3AB6" w:rsidRPr="00EF4E76">
        <w:rPr>
          <w:rFonts w:cs="Arial"/>
          <w:sz w:val="22"/>
        </w:rPr>
        <w:t>n</w:t>
      </w:r>
      <w:r w:rsidRPr="00EF4E76">
        <w:rPr>
          <w:rFonts w:cs="Arial"/>
          <w:sz w:val="22"/>
        </w:rPr>
        <w:t xml:space="preserve"> HDR candidate who is an Australian citizen, a New Zealand citizen</w:t>
      </w:r>
      <w:r w:rsidR="00467BA1" w:rsidRPr="00EF4E76">
        <w:rPr>
          <w:rFonts w:cs="Arial"/>
          <w:sz w:val="22"/>
        </w:rPr>
        <w:t>,</w:t>
      </w:r>
      <w:r w:rsidRPr="00EF4E76">
        <w:rPr>
          <w:rFonts w:cs="Arial"/>
          <w:sz w:val="22"/>
        </w:rPr>
        <w:t xml:space="preserve"> or an Australian permanent resident or holder of an Australian Permanent Humanitarian visa. </w:t>
      </w:r>
    </w:p>
    <w:p w14:paraId="6A7C9EB6" w14:textId="77777777" w:rsidR="00E46DCD" w:rsidRPr="00EF4E76" w:rsidRDefault="00E46DCD" w:rsidP="004E2D27">
      <w:pPr>
        <w:spacing w:before="120" w:after="120" w:line="240" w:lineRule="auto"/>
        <w:rPr>
          <w:rFonts w:cs="Arial"/>
          <w:b/>
          <w:color w:val="111111"/>
          <w:sz w:val="22"/>
        </w:rPr>
      </w:pPr>
      <w:r w:rsidRPr="00EF4E76">
        <w:rPr>
          <w:rFonts w:cs="Arial"/>
          <w:b/>
          <w:color w:val="111111"/>
          <w:sz w:val="22"/>
        </w:rPr>
        <w:t xml:space="preserve">Elective component - </w:t>
      </w:r>
      <w:r w:rsidRPr="00EF4E76">
        <w:rPr>
          <w:rFonts w:cs="Arial"/>
          <w:sz w:val="22"/>
        </w:rPr>
        <w:t>HDR candidates may undertake research internships, industry placements and professional practice activities that are approved by the Dean (Research) as part of their eligible HDR program. The research internship, industry placement, or professional practice activity will run for no more than six months duration during the period of enrolment.</w:t>
      </w:r>
    </w:p>
    <w:p w14:paraId="3E8F0F66" w14:textId="0260C668" w:rsidR="00C70C89" w:rsidRPr="00EF4E76" w:rsidRDefault="00C93BD0" w:rsidP="004E2D27">
      <w:pPr>
        <w:spacing w:before="120" w:after="120" w:line="240" w:lineRule="auto"/>
        <w:rPr>
          <w:rFonts w:cs="Arial"/>
          <w:bCs/>
          <w:sz w:val="22"/>
        </w:rPr>
      </w:pPr>
      <w:r w:rsidRPr="00EF4E76">
        <w:rPr>
          <w:rFonts w:cs="Arial"/>
          <w:b/>
          <w:sz w:val="22"/>
        </w:rPr>
        <w:t>Genuine Temporary Entrant (GTE)</w:t>
      </w:r>
      <w:r w:rsidRPr="00EF4E76">
        <w:rPr>
          <w:rFonts w:cs="Arial"/>
          <w:bCs/>
          <w:sz w:val="22"/>
        </w:rPr>
        <w:t xml:space="preserve"> is a person whose circumstances indicate that their intention is for a temporary stay in Australia.</w:t>
      </w:r>
      <w:r w:rsidR="00B87992" w:rsidRPr="00EF4E76">
        <w:rPr>
          <w:rFonts w:cs="Arial"/>
          <w:bCs/>
          <w:sz w:val="22"/>
        </w:rPr>
        <w:t xml:space="preserve"> </w:t>
      </w:r>
      <w:r w:rsidRPr="00EF4E76">
        <w:rPr>
          <w:rFonts w:cs="Arial"/>
          <w:b/>
          <w:sz w:val="22"/>
        </w:rPr>
        <w:t>Genuine Student</w:t>
      </w:r>
      <w:r w:rsidR="00B87992" w:rsidRPr="00EF4E76">
        <w:rPr>
          <w:rFonts w:cs="Arial"/>
          <w:b/>
          <w:sz w:val="22"/>
        </w:rPr>
        <w:t xml:space="preserve"> (GS)</w:t>
      </w:r>
      <w:r w:rsidRPr="00EF4E76">
        <w:rPr>
          <w:rFonts w:cs="Arial"/>
          <w:bCs/>
          <w:sz w:val="22"/>
        </w:rPr>
        <w:t xml:space="preserve"> is a student who intends to ob</w:t>
      </w:r>
      <w:r w:rsidR="003F7900" w:rsidRPr="00EF4E76">
        <w:rPr>
          <w:rFonts w:cs="Arial"/>
          <w:bCs/>
          <w:sz w:val="22"/>
        </w:rPr>
        <w:t xml:space="preserve">tain a successful educational outcome and has the language, educational and material background to have a reasonable chance of achieving this educational outcome. </w:t>
      </w:r>
      <w:r w:rsidR="00C70C89" w:rsidRPr="00EF4E76">
        <w:rPr>
          <w:rFonts w:cs="Arial"/>
          <w:bCs/>
          <w:sz w:val="22"/>
        </w:rPr>
        <w:t xml:space="preserve">A person applying to study in Australia must be both a GTE and a GS. </w:t>
      </w:r>
    </w:p>
    <w:p w14:paraId="633EA235" w14:textId="0371C494" w:rsidR="00E46DCD" w:rsidRPr="00EF4E76" w:rsidRDefault="00E46DCD" w:rsidP="004E2D27">
      <w:pPr>
        <w:spacing w:before="120" w:after="120" w:line="240" w:lineRule="auto"/>
        <w:rPr>
          <w:rFonts w:cs="Arial"/>
          <w:sz w:val="22"/>
        </w:rPr>
      </w:pPr>
      <w:r w:rsidRPr="00EF4E76">
        <w:rPr>
          <w:rFonts w:cs="Arial"/>
          <w:b/>
          <w:sz w:val="22"/>
        </w:rPr>
        <w:t xml:space="preserve">Higher Degree by Research (HDR) </w:t>
      </w:r>
      <w:r w:rsidRPr="00EF4E76">
        <w:rPr>
          <w:rFonts w:cs="Arial"/>
          <w:sz w:val="22"/>
        </w:rPr>
        <w:t>refers to a Research Masters or Research Doctorate where a:</w:t>
      </w:r>
    </w:p>
    <w:p w14:paraId="74E1AAC9" w14:textId="5B030F86" w:rsidR="00E46DCD" w:rsidRPr="00EF4E76" w:rsidRDefault="00E46DCD" w:rsidP="00A72D48">
      <w:pPr>
        <w:pStyle w:val="ListParagraph"/>
        <w:numPr>
          <w:ilvl w:val="0"/>
          <w:numId w:val="4"/>
        </w:numPr>
        <w:spacing w:before="120" w:after="120" w:line="240" w:lineRule="auto"/>
        <w:ind w:left="567" w:hanging="283"/>
        <w:rPr>
          <w:rFonts w:cs="Arial"/>
          <w:sz w:val="22"/>
        </w:rPr>
      </w:pPr>
      <w:r w:rsidRPr="00EF4E76">
        <w:rPr>
          <w:rFonts w:cs="Arial"/>
          <w:sz w:val="22"/>
        </w:rPr>
        <w:t>Research Masters means a Level 9 qualification as described in the AQF and where a minimum of two-thirds of the program of learning is for research, research training and independent study</w:t>
      </w:r>
      <w:r w:rsidR="002A20B8" w:rsidRPr="00EF4E76">
        <w:rPr>
          <w:rFonts w:cs="Arial"/>
          <w:sz w:val="22"/>
        </w:rPr>
        <w:t>.</w:t>
      </w:r>
    </w:p>
    <w:p w14:paraId="1061D191" w14:textId="77777777" w:rsidR="00E46DCD" w:rsidRPr="00EF4E76" w:rsidRDefault="00E46DCD" w:rsidP="00A72D48">
      <w:pPr>
        <w:pStyle w:val="ListParagraph"/>
        <w:numPr>
          <w:ilvl w:val="0"/>
          <w:numId w:val="4"/>
        </w:numPr>
        <w:spacing w:before="120" w:after="120" w:line="240" w:lineRule="auto"/>
        <w:ind w:left="567" w:hanging="283"/>
        <w:rPr>
          <w:rFonts w:cs="Arial"/>
          <w:sz w:val="22"/>
        </w:rPr>
      </w:pPr>
      <w:r w:rsidRPr="00EF4E76">
        <w:rPr>
          <w:rFonts w:cs="Arial"/>
          <w:sz w:val="22"/>
        </w:rPr>
        <w:t>Research Doctorate means a Level 10 qualification as described in the AQF and where a minimum of two years of the program of learning, and typically two-thirds of the qualification, is research.</w:t>
      </w:r>
    </w:p>
    <w:p w14:paraId="13B15490" w14:textId="66E10147" w:rsidR="00E46DCD" w:rsidRPr="00EF4E76" w:rsidRDefault="00E46DCD" w:rsidP="004E2D27">
      <w:pPr>
        <w:spacing w:before="120" w:after="120" w:line="240" w:lineRule="auto"/>
        <w:rPr>
          <w:rFonts w:cs="Arial"/>
          <w:sz w:val="22"/>
        </w:rPr>
      </w:pPr>
      <w:r w:rsidRPr="00EF4E76">
        <w:rPr>
          <w:rFonts w:cs="Arial"/>
          <w:b/>
          <w:sz w:val="22"/>
        </w:rPr>
        <w:t xml:space="preserve">International candidate </w:t>
      </w:r>
      <w:r w:rsidRPr="00EF4E76">
        <w:rPr>
          <w:rFonts w:cs="Arial"/>
          <w:sz w:val="22"/>
        </w:rPr>
        <w:t>refers to a</w:t>
      </w:r>
      <w:r w:rsidR="000E3AB6" w:rsidRPr="00EF4E76">
        <w:rPr>
          <w:rFonts w:cs="Arial"/>
          <w:sz w:val="22"/>
        </w:rPr>
        <w:t>n</w:t>
      </w:r>
      <w:r w:rsidRPr="00EF4E76">
        <w:rPr>
          <w:rFonts w:cs="Arial"/>
          <w:sz w:val="22"/>
        </w:rPr>
        <w:t xml:space="preserve"> HDR candidate who is </w:t>
      </w:r>
      <w:r w:rsidRPr="00EF4E76">
        <w:rPr>
          <w:rFonts w:cs="Arial"/>
          <w:b/>
          <w:sz w:val="22"/>
        </w:rPr>
        <w:t>not</w:t>
      </w:r>
      <w:r w:rsidRPr="00EF4E76">
        <w:rPr>
          <w:rFonts w:cs="Arial"/>
          <w:sz w:val="22"/>
        </w:rPr>
        <w:t xml:space="preserve"> an Australian </w:t>
      </w:r>
      <w:proofErr w:type="gramStart"/>
      <w:r w:rsidRPr="00EF4E76">
        <w:rPr>
          <w:rFonts w:cs="Arial"/>
          <w:sz w:val="22"/>
        </w:rPr>
        <w:t>citizen;</w:t>
      </w:r>
      <w:proofErr w:type="gramEnd"/>
      <w:r w:rsidRPr="00EF4E76">
        <w:rPr>
          <w:rFonts w:cs="Arial"/>
          <w:sz w:val="22"/>
        </w:rPr>
        <w:t xml:space="preserve"> a New Zealand citizen or an Australian permanent resident or holder of an Australian Permanent Humanitarian visa.</w:t>
      </w:r>
    </w:p>
    <w:p w14:paraId="1945831F" w14:textId="77777777" w:rsidR="00E46DCD" w:rsidRPr="00EF4E76" w:rsidRDefault="00E46DCD" w:rsidP="004E2D27">
      <w:pPr>
        <w:spacing w:before="120" w:after="120" w:line="240" w:lineRule="auto"/>
        <w:rPr>
          <w:rFonts w:cs="Arial"/>
          <w:sz w:val="22"/>
        </w:rPr>
      </w:pPr>
      <w:r w:rsidRPr="00EF4E76">
        <w:rPr>
          <w:rFonts w:cs="Arial"/>
          <w:b/>
          <w:sz w:val="22"/>
        </w:rPr>
        <w:t>Research</w:t>
      </w:r>
      <w:r w:rsidRPr="00EF4E76">
        <w:rPr>
          <w:rFonts w:cs="Arial"/>
          <w:sz w:val="22"/>
        </w:rPr>
        <w:t xml:space="preserve"> comprises </w:t>
      </w:r>
      <w:r w:rsidRPr="00EF4E76">
        <w:rPr>
          <w:rFonts w:cs="Arial"/>
          <w:color w:val="211D1E"/>
          <w:sz w:val="22"/>
        </w:rPr>
        <w:t xml:space="preserve">systematic experimental and theoretical work, application and/or development that results in an increase in the dimensions of knowledge, culminating in a thesis, dissertation, </w:t>
      </w:r>
      <w:proofErr w:type="gramStart"/>
      <w:r w:rsidRPr="00EF4E76">
        <w:rPr>
          <w:rFonts w:cs="Arial"/>
          <w:color w:val="211D1E"/>
          <w:sz w:val="22"/>
        </w:rPr>
        <w:t>exegesis</w:t>
      </w:r>
      <w:proofErr w:type="gramEnd"/>
      <w:r w:rsidRPr="00EF4E76">
        <w:rPr>
          <w:rFonts w:cs="Arial"/>
          <w:color w:val="211D1E"/>
          <w:sz w:val="22"/>
        </w:rPr>
        <w:t xml:space="preserve"> or equivalent that is formally examined. </w:t>
      </w:r>
      <w:r w:rsidRPr="00EF4E76">
        <w:rPr>
          <w:rFonts w:cs="Arial"/>
          <w:sz w:val="22"/>
        </w:rPr>
        <w:t xml:space="preserve">The term </w:t>
      </w:r>
      <w:r w:rsidRPr="00EF4E76">
        <w:rPr>
          <w:rFonts w:cs="Arial"/>
          <w:b/>
          <w:sz w:val="22"/>
        </w:rPr>
        <w:t>research</w:t>
      </w:r>
      <w:r w:rsidRPr="00EF4E76">
        <w:rPr>
          <w:rFonts w:cs="Arial"/>
          <w:sz w:val="22"/>
        </w:rPr>
        <w:t xml:space="preserve"> includes original, exploratory, experimental, applied, clinically or work-based and other forms of creative work undertaken systematically to increase knowledge and understanding, deploying a range of research principles and methodologies. Research is specified in the AQF learning outcomes for the </w:t>
      </w:r>
      <w:proofErr w:type="spellStart"/>
      <w:proofErr w:type="gramStart"/>
      <w:r w:rsidRPr="00EF4E76">
        <w:rPr>
          <w:rFonts w:cs="Arial"/>
          <w:sz w:val="22"/>
        </w:rPr>
        <w:t>Masters</w:t>
      </w:r>
      <w:proofErr w:type="spellEnd"/>
      <w:r w:rsidRPr="00EF4E76">
        <w:rPr>
          <w:rFonts w:cs="Arial"/>
          <w:sz w:val="22"/>
        </w:rPr>
        <w:t xml:space="preserve"> Degree</w:t>
      </w:r>
      <w:proofErr w:type="gramEnd"/>
      <w:r w:rsidRPr="00EF4E76">
        <w:rPr>
          <w:rFonts w:cs="Arial"/>
          <w:sz w:val="22"/>
        </w:rPr>
        <w:t xml:space="preserve"> (Research) and Doctoral Degree. The inclusion of research in a program is also referred to as the Research Component or Research Outcome. </w:t>
      </w:r>
    </w:p>
    <w:p w14:paraId="08C49474" w14:textId="77777777" w:rsidR="00A72D48" w:rsidRDefault="00A72D48">
      <w:pPr>
        <w:spacing w:after="0" w:line="240" w:lineRule="auto"/>
        <w:rPr>
          <w:rFonts w:cs="Arial"/>
          <w:b/>
          <w:sz w:val="22"/>
        </w:rPr>
      </w:pPr>
      <w:r>
        <w:rPr>
          <w:rFonts w:cs="Arial"/>
          <w:b/>
          <w:sz w:val="22"/>
        </w:rPr>
        <w:br w:type="page"/>
      </w:r>
    </w:p>
    <w:p w14:paraId="017D5BC0" w14:textId="6536F792" w:rsidR="00E46DCD" w:rsidRPr="00EF4E76" w:rsidRDefault="00E46DCD" w:rsidP="004E2D27">
      <w:pPr>
        <w:spacing w:before="120" w:after="120" w:line="240" w:lineRule="auto"/>
        <w:rPr>
          <w:rFonts w:cs="Arial"/>
          <w:sz w:val="22"/>
        </w:rPr>
      </w:pPr>
      <w:r w:rsidRPr="00EF4E76">
        <w:rPr>
          <w:rFonts w:cs="Arial"/>
          <w:b/>
          <w:sz w:val="22"/>
        </w:rPr>
        <w:lastRenderedPageBreak/>
        <w:t xml:space="preserve">Research Training Program </w:t>
      </w:r>
      <w:r w:rsidRPr="00EF4E76">
        <w:rPr>
          <w:rFonts w:cs="Arial"/>
          <w:sz w:val="22"/>
        </w:rPr>
        <w:t xml:space="preserve">is funded by the Commonwealth Government through the provision of block grants on a calendar year basis to Higher Education Providers (HEPs) to support the research training of domestic and international HDR candidates. The allocation and management of RTP funding is in accordance with the Commonwealth Scholarship Guidelines (Research) 2017. It is at the discretion of the University to determine how many scholarships it will support, the HDR programs that will receive support and the process by which this support is managed. Support provided may include fee offsets, </w:t>
      </w:r>
      <w:proofErr w:type="gramStart"/>
      <w:r w:rsidRPr="00EF4E76">
        <w:rPr>
          <w:rFonts w:cs="Arial"/>
          <w:sz w:val="22"/>
        </w:rPr>
        <w:t>stipends</w:t>
      </w:r>
      <w:proofErr w:type="gramEnd"/>
      <w:r w:rsidRPr="00EF4E76">
        <w:rPr>
          <w:rFonts w:cs="Arial"/>
          <w:sz w:val="22"/>
        </w:rPr>
        <w:t xml:space="preserve"> and allowances to assist HDR candidates with ancillary cost of a</w:t>
      </w:r>
      <w:r w:rsidR="000E3AB6" w:rsidRPr="00EF4E76">
        <w:rPr>
          <w:rFonts w:cs="Arial"/>
          <w:sz w:val="22"/>
        </w:rPr>
        <w:t>n</w:t>
      </w:r>
      <w:r w:rsidRPr="00EF4E76">
        <w:rPr>
          <w:rFonts w:cs="Arial"/>
          <w:sz w:val="22"/>
        </w:rPr>
        <w:t xml:space="preserve"> HDR program.</w:t>
      </w:r>
    </w:p>
    <w:p w14:paraId="6CB73791" w14:textId="7B2E8542" w:rsidR="00537F09" w:rsidRPr="00EF4E76" w:rsidRDefault="00537F09" w:rsidP="004E2D27">
      <w:pPr>
        <w:pStyle w:val="Heading2"/>
        <w:spacing w:before="120" w:line="240" w:lineRule="auto"/>
        <w:rPr>
          <w:rFonts w:ascii="Arial" w:hAnsi="Arial" w:cs="Arial"/>
          <w:b/>
          <w:bCs/>
          <w:sz w:val="32"/>
          <w:szCs w:val="32"/>
        </w:rPr>
      </w:pPr>
      <w:bookmarkStart w:id="39" w:name="_5.0_Information"/>
      <w:bookmarkEnd w:id="39"/>
      <w:r w:rsidRPr="00EF4E76">
        <w:rPr>
          <w:rFonts w:ascii="Arial" w:hAnsi="Arial" w:cs="Arial"/>
          <w:b/>
          <w:bCs/>
          <w:sz w:val="32"/>
          <w:szCs w:val="32"/>
        </w:rPr>
        <w:t>5.0 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92"/>
        <w:gridCol w:w="7706"/>
      </w:tblGrid>
      <w:tr w:rsidR="0095399A" w:rsidRPr="00EF4E76" w14:paraId="304E25EF" w14:textId="77777777" w:rsidTr="0006416D">
        <w:tc>
          <w:tcPr>
            <w:tcW w:w="1222" w:type="pct"/>
            <w:shd w:val="clear" w:color="auto" w:fill="auto"/>
          </w:tcPr>
          <w:p w14:paraId="4DD225B2" w14:textId="77777777" w:rsidR="0095399A" w:rsidRPr="00EF4E76" w:rsidRDefault="0095399A" w:rsidP="004E2D27">
            <w:pPr>
              <w:spacing w:before="120" w:after="120" w:line="240" w:lineRule="auto"/>
              <w:rPr>
                <w:rFonts w:cs="Arial"/>
                <w:sz w:val="22"/>
              </w:rPr>
            </w:pPr>
            <w:r w:rsidRPr="00EF4E76">
              <w:rPr>
                <w:rFonts w:cs="Arial"/>
                <w:sz w:val="22"/>
              </w:rPr>
              <w:t>Title</w:t>
            </w:r>
          </w:p>
        </w:tc>
        <w:tc>
          <w:tcPr>
            <w:tcW w:w="3778" w:type="pct"/>
            <w:shd w:val="clear" w:color="auto" w:fill="auto"/>
          </w:tcPr>
          <w:p w14:paraId="11FCF4F5" w14:textId="5B25F5C9" w:rsidR="0095399A" w:rsidRPr="00EF4E76" w:rsidRDefault="00DF3471" w:rsidP="004E2D27">
            <w:pPr>
              <w:spacing w:before="120" w:after="120" w:line="240" w:lineRule="auto"/>
              <w:ind w:left="32"/>
              <w:rPr>
                <w:rFonts w:cs="Arial"/>
                <w:sz w:val="22"/>
              </w:rPr>
            </w:pPr>
            <w:r w:rsidRPr="00EF4E76">
              <w:rPr>
                <w:rFonts w:cs="Arial"/>
                <w:sz w:val="22"/>
              </w:rPr>
              <w:t xml:space="preserve">Higher Degree </w:t>
            </w:r>
            <w:r w:rsidR="00A95051" w:rsidRPr="00EF4E76">
              <w:rPr>
                <w:rFonts w:cs="Arial"/>
                <w:sz w:val="22"/>
              </w:rPr>
              <w:t xml:space="preserve">by </w:t>
            </w:r>
            <w:r w:rsidRPr="00EF4E76">
              <w:rPr>
                <w:rFonts w:cs="Arial"/>
                <w:sz w:val="22"/>
              </w:rPr>
              <w:t>Research Admission Procedure</w:t>
            </w:r>
          </w:p>
        </w:tc>
      </w:tr>
      <w:tr w:rsidR="0095399A" w:rsidRPr="00EF4E76" w14:paraId="7EB2AB77" w14:textId="77777777" w:rsidTr="0006416D">
        <w:tc>
          <w:tcPr>
            <w:tcW w:w="1222" w:type="pct"/>
            <w:shd w:val="clear" w:color="auto" w:fill="auto"/>
          </w:tcPr>
          <w:p w14:paraId="41120DE0" w14:textId="77777777" w:rsidR="0095399A" w:rsidRPr="00EF4E76" w:rsidRDefault="0095399A" w:rsidP="004E2D27">
            <w:pPr>
              <w:spacing w:before="120" w:after="120" w:line="240" w:lineRule="auto"/>
              <w:rPr>
                <w:rFonts w:cs="Arial"/>
                <w:sz w:val="22"/>
              </w:rPr>
            </w:pPr>
            <w:r w:rsidRPr="00EF4E76">
              <w:rPr>
                <w:rFonts w:cs="Arial"/>
                <w:sz w:val="22"/>
              </w:rPr>
              <w:t>Document number</w:t>
            </w:r>
          </w:p>
        </w:tc>
        <w:tc>
          <w:tcPr>
            <w:tcW w:w="3778" w:type="pct"/>
            <w:shd w:val="clear" w:color="auto" w:fill="auto"/>
          </w:tcPr>
          <w:p w14:paraId="6CAB3239" w14:textId="79BA9B4E" w:rsidR="0095399A" w:rsidRPr="00EF4E76" w:rsidRDefault="0095399A" w:rsidP="004E2D27">
            <w:pPr>
              <w:spacing w:before="120" w:after="120" w:line="240" w:lineRule="auto"/>
              <w:ind w:left="32"/>
              <w:rPr>
                <w:rFonts w:cs="Arial"/>
                <w:sz w:val="22"/>
              </w:rPr>
            </w:pPr>
            <w:r w:rsidRPr="00EF4E76">
              <w:rPr>
                <w:rFonts w:cs="Arial"/>
                <w:sz w:val="22"/>
              </w:rPr>
              <w:t>20</w:t>
            </w:r>
            <w:r w:rsidR="00320C55" w:rsidRPr="00EF4E76">
              <w:rPr>
                <w:rFonts w:cs="Arial"/>
                <w:sz w:val="22"/>
              </w:rPr>
              <w:t>2</w:t>
            </w:r>
            <w:r w:rsidR="0094071C" w:rsidRPr="00EF4E76">
              <w:rPr>
                <w:rFonts w:cs="Arial"/>
                <w:sz w:val="22"/>
              </w:rPr>
              <w:t>3</w:t>
            </w:r>
            <w:r w:rsidRPr="00EF4E76">
              <w:rPr>
                <w:rFonts w:cs="Arial"/>
                <w:sz w:val="22"/>
              </w:rPr>
              <w:t>/</w:t>
            </w:r>
            <w:r w:rsidR="000D2ED9" w:rsidRPr="00EF4E76">
              <w:rPr>
                <w:rFonts w:cs="Arial"/>
                <w:sz w:val="22"/>
              </w:rPr>
              <w:t>00</w:t>
            </w:r>
            <w:r w:rsidR="00323F48" w:rsidRPr="00EF4E76">
              <w:rPr>
                <w:rFonts w:cs="Arial"/>
                <w:sz w:val="22"/>
              </w:rPr>
              <w:t>0</w:t>
            </w:r>
            <w:r w:rsidR="000D2ED9" w:rsidRPr="00EF4E76">
              <w:rPr>
                <w:rFonts w:cs="Arial"/>
                <w:sz w:val="22"/>
              </w:rPr>
              <w:t>0</w:t>
            </w:r>
            <w:r w:rsidR="00323F48" w:rsidRPr="00EF4E76">
              <w:rPr>
                <w:rFonts w:cs="Arial"/>
                <w:sz w:val="22"/>
              </w:rPr>
              <w:t>401</w:t>
            </w:r>
          </w:p>
        </w:tc>
      </w:tr>
      <w:tr w:rsidR="0095399A" w:rsidRPr="00EF4E76" w14:paraId="43C59C5D" w14:textId="77777777" w:rsidTr="0006416D">
        <w:tc>
          <w:tcPr>
            <w:tcW w:w="1222" w:type="pct"/>
            <w:shd w:val="clear" w:color="auto" w:fill="auto"/>
          </w:tcPr>
          <w:p w14:paraId="2768F0B0" w14:textId="77777777" w:rsidR="0095399A" w:rsidRPr="00EF4E76" w:rsidRDefault="0095399A" w:rsidP="004E2D27">
            <w:pPr>
              <w:spacing w:before="120" w:after="120" w:line="240" w:lineRule="auto"/>
              <w:rPr>
                <w:rFonts w:cs="Arial"/>
                <w:sz w:val="22"/>
              </w:rPr>
            </w:pPr>
            <w:r w:rsidRPr="00EF4E76">
              <w:rPr>
                <w:rFonts w:cs="Arial"/>
                <w:sz w:val="22"/>
              </w:rPr>
              <w:t>Purpose</w:t>
            </w:r>
          </w:p>
        </w:tc>
        <w:tc>
          <w:tcPr>
            <w:tcW w:w="3778" w:type="pct"/>
            <w:shd w:val="clear" w:color="auto" w:fill="auto"/>
          </w:tcPr>
          <w:p w14:paraId="7FE65E89" w14:textId="2B58EAC2" w:rsidR="0095399A" w:rsidRPr="00EF4E76" w:rsidRDefault="00CA28C9" w:rsidP="004E2D27">
            <w:pPr>
              <w:spacing w:before="120" w:after="120" w:line="240" w:lineRule="auto"/>
              <w:ind w:left="32"/>
              <w:rPr>
                <w:rFonts w:cs="Arial"/>
                <w:sz w:val="22"/>
              </w:rPr>
            </w:pPr>
            <w:r w:rsidRPr="00EF4E76">
              <w:rPr>
                <w:rFonts w:cs="Arial"/>
                <w:sz w:val="22"/>
              </w:rPr>
              <w:t xml:space="preserve">This </w:t>
            </w:r>
            <w:r w:rsidR="00A72D48">
              <w:rPr>
                <w:rFonts w:cs="Arial"/>
                <w:sz w:val="22"/>
              </w:rPr>
              <w:t>P</w:t>
            </w:r>
            <w:r w:rsidRPr="00EF4E76">
              <w:rPr>
                <w:rFonts w:cs="Arial"/>
                <w:sz w:val="22"/>
              </w:rPr>
              <w:t xml:space="preserve">rocedure supports the </w:t>
            </w:r>
            <w:r w:rsidRPr="00EF4E76">
              <w:rPr>
                <w:rFonts w:cs="Arial"/>
                <w:i/>
                <w:iCs/>
                <w:sz w:val="22"/>
              </w:rPr>
              <w:t>Higher Degree</w:t>
            </w:r>
            <w:r w:rsidR="00A95051" w:rsidRPr="00EF4E76">
              <w:rPr>
                <w:rFonts w:cs="Arial"/>
                <w:i/>
                <w:iCs/>
                <w:sz w:val="22"/>
              </w:rPr>
              <w:t xml:space="preserve"> by</w:t>
            </w:r>
            <w:r w:rsidRPr="00EF4E76">
              <w:rPr>
                <w:rFonts w:cs="Arial"/>
                <w:i/>
                <w:iCs/>
                <w:sz w:val="22"/>
              </w:rPr>
              <w:t xml:space="preserve"> Research Policy</w:t>
            </w:r>
            <w:r w:rsidRPr="00EF4E76">
              <w:rPr>
                <w:rFonts w:cs="Arial"/>
                <w:sz w:val="22"/>
              </w:rPr>
              <w:t xml:space="preserve"> </w:t>
            </w:r>
            <w:r w:rsidR="00E83F73" w:rsidRPr="00EF4E76">
              <w:rPr>
                <w:rFonts w:cs="Arial"/>
                <w:sz w:val="22"/>
              </w:rPr>
              <w:t>by documenting the requirements and processes for admission into the University’s higher degree by research (HDR) programs</w:t>
            </w:r>
            <w:r w:rsidRPr="00EF4E76">
              <w:rPr>
                <w:rFonts w:cs="Arial"/>
                <w:sz w:val="22"/>
              </w:rPr>
              <w:t>.</w:t>
            </w:r>
          </w:p>
        </w:tc>
      </w:tr>
      <w:tr w:rsidR="0095399A" w:rsidRPr="00EF4E76" w14:paraId="222189D1" w14:textId="77777777" w:rsidTr="0006416D">
        <w:tc>
          <w:tcPr>
            <w:tcW w:w="1222" w:type="pct"/>
            <w:shd w:val="clear" w:color="auto" w:fill="auto"/>
          </w:tcPr>
          <w:p w14:paraId="0F0C7986" w14:textId="77777777" w:rsidR="0095399A" w:rsidRPr="00EF4E76" w:rsidRDefault="0095399A" w:rsidP="004E2D27">
            <w:pPr>
              <w:spacing w:before="120" w:after="120" w:line="240" w:lineRule="auto"/>
              <w:rPr>
                <w:rFonts w:cs="Arial"/>
                <w:sz w:val="22"/>
              </w:rPr>
            </w:pPr>
            <w:r w:rsidRPr="00EF4E76">
              <w:rPr>
                <w:rFonts w:cs="Arial"/>
                <w:sz w:val="22"/>
              </w:rPr>
              <w:t>Audience</w:t>
            </w:r>
          </w:p>
        </w:tc>
        <w:tc>
          <w:tcPr>
            <w:tcW w:w="3778" w:type="pct"/>
            <w:shd w:val="clear" w:color="auto" w:fill="auto"/>
          </w:tcPr>
          <w:p w14:paraId="6C9EC612" w14:textId="0FC68877" w:rsidR="0095399A" w:rsidRPr="00EF4E76" w:rsidRDefault="0095399A" w:rsidP="004E2D27">
            <w:pPr>
              <w:spacing w:before="120" w:after="120" w:line="240" w:lineRule="auto"/>
              <w:ind w:left="32"/>
              <w:rPr>
                <w:rFonts w:cs="Arial"/>
                <w:sz w:val="22"/>
              </w:rPr>
            </w:pPr>
            <w:r w:rsidRPr="00EF4E76">
              <w:rPr>
                <w:rFonts w:cs="Arial"/>
                <w:sz w:val="22"/>
              </w:rPr>
              <w:t>Staff; Students; Public</w:t>
            </w:r>
          </w:p>
        </w:tc>
      </w:tr>
      <w:tr w:rsidR="0095399A" w:rsidRPr="00EF4E76" w14:paraId="28125B28" w14:textId="77777777" w:rsidTr="0006416D">
        <w:tc>
          <w:tcPr>
            <w:tcW w:w="1222" w:type="pct"/>
            <w:shd w:val="clear" w:color="auto" w:fill="auto"/>
          </w:tcPr>
          <w:p w14:paraId="7BB0D257" w14:textId="77777777" w:rsidR="0095399A" w:rsidRPr="00EF4E76" w:rsidRDefault="0095399A" w:rsidP="004E2D27">
            <w:pPr>
              <w:spacing w:before="120" w:after="120" w:line="240" w:lineRule="auto"/>
              <w:rPr>
                <w:rFonts w:cs="Arial"/>
                <w:sz w:val="22"/>
              </w:rPr>
            </w:pPr>
            <w:r w:rsidRPr="00EF4E76">
              <w:rPr>
                <w:rFonts w:cs="Arial"/>
                <w:sz w:val="22"/>
              </w:rPr>
              <w:t>Category</w:t>
            </w:r>
          </w:p>
        </w:tc>
        <w:tc>
          <w:tcPr>
            <w:tcW w:w="3778" w:type="pct"/>
            <w:shd w:val="clear" w:color="auto" w:fill="auto"/>
          </w:tcPr>
          <w:p w14:paraId="49825562" w14:textId="6E6CB6BF" w:rsidR="0095399A" w:rsidRPr="00EF4E76" w:rsidRDefault="0095399A" w:rsidP="004E2D27">
            <w:pPr>
              <w:spacing w:before="120" w:after="120" w:line="240" w:lineRule="auto"/>
              <w:ind w:left="32"/>
              <w:rPr>
                <w:rFonts w:cs="Arial"/>
                <w:sz w:val="22"/>
              </w:rPr>
            </w:pPr>
            <w:r w:rsidRPr="00EF4E76">
              <w:rPr>
                <w:rFonts w:cs="Arial"/>
                <w:sz w:val="22"/>
              </w:rPr>
              <w:t>Academic</w:t>
            </w:r>
          </w:p>
        </w:tc>
      </w:tr>
      <w:tr w:rsidR="0095399A" w:rsidRPr="00EF4E76" w14:paraId="6804AE71" w14:textId="77777777" w:rsidTr="0006416D">
        <w:tc>
          <w:tcPr>
            <w:tcW w:w="1222" w:type="pct"/>
            <w:shd w:val="clear" w:color="auto" w:fill="auto"/>
          </w:tcPr>
          <w:p w14:paraId="633FDD1A" w14:textId="77777777" w:rsidR="0095399A" w:rsidRPr="00EF4E76" w:rsidRDefault="0095399A" w:rsidP="004E2D27">
            <w:pPr>
              <w:spacing w:before="120" w:after="120" w:line="240" w:lineRule="auto"/>
              <w:rPr>
                <w:rFonts w:cs="Arial"/>
                <w:sz w:val="22"/>
              </w:rPr>
            </w:pPr>
            <w:r w:rsidRPr="00EF4E76">
              <w:rPr>
                <w:rFonts w:cs="Arial"/>
                <w:sz w:val="22"/>
              </w:rPr>
              <w:t>Subcategory</w:t>
            </w:r>
          </w:p>
        </w:tc>
        <w:tc>
          <w:tcPr>
            <w:tcW w:w="3778" w:type="pct"/>
            <w:shd w:val="clear" w:color="auto" w:fill="auto"/>
          </w:tcPr>
          <w:p w14:paraId="24122AE7" w14:textId="15F4E7D0" w:rsidR="00BD32B2" w:rsidRPr="00EF4E76" w:rsidRDefault="00EC1778" w:rsidP="004E2D27">
            <w:pPr>
              <w:pStyle w:val="ListParagraph"/>
              <w:spacing w:before="120" w:after="120" w:line="240" w:lineRule="auto"/>
              <w:ind w:left="32"/>
              <w:rPr>
                <w:rFonts w:cs="Arial"/>
                <w:sz w:val="22"/>
              </w:rPr>
            </w:pPr>
            <w:r w:rsidRPr="00EF4E76">
              <w:rPr>
                <w:rFonts w:cs="Arial"/>
                <w:sz w:val="22"/>
              </w:rPr>
              <w:t>Research</w:t>
            </w:r>
          </w:p>
        </w:tc>
      </w:tr>
      <w:tr w:rsidR="0095399A" w:rsidRPr="00EF4E76" w14:paraId="50471DC5" w14:textId="77777777" w:rsidTr="0006416D">
        <w:tc>
          <w:tcPr>
            <w:tcW w:w="1222" w:type="pct"/>
            <w:shd w:val="clear" w:color="auto" w:fill="auto"/>
          </w:tcPr>
          <w:p w14:paraId="16A50CAE" w14:textId="33D717B6" w:rsidR="00BD32B2" w:rsidRPr="00EF4E76" w:rsidRDefault="00BD32B2" w:rsidP="004E2D27">
            <w:pPr>
              <w:spacing w:before="120" w:after="120" w:line="240" w:lineRule="auto"/>
              <w:rPr>
                <w:rFonts w:cs="Arial"/>
                <w:sz w:val="22"/>
              </w:rPr>
            </w:pPr>
            <w:r w:rsidRPr="00EF4E76">
              <w:rPr>
                <w:rFonts w:cs="Arial"/>
                <w:sz w:val="22"/>
              </w:rPr>
              <w:t>Approval date</w:t>
            </w:r>
          </w:p>
        </w:tc>
        <w:tc>
          <w:tcPr>
            <w:tcW w:w="3778" w:type="pct"/>
            <w:shd w:val="clear" w:color="auto" w:fill="auto"/>
          </w:tcPr>
          <w:p w14:paraId="54E42AB4" w14:textId="1B63B21F" w:rsidR="0095399A" w:rsidRPr="00EF4E76" w:rsidRDefault="004E2D27" w:rsidP="004E2D27">
            <w:pPr>
              <w:spacing w:before="120" w:after="120" w:line="240" w:lineRule="auto"/>
              <w:ind w:left="32"/>
              <w:rPr>
                <w:rFonts w:cs="Arial"/>
                <w:sz w:val="22"/>
              </w:rPr>
            </w:pPr>
            <w:r w:rsidRPr="00EF4E76">
              <w:rPr>
                <w:rFonts w:cs="Arial"/>
                <w:sz w:val="22"/>
              </w:rPr>
              <w:t>16 November 2023</w:t>
            </w:r>
          </w:p>
        </w:tc>
      </w:tr>
      <w:tr w:rsidR="0006416D" w:rsidRPr="00EF4E76" w14:paraId="6BDA0622" w14:textId="77777777" w:rsidTr="0006416D">
        <w:tc>
          <w:tcPr>
            <w:tcW w:w="1222" w:type="pct"/>
            <w:shd w:val="clear" w:color="auto" w:fill="auto"/>
          </w:tcPr>
          <w:p w14:paraId="4447952B" w14:textId="4DDCB121" w:rsidR="0006416D" w:rsidRPr="00EF4E76" w:rsidRDefault="0006416D" w:rsidP="004E2D27">
            <w:pPr>
              <w:spacing w:before="120" w:after="120" w:line="240" w:lineRule="auto"/>
              <w:rPr>
                <w:rFonts w:cs="Arial"/>
                <w:sz w:val="22"/>
              </w:rPr>
            </w:pPr>
            <w:r w:rsidRPr="00EF4E76">
              <w:rPr>
                <w:rFonts w:cs="Arial"/>
                <w:sz w:val="22"/>
              </w:rPr>
              <w:t>Effective date</w:t>
            </w:r>
          </w:p>
        </w:tc>
        <w:tc>
          <w:tcPr>
            <w:tcW w:w="3778" w:type="pct"/>
            <w:shd w:val="clear" w:color="auto" w:fill="auto"/>
          </w:tcPr>
          <w:p w14:paraId="09325B02" w14:textId="526067DF" w:rsidR="0006416D" w:rsidRPr="00EF4E76" w:rsidRDefault="004E2D27" w:rsidP="004E2D27">
            <w:pPr>
              <w:spacing w:before="120" w:after="120" w:line="240" w:lineRule="auto"/>
              <w:ind w:left="32"/>
              <w:rPr>
                <w:rFonts w:cs="Arial"/>
                <w:sz w:val="22"/>
              </w:rPr>
            </w:pPr>
            <w:r w:rsidRPr="00EF4E76">
              <w:rPr>
                <w:rFonts w:cs="Arial"/>
                <w:sz w:val="22"/>
              </w:rPr>
              <w:t>1 January 2024</w:t>
            </w:r>
          </w:p>
        </w:tc>
      </w:tr>
      <w:tr w:rsidR="0095399A" w:rsidRPr="00EF4E76" w14:paraId="2BC374DF" w14:textId="77777777" w:rsidTr="0006416D">
        <w:tc>
          <w:tcPr>
            <w:tcW w:w="1222" w:type="pct"/>
            <w:shd w:val="clear" w:color="auto" w:fill="auto"/>
          </w:tcPr>
          <w:p w14:paraId="534DFB5D" w14:textId="77777777" w:rsidR="0095399A" w:rsidRPr="00EF4E76" w:rsidRDefault="0095399A" w:rsidP="004E2D27">
            <w:pPr>
              <w:spacing w:before="120" w:after="120" w:line="240" w:lineRule="auto"/>
              <w:rPr>
                <w:rFonts w:cs="Arial"/>
                <w:sz w:val="22"/>
              </w:rPr>
            </w:pPr>
            <w:r w:rsidRPr="00EF4E76">
              <w:rPr>
                <w:rFonts w:cs="Arial"/>
                <w:sz w:val="22"/>
              </w:rPr>
              <w:t>Review date</w:t>
            </w:r>
          </w:p>
        </w:tc>
        <w:tc>
          <w:tcPr>
            <w:tcW w:w="3778" w:type="pct"/>
            <w:shd w:val="clear" w:color="auto" w:fill="auto"/>
          </w:tcPr>
          <w:p w14:paraId="71B0EEBB" w14:textId="0AE73A59" w:rsidR="0095399A" w:rsidRPr="00EF4E76" w:rsidRDefault="00323F48" w:rsidP="004E2D27">
            <w:pPr>
              <w:spacing w:before="120" w:after="120" w:line="240" w:lineRule="auto"/>
              <w:ind w:left="32"/>
              <w:rPr>
                <w:rFonts w:cs="Arial"/>
                <w:sz w:val="22"/>
              </w:rPr>
            </w:pPr>
            <w:r w:rsidRPr="00EF4E76">
              <w:rPr>
                <w:rFonts w:cs="Arial"/>
                <w:sz w:val="22"/>
              </w:rPr>
              <w:t>202</w:t>
            </w:r>
            <w:r w:rsidR="004E2D27" w:rsidRPr="00EF4E76">
              <w:rPr>
                <w:rFonts w:cs="Arial"/>
                <w:sz w:val="22"/>
              </w:rPr>
              <w:t>9</w:t>
            </w:r>
          </w:p>
        </w:tc>
      </w:tr>
      <w:tr w:rsidR="0095399A" w:rsidRPr="00EF4E76" w14:paraId="7B757065" w14:textId="77777777" w:rsidTr="0006416D">
        <w:tc>
          <w:tcPr>
            <w:tcW w:w="1222" w:type="pct"/>
            <w:tcBorders>
              <w:bottom w:val="single" w:sz="4" w:space="0" w:color="auto"/>
            </w:tcBorders>
            <w:shd w:val="clear" w:color="auto" w:fill="auto"/>
          </w:tcPr>
          <w:p w14:paraId="04674916" w14:textId="77777777" w:rsidR="0095399A" w:rsidRPr="00EF4E76" w:rsidRDefault="0095399A" w:rsidP="004E2D27">
            <w:pPr>
              <w:spacing w:before="120" w:after="120" w:line="240" w:lineRule="auto"/>
              <w:rPr>
                <w:rFonts w:cs="Arial"/>
                <w:sz w:val="22"/>
              </w:rPr>
            </w:pPr>
            <w:r w:rsidRPr="00EF4E76">
              <w:rPr>
                <w:rFonts w:cs="Arial"/>
                <w:sz w:val="22"/>
              </w:rPr>
              <w:t>Policy advisor</w:t>
            </w:r>
          </w:p>
        </w:tc>
        <w:tc>
          <w:tcPr>
            <w:tcW w:w="3778" w:type="pct"/>
            <w:tcBorders>
              <w:bottom w:val="single" w:sz="4" w:space="0" w:color="auto"/>
            </w:tcBorders>
            <w:shd w:val="clear" w:color="auto" w:fill="auto"/>
          </w:tcPr>
          <w:p w14:paraId="096B7BB4" w14:textId="3AE6DC16" w:rsidR="0095399A" w:rsidRPr="00EF4E76" w:rsidRDefault="00E83F73" w:rsidP="004E2D27">
            <w:pPr>
              <w:spacing w:before="120" w:after="120" w:line="240" w:lineRule="auto"/>
              <w:ind w:left="32"/>
              <w:rPr>
                <w:rFonts w:cs="Arial"/>
                <w:sz w:val="22"/>
              </w:rPr>
            </w:pPr>
            <w:r w:rsidRPr="00EF4E76">
              <w:rPr>
                <w:rFonts w:cs="Arial"/>
                <w:sz w:val="22"/>
              </w:rPr>
              <w:t>Senior Manager Operations, Griffith Graduate Research School</w:t>
            </w:r>
          </w:p>
        </w:tc>
      </w:tr>
      <w:tr w:rsidR="0095399A" w:rsidRPr="00EF4E76" w14:paraId="16E54E7F" w14:textId="77777777" w:rsidTr="0006416D">
        <w:tc>
          <w:tcPr>
            <w:tcW w:w="1222" w:type="pct"/>
            <w:tcBorders>
              <w:top w:val="single" w:sz="4" w:space="0" w:color="auto"/>
              <w:bottom w:val="single" w:sz="4" w:space="0" w:color="auto"/>
            </w:tcBorders>
            <w:shd w:val="clear" w:color="auto" w:fill="auto"/>
          </w:tcPr>
          <w:p w14:paraId="6365C1E2" w14:textId="77777777" w:rsidR="0095399A" w:rsidRPr="00EF4E76" w:rsidRDefault="0095399A" w:rsidP="004E2D27">
            <w:pPr>
              <w:spacing w:before="120" w:after="120" w:line="240" w:lineRule="auto"/>
              <w:rPr>
                <w:rFonts w:cs="Arial"/>
                <w:sz w:val="22"/>
              </w:rPr>
            </w:pPr>
            <w:r w:rsidRPr="00EF4E76">
              <w:rPr>
                <w:rFonts w:cs="Arial"/>
                <w:sz w:val="22"/>
              </w:rPr>
              <w:t>Approving authority</w:t>
            </w:r>
          </w:p>
        </w:tc>
        <w:tc>
          <w:tcPr>
            <w:tcW w:w="3778" w:type="pct"/>
            <w:tcBorders>
              <w:top w:val="single" w:sz="4" w:space="0" w:color="auto"/>
              <w:bottom w:val="single" w:sz="4" w:space="0" w:color="auto"/>
            </w:tcBorders>
            <w:shd w:val="clear" w:color="auto" w:fill="auto"/>
          </w:tcPr>
          <w:p w14:paraId="51CBEA38" w14:textId="0023B5F0" w:rsidR="00DB0A25" w:rsidRPr="00EF4E76" w:rsidRDefault="00271426" w:rsidP="004E2D27">
            <w:pPr>
              <w:spacing w:before="120" w:after="120" w:line="240" w:lineRule="auto"/>
              <w:ind w:left="32"/>
              <w:rPr>
                <w:rFonts w:cs="Arial"/>
                <w:sz w:val="22"/>
              </w:rPr>
            </w:pPr>
            <w:r w:rsidRPr="00EF4E76">
              <w:rPr>
                <w:rFonts w:cs="Arial"/>
                <w:sz w:val="22"/>
              </w:rPr>
              <w:t>Dean, Griffith Graduate Research School</w:t>
            </w:r>
          </w:p>
        </w:tc>
      </w:tr>
    </w:tbl>
    <w:p w14:paraId="353E2E13" w14:textId="72F83C0C" w:rsidR="0006416D" w:rsidRPr="00EF4E76" w:rsidRDefault="0006416D" w:rsidP="004E2D27">
      <w:pPr>
        <w:pStyle w:val="Heading2"/>
        <w:spacing w:before="120" w:line="240" w:lineRule="auto"/>
        <w:rPr>
          <w:rFonts w:ascii="Arial" w:hAnsi="Arial" w:cs="Arial"/>
          <w:b/>
          <w:bCs/>
          <w:sz w:val="32"/>
          <w:szCs w:val="32"/>
        </w:rPr>
      </w:pPr>
      <w:bookmarkStart w:id="40" w:name="_6.0_Related_Policy"/>
      <w:bookmarkEnd w:id="40"/>
      <w:r w:rsidRPr="00EF4E76">
        <w:rPr>
          <w:rFonts w:ascii="Arial" w:hAnsi="Arial" w:cs="Arial"/>
          <w:b/>
          <w:bCs/>
          <w:sz w:val="32"/>
          <w:szCs w:val="32"/>
        </w:rPr>
        <w:t>6.0 Related Policy Documents and Supporting Documents</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7706"/>
      </w:tblGrid>
      <w:tr w:rsidR="005E494F" w:rsidRPr="00EF4E76" w14:paraId="1C7EADDE" w14:textId="77777777" w:rsidTr="00DF2841">
        <w:tc>
          <w:tcPr>
            <w:tcW w:w="1222" w:type="pct"/>
            <w:tcBorders>
              <w:bottom w:val="single" w:sz="4" w:space="0" w:color="auto"/>
            </w:tcBorders>
            <w:shd w:val="clear" w:color="auto" w:fill="auto"/>
          </w:tcPr>
          <w:p w14:paraId="2B75BBE8" w14:textId="77777777" w:rsidR="005E494F" w:rsidRPr="00EF4E76" w:rsidRDefault="005E494F" w:rsidP="004E2D27">
            <w:pPr>
              <w:spacing w:before="120" w:after="120" w:line="240" w:lineRule="auto"/>
              <w:rPr>
                <w:rFonts w:cs="Arial"/>
                <w:sz w:val="22"/>
              </w:rPr>
            </w:pPr>
            <w:r w:rsidRPr="00EF4E76">
              <w:rPr>
                <w:rFonts w:cs="Arial"/>
                <w:sz w:val="22"/>
              </w:rPr>
              <w:t xml:space="preserve">Legislation </w:t>
            </w:r>
          </w:p>
        </w:tc>
        <w:tc>
          <w:tcPr>
            <w:tcW w:w="3778" w:type="pct"/>
            <w:tcBorders>
              <w:bottom w:val="single" w:sz="4" w:space="0" w:color="auto"/>
            </w:tcBorders>
            <w:shd w:val="clear" w:color="auto" w:fill="auto"/>
          </w:tcPr>
          <w:p w14:paraId="0B76FCC2" w14:textId="77777777" w:rsidR="005E494F" w:rsidRPr="00A36BF1" w:rsidRDefault="00A72D48" w:rsidP="004E2D27">
            <w:pPr>
              <w:spacing w:before="120" w:after="120" w:line="240" w:lineRule="auto"/>
              <w:ind w:left="32"/>
              <w:rPr>
                <w:rStyle w:val="Hyperlink"/>
                <w:rFonts w:cs="Arial"/>
                <w:sz w:val="22"/>
                <w:u w:val="none"/>
              </w:rPr>
            </w:pPr>
            <w:hyperlink r:id="rId17" w:history="1">
              <w:r w:rsidR="009153A8" w:rsidRPr="00A36BF1">
                <w:rPr>
                  <w:rStyle w:val="Hyperlink"/>
                  <w:rFonts w:cs="Arial"/>
                  <w:sz w:val="22"/>
                  <w:u w:val="none"/>
                </w:rPr>
                <w:t xml:space="preserve">Higher Education </w:t>
              </w:r>
              <w:r w:rsidR="00AF7B44" w:rsidRPr="00A36BF1">
                <w:rPr>
                  <w:rStyle w:val="Hyperlink"/>
                  <w:rFonts w:cs="Arial"/>
                  <w:sz w:val="22"/>
                  <w:u w:val="none"/>
                </w:rPr>
                <w:t>S</w:t>
              </w:r>
              <w:r w:rsidR="00AF7B44" w:rsidRPr="00A36BF1">
                <w:rPr>
                  <w:rStyle w:val="Hyperlink"/>
                  <w:rFonts w:cs="Arial"/>
                  <w:sz w:val="22"/>
                  <w:u w:val="none"/>
                </w:rPr>
                <w:t>t</w:t>
              </w:r>
              <w:r w:rsidR="00AF7B44" w:rsidRPr="00A36BF1">
                <w:rPr>
                  <w:rStyle w:val="Hyperlink"/>
                  <w:rFonts w:cs="Arial"/>
                  <w:sz w:val="22"/>
                  <w:u w:val="none"/>
                </w:rPr>
                <w:t>andards Framework (Threshold Standards) 2021</w:t>
              </w:r>
            </w:hyperlink>
          </w:p>
          <w:p w14:paraId="5EB68E51" w14:textId="3F9F9F98" w:rsidR="00340F0A" w:rsidRPr="00A72D48" w:rsidRDefault="00A72D48" w:rsidP="004E2D27">
            <w:pPr>
              <w:spacing w:before="120" w:after="120" w:line="240" w:lineRule="auto"/>
              <w:ind w:left="32"/>
              <w:rPr>
                <w:rFonts w:cs="Arial"/>
                <w:sz w:val="22"/>
              </w:rPr>
            </w:pPr>
            <w:hyperlink r:id="rId18" w:history="1">
              <w:r w:rsidR="00340F0A" w:rsidRPr="00A72D48">
                <w:rPr>
                  <w:rStyle w:val="Hyperlink"/>
                  <w:rFonts w:cs="Arial"/>
                  <w:sz w:val="22"/>
                  <w:u w:val="none"/>
                </w:rPr>
                <w:t>Gui</w:t>
              </w:r>
              <w:r w:rsidR="00340F0A" w:rsidRPr="00A72D48">
                <w:rPr>
                  <w:rStyle w:val="Hyperlink"/>
                  <w:rFonts w:cs="Arial"/>
                  <w:sz w:val="22"/>
                  <w:u w:val="none"/>
                </w:rPr>
                <w:t>d</w:t>
              </w:r>
              <w:r w:rsidR="00340F0A" w:rsidRPr="00A72D48">
                <w:rPr>
                  <w:rStyle w:val="Hyperlink"/>
                  <w:rFonts w:cs="Arial"/>
                  <w:sz w:val="22"/>
                  <w:u w:val="none"/>
                </w:rPr>
                <w:t xml:space="preserve">elines </w:t>
              </w:r>
              <w:r w:rsidR="00F96686" w:rsidRPr="00A72D48">
                <w:rPr>
                  <w:rStyle w:val="Hyperlink"/>
                  <w:rFonts w:cs="Arial"/>
                  <w:sz w:val="22"/>
                  <w:u w:val="none"/>
                </w:rPr>
                <w:t>to Coun</w:t>
              </w:r>
              <w:r w:rsidR="00310F0C" w:rsidRPr="00A72D48">
                <w:rPr>
                  <w:rStyle w:val="Hyperlink"/>
                  <w:rFonts w:cs="Arial"/>
                  <w:sz w:val="22"/>
                  <w:u w:val="none"/>
                </w:rPr>
                <w:t>t</w:t>
              </w:r>
              <w:r w:rsidR="00F96686" w:rsidRPr="00A72D48">
                <w:rPr>
                  <w:rStyle w:val="Hyperlink"/>
                  <w:rFonts w:cs="Arial"/>
                  <w:sz w:val="22"/>
                  <w:u w:val="none"/>
                </w:rPr>
                <w:t>er</w:t>
              </w:r>
              <w:r w:rsidR="00340F0A" w:rsidRPr="00A72D48">
                <w:rPr>
                  <w:rStyle w:val="Hyperlink"/>
                  <w:rFonts w:cs="Arial"/>
                  <w:sz w:val="22"/>
                  <w:u w:val="none"/>
                </w:rPr>
                <w:t xml:space="preserve"> Foreign Interference in the </w:t>
              </w:r>
              <w:r w:rsidR="006E77C5" w:rsidRPr="00A72D48">
                <w:rPr>
                  <w:rStyle w:val="Hyperlink"/>
                  <w:rFonts w:cs="Arial"/>
                  <w:sz w:val="22"/>
                  <w:u w:val="none"/>
                </w:rPr>
                <w:t>Australian University</w:t>
              </w:r>
              <w:r w:rsidR="00340F0A" w:rsidRPr="00A72D48">
                <w:rPr>
                  <w:rStyle w:val="Hyperlink"/>
                  <w:rFonts w:cs="Arial"/>
                  <w:sz w:val="22"/>
                  <w:u w:val="none"/>
                </w:rPr>
                <w:t xml:space="preserve"> Sect</w:t>
              </w:r>
              <w:r w:rsidR="00340F0A" w:rsidRPr="00A72D48">
                <w:rPr>
                  <w:rStyle w:val="Hyperlink"/>
                  <w:rFonts w:cs="Arial"/>
                  <w:sz w:val="22"/>
                  <w:u w:val="none"/>
                </w:rPr>
                <w:t>o</w:t>
              </w:r>
              <w:r w:rsidR="00340F0A" w:rsidRPr="00A72D48">
                <w:rPr>
                  <w:rStyle w:val="Hyperlink"/>
                  <w:rFonts w:cs="Arial"/>
                  <w:sz w:val="22"/>
                  <w:u w:val="none"/>
                </w:rPr>
                <w:t>r</w:t>
              </w:r>
            </w:hyperlink>
          </w:p>
        </w:tc>
      </w:tr>
      <w:tr w:rsidR="005E494F" w:rsidRPr="00EF4E76" w14:paraId="6B9273E8" w14:textId="77777777" w:rsidTr="00DF2841">
        <w:tc>
          <w:tcPr>
            <w:tcW w:w="1222" w:type="pct"/>
            <w:tcBorders>
              <w:top w:val="single" w:sz="4" w:space="0" w:color="auto"/>
              <w:bottom w:val="single" w:sz="4" w:space="0" w:color="auto"/>
            </w:tcBorders>
            <w:shd w:val="clear" w:color="auto" w:fill="auto"/>
          </w:tcPr>
          <w:p w14:paraId="42E0DB77" w14:textId="77777777" w:rsidR="005E494F" w:rsidRPr="00EF4E76" w:rsidRDefault="005E494F" w:rsidP="004E2D27">
            <w:pPr>
              <w:spacing w:before="120" w:after="120" w:line="240" w:lineRule="auto"/>
              <w:rPr>
                <w:rFonts w:cs="Arial"/>
                <w:sz w:val="22"/>
              </w:rPr>
            </w:pPr>
            <w:r w:rsidRPr="00EF4E76">
              <w:rPr>
                <w:rFonts w:cs="Arial"/>
                <w:sz w:val="22"/>
              </w:rPr>
              <w:t>Policy</w:t>
            </w:r>
          </w:p>
        </w:tc>
        <w:tc>
          <w:tcPr>
            <w:tcW w:w="3778" w:type="pct"/>
            <w:tcBorders>
              <w:top w:val="single" w:sz="4" w:space="0" w:color="auto"/>
              <w:bottom w:val="single" w:sz="4" w:space="0" w:color="auto"/>
            </w:tcBorders>
            <w:shd w:val="clear" w:color="auto" w:fill="auto"/>
          </w:tcPr>
          <w:p w14:paraId="5814138B" w14:textId="42834261" w:rsidR="005E494F" w:rsidRPr="00A36BF1" w:rsidRDefault="00A72D48" w:rsidP="004E2D27">
            <w:pPr>
              <w:spacing w:before="120" w:after="120" w:line="240" w:lineRule="auto"/>
              <w:ind w:left="32"/>
              <w:rPr>
                <w:rFonts w:cs="Arial"/>
                <w:color w:val="E30918"/>
                <w:sz w:val="22"/>
              </w:rPr>
            </w:pPr>
            <w:hyperlink r:id="rId19" w:history="1">
              <w:r w:rsidR="00CF652A" w:rsidRPr="00A36BF1">
                <w:rPr>
                  <w:rStyle w:val="Hyperlink"/>
                  <w:rFonts w:cs="Arial"/>
                  <w:sz w:val="22"/>
                  <w:u w:val="none"/>
                </w:rPr>
                <w:t>Higher D</w:t>
              </w:r>
              <w:r w:rsidR="00CF652A" w:rsidRPr="00A36BF1">
                <w:rPr>
                  <w:rStyle w:val="Hyperlink"/>
                  <w:rFonts w:cs="Arial"/>
                  <w:sz w:val="22"/>
                  <w:u w:val="none"/>
                </w:rPr>
                <w:t>e</w:t>
              </w:r>
              <w:r w:rsidR="00CF652A" w:rsidRPr="00A36BF1">
                <w:rPr>
                  <w:rStyle w:val="Hyperlink"/>
                  <w:rFonts w:cs="Arial"/>
                  <w:sz w:val="22"/>
                  <w:u w:val="none"/>
                </w:rPr>
                <w:t xml:space="preserve">gree </w:t>
              </w:r>
              <w:r w:rsidR="00A95051" w:rsidRPr="00A36BF1">
                <w:rPr>
                  <w:rStyle w:val="Hyperlink"/>
                  <w:rFonts w:cs="Arial"/>
                  <w:sz w:val="22"/>
                  <w:u w:val="none"/>
                </w:rPr>
                <w:t xml:space="preserve">by </w:t>
              </w:r>
              <w:r w:rsidR="00CF652A" w:rsidRPr="00A36BF1">
                <w:rPr>
                  <w:rStyle w:val="Hyperlink"/>
                  <w:rFonts w:cs="Arial"/>
                  <w:sz w:val="22"/>
                  <w:u w:val="none"/>
                </w:rPr>
                <w:t>Research Policy</w:t>
              </w:r>
            </w:hyperlink>
          </w:p>
          <w:p w14:paraId="43AFC1E5" w14:textId="3EF8EDDD" w:rsidR="00CD05DE" w:rsidRPr="00061F5B" w:rsidRDefault="00A72D48" w:rsidP="004E2D27">
            <w:pPr>
              <w:spacing w:before="120" w:after="120" w:line="240" w:lineRule="auto"/>
              <w:ind w:left="32"/>
              <w:rPr>
                <w:rFonts w:cs="Arial"/>
                <w:color w:val="E30918"/>
                <w:sz w:val="22"/>
              </w:rPr>
            </w:pPr>
            <w:hyperlink r:id="rId20" w:history="1">
              <w:r w:rsidR="004B3BB0" w:rsidRPr="00061F5B">
                <w:rPr>
                  <w:rStyle w:val="Hyperlink"/>
                  <w:rFonts w:cs="Arial"/>
                  <w:sz w:val="22"/>
                  <w:u w:val="none"/>
                </w:rPr>
                <w:t>Admissio</w:t>
              </w:r>
              <w:r w:rsidR="004B3BB0" w:rsidRPr="00061F5B">
                <w:rPr>
                  <w:rStyle w:val="Hyperlink"/>
                  <w:rFonts w:cs="Arial"/>
                  <w:sz w:val="22"/>
                  <w:u w:val="none"/>
                </w:rPr>
                <w:t>n</w:t>
              </w:r>
              <w:r w:rsidR="004B3BB0" w:rsidRPr="00061F5B">
                <w:rPr>
                  <w:rStyle w:val="Hyperlink"/>
                  <w:rFonts w:cs="Arial"/>
                  <w:sz w:val="22"/>
                  <w:u w:val="none"/>
                </w:rPr>
                <w:t xml:space="preserve"> Policy</w:t>
              </w:r>
            </w:hyperlink>
          </w:p>
          <w:p w14:paraId="47503873" w14:textId="0BC434E7" w:rsidR="00C03B66" w:rsidRPr="00A36BF1" w:rsidRDefault="00A72D48" w:rsidP="00003C21">
            <w:pPr>
              <w:spacing w:before="120" w:after="120" w:line="240" w:lineRule="auto"/>
              <w:ind w:left="32"/>
              <w:rPr>
                <w:rFonts w:cs="Arial"/>
                <w:color w:val="E30918"/>
                <w:sz w:val="22"/>
              </w:rPr>
            </w:pPr>
            <w:hyperlink r:id="rId21" w:history="1">
              <w:r w:rsidR="00CD05DE" w:rsidRPr="00A36BF1">
                <w:rPr>
                  <w:rStyle w:val="Hyperlink"/>
                  <w:rFonts w:cs="Arial"/>
                  <w:sz w:val="22"/>
                  <w:u w:val="none"/>
                </w:rPr>
                <w:t>Student R</w:t>
              </w:r>
              <w:r w:rsidR="00CD05DE" w:rsidRPr="00A36BF1">
                <w:rPr>
                  <w:rStyle w:val="Hyperlink"/>
                  <w:rFonts w:cs="Arial"/>
                  <w:sz w:val="22"/>
                  <w:u w:val="none"/>
                </w:rPr>
                <w:t>e</w:t>
              </w:r>
              <w:r w:rsidR="00CD05DE" w:rsidRPr="00A36BF1">
                <w:rPr>
                  <w:rStyle w:val="Hyperlink"/>
                  <w:rFonts w:cs="Arial"/>
                  <w:sz w:val="22"/>
                  <w:u w:val="none"/>
                </w:rPr>
                <w:t>view and Appeals Policy</w:t>
              </w:r>
            </w:hyperlink>
          </w:p>
        </w:tc>
      </w:tr>
      <w:tr w:rsidR="005E494F" w:rsidRPr="00EF4E76" w14:paraId="2BF6E089" w14:textId="77777777" w:rsidTr="00DF2841">
        <w:tc>
          <w:tcPr>
            <w:tcW w:w="1222" w:type="pct"/>
            <w:tcBorders>
              <w:top w:val="single" w:sz="4" w:space="0" w:color="auto"/>
              <w:bottom w:val="single" w:sz="4" w:space="0" w:color="auto"/>
            </w:tcBorders>
            <w:shd w:val="clear" w:color="auto" w:fill="auto"/>
          </w:tcPr>
          <w:p w14:paraId="6C758D34" w14:textId="514AB5CB" w:rsidR="005E494F" w:rsidRPr="00EF4E76" w:rsidRDefault="005E494F" w:rsidP="004E2D27">
            <w:pPr>
              <w:spacing w:before="120" w:after="120" w:line="240" w:lineRule="auto"/>
              <w:rPr>
                <w:rFonts w:cs="Arial"/>
                <w:sz w:val="22"/>
              </w:rPr>
            </w:pPr>
            <w:r w:rsidRPr="00EF4E76">
              <w:rPr>
                <w:rFonts w:cs="Arial"/>
                <w:sz w:val="22"/>
              </w:rPr>
              <w:t>Procedure</w:t>
            </w:r>
          </w:p>
        </w:tc>
        <w:tc>
          <w:tcPr>
            <w:tcW w:w="3778" w:type="pct"/>
            <w:tcBorders>
              <w:top w:val="single" w:sz="4" w:space="0" w:color="auto"/>
              <w:bottom w:val="single" w:sz="4" w:space="0" w:color="auto"/>
            </w:tcBorders>
            <w:shd w:val="clear" w:color="auto" w:fill="auto"/>
          </w:tcPr>
          <w:p w14:paraId="03C17C2B" w14:textId="027A43E3" w:rsidR="002D08FA" w:rsidRPr="00A36BF1" w:rsidRDefault="00A72D48" w:rsidP="002D08FA">
            <w:pPr>
              <w:spacing w:before="120" w:after="120" w:line="240" w:lineRule="auto"/>
              <w:ind w:left="32"/>
              <w:rPr>
                <w:rStyle w:val="Hyperlink"/>
                <w:rFonts w:cs="Arial"/>
                <w:sz w:val="22"/>
                <w:u w:val="none"/>
              </w:rPr>
            </w:pPr>
            <w:hyperlink r:id="rId22" w:history="1">
              <w:r w:rsidR="002D08FA" w:rsidRPr="00A36BF1">
                <w:rPr>
                  <w:rStyle w:val="Hyperlink"/>
                  <w:rFonts w:cs="Arial"/>
                  <w:sz w:val="22"/>
                  <w:u w:val="none"/>
                </w:rPr>
                <w:t>Credit a</w:t>
              </w:r>
              <w:r w:rsidR="002D08FA" w:rsidRPr="00A36BF1">
                <w:rPr>
                  <w:rStyle w:val="Hyperlink"/>
                  <w:rFonts w:cs="Arial"/>
                  <w:sz w:val="22"/>
                  <w:u w:val="none"/>
                </w:rPr>
                <w:t>n</w:t>
              </w:r>
              <w:r w:rsidR="002D08FA" w:rsidRPr="00A36BF1">
                <w:rPr>
                  <w:rStyle w:val="Hyperlink"/>
                  <w:rFonts w:cs="Arial"/>
                  <w:sz w:val="22"/>
                  <w:u w:val="none"/>
                </w:rPr>
                <w:t>d Recognition of Prior Learning Procedure</w:t>
              </w:r>
            </w:hyperlink>
          </w:p>
          <w:p w14:paraId="356D7915" w14:textId="75ECBC15" w:rsidR="002C3834" w:rsidRPr="00A36BF1" w:rsidRDefault="00A72D48" w:rsidP="002D08FA">
            <w:pPr>
              <w:spacing w:before="120" w:after="120" w:line="240" w:lineRule="auto"/>
              <w:ind w:left="32"/>
              <w:rPr>
                <w:rStyle w:val="Hyperlink"/>
                <w:rFonts w:cs="Arial"/>
                <w:sz w:val="22"/>
                <w:u w:val="none"/>
              </w:rPr>
            </w:pPr>
            <w:hyperlink r:id="rId23" w:history="1">
              <w:r w:rsidR="002C3834" w:rsidRPr="00A36BF1">
                <w:rPr>
                  <w:rStyle w:val="Hyperlink"/>
                  <w:rFonts w:cs="Arial"/>
                  <w:sz w:val="22"/>
                  <w:u w:val="none"/>
                </w:rPr>
                <w:t xml:space="preserve">English </w:t>
              </w:r>
              <w:r w:rsidR="002C3834" w:rsidRPr="00A36BF1">
                <w:rPr>
                  <w:rStyle w:val="Hyperlink"/>
                  <w:rFonts w:cs="Arial"/>
                  <w:sz w:val="22"/>
                  <w:u w:val="none"/>
                </w:rPr>
                <w:t>L</w:t>
              </w:r>
              <w:r w:rsidR="002C3834" w:rsidRPr="00A36BF1">
                <w:rPr>
                  <w:rStyle w:val="Hyperlink"/>
                  <w:rFonts w:cs="Arial"/>
                  <w:sz w:val="22"/>
                  <w:u w:val="none"/>
                </w:rPr>
                <w:t>anguage Proficiency Schedule</w:t>
              </w:r>
            </w:hyperlink>
          </w:p>
          <w:p w14:paraId="27E9C3B4" w14:textId="77777777" w:rsidR="002C3834" w:rsidRPr="00A36BF1" w:rsidRDefault="00A72D48" w:rsidP="002C3834">
            <w:pPr>
              <w:spacing w:before="120" w:after="120" w:line="240" w:lineRule="auto"/>
              <w:ind w:left="32"/>
              <w:rPr>
                <w:rStyle w:val="Hyperlink"/>
                <w:rFonts w:cs="Arial"/>
                <w:sz w:val="22"/>
                <w:u w:val="none"/>
              </w:rPr>
            </w:pPr>
            <w:hyperlink r:id="rId24" w:history="1">
              <w:r w:rsidR="002C3834" w:rsidRPr="00A36BF1">
                <w:rPr>
                  <w:rStyle w:val="Hyperlink"/>
                  <w:rFonts w:cs="Arial"/>
                  <w:sz w:val="22"/>
                  <w:u w:val="none"/>
                </w:rPr>
                <w:t>Enrolme</w:t>
              </w:r>
              <w:r w:rsidR="002C3834" w:rsidRPr="00A36BF1">
                <w:rPr>
                  <w:rStyle w:val="Hyperlink"/>
                  <w:rFonts w:cs="Arial"/>
                  <w:sz w:val="22"/>
                  <w:u w:val="none"/>
                </w:rPr>
                <w:t>n</w:t>
              </w:r>
              <w:r w:rsidR="002C3834" w:rsidRPr="00A36BF1">
                <w:rPr>
                  <w:rStyle w:val="Hyperlink"/>
                  <w:rFonts w:cs="Arial"/>
                  <w:sz w:val="22"/>
                  <w:u w:val="none"/>
                </w:rPr>
                <w:t>t Procedure</w:t>
              </w:r>
            </w:hyperlink>
          </w:p>
          <w:p w14:paraId="6A10C531" w14:textId="77777777" w:rsidR="002C3834" w:rsidRPr="00A36BF1" w:rsidRDefault="002C3834" w:rsidP="002C3834">
            <w:pPr>
              <w:spacing w:before="120" w:after="120" w:line="240" w:lineRule="auto"/>
              <w:ind w:left="32"/>
              <w:rPr>
                <w:rStyle w:val="Hyperlink"/>
                <w:rFonts w:cs="Arial"/>
                <w:sz w:val="22"/>
                <w:u w:val="none"/>
              </w:rPr>
            </w:pPr>
            <w:r w:rsidRPr="00A36BF1">
              <w:rPr>
                <w:rFonts w:cs="Arial"/>
                <w:sz w:val="22"/>
              </w:rPr>
              <w:fldChar w:fldCharType="begin"/>
            </w:r>
            <w:r w:rsidRPr="00A36BF1">
              <w:rPr>
                <w:rFonts w:cs="Arial"/>
                <w:sz w:val="22"/>
              </w:rPr>
              <w:instrText>HYPERLINK "https://sharepointpubstor.blob.core.windows.net/policylibrary-prod/Fees%20and%20Charges%20Procedure.pdf"</w:instrText>
            </w:r>
            <w:r w:rsidRPr="00A36BF1">
              <w:rPr>
                <w:rFonts w:cs="Arial"/>
                <w:sz w:val="22"/>
              </w:rPr>
            </w:r>
            <w:r w:rsidRPr="00A36BF1">
              <w:rPr>
                <w:rFonts w:cs="Arial"/>
                <w:sz w:val="22"/>
              </w:rPr>
              <w:fldChar w:fldCharType="separate"/>
            </w:r>
            <w:r w:rsidRPr="00A36BF1">
              <w:rPr>
                <w:rStyle w:val="Hyperlink"/>
                <w:rFonts w:cs="Arial"/>
                <w:sz w:val="22"/>
                <w:u w:val="none"/>
              </w:rPr>
              <w:t>Fees and</w:t>
            </w:r>
            <w:r w:rsidRPr="00A36BF1">
              <w:rPr>
                <w:rStyle w:val="Hyperlink"/>
                <w:rFonts w:cs="Arial"/>
                <w:sz w:val="22"/>
                <w:u w:val="none"/>
              </w:rPr>
              <w:t xml:space="preserve"> </w:t>
            </w:r>
            <w:r w:rsidRPr="00A36BF1">
              <w:rPr>
                <w:rStyle w:val="Hyperlink"/>
                <w:rFonts w:cs="Arial"/>
                <w:sz w:val="22"/>
                <w:u w:val="none"/>
              </w:rPr>
              <w:t>Charges Procedure</w:t>
            </w:r>
          </w:p>
          <w:p w14:paraId="2069E8EE" w14:textId="4B1AC6F2" w:rsidR="002C3834" w:rsidRPr="00A36BF1" w:rsidRDefault="002C3834" w:rsidP="002C3834">
            <w:pPr>
              <w:spacing w:before="120" w:after="120" w:line="240" w:lineRule="auto"/>
              <w:ind w:left="32"/>
              <w:rPr>
                <w:rStyle w:val="Hyperlink"/>
                <w:rFonts w:cs="Arial"/>
                <w:sz w:val="22"/>
                <w:u w:val="none"/>
              </w:rPr>
            </w:pPr>
            <w:r w:rsidRPr="00A36BF1">
              <w:rPr>
                <w:rFonts w:cs="Arial"/>
                <w:sz w:val="22"/>
              </w:rPr>
              <w:fldChar w:fldCharType="end"/>
            </w:r>
            <w:r w:rsidRPr="00A36BF1">
              <w:rPr>
                <w:rFonts w:cs="Arial"/>
                <w:sz w:val="22"/>
              </w:rPr>
              <w:fldChar w:fldCharType="begin"/>
            </w:r>
            <w:r w:rsidRPr="00A36BF1">
              <w:rPr>
                <w:rFonts w:cs="Arial"/>
                <w:sz w:val="22"/>
              </w:rPr>
              <w:instrText>HYPERLINK "https://sharepointpubstor.blob.core.windows.net/policylibrary-prod/Fees%20and%20Charges%20Schedules.pdf"</w:instrText>
            </w:r>
            <w:r w:rsidRPr="00A36BF1">
              <w:rPr>
                <w:rFonts w:cs="Arial"/>
                <w:sz w:val="22"/>
              </w:rPr>
            </w:r>
            <w:r w:rsidRPr="00A36BF1">
              <w:rPr>
                <w:rFonts w:cs="Arial"/>
                <w:sz w:val="22"/>
              </w:rPr>
              <w:fldChar w:fldCharType="separate"/>
            </w:r>
            <w:r w:rsidRPr="00A36BF1">
              <w:rPr>
                <w:rStyle w:val="Hyperlink"/>
                <w:rFonts w:cs="Arial"/>
                <w:sz w:val="22"/>
                <w:u w:val="none"/>
              </w:rPr>
              <w:t>Fees an</w:t>
            </w:r>
            <w:r w:rsidRPr="00A36BF1">
              <w:rPr>
                <w:rStyle w:val="Hyperlink"/>
                <w:rFonts w:cs="Arial"/>
                <w:sz w:val="22"/>
                <w:u w:val="none"/>
              </w:rPr>
              <w:t>d</w:t>
            </w:r>
            <w:r w:rsidRPr="00A36BF1">
              <w:rPr>
                <w:rStyle w:val="Hyperlink"/>
                <w:rFonts w:cs="Arial"/>
                <w:sz w:val="22"/>
                <w:u w:val="none"/>
              </w:rPr>
              <w:t xml:space="preserve"> Charges Schedule</w:t>
            </w:r>
          </w:p>
          <w:p w14:paraId="2D1B051E" w14:textId="4C518807" w:rsidR="00BF620F" w:rsidRPr="00A36BF1" w:rsidRDefault="002C3834" w:rsidP="004E2D27">
            <w:pPr>
              <w:spacing w:before="120" w:after="120" w:line="240" w:lineRule="auto"/>
              <w:ind w:left="32"/>
              <w:rPr>
                <w:rFonts w:cs="Arial"/>
                <w:sz w:val="22"/>
              </w:rPr>
            </w:pPr>
            <w:r w:rsidRPr="00A36BF1">
              <w:rPr>
                <w:rFonts w:cs="Arial"/>
                <w:sz w:val="22"/>
              </w:rPr>
              <w:lastRenderedPageBreak/>
              <w:fldChar w:fldCharType="end"/>
            </w:r>
            <w:hyperlink r:id="rId25" w:history="1">
              <w:r w:rsidR="00BF620F" w:rsidRPr="00A36BF1">
                <w:rPr>
                  <w:rStyle w:val="Hyperlink"/>
                  <w:rFonts w:cs="Arial"/>
                  <w:sz w:val="22"/>
                  <w:u w:val="none"/>
                </w:rPr>
                <w:t>Higher Degree by Resea</w:t>
              </w:r>
              <w:r w:rsidR="00BF620F" w:rsidRPr="00A36BF1">
                <w:rPr>
                  <w:rStyle w:val="Hyperlink"/>
                  <w:rFonts w:cs="Arial"/>
                  <w:sz w:val="22"/>
                  <w:u w:val="none"/>
                </w:rPr>
                <w:t>r</w:t>
              </w:r>
              <w:r w:rsidR="00BF620F" w:rsidRPr="00A36BF1">
                <w:rPr>
                  <w:rStyle w:val="Hyperlink"/>
                  <w:rFonts w:cs="Arial"/>
                  <w:sz w:val="22"/>
                  <w:u w:val="none"/>
                </w:rPr>
                <w:t>ch Academic Progress Procedure</w:t>
              </w:r>
            </w:hyperlink>
          </w:p>
          <w:p w14:paraId="3F470E03" w14:textId="31C6A7AA" w:rsidR="000411D0" w:rsidRPr="00A36BF1" w:rsidRDefault="00A72D48" w:rsidP="004E2D27">
            <w:pPr>
              <w:spacing w:before="120" w:after="120" w:line="240" w:lineRule="auto"/>
              <w:ind w:left="32"/>
              <w:rPr>
                <w:rFonts w:cs="Arial"/>
                <w:color w:val="E30918"/>
                <w:sz w:val="22"/>
              </w:rPr>
            </w:pPr>
            <w:hyperlink r:id="rId26" w:history="1">
              <w:r w:rsidR="000411D0" w:rsidRPr="00A36BF1">
                <w:rPr>
                  <w:rStyle w:val="Hyperlink"/>
                  <w:rFonts w:cs="Arial"/>
                  <w:sz w:val="22"/>
                  <w:u w:val="none"/>
                </w:rPr>
                <w:t>Higher Degree</w:t>
              </w:r>
              <w:r w:rsidR="00A95051" w:rsidRPr="00A36BF1">
                <w:rPr>
                  <w:rStyle w:val="Hyperlink"/>
                  <w:rFonts w:cs="Arial"/>
                  <w:sz w:val="22"/>
                  <w:u w:val="none"/>
                </w:rPr>
                <w:t xml:space="preserve"> by</w:t>
              </w:r>
              <w:r w:rsidR="000411D0" w:rsidRPr="00A36BF1">
                <w:rPr>
                  <w:rStyle w:val="Hyperlink"/>
                  <w:rFonts w:cs="Arial"/>
                  <w:sz w:val="22"/>
                  <w:u w:val="none"/>
                </w:rPr>
                <w:t xml:space="preserve"> Rese</w:t>
              </w:r>
              <w:r w:rsidR="000411D0" w:rsidRPr="00A36BF1">
                <w:rPr>
                  <w:rStyle w:val="Hyperlink"/>
                  <w:rFonts w:cs="Arial"/>
                  <w:sz w:val="22"/>
                  <w:u w:val="none"/>
                </w:rPr>
                <w:t>a</w:t>
              </w:r>
              <w:r w:rsidR="000411D0" w:rsidRPr="00A36BF1">
                <w:rPr>
                  <w:rStyle w:val="Hyperlink"/>
                  <w:rFonts w:cs="Arial"/>
                  <w:sz w:val="22"/>
                  <w:u w:val="none"/>
                </w:rPr>
                <w:t>rch Enrolment and Variations Procedure</w:t>
              </w:r>
            </w:hyperlink>
          </w:p>
          <w:p w14:paraId="7C145129" w14:textId="524050EA" w:rsidR="000411D0" w:rsidRPr="00A36BF1" w:rsidRDefault="00A72D48" w:rsidP="004E2D27">
            <w:pPr>
              <w:spacing w:before="120" w:after="120" w:line="240" w:lineRule="auto"/>
              <w:ind w:left="32"/>
              <w:rPr>
                <w:rFonts w:cs="Arial"/>
                <w:color w:val="E30918"/>
                <w:sz w:val="22"/>
              </w:rPr>
            </w:pPr>
            <w:hyperlink r:id="rId27" w:history="1">
              <w:r w:rsidR="000411D0" w:rsidRPr="00A36BF1">
                <w:rPr>
                  <w:rStyle w:val="Hyperlink"/>
                  <w:rFonts w:cs="Arial"/>
                  <w:sz w:val="22"/>
                  <w:u w:val="none"/>
                </w:rPr>
                <w:t>Higher Degree</w:t>
              </w:r>
              <w:r w:rsidR="00A95051" w:rsidRPr="00A36BF1">
                <w:rPr>
                  <w:rStyle w:val="Hyperlink"/>
                  <w:rFonts w:cs="Arial"/>
                  <w:sz w:val="22"/>
                  <w:u w:val="none"/>
                </w:rPr>
                <w:t xml:space="preserve"> by</w:t>
              </w:r>
              <w:r w:rsidR="000411D0" w:rsidRPr="00A36BF1">
                <w:rPr>
                  <w:rStyle w:val="Hyperlink"/>
                  <w:rFonts w:cs="Arial"/>
                  <w:sz w:val="22"/>
                  <w:u w:val="none"/>
                </w:rPr>
                <w:t xml:space="preserve"> Rese</w:t>
              </w:r>
              <w:r w:rsidR="000411D0" w:rsidRPr="00A36BF1">
                <w:rPr>
                  <w:rStyle w:val="Hyperlink"/>
                  <w:rFonts w:cs="Arial"/>
                  <w:sz w:val="22"/>
                  <w:u w:val="none"/>
                </w:rPr>
                <w:t>a</w:t>
              </w:r>
              <w:r w:rsidR="000411D0" w:rsidRPr="00A36BF1">
                <w:rPr>
                  <w:rStyle w:val="Hyperlink"/>
                  <w:rFonts w:cs="Arial"/>
                  <w:sz w:val="22"/>
                  <w:u w:val="none"/>
                </w:rPr>
                <w:t>rch Supervision Procedure</w:t>
              </w:r>
            </w:hyperlink>
          </w:p>
          <w:p w14:paraId="10D966AE" w14:textId="7F14C2C9" w:rsidR="002C3834" w:rsidRPr="00A36BF1" w:rsidRDefault="00A72D48" w:rsidP="002C3834">
            <w:pPr>
              <w:spacing w:before="120" w:after="120" w:line="240" w:lineRule="auto"/>
              <w:ind w:left="32"/>
              <w:rPr>
                <w:rStyle w:val="Hyperlink"/>
                <w:rFonts w:cs="Arial"/>
                <w:sz w:val="22"/>
                <w:u w:val="none"/>
              </w:rPr>
            </w:pPr>
            <w:hyperlink r:id="rId28" w:history="1">
              <w:r w:rsidR="000411D0" w:rsidRPr="00A36BF1">
                <w:rPr>
                  <w:rStyle w:val="Hyperlink"/>
                  <w:rFonts w:cs="Arial"/>
                  <w:sz w:val="22"/>
                  <w:u w:val="none"/>
                </w:rPr>
                <w:t>Higher Degree</w:t>
              </w:r>
              <w:r w:rsidR="00A95051" w:rsidRPr="00A36BF1">
                <w:rPr>
                  <w:rStyle w:val="Hyperlink"/>
                  <w:rFonts w:cs="Arial"/>
                  <w:sz w:val="22"/>
                  <w:u w:val="none"/>
                </w:rPr>
                <w:t xml:space="preserve"> by</w:t>
              </w:r>
              <w:r w:rsidR="000411D0" w:rsidRPr="00A36BF1">
                <w:rPr>
                  <w:rStyle w:val="Hyperlink"/>
                  <w:rFonts w:cs="Arial"/>
                  <w:sz w:val="22"/>
                  <w:u w:val="none"/>
                </w:rPr>
                <w:t xml:space="preserve"> Rese</w:t>
              </w:r>
              <w:r w:rsidR="000411D0" w:rsidRPr="00A36BF1">
                <w:rPr>
                  <w:rStyle w:val="Hyperlink"/>
                  <w:rFonts w:cs="Arial"/>
                  <w:sz w:val="22"/>
                  <w:u w:val="none"/>
                </w:rPr>
                <w:t>a</w:t>
              </w:r>
              <w:r w:rsidR="000411D0" w:rsidRPr="00A36BF1">
                <w:rPr>
                  <w:rStyle w:val="Hyperlink"/>
                  <w:rFonts w:cs="Arial"/>
                  <w:sz w:val="22"/>
                  <w:u w:val="none"/>
                </w:rPr>
                <w:t>rch Scholarship Procedure</w:t>
              </w:r>
            </w:hyperlink>
          </w:p>
          <w:p w14:paraId="31A44EA2" w14:textId="5CD5EE0B" w:rsidR="00003C21" w:rsidRPr="00A36BF1" w:rsidRDefault="00A72D48" w:rsidP="002C3834">
            <w:pPr>
              <w:spacing w:before="120" w:after="120" w:line="240" w:lineRule="auto"/>
              <w:ind w:left="32"/>
              <w:rPr>
                <w:rFonts w:cs="Arial"/>
                <w:color w:val="E30918"/>
                <w:sz w:val="22"/>
              </w:rPr>
            </w:pPr>
            <w:hyperlink r:id="rId29" w:history="1">
              <w:r w:rsidR="00003C21" w:rsidRPr="00A36BF1">
                <w:rPr>
                  <w:rStyle w:val="Hyperlink"/>
                  <w:rFonts w:cs="Arial"/>
                  <w:sz w:val="22"/>
                  <w:u w:val="none"/>
                </w:rPr>
                <w:t xml:space="preserve">Qualifications </w:t>
              </w:r>
              <w:r w:rsidR="00003C21" w:rsidRPr="00A36BF1">
                <w:rPr>
                  <w:rStyle w:val="Hyperlink"/>
                  <w:rFonts w:cs="Arial"/>
                  <w:sz w:val="22"/>
                  <w:u w:val="none"/>
                </w:rPr>
                <w:t>P</w:t>
              </w:r>
              <w:r w:rsidR="00003C21" w:rsidRPr="00A36BF1">
                <w:rPr>
                  <w:rStyle w:val="Hyperlink"/>
                  <w:rFonts w:cs="Arial"/>
                  <w:sz w:val="22"/>
                  <w:u w:val="none"/>
                </w:rPr>
                <w:t>rocedure</w:t>
              </w:r>
            </w:hyperlink>
          </w:p>
          <w:p w14:paraId="74B702E4" w14:textId="790F0DCB" w:rsidR="005E494F" w:rsidRPr="00A36BF1" w:rsidRDefault="00A72D48" w:rsidP="004E2D27">
            <w:pPr>
              <w:spacing w:before="120" w:after="120" w:line="240" w:lineRule="auto"/>
              <w:ind w:left="32"/>
              <w:rPr>
                <w:rFonts w:cs="Arial"/>
                <w:color w:val="E30918"/>
                <w:sz w:val="22"/>
              </w:rPr>
            </w:pPr>
            <w:hyperlink r:id="rId30" w:history="1">
              <w:r w:rsidR="000411D0" w:rsidRPr="00A36BF1">
                <w:rPr>
                  <w:rStyle w:val="Hyperlink"/>
                  <w:rFonts w:cs="Arial"/>
                  <w:sz w:val="22"/>
                  <w:u w:val="none"/>
                </w:rPr>
                <w:t>Student Revie</w:t>
              </w:r>
              <w:r w:rsidR="000411D0" w:rsidRPr="00A36BF1">
                <w:rPr>
                  <w:rStyle w:val="Hyperlink"/>
                  <w:rFonts w:cs="Arial"/>
                  <w:sz w:val="22"/>
                  <w:u w:val="none"/>
                </w:rPr>
                <w:t>w</w:t>
              </w:r>
              <w:r w:rsidR="000411D0" w:rsidRPr="00A36BF1">
                <w:rPr>
                  <w:rStyle w:val="Hyperlink"/>
                  <w:rFonts w:cs="Arial"/>
                  <w:sz w:val="22"/>
                  <w:u w:val="none"/>
                </w:rPr>
                <w:t xml:space="preserve"> and Appeals Procedure</w:t>
              </w:r>
            </w:hyperlink>
          </w:p>
        </w:tc>
      </w:tr>
    </w:tbl>
    <w:p w14:paraId="680A8379" w14:textId="0CA28731" w:rsidR="00814590" w:rsidRPr="00EF4E76" w:rsidRDefault="00814590" w:rsidP="004E2D27">
      <w:pPr>
        <w:tabs>
          <w:tab w:val="left" w:pos="8550"/>
        </w:tabs>
        <w:spacing w:before="120" w:after="120" w:line="240" w:lineRule="auto"/>
        <w:rPr>
          <w:rFonts w:cs="Arial"/>
          <w:sz w:val="22"/>
        </w:rPr>
      </w:pPr>
    </w:p>
    <w:sectPr w:rsidR="00814590" w:rsidRPr="00EF4E76" w:rsidSect="00A72D48">
      <w:headerReference w:type="default" r:id="rId31"/>
      <w:footerReference w:type="default" r:id="rId32"/>
      <w:headerReference w:type="first" r:id="rId33"/>
      <w:footerReference w:type="first" r:id="rId34"/>
      <w:pgSz w:w="11900" w:h="16840"/>
      <w:pgMar w:top="1985" w:right="851" w:bottom="851" w:left="85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B39B" w14:textId="77777777" w:rsidR="00062FCB" w:rsidRDefault="00062FCB" w:rsidP="00F45E9C">
      <w:r>
        <w:separator/>
      </w:r>
    </w:p>
  </w:endnote>
  <w:endnote w:type="continuationSeparator" w:id="0">
    <w:p w14:paraId="3DB0C897" w14:textId="77777777" w:rsidR="00062FCB" w:rsidRDefault="00062FCB" w:rsidP="00F45E9C">
      <w:r>
        <w:continuationSeparator/>
      </w:r>
    </w:p>
  </w:endnote>
  <w:endnote w:type="continuationNotice" w:id="1">
    <w:p w14:paraId="68A9E0AB" w14:textId="77777777" w:rsidR="00062FCB" w:rsidRDefault="00062F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undrySterling-Light">
    <w:altName w:val="Cambria"/>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6F" w:usb1="500160FB" w:usb2="00000010" w:usb3="00000000" w:csb0="00000093" w:csb1="00000000"/>
  </w:font>
  <w:font w:name="Yu Mincho">
    <w:altName w:val="游明朝"/>
    <w:charset w:val="80"/>
    <w:family w:val="roman"/>
    <w:pitch w:val="variable"/>
    <w:sig w:usb0="800002E7" w:usb1="2AC7FCFF" w:usb2="00000012" w:usb3="00000000" w:csb0="0002009F" w:csb1="00000000"/>
  </w:font>
  <w:font w:name="FoundrySterling-Book">
    <w:altName w:val="Courier New"/>
    <w:panose1 w:val="020005030400000200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default"/>
  </w:font>
  <w:font w:name="SimSun-ExtB">
    <w:panose1 w:val="02010609060101010101"/>
    <w:charset w:val="86"/>
    <w:family w:val="modern"/>
    <w:pitch w:val="fixed"/>
    <w:sig w:usb0="00000003" w:usb1="0A0E0000" w:usb2="00000010" w:usb3="00000000" w:csb0="00040001"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6E3E0B15" w:rsidR="007C1483" w:rsidRDefault="000D2ED9"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Higher Degree by Research Admission Procedure </w:t>
        </w:r>
        <w:r w:rsidR="007C1483" w:rsidRPr="00102B8A">
          <w:rPr>
            <w:rFonts w:asciiTheme="minorHAnsi" w:hAnsiTheme="minorHAnsi" w:cstheme="minorHAnsi"/>
            <w:color w:val="70787B"/>
            <w:sz w:val="15"/>
            <w:szCs w:val="15"/>
          </w:rPr>
          <w:t xml:space="preserve">| </w:t>
        </w:r>
        <w:r w:rsidR="00F00890">
          <w:rPr>
            <w:rFonts w:asciiTheme="minorHAnsi" w:hAnsiTheme="minorHAnsi" w:cstheme="minorHAnsi"/>
            <w:color w:val="70787B"/>
            <w:sz w:val="15"/>
            <w:szCs w:val="15"/>
          </w:rPr>
          <w:t>November</w:t>
        </w:r>
        <w:r w:rsidR="007C1483" w:rsidRPr="00102B8A">
          <w:rPr>
            <w:rFonts w:asciiTheme="minorHAnsi" w:hAnsiTheme="minorHAnsi" w:cstheme="minorHAnsi"/>
            <w:color w:val="70787B"/>
            <w:sz w:val="15"/>
            <w:szCs w:val="15"/>
          </w:rPr>
          <w:t xml:space="preserve"> 20</w:t>
        </w:r>
        <w:r>
          <w:rPr>
            <w:rFonts w:asciiTheme="minorHAnsi" w:hAnsiTheme="minorHAnsi" w:cstheme="minorHAnsi"/>
            <w:color w:val="70787B"/>
            <w:sz w:val="15"/>
            <w:szCs w:val="15"/>
          </w:rPr>
          <w:t>23</w:t>
        </w:r>
      </w:p>
      <w:p w14:paraId="5A1560DF" w14:textId="3AF04C6C"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w:t>
        </w:r>
        <w:r w:rsidRPr="000D2ED9">
          <w:rPr>
            <w:rFonts w:asciiTheme="minorHAnsi" w:hAnsiTheme="minorHAnsi" w:cstheme="minorHAnsi"/>
            <w:color w:val="70787B"/>
            <w:sz w:val="15"/>
            <w:szCs w:val="15"/>
          </w:rPr>
          <w:t xml:space="preserve">: </w:t>
        </w:r>
        <w:r w:rsidR="000D2ED9" w:rsidRPr="000D2ED9">
          <w:rPr>
            <w:rFonts w:asciiTheme="minorHAnsi" w:hAnsiTheme="minorHAnsi" w:cstheme="minorHAnsi"/>
            <w:color w:val="70787B"/>
            <w:sz w:val="15"/>
            <w:szCs w:val="15"/>
          </w:rPr>
          <w:t>2023</w:t>
        </w:r>
        <w:r w:rsidRPr="000D2ED9">
          <w:rPr>
            <w:rFonts w:asciiTheme="minorHAnsi" w:hAnsiTheme="minorHAnsi" w:cstheme="minorHAnsi"/>
            <w:color w:val="70787B"/>
            <w:sz w:val="15"/>
            <w:szCs w:val="15"/>
          </w:rPr>
          <w:t>/</w:t>
        </w:r>
        <w:r w:rsidR="000D2ED9" w:rsidRPr="000D2ED9">
          <w:rPr>
            <w:rFonts w:asciiTheme="minorHAnsi" w:hAnsiTheme="minorHAnsi" w:cstheme="minorHAnsi"/>
            <w:color w:val="70787B"/>
            <w:sz w:val="15"/>
            <w:szCs w:val="15"/>
          </w:rPr>
          <w:t>0000</w:t>
        </w:r>
        <w:r w:rsidR="00323F48">
          <w:rPr>
            <w:rFonts w:asciiTheme="minorHAnsi" w:hAnsiTheme="minorHAnsi" w:cstheme="minorHAnsi"/>
            <w:color w:val="70787B"/>
            <w:sz w:val="15"/>
            <w:szCs w:val="15"/>
          </w:rPr>
          <w:t>401</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6573319C" w14:textId="7A55DFEB"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58240"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C5CCED" id="Group 8" o:spid="_x0000_s1026" style="position:absolute;margin-left:0;margin-top:-218.95pt;width:280.7pt;height:280.65pt;z-index:251658240;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adj="9943" fillcolor="#d8d8d8 [2732]" stroked="f" strokeweight="1pt"/>
              <w10:wrap anchorx="page"/>
            </v:group>
          </w:pict>
        </mc:Fallback>
      </mc:AlternateContent>
    </w:r>
    <w:r w:rsidR="000D2ED9">
      <w:rPr>
        <w:rFonts w:asciiTheme="minorHAnsi" w:hAnsiTheme="minorHAnsi" w:cstheme="minorHAnsi"/>
        <w:color w:val="70787B"/>
        <w:sz w:val="15"/>
        <w:szCs w:val="15"/>
      </w:rPr>
      <w:t>Higher Degree by Research Admission Procedure</w:t>
    </w:r>
    <w:r w:rsidRPr="00102B8A">
      <w:rPr>
        <w:rFonts w:asciiTheme="minorHAnsi" w:hAnsiTheme="minorHAnsi" w:cstheme="minorHAnsi"/>
        <w:color w:val="70787B"/>
        <w:sz w:val="15"/>
        <w:szCs w:val="15"/>
      </w:rPr>
      <w:t xml:space="preserve"> | </w:t>
    </w:r>
    <w:r w:rsidR="0047247F">
      <w:rPr>
        <w:rFonts w:asciiTheme="minorHAnsi" w:hAnsiTheme="minorHAnsi" w:cstheme="minorHAnsi"/>
        <w:color w:val="70787B"/>
        <w:sz w:val="15"/>
        <w:szCs w:val="15"/>
      </w:rPr>
      <w:t>November</w:t>
    </w:r>
    <w:r w:rsidRPr="00102B8A">
      <w:rPr>
        <w:rFonts w:asciiTheme="minorHAnsi" w:hAnsiTheme="minorHAnsi" w:cstheme="minorHAnsi"/>
        <w:color w:val="70787B"/>
        <w:sz w:val="15"/>
        <w:szCs w:val="15"/>
      </w:rPr>
      <w:t xml:space="preserve"> 20</w:t>
    </w:r>
    <w:r w:rsidR="000D2ED9">
      <w:rPr>
        <w:rFonts w:asciiTheme="minorHAnsi" w:hAnsiTheme="minorHAnsi" w:cstheme="minorHAnsi"/>
        <w:color w:val="70787B"/>
        <w:sz w:val="15"/>
        <w:szCs w:val="15"/>
      </w:rPr>
      <w:t>23</w:t>
    </w:r>
  </w:p>
  <w:p w14:paraId="0F431CCB" w14:textId="3F9EC829"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0D2ED9">
      <w:rPr>
        <w:rFonts w:asciiTheme="minorHAnsi" w:hAnsiTheme="minorHAnsi" w:cstheme="minorHAnsi"/>
        <w:color w:val="70787B"/>
        <w:sz w:val="15"/>
        <w:szCs w:val="15"/>
      </w:rPr>
      <w:t>2023/0000</w:t>
    </w:r>
    <w:r w:rsidR="00323F48">
      <w:rPr>
        <w:rFonts w:asciiTheme="minorHAnsi" w:hAnsiTheme="minorHAnsi" w:cstheme="minorHAnsi"/>
        <w:color w:val="70787B"/>
        <w:sz w:val="15"/>
        <w:szCs w:val="15"/>
      </w:rPr>
      <w:t>401</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DC97" w14:textId="77777777" w:rsidR="00062FCB" w:rsidRDefault="00062FCB" w:rsidP="00F45E9C">
      <w:r>
        <w:separator/>
      </w:r>
    </w:p>
  </w:footnote>
  <w:footnote w:type="continuationSeparator" w:id="0">
    <w:p w14:paraId="7192EDC1" w14:textId="77777777" w:rsidR="00062FCB" w:rsidRDefault="00062FCB" w:rsidP="00F45E9C">
      <w:r>
        <w:continuationSeparator/>
      </w:r>
    </w:p>
  </w:footnote>
  <w:footnote w:type="continuationNotice" w:id="1">
    <w:p w14:paraId="2BAADAFF" w14:textId="77777777" w:rsidR="00062FCB" w:rsidRDefault="00062FCB">
      <w:pPr>
        <w:spacing w:after="0" w:line="240" w:lineRule="auto"/>
      </w:pPr>
    </w:p>
  </w:footnote>
  <w:footnote w:id="2">
    <w:p w14:paraId="67979545" w14:textId="1F356C1E" w:rsidR="00350471" w:rsidRDefault="00350471">
      <w:pPr>
        <w:pStyle w:val="FootnoteText"/>
      </w:pPr>
      <w:r>
        <w:rPr>
          <w:rStyle w:val="FootnoteReference"/>
        </w:rPr>
        <w:footnoteRef/>
      </w:r>
      <w:r>
        <w:t xml:space="preserve"> </w:t>
      </w:r>
      <w:r w:rsidRPr="005A0D3E">
        <w:rPr>
          <w:rFonts w:ascii="Arial" w:hAnsi="Arial" w:cs="Arial"/>
          <w:sz w:val="18"/>
          <w:szCs w:val="18"/>
        </w:rPr>
        <w:t xml:space="preserve">While the test scores required by the University are the minimum for most discipline areas, some </w:t>
      </w:r>
      <w:r w:rsidR="003B7CF1">
        <w:rPr>
          <w:rFonts w:ascii="Arial" w:hAnsi="Arial" w:cs="Arial"/>
          <w:sz w:val="18"/>
          <w:szCs w:val="18"/>
        </w:rPr>
        <w:t>E</w:t>
      </w:r>
      <w:r w:rsidRPr="005A0D3E">
        <w:rPr>
          <w:rFonts w:ascii="Arial" w:hAnsi="Arial" w:cs="Arial"/>
          <w:sz w:val="18"/>
          <w:szCs w:val="18"/>
        </w:rPr>
        <w:t>lements may require higher levels of proficiency.</w:t>
      </w:r>
    </w:p>
  </w:footnote>
  <w:footnote w:id="3">
    <w:p w14:paraId="2C240AC4" w14:textId="5511A43F" w:rsidR="00350471" w:rsidRDefault="00350471">
      <w:pPr>
        <w:pStyle w:val="FootnoteText"/>
      </w:pPr>
      <w:r>
        <w:rPr>
          <w:rStyle w:val="FootnoteReference"/>
        </w:rPr>
        <w:footnoteRef/>
      </w:r>
      <w:r>
        <w:t xml:space="preserve"> </w:t>
      </w:r>
      <w:r w:rsidRPr="005A0D3E">
        <w:rPr>
          <w:rFonts w:ascii="Arial" w:hAnsi="Arial" w:cs="Arial"/>
          <w:sz w:val="18"/>
          <w:szCs w:val="18"/>
        </w:rPr>
        <w:t xml:space="preserve">Noting that </w:t>
      </w:r>
      <w:r w:rsidRPr="005A0D3E">
        <w:rPr>
          <w:rFonts w:ascii="Arial" w:hAnsi="Arial" w:cs="Arial"/>
          <w:color w:val="242424"/>
          <w:sz w:val="18"/>
          <w:szCs w:val="18"/>
          <w:shd w:val="clear" w:color="auto" w:fill="FFFFFF"/>
        </w:rPr>
        <w:t>IELTS (Academic)is accepted and not IELTS (Academic) Online, TOEFL iBT is accepted and not TOEFL iBT – Home Edition, PTE (Academic) is accepted and not PTE (Academic) Online.</w:t>
      </w:r>
    </w:p>
  </w:footnote>
  <w:footnote w:id="4">
    <w:p w14:paraId="56479571" w14:textId="77AD998C" w:rsidR="004A7B99" w:rsidRDefault="004A7B99">
      <w:pPr>
        <w:pStyle w:val="FootnoteText"/>
      </w:pPr>
      <w:r>
        <w:rPr>
          <w:rStyle w:val="FootnoteReference"/>
        </w:rPr>
        <w:footnoteRef/>
      </w:r>
      <w:r>
        <w:t xml:space="preserve"> </w:t>
      </w:r>
      <w:r w:rsidR="00F85F64">
        <w:t xml:space="preserve">Domestic candidates supported through an RTP </w:t>
      </w:r>
      <w:r w:rsidR="00340B36">
        <w:t xml:space="preserve">Fee Offset place are </w:t>
      </w:r>
      <w:r w:rsidR="00B339F9">
        <w:t xml:space="preserve">liable for the Student Services and Amenities Fee in accordance </w:t>
      </w:r>
      <w:r w:rsidR="00661219">
        <w:t xml:space="preserve">with section 3.4 of the </w:t>
      </w:r>
      <w:r w:rsidR="00661219" w:rsidRPr="00BF3D3D">
        <w:rPr>
          <w:i/>
          <w:iCs/>
        </w:rPr>
        <w:t>Fees and Charges Procedure</w:t>
      </w:r>
      <w:r w:rsidR="0066121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22024114" w:rsidR="00F45E9C" w:rsidRPr="00F7147F" w:rsidRDefault="00890170" w:rsidP="007A132E">
    <w:pPr>
      <w:pStyle w:val="Header"/>
      <w:ind w:right="-348"/>
      <w:jc w:val="right"/>
      <w:rPr>
        <w:rFonts w:cs="Arial"/>
        <w:b/>
        <w:sz w:val="52"/>
        <w:szCs w:val="52"/>
      </w:rPr>
    </w:pPr>
    <w:r w:rsidRPr="00237AB3">
      <w:rPr>
        <w:rFonts w:cs="Arial"/>
        <w:b/>
        <w:bCs/>
        <w:noProof/>
        <w:color w:val="E30918"/>
        <w:sz w:val="52"/>
        <w:szCs w:val="52"/>
      </w:rPr>
      <w:drawing>
        <wp:anchor distT="0" distB="0" distL="114300" distR="114300" simplePos="0" relativeHeight="251658243" behindDoc="1" locked="0" layoutInCell="1" allowOverlap="1" wp14:anchorId="4B87714F" wp14:editId="55E537F0">
          <wp:simplePos x="0" y="0"/>
          <wp:positionH relativeFrom="margin">
            <wp:posOffset>0</wp:posOffset>
          </wp:positionH>
          <wp:positionV relativeFrom="page">
            <wp:posOffset>459740</wp:posOffset>
          </wp:positionV>
          <wp:extent cx="2047875" cy="434975"/>
          <wp:effectExtent l="0" t="0" r="9525" b="3175"/>
          <wp:wrapTight wrapText="bothSides">
            <wp:wrapPolygon edited="0">
              <wp:start x="0" y="0"/>
              <wp:lineTo x="0" y="20812"/>
              <wp:lineTo x="21500" y="20812"/>
              <wp:lineTo x="21500" y="0"/>
              <wp:lineTo x="0" y="0"/>
            </wp:wrapPolygon>
          </wp:wrapTight>
          <wp:docPr id="1685180509" name="Picture 16851805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1EE5EA52" w:rsidR="007C1483" w:rsidRPr="00890170" w:rsidRDefault="00890170" w:rsidP="007C1483">
    <w:pPr>
      <w:pStyle w:val="Header"/>
      <w:ind w:right="-348"/>
      <w:jc w:val="right"/>
      <w:rPr>
        <w:rFonts w:ascii="Griffith Sans Text" w:hAnsi="Griffith Sans Text"/>
        <w:sz w:val="52"/>
        <w:szCs w:val="52"/>
      </w:rPr>
    </w:pPr>
    <w:r w:rsidRPr="00237AB3">
      <w:rPr>
        <w:rFonts w:cs="Arial"/>
        <w:b/>
        <w:bCs/>
        <w:noProof/>
        <w:color w:val="E30918"/>
        <w:sz w:val="52"/>
        <w:szCs w:val="52"/>
      </w:rPr>
      <w:drawing>
        <wp:anchor distT="0" distB="0" distL="114300" distR="114300" simplePos="0" relativeHeight="251658242" behindDoc="1" locked="0" layoutInCell="1" allowOverlap="1" wp14:anchorId="6C49D7AF" wp14:editId="579E4AAF">
          <wp:simplePos x="0" y="0"/>
          <wp:positionH relativeFrom="margin">
            <wp:align>left</wp:align>
          </wp:positionH>
          <wp:positionV relativeFrom="page">
            <wp:posOffset>440690</wp:posOffset>
          </wp:positionV>
          <wp:extent cx="2047875" cy="434975"/>
          <wp:effectExtent l="0" t="0" r="9525" b="3175"/>
          <wp:wrapTight wrapText="bothSides">
            <wp:wrapPolygon edited="0">
              <wp:start x="0" y="0"/>
              <wp:lineTo x="0" y="20812"/>
              <wp:lineTo x="21500" y="20812"/>
              <wp:lineTo x="21500" y="0"/>
              <wp:lineTo x="0" y="0"/>
            </wp:wrapPolygon>
          </wp:wrapTight>
          <wp:docPr id="775905886" name="Picture 7759058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890170">
      <w:rPr>
        <w:rFonts w:ascii="Griffith Sans Text" w:hAnsi="Griffith Sans Text" w:cs="Arial"/>
        <w:b/>
        <w:bCs/>
        <w:noProof/>
        <w:color w:val="FFFFFF" w:themeColor="background1"/>
        <w:sz w:val="52"/>
        <w:szCs w:val="52"/>
      </w:rPr>
      <mc:AlternateContent>
        <mc:Choice Requires="wps">
          <w:drawing>
            <wp:anchor distT="0" distB="0" distL="114300" distR="114300" simplePos="0" relativeHeight="251658241" behindDoc="1" locked="0" layoutInCell="1" allowOverlap="1" wp14:anchorId="72BCB07F" wp14:editId="1CE595EF">
              <wp:simplePos x="0" y="0"/>
              <wp:positionH relativeFrom="column">
                <wp:posOffset>3031490</wp:posOffset>
              </wp:positionH>
              <wp:positionV relativeFrom="page">
                <wp:posOffset>-807085</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448A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38.7pt;margin-top:-63.55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" fillcolor="#f40609" stroked="f" strokeweight="1pt">
              <w10:wrap anchory="page"/>
            </v:shape>
          </w:pict>
        </mc:Fallback>
      </mc:AlternateContent>
    </w:r>
    <w:r w:rsidR="007C1483" w:rsidRPr="00890170">
      <w:rPr>
        <w:rFonts w:ascii="Griffith Sans Text" w:hAnsi="Griffith Sans Text" w:cs="Arial"/>
        <w:b/>
        <w:color w:val="FFFFFF" w:themeColor="background1"/>
        <w:sz w:val="52"/>
        <w:szCs w:val="52"/>
      </w:rPr>
      <w:t>Procedure</w:t>
    </w:r>
    <w:r w:rsidR="00140A6C">
      <w:rPr>
        <w:rFonts w:ascii="Griffith Sans Text" w:hAnsi="Griffith Sans Text"/>
        <w:sz w:val="52"/>
        <w:szCs w:val="52"/>
      </w:rPr>
      <w:br/>
    </w:r>
    <w:r w:rsidR="00140A6C">
      <w:rPr>
        <w:rFonts w:cs="Arial"/>
        <w:b/>
        <w:bCs/>
        <w:color w:val="000000" w:themeColor="text1"/>
        <w:sz w:val="22"/>
      </w:rPr>
      <w:br/>
    </w:r>
    <w:r w:rsidR="00140A6C" w:rsidRPr="00140A6C">
      <w:rPr>
        <w:rFonts w:cs="Arial"/>
        <w:b/>
        <w:bCs/>
        <w:color w:val="000000" w:themeColor="text1"/>
        <w:sz w:val="22"/>
        <w:u w:val="single"/>
      </w:rPr>
      <w:t>NOTE</w:t>
    </w:r>
    <w:r w:rsidR="00140A6C" w:rsidRPr="00140A6C">
      <w:rPr>
        <w:rFonts w:cs="Arial"/>
        <w:b/>
        <w:bCs/>
        <w:color w:val="000000" w:themeColor="text1"/>
        <w:sz w:val="22"/>
      </w:rPr>
      <w:t>:  Effective from 1 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30D"/>
    <w:multiLevelType w:val="hybridMultilevel"/>
    <w:tmpl w:val="A808A588"/>
    <w:lvl w:ilvl="0" w:tplc="7E7E2214">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1CFE0402"/>
    <w:multiLevelType w:val="hybridMultilevel"/>
    <w:tmpl w:val="EBFCE0A8"/>
    <w:lvl w:ilvl="0" w:tplc="7E7E2214">
      <w:start w:val="1"/>
      <w:numFmt w:val="bullet"/>
      <w:lvlText w:val=""/>
      <w:lvlJc w:val="left"/>
      <w:pPr>
        <w:ind w:left="2520" w:hanging="360"/>
      </w:pPr>
      <w:rPr>
        <w:rFonts w:ascii="Wingdings" w:hAnsi="Wingdings" w:hint="default"/>
        <w:color w:val="E30918"/>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15:restartNumberingAfterBreak="0">
    <w:nsid w:val="210D30B3"/>
    <w:multiLevelType w:val="hybridMultilevel"/>
    <w:tmpl w:val="8FE49F06"/>
    <w:lvl w:ilvl="0" w:tplc="FFFFFFFF">
      <w:start w:val="1"/>
      <w:numFmt w:val="bullet"/>
      <w:lvlText w:val=""/>
      <w:lvlJc w:val="left"/>
      <w:pPr>
        <w:ind w:left="720" w:hanging="360"/>
      </w:pPr>
      <w:rPr>
        <w:rFonts w:ascii="Wingdings" w:hAnsi="Wingdings" w:hint="default"/>
        <w:color w:val="E30918"/>
      </w:rPr>
    </w:lvl>
    <w:lvl w:ilvl="1" w:tplc="EDEC25B0">
      <w:start w:val="1"/>
      <w:numFmt w:val="bullet"/>
      <w:lvlText w:val=""/>
      <w:lvlJc w:val="left"/>
      <w:pPr>
        <w:ind w:left="1440" w:hanging="360"/>
      </w:pPr>
      <w:rPr>
        <w:rFonts w:ascii="Symbol" w:hAnsi="Symbol" w:hint="default"/>
        <w:color w:val="E51F3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7F635EB"/>
    <w:multiLevelType w:val="hybridMultilevel"/>
    <w:tmpl w:val="1D968A3E"/>
    <w:lvl w:ilvl="0" w:tplc="EDEC25B0">
      <w:start w:val="1"/>
      <w:numFmt w:val="bullet"/>
      <w:lvlText w:val=""/>
      <w:lvlJc w:val="left"/>
      <w:pPr>
        <w:ind w:left="2160" w:hanging="360"/>
      </w:pPr>
      <w:rPr>
        <w:rFonts w:ascii="Symbol" w:hAnsi="Symbol" w:hint="default"/>
        <w:color w:val="E51F30"/>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 w15:restartNumberingAfterBreak="0">
    <w:nsid w:val="39EA732E"/>
    <w:multiLevelType w:val="hybridMultilevel"/>
    <w:tmpl w:val="12EE84FE"/>
    <w:lvl w:ilvl="0" w:tplc="7E7E2214">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4B5B71"/>
    <w:multiLevelType w:val="hybridMultilevel"/>
    <w:tmpl w:val="14AA1D7E"/>
    <w:lvl w:ilvl="0" w:tplc="FFFFFFFF">
      <w:start w:val="1"/>
      <w:numFmt w:val="bullet"/>
      <w:lvlText w:val=""/>
      <w:lvlJc w:val="left"/>
      <w:pPr>
        <w:ind w:left="720" w:hanging="360"/>
      </w:pPr>
      <w:rPr>
        <w:rFonts w:ascii="Wingdings" w:hAnsi="Wingdings" w:hint="default"/>
        <w:color w:val="E30918"/>
      </w:rPr>
    </w:lvl>
    <w:lvl w:ilvl="1" w:tplc="7E7E2214">
      <w:start w:val="1"/>
      <w:numFmt w:val="bullet"/>
      <w:lvlText w:val=""/>
      <w:lvlJc w:val="left"/>
      <w:pPr>
        <w:ind w:left="1440" w:hanging="360"/>
      </w:pPr>
      <w:rPr>
        <w:rFonts w:ascii="Wingdings" w:hAnsi="Wingdings" w:hint="default"/>
        <w:color w:val="E309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26B4459"/>
    <w:multiLevelType w:val="multilevel"/>
    <w:tmpl w:val="8B5E1B5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D955F6D"/>
    <w:multiLevelType w:val="hybridMultilevel"/>
    <w:tmpl w:val="D55CC5DA"/>
    <w:lvl w:ilvl="0" w:tplc="EDEC25B0">
      <w:start w:val="1"/>
      <w:numFmt w:val="bullet"/>
      <w:lvlText w:val=""/>
      <w:lvlJc w:val="left"/>
      <w:pPr>
        <w:ind w:left="2160" w:hanging="360"/>
      </w:pPr>
      <w:rPr>
        <w:rFonts w:ascii="Symbol" w:hAnsi="Symbol" w:hint="default"/>
        <w:color w:val="E51F30"/>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63F1655B"/>
    <w:multiLevelType w:val="hybridMultilevel"/>
    <w:tmpl w:val="A70A9E5C"/>
    <w:lvl w:ilvl="0" w:tplc="7E7E2214">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6F5A22FE"/>
    <w:multiLevelType w:val="hybridMultilevel"/>
    <w:tmpl w:val="251AD276"/>
    <w:lvl w:ilvl="0" w:tplc="7E7E2214">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73665F05"/>
    <w:multiLevelType w:val="hybridMultilevel"/>
    <w:tmpl w:val="01C09704"/>
    <w:lvl w:ilvl="0" w:tplc="7E7E2214">
      <w:start w:val="1"/>
      <w:numFmt w:val="bullet"/>
      <w:lvlText w:val=""/>
      <w:lvlJc w:val="left"/>
      <w:pPr>
        <w:ind w:left="2160" w:hanging="360"/>
      </w:pPr>
      <w:rPr>
        <w:rFonts w:ascii="Wingdings" w:hAnsi="Wingdings" w:hint="default"/>
        <w:color w:val="E30918"/>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757F4C13"/>
    <w:multiLevelType w:val="hybridMultilevel"/>
    <w:tmpl w:val="8B5259B6"/>
    <w:lvl w:ilvl="0" w:tplc="7E7E2214">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7B3609F8"/>
    <w:multiLevelType w:val="hybridMultilevel"/>
    <w:tmpl w:val="57167E46"/>
    <w:lvl w:ilvl="0" w:tplc="7E7E2214">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3F6015"/>
    <w:multiLevelType w:val="hybridMultilevel"/>
    <w:tmpl w:val="C39252C2"/>
    <w:lvl w:ilvl="0" w:tplc="7E7E2214">
      <w:start w:val="1"/>
      <w:numFmt w:val="bullet"/>
      <w:lvlText w:val=""/>
      <w:lvlJc w:val="left"/>
      <w:pPr>
        <w:ind w:left="2160" w:hanging="360"/>
      </w:pPr>
      <w:rPr>
        <w:rFonts w:ascii="Wingdings" w:hAnsi="Wingdings" w:hint="default"/>
        <w:color w:val="E3091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7FE37B95"/>
    <w:multiLevelType w:val="hybridMultilevel"/>
    <w:tmpl w:val="C0589534"/>
    <w:lvl w:ilvl="0" w:tplc="EDEC25B0">
      <w:start w:val="1"/>
      <w:numFmt w:val="bullet"/>
      <w:lvlText w:val=""/>
      <w:lvlJc w:val="left"/>
      <w:pPr>
        <w:ind w:left="1996" w:hanging="360"/>
      </w:pPr>
      <w:rPr>
        <w:rFonts w:ascii="Symbol" w:hAnsi="Symbol" w:hint="default"/>
        <w:color w:val="E51F30"/>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num w:numId="1" w16cid:durableId="400523141">
    <w:abstractNumId w:val="5"/>
  </w:num>
  <w:num w:numId="2" w16cid:durableId="153960369">
    <w:abstractNumId w:val="14"/>
  </w:num>
  <w:num w:numId="3" w16cid:durableId="1403722799">
    <w:abstractNumId w:val="6"/>
  </w:num>
  <w:num w:numId="4" w16cid:durableId="1589149636">
    <w:abstractNumId w:val="16"/>
  </w:num>
  <w:num w:numId="5" w16cid:durableId="363404283">
    <w:abstractNumId w:val="1"/>
  </w:num>
  <w:num w:numId="6" w16cid:durableId="739448912">
    <w:abstractNumId w:val="8"/>
  </w:num>
  <w:num w:numId="7" w16cid:durableId="310214153">
    <w:abstractNumId w:val="10"/>
  </w:num>
  <w:num w:numId="8" w16cid:durableId="1521814084">
    <w:abstractNumId w:val="13"/>
  </w:num>
  <w:num w:numId="9" w16cid:durableId="456724249">
    <w:abstractNumId w:val="7"/>
  </w:num>
  <w:num w:numId="10" w16cid:durableId="639724213">
    <w:abstractNumId w:val="15"/>
  </w:num>
  <w:num w:numId="11" w16cid:durableId="1648590545">
    <w:abstractNumId w:val="11"/>
  </w:num>
  <w:num w:numId="12" w16cid:durableId="652492002">
    <w:abstractNumId w:val="12"/>
  </w:num>
  <w:num w:numId="13" w16cid:durableId="519978472">
    <w:abstractNumId w:val="4"/>
  </w:num>
  <w:num w:numId="14" w16cid:durableId="1774134253">
    <w:abstractNumId w:val="0"/>
  </w:num>
  <w:num w:numId="15" w16cid:durableId="1415859334">
    <w:abstractNumId w:val="9"/>
  </w:num>
  <w:num w:numId="16" w16cid:durableId="353615">
    <w:abstractNumId w:val="2"/>
  </w:num>
  <w:num w:numId="17" w16cid:durableId="75104898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0ABF"/>
    <w:rsid w:val="000017DE"/>
    <w:rsid w:val="00003A34"/>
    <w:rsid w:val="00003C21"/>
    <w:rsid w:val="00007CE6"/>
    <w:rsid w:val="00012226"/>
    <w:rsid w:val="0001254D"/>
    <w:rsid w:val="00012F47"/>
    <w:rsid w:val="0001322D"/>
    <w:rsid w:val="0001427B"/>
    <w:rsid w:val="00014736"/>
    <w:rsid w:val="000150F1"/>
    <w:rsid w:val="00016BA2"/>
    <w:rsid w:val="0002100D"/>
    <w:rsid w:val="00021C01"/>
    <w:rsid w:val="0002258D"/>
    <w:rsid w:val="00023489"/>
    <w:rsid w:val="000234D6"/>
    <w:rsid w:val="00030403"/>
    <w:rsid w:val="000306AA"/>
    <w:rsid w:val="00030BD8"/>
    <w:rsid w:val="000314D3"/>
    <w:rsid w:val="000316D0"/>
    <w:rsid w:val="000372F6"/>
    <w:rsid w:val="00037E6F"/>
    <w:rsid w:val="0004007F"/>
    <w:rsid w:val="00040867"/>
    <w:rsid w:val="000408E3"/>
    <w:rsid w:val="00040BB8"/>
    <w:rsid w:val="000411D0"/>
    <w:rsid w:val="0004128D"/>
    <w:rsid w:val="00041B5B"/>
    <w:rsid w:val="00042FBA"/>
    <w:rsid w:val="0004352F"/>
    <w:rsid w:val="00044E50"/>
    <w:rsid w:val="00045D5F"/>
    <w:rsid w:val="00046A09"/>
    <w:rsid w:val="00050910"/>
    <w:rsid w:val="00051573"/>
    <w:rsid w:val="00052E7B"/>
    <w:rsid w:val="00052F81"/>
    <w:rsid w:val="00053A5F"/>
    <w:rsid w:val="00056724"/>
    <w:rsid w:val="000576DF"/>
    <w:rsid w:val="00061F5B"/>
    <w:rsid w:val="00062F15"/>
    <w:rsid w:val="00062FCB"/>
    <w:rsid w:val="00063FCF"/>
    <w:rsid w:val="0006416D"/>
    <w:rsid w:val="00064B90"/>
    <w:rsid w:val="0006686E"/>
    <w:rsid w:val="000674C0"/>
    <w:rsid w:val="00071E9E"/>
    <w:rsid w:val="00071F8C"/>
    <w:rsid w:val="0007213A"/>
    <w:rsid w:val="0007243F"/>
    <w:rsid w:val="00074443"/>
    <w:rsid w:val="00076298"/>
    <w:rsid w:val="00081AAB"/>
    <w:rsid w:val="000849AD"/>
    <w:rsid w:val="000860DD"/>
    <w:rsid w:val="000872CC"/>
    <w:rsid w:val="00087697"/>
    <w:rsid w:val="000901C5"/>
    <w:rsid w:val="0009125F"/>
    <w:rsid w:val="00095A76"/>
    <w:rsid w:val="00096A8C"/>
    <w:rsid w:val="000A29DB"/>
    <w:rsid w:val="000A4323"/>
    <w:rsid w:val="000A4999"/>
    <w:rsid w:val="000A5DB5"/>
    <w:rsid w:val="000B0362"/>
    <w:rsid w:val="000B19EE"/>
    <w:rsid w:val="000B1E54"/>
    <w:rsid w:val="000B2888"/>
    <w:rsid w:val="000B2B79"/>
    <w:rsid w:val="000B35DB"/>
    <w:rsid w:val="000B3767"/>
    <w:rsid w:val="000B4052"/>
    <w:rsid w:val="000B43C9"/>
    <w:rsid w:val="000B4485"/>
    <w:rsid w:val="000B7D0C"/>
    <w:rsid w:val="000C0408"/>
    <w:rsid w:val="000C046B"/>
    <w:rsid w:val="000C1757"/>
    <w:rsid w:val="000C2C05"/>
    <w:rsid w:val="000C5354"/>
    <w:rsid w:val="000C58E1"/>
    <w:rsid w:val="000C718C"/>
    <w:rsid w:val="000C72FB"/>
    <w:rsid w:val="000C77D9"/>
    <w:rsid w:val="000D2ED9"/>
    <w:rsid w:val="000D5843"/>
    <w:rsid w:val="000D6019"/>
    <w:rsid w:val="000D69A3"/>
    <w:rsid w:val="000E2A8A"/>
    <w:rsid w:val="000E3AB6"/>
    <w:rsid w:val="000E4CBE"/>
    <w:rsid w:val="000E51B4"/>
    <w:rsid w:val="000E5D52"/>
    <w:rsid w:val="000E5D83"/>
    <w:rsid w:val="000E6B26"/>
    <w:rsid w:val="000F5F10"/>
    <w:rsid w:val="000F64EB"/>
    <w:rsid w:val="0010086A"/>
    <w:rsid w:val="00102763"/>
    <w:rsid w:val="00102B8A"/>
    <w:rsid w:val="00102D19"/>
    <w:rsid w:val="00104000"/>
    <w:rsid w:val="00104DF1"/>
    <w:rsid w:val="00105063"/>
    <w:rsid w:val="00106234"/>
    <w:rsid w:val="0010700D"/>
    <w:rsid w:val="0010768E"/>
    <w:rsid w:val="001113C7"/>
    <w:rsid w:val="00111930"/>
    <w:rsid w:val="0012258F"/>
    <w:rsid w:val="00122CF0"/>
    <w:rsid w:val="00123AB0"/>
    <w:rsid w:val="00124300"/>
    <w:rsid w:val="001254E2"/>
    <w:rsid w:val="0012660A"/>
    <w:rsid w:val="00126700"/>
    <w:rsid w:val="00127CE7"/>
    <w:rsid w:val="001310CF"/>
    <w:rsid w:val="0013141E"/>
    <w:rsid w:val="0013158C"/>
    <w:rsid w:val="00131C42"/>
    <w:rsid w:val="00132441"/>
    <w:rsid w:val="00132A0C"/>
    <w:rsid w:val="00135F94"/>
    <w:rsid w:val="001368B2"/>
    <w:rsid w:val="001379EF"/>
    <w:rsid w:val="0014008C"/>
    <w:rsid w:val="00140A6C"/>
    <w:rsid w:val="00140E65"/>
    <w:rsid w:val="00141F98"/>
    <w:rsid w:val="0014240A"/>
    <w:rsid w:val="00146BD9"/>
    <w:rsid w:val="00146D6A"/>
    <w:rsid w:val="00146E46"/>
    <w:rsid w:val="00147A35"/>
    <w:rsid w:val="00147B11"/>
    <w:rsid w:val="00150114"/>
    <w:rsid w:val="00150D53"/>
    <w:rsid w:val="00151E5A"/>
    <w:rsid w:val="00152D7D"/>
    <w:rsid w:val="00152D86"/>
    <w:rsid w:val="001537D5"/>
    <w:rsid w:val="001537F9"/>
    <w:rsid w:val="00154FA7"/>
    <w:rsid w:val="00156CD0"/>
    <w:rsid w:val="0015771E"/>
    <w:rsid w:val="001579A4"/>
    <w:rsid w:val="0016004C"/>
    <w:rsid w:val="001608D8"/>
    <w:rsid w:val="001623AE"/>
    <w:rsid w:val="00162972"/>
    <w:rsid w:val="00163AF2"/>
    <w:rsid w:val="00166A45"/>
    <w:rsid w:val="00166FC4"/>
    <w:rsid w:val="00167117"/>
    <w:rsid w:val="001714E5"/>
    <w:rsid w:val="001716F2"/>
    <w:rsid w:val="0017280F"/>
    <w:rsid w:val="00172B00"/>
    <w:rsid w:val="001735D3"/>
    <w:rsid w:val="0017412E"/>
    <w:rsid w:val="00175F12"/>
    <w:rsid w:val="00180673"/>
    <w:rsid w:val="00180A28"/>
    <w:rsid w:val="00181BF5"/>
    <w:rsid w:val="00182475"/>
    <w:rsid w:val="00187159"/>
    <w:rsid w:val="0019292F"/>
    <w:rsid w:val="00192ACD"/>
    <w:rsid w:val="00193044"/>
    <w:rsid w:val="001941A9"/>
    <w:rsid w:val="00196032"/>
    <w:rsid w:val="00197974"/>
    <w:rsid w:val="001A138A"/>
    <w:rsid w:val="001A1ABF"/>
    <w:rsid w:val="001A3E0B"/>
    <w:rsid w:val="001A6314"/>
    <w:rsid w:val="001A644E"/>
    <w:rsid w:val="001A7178"/>
    <w:rsid w:val="001B67F5"/>
    <w:rsid w:val="001B77D0"/>
    <w:rsid w:val="001C1968"/>
    <w:rsid w:val="001C1BF4"/>
    <w:rsid w:val="001C2E5B"/>
    <w:rsid w:val="001C5227"/>
    <w:rsid w:val="001C731D"/>
    <w:rsid w:val="001D0DB6"/>
    <w:rsid w:val="001D148B"/>
    <w:rsid w:val="001D2660"/>
    <w:rsid w:val="001D2CF4"/>
    <w:rsid w:val="001D4176"/>
    <w:rsid w:val="001D7E76"/>
    <w:rsid w:val="001E1929"/>
    <w:rsid w:val="001E245F"/>
    <w:rsid w:val="001E2776"/>
    <w:rsid w:val="001E3628"/>
    <w:rsid w:val="001E5233"/>
    <w:rsid w:val="001E6438"/>
    <w:rsid w:val="001E646A"/>
    <w:rsid w:val="001F184D"/>
    <w:rsid w:val="001F1FE0"/>
    <w:rsid w:val="001F395E"/>
    <w:rsid w:val="001F4248"/>
    <w:rsid w:val="001F59AB"/>
    <w:rsid w:val="001F5E2B"/>
    <w:rsid w:val="001F6C1D"/>
    <w:rsid w:val="002015FA"/>
    <w:rsid w:val="002043F8"/>
    <w:rsid w:val="00207745"/>
    <w:rsid w:val="002107EE"/>
    <w:rsid w:val="00211500"/>
    <w:rsid w:val="00211C32"/>
    <w:rsid w:val="00214486"/>
    <w:rsid w:val="002153D4"/>
    <w:rsid w:val="002162D1"/>
    <w:rsid w:val="00216E46"/>
    <w:rsid w:val="00217791"/>
    <w:rsid w:val="002204B7"/>
    <w:rsid w:val="0022057C"/>
    <w:rsid w:val="002224BD"/>
    <w:rsid w:val="00223F5C"/>
    <w:rsid w:val="002253EF"/>
    <w:rsid w:val="002258EE"/>
    <w:rsid w:val="002301BB"/>
    <w:rsid w:val="0023042F"/>
    <w:rsid w:val="00231835"/>
    <w:rsid w:val="00231CF0"/>
    <w:rsid w:val="002327E4"/>
    <w:rsid w:val="00233068"/>
    <w:rsid w:val="00235EF9"/>
    <w:rsid w:val="00236A2A"/>
    <w:rsid w:val="00237EF2"/>
    <w:rsid w:val="002426BA"/>
    <w:rsid w:val="0024475D"/>
    <w:rsid w:val="002466E4"/>
    <w:rsid w:val="00246CB4"/>
    <w:rsid w:val="0024710C"/>
    <w:rsid w:val="00247CB2"/>
    <w:rsid w:val="00253042"/>
    <w:rsid w:val="0025380E"/>
    <w:rsid w:val="00255086"/>
    <w:rsid w:val="00255D5E"/>
    <w:rsid w:val="00255E4B"/>
    <w:rsid w:val="00263207"/>
    <w:rsid w:val="00265161"/>
    <w:rsid w:val="00265FBD"/>
    <w:rsid w:val="00266259"/>
    <w:rsid w:val="00266662"/>
    <w:rsid w:val="00271426"/>
    <w:rsid w:val="00272168"/>
    <w:rsid w:val="00272A33"/>
    <w:rsid w:val="0027526D"/>
    <w:rsid w:val="00275D1A"/>
    <w:rsid w:val="00277504"/>
    <w:rsid w:val="002778EA"/>
    <w:rsid w:val="002805B6"/>
    <w:rsid w:val="0028188F"/>
    <w:rsid w:val="0028485A"/>
    <w:rsid w:val="002848DA"/>
    <w:rsid w:val="00284AEA"/>
    <w:rsid w:val="00284D80"/>
    <w:rsid w:val="0028695C"/>
    <w:rsid w:val="00287A32"/>
    <w:rsid w:val="0029064B"/>
    <w:rsid w:val="00290E71"/>
    <w:rsid w:val="00293136"/>
    <w:rsid w:val="00293920"/>
    <w:rsid w:val="00294D0C"/>
    <w:rsid w:val="00296086"/>
    <w:rsid w:val="002964CF"/>
    <w:rsid w:val="002967C5"/>
    <w:rsid w:val="00296C81"/>
    <w:rsid w:val="002A08B9"/>
    <w:rsid w:val="002A1132"/>
    <w:rsid w:val="002A1DE8"/>
    <w:rsid w:val="002A20B8"/>
    <w:rsid w:val="002A3E61"/>
    <w:rsid w:val="002A6A11"/>
    <w:rsid w:val="002A703E"/>
    <w:rsid w:val="002A73B1"/>
    <w:rsid w:val="002A78A0"/>
    <w:rsid w:val="002B02ED"/>
    <w:rsid w:val="002B03A0"/>
    <w:rsid w:val="002B0E70"/>
    <w:rsid w:val="002B100C"/>
    <w:rsid w:val="002B10B8"/>
    <w:rsid w:val="002B2CE3"/>
    <w:rsid w:val="002B41BB"/>
    <w:rsid w:val="002B432B"/>
    <w:rsid w:val="002B5AE6"/>
    <w:rsid w:val="002C2454"/>
    <w:rsid w:val="002C3834"/>
    <w:rsid w:val="002C4450"/>
    <w:rsid w:val="002C4608"/>
    <w:rsid w:val="002C4C01"/>
    <w:rsid w:val="002C4FD8"/>
    <w:rsid w:val="002D08FA"/>
    <w:rsid w:val="002D55AD"/>
    <w:rsid w:val="002D6659"/>
    <w:rsid w:val="002E14B8"/>
    <w:rsid w:val="002E22B1"/>
    <w:rsid w:val="002E2803"/>
    <w:rsid w:val="002E285B"/>
    <w:rsid w:val="002E4A9D"/>
    <w:rsid w:val="002E4FA8"/>
    <w:rsid w:val="002E6E33"/>
    <w:rsid w:val="002F0FB6"/>
    <w:rsid w:val="002F13A2"/>
    <w:rsid w:val="002F13EA"/>
    <w:rsid w:val="002F3893"/>
    <w:rsid w:val="002F4FCD"/>
    <w:rsid w:val="002F5132"/>
    <w:rsid w:val="002F52A9"/>
    <w:rsid w:val="002F6138"/>
    <w:rsid w:val="002F6B60"/>
    <w:rsid w:val="00302038"/>
    <w:rsid w:val="00302BDF"/>
    <w:rsid w:val="003045F8"/>
    <w:rsid w:val="00305299"/>
    <w:rsid w:val="00305C35"/>
    <w:rsid w:val="0030738B"/>
    <w:rsid w:val="00310F0C"/>
    <w:rsid w:val="00311C10"/>
    <w:rsid w:val="00311F29"/>
    <w:rsid w:val="003148BB"/>
    <w:rsid w:val="00315835"/>
    <w:rsid w:val="00316835"/>
    <w:rsid w:val="00316E65"/>
    <w:rsid w:val="00316EF5"/>
    <w:rsid w:val="00320C55"/>
    <w:rsid w:val="00320F12"/>
    <w:rsid w:val="003210E5"/>
    <w:rsid w:val="003212EB"/>
    <w:rsid w:val="00322FF9"/>
    <w:rsid w:val="00323F48"/>
    <w:rsid w:val="00327F5F"/>
    <w:rsid w:val="00331E75"/>
    <w:rsid w:val="00332215"/>
    <w:rsid w:val="00332EC1"/>
    <w:rsid w:val="003333B9"/>
    <w:rsid w:val="00333B53"/>
    <w:rsid w:val="00334F6C"/>
    <w:rsid w:val="00335724"/>
    <w:rsid w:val="003363AB"/>
    <w:rsid w:val="00336BC7"/>
    <w:rsid w:val="003377C1"/>
    <w:rsid w:val="00340B36"/>
    <w:rsid w:val="00340F0A"/>
    <w:rsid w:val="00342206"/>
    <w:rsid w:val="0034267D"/>
    <w:rsid w:val="003441E7"/>
    <w:rsid w:val="00344774"/>
    <w:rsid w:val="00345F4A"/>
    <w:rsid w:val="00350471"/>
    <w:rsid w:val="0035064C"/>
    <w:rsid w:val="00350C88"/>
    <w:rsid w:val="00350CB0"/>
    <w:rsid w:val="003538B4"/>
    <w:rsid w:val="00353EEC"/>
    <w:rsid w:val="0035626E"/>
    <w:rsid w:val="00373710"/>
    <w:rsid w:val="0037658D"/>
    <w:rsid w:val="00376FB2"/>
    <w:rsid w:val="00382F39"/>
    <w:rsid w:val="0038519F"/>
    <w:rsid w:val="003873FF"/>
    <w:rsid w:val="003921ED"/>
    <w:rsid w:val="00393B9D"/>
    <w:rsid w:val="00394A23"/>
    <w:rsid w:val="00394AC0"/>
    <w:rsid w:val="00394E7B"/>
    <w:rsid w:val="00395A33"/>
    <w:rsid w:val="003A084F"/>
    <w:rsid w:val="003A2461"/>
    <w:rsid w:val="003A27E3"/>
    <w:rsid w:val="003B0864"/>
    <w:rsid w:val="003B0C9A"/>
    <w:rsid w:val="003B1D14"/>
    <w:rsid w:val="003B1D32"/>
    <w:rsid w:val="003B3BB3"/>
    <w:rsid w:val="003B3F8E"/>
    <w:rsid w:val="003B515E"/>
    <w:rsid w:val="003B54BD"/>
    <w:rsid w:val="003B6ED8"/>
    <w:rsid w:val="003B7CF1"/>
    <w:rsid w:val="003C0088"/>
    <w:rsid w:val="003C0282"/>
    <w:rsid w:val="003C20B4"/>
    <w:rsid w:val="003C2716"/>
    <w:rsid w:val="003C30AD"/>
    <w:rsid w:val="003C48DF"/>
    <w:rsid w:val="003C4CA3"/>
    <w:rsid w:val="003C5122"/>
    <w:rsid w:val="003D0FE4"/>
    <w:rsid w:val="003D1AB7"/>
    <w:rsid w:val="003D1D6D"/>
    <w:rsid w:val="003D25F1"/>
    <w:rsid w:val="003D418D"/>
    <w:rsid w:val="003D51F2"/>
    <w:rsid w:val="003D5267"/>
    <w:rsid w:val="003D6C0E"/>
    <w:rsid w:val="003E0B6D"/>
    <w:rsid w:val="003E1E69"/>
    <w:rsid w:val="003E422E"/>
    <w:rsid w:val="003E49E4"/>
    <w:rsid w:val="003E5024"/>
    <w:rsid w:val="003E514B"/>
    <w:rsid w:val="003E59BE"/>
    <w:rsid w:val="003E6EE8"/>
    <w:rsid w:val="003E774F"/>
    <w:rsid w:val="003F009C"/>
    <w:rsid w:val="003F32AF"/>
    <w:rsid w:val="003F5B9B"/>
    <w:rsid w:val="003F67AC"/>
    <w:rsid w:val="003F6A2A"/>
    <w:rsid w:val="003F6CC7"/>
    <w:rsid w:val="003F7900"/>
    <w:rsid w:val="004043CA"/>
    <w:rsid w:val="00406273"/>
    <w:rsid w:val="0041142D"/>
    <w:rsid w:val="00411FE1"/>
    <w:rsid w:val="004127D7"/>
    <w:rsid w:val="0041352D"/>
    <w:rsid w:val="00414355"/>
    <w:rsid w:val="004144E6"/>
    <w:rsid w:val="00416C10"/>
    <w:rsid w:val="004251EE"/>
    <w:rsid w:val="004327FA"/>
    <w:rsid w:val="00432869"/>
    <w:rsid w:val="004329BC"/>
    <w:rsid w:val="004342ED"/>
    <w:rsid w:val="004345BB"/>
    <w:rsid w:val="00435A8C"/>
    <w:rsid w:val="00440FCC"/>
    <w:rsid w:val="00441014"/>
    <w:rsid w:val="00441730"/>
    <w:rsid w:val="00442485"/>
    <w:rsid w:val="004426B4"/>
    <w:rsid w:val="004430BB"/>
    <w:rsid w:val="0044376B"/>
    <w:rsid w:val="00443ADF"/>
    <w:rsid w:val="004449DA"/>
    <w:rsid w:val="00446F22"/>
    <w:rsid w:val="00450186"/>
    <w:rsid w:val="00451237"/>
    <w:rsid w:val="00451F60"/>
    <w:rsid w:val="00452470"/>
    <w:rsid w:val="004527C2"/>
    <w:rsid w:val="00452F4C"/>
    <w:rsid w:val="00460062"/>
    <w:rsid w:val="00460FBC"/>
    <w:rsid w:val="004617E4"/>
    <w:rsid w:val="00461B70"/>
    <w:rsid w:val="00462941"/>
    <w:rsid w:val="00463E41"/>
    <w:rsid w:val="00466B7E"/>
    <w:rsid w:val="00467BA1"/>
    <w:rsid w:val="00470DC3"/>
    <w:rsid w:val="00471D74"/>
    <w:rsid w:val="004723ED"/>
    <w:rsid w:val="0047247F"/>
    <w:rsid w:val="00473800"/>
    <w:rsid w:val="00474037"/>
    <w:rsid w:val="00475945"/>
    <w:rsid w:val="00477597"/>
    <w:rsid w:val="00477647"/>
    <w:rsid w:val="00482FAE"/>
    <w:rsid w:val="00483934"/>
    <w:rsid w:val="00487311"/>
    <w:rsid w:val="0049090A"/>
    <w:rsid w:val="00491EE7"/>
    <w:rsid w:val="0049225D"/>
    <w:rsid w:val="00492662"/>
    <w:rsid w:val="00495374"/>
    <w:rsid w:val="004A583F"/>
    <w:rsid w:val="004A7B99"/>
    <w:rsid w:val="004B1960"/>
    <w:rsid w:val="004B38E1"/>
    <w:rsid w:val="004B3BB0"/>
    <w:rsid w:val="004B670D"/>
    <w:rsid w:val="004B67EB"/>
    <w:rsid w:val="004B767C"/>
    <w:rsid w:val="004C1726"/>
    <w:rsid w:val="004C1841"/>
    <w:rsid w:val="004C49E3"/>
    <w:rsid w:val="004C5F1E"/>
    <w:rsid w:val="004C77E1"/>
    <w:rsid w:val="004D11EA"/>
    <w:rsid w:val="004D2859"/>
    <w:rsid w:val="004D2BE0"/>
    <w:rsid w:val="004D4913"/>
    <w:rsid w:val="004D5AA2"/>
    <w:rsid w:val="004D7998"/>
    <w:rsid w:val="004D7A18"/>
    <w:rsid w:val="004E17AF"/>
    <w:rsid w:val="004E2D27"/>
    <w:rsid w:val="004E2D51"/>
    <w:rsid w:val="004E2E48"/>
    <w:rsid w:val="004E3D4D"/>
    <w:rsid w:val="004E481A"/>
    <w:rsid w:val="004E50B9"/>
    <w:rsid w:val="004E54DC"/>
    <w:rsid w:val="004E6470"/>
    <w:rsid w:val="004F01DA"/>
    <w:rsid w:val="004F07F9"/>
    <w:rsid w:val="004F3E9A"/>
    <w:rsid w:val="004F4368"/>
    <w:rsid w:val="004F4BA9"/>
    <w:rsid w:val="005005DA"/>
    <w:rsid w:val="005010C6"/>
    <w:rsid w:val="00502C5E"/>
    <w:rsid w:val="00503A3B"/>
    <w:rsid w:val="0050415F"/>
    <w:rsid w:val="00504E01"/>
    <w:rsid w:val="00507033"/>
    <w:rsid w:val="005104A1"/>
    <w:rsid w:val="00510B85"/>
    <w:rsid w:val="00511137"/>
    <w:rsid w:val="00512AF6"/>
    <w:rsid w:val="00516169"/>
    <w:rsid w:val="00517389"/>
    <w:rsid w:val="005176C3"/>
    <w:rsid w:val="005201B0"/>
    <w:rsid w:val="00520331"/>
    <w:rsid w:val="005233C5"/>
    <w:rsid w:val="005235C6"/>
    <w:rsid w:val="00523B10"/>
    <w:rsid w:val="0052485E"/>
    <w:rsid w:val="00525C75"/>
    <w:rsid w:val="005279AC"/>
    <w:rsid w:val="005301AD"/>
    <w:rsid w:val="00531754"/>
    <w:rsid w:val="00532EC2"/>
    <w:rsid w:val="00532F1C"/>
    <w:rsid w:val="005341F2"/>
    <w:rsid w:val="005350A7"/>
    <w:rsid w:val="00535611"/>
    <w:rsid w:val="005362BD"/>
    <w:rsid w:val="00537F09"/>
    <w:rsid w:val="005411C6"/>
    <w:rsid w:val="00541F5A"/>
    <w:rsid w:val="00545FF8"/>
    <w:rsid w:val="00547ADF"/>
    <w:rsid w:val="00550B8A"/>
    <w:rsid w:val="0055123D"/>
    <w:rsid w:val="00553B87"/>
    <w:rsid w:val="00555C41"/>
    <w:rsid w:val="0055651E"/>
    <w:rsid w:val="00557E43"/>
    <w:rsid w:val="00560079"/>
    <w:rsid w:val="0056079F"/>
    <w:rsid w:val="0056111C"/>
    <w:rsid w:val="005611A9"/>
    <w:rsid w:val="00561625"/>
    <w:rsid w:val="005625B9"/>
    <w:rsid w:val="00562CF7"/>
    <w:rsid w:val="00564685"/>
    <w:rsid w:val="005649EC"/>
    <w:rsid w:val="005703AB"/>
    <w:rsid w:val="005720A4"/>
    <w:rsid w:val="00572ED9"/>
    <w:rsid w:val="005738ED"/>
    <w:rsid w:val="00573A3D"/>
    <w:rsid w:val="00574B28"/>
    <w:rsid w:val="00574BC1"/>
    <w:rsid w:val="0057577D"/>
    <w:rsid w:val="005758D8"/>
    <w:rsid w:val="005767EB"/>
    <w:rsid w:val="005800FF"/>
    <w:rsid w:val="00580BCA"/>
    <w:rsid w:val="00582B51"/>
    <w:rsid w:val="00582FE3"/>
    <w:rsid w:val="005841FC"/>
    <w:rsid w:val="00585205"/>
    <w:rsid w:val="005906C8"/>
    <w:rsid w:val="00590C60"/>
    <w:rsid w:val="0059228C"/>
    <w:rsid w:val="005939E8"/>
    <w:rsid w:val="00593D7B"/>
    <w:rsid w:val="005943D5"/>
    <w:rsid w:val="005A03C1"/>
    <w:rsid w:val="005A09EF"/>
    <w:rsid w:val="005A0D3E"/>
    <w:rsid w:val="005A45D1"/>
    <w:rsid w:val="005A612B"/>
    <w:rsid w:val="005A7A34"/>
    <w:rsid w:val="005B3CB1"/>
    <w:rsid w:val="005B3F9F"/>
    <w:rsid w:val="005B5914"/>
    <w:rsid w:val="005B5C34"/>
    <w:rsid w:val="005B7B52"/>
    <w:rsid w:val="005B7B62"/>
    <w:rsid w:val="005C0199"/>
    <w:rsid w:val="005C2871"/>
    <w:rsid w:val="005C545A"/>
    <w:rsid w:val="005C6B16"/>
    <w:rsid w:val="005D102E"/>
    <w:rsid w:val="005D4C68"/>
    <w:rsid w:val="005E10B6"/>
    <w:rsid w:val="005E1E03"/>
    <w:rsid w:val="005E35B3"/>
    <w:rsid w:val="005E4006"/>
    <w:rsid w:val="005E46B2"/>
    <w:rsid w:val="005E494F"/>
    <w:rsid w:val="005E5994"/>
    <w:rsid w:val="005E5C74"/>
    <w:rsid w:val="005E5C96"/>
    <w:rsid w:val="005E62B7"/>
    <w:rsid w:val="005E633A"/>
    <w:rsid w:val="005F0053"/>
    <w:rsid w:val="005F048D"/>
    <w:rsid w:val="005F5D6F"/>
    <w:rsid w:val="005F7BEA"/>
    <w:rsid w:val="00603677"/>
    <w:rsid w:val="00603A68"/>
    <w:rsid w:val="0060718A"/>
    <w:rsid w:val="00607E9B"/>
    <w:rsid w:val="00611335"/>
    <w:rsid w:val="00612244"/>
    <w:rsid w:val="00614AFD"/>
    <w:rsid w:val="00615612"/>
    <w:rsid w:val="00617333"/>
    <w:rsid w:val="00621B48"/>
    <w:rsid w:val="006233A8"/>
    <w:rsid w:val="006233B9"/>
    <w:rsid w:val="006302E4"/>
    <w:rsid w:val="0063068C"/>
    <w:rsid w:val="00632D39"/>
    <w:rsid w:val="006330DC"/>
    <w:rsid w:val="00634387"/>
    <w:rsid w:val="00635133"/>
    <w:rsid w:val="0063699D"/>
    <w:rsid w:val="00636ED4"/>
    <w:rsid w:val="006408D2"/>
    <w:rsid w:val="006413A3"/>
    <w:rsid w:val="0064557D"/>
    <w:rsid w:val="00645771"/>
    <w:rsid w:val="006464BB"/>
    <w:rsid w:val="00647006"/>
    <w:rsid w:val="00650F00"/>
    <w:rsid w:val="0065113D"/>
    <w:rsid w:val="0065542A"/>
    <w:rsid w:val="00656442"/>
    <w:rsid w:val="00656AD5"/>
    <w:rsid w:val="00656E7E"/>
    <w:rsid w:val="00661219"/>
    <w:rsid w:val="00661320"/>
    <w:rsid w:val="00661D55"/>
    <w:rsid w:val="006626D7"/>
    <w:rsid w:val="00662A4D"/>
    <w:rsid w:val="00663469"/>
    <w:rsid w:val="006640BF"/>
    <w:rsid w:val="006664D5"/>
    <w:rsid w:val="0066784F"/>
    <w:rsid w:val="00667F87"/>
    <w:rsid w:val="00673ADB"/>
    <w:rsid w:val="00674AC7"/>
    <w:rsid w:val="00675223"/>
    <w:rsid w:val="00675E94"/>
    <w:rsid w:val="00677497"/>
    <w:rsid w:val="006806BA"/>
    <w:rsid w:val="006848B6"/>
    <w:rsid w:val="00684B98"/>
    <w:rsid w:val="00686AED"/>
    <w:rsid w:val="00687010"/>
    <w:rsid w:val="00687E92"/>
    <w:rsid w:val="0069424D"/>
    <w:rsid w:val="0069439E"/>
    <w:rsid w:val="00695067"/>
    <w:rsid w:val="0069577A"/>
    <w:rsid w:val="00695D57"/>
    <w:rsid w:val="00696054"/>
    <w:rsid w:val="00696853"/>
    <w:rsid w:val="00696E8F"/>
    <w:rsid w:val="0069742D"/>
    <w:rsid w:val="006A08B4"/>
    <w:rsid w:val="006A1B59"/>
    <w:rsid w:val="006A2939"/>
    <w:rsid w:val="006A3166"/>
    <w:rsid w:val="006A4F70"/>
    <w:rsid w:val="006A6305"/>
    <w:rsid w:val="006A6EED"/>
    <w:rsid w:val="006B0017"/>
    <w:rsid w:val="006B138A"/>
    <w:rsid w:val="006B1666"/>
    <w:rsid w:val="006B2A32"/>
    <w:rsid w:val="006B31ED"/>
    <w:rsid w:val="006B45DC"/>
    <w:rsid w:val="006B6594"/>
    <w:rsid w:val="006C1280"/>
    <w:rsid w:val="006C182A"/>
    <w:rsid w:val="006C23A2"/>
    <w:rsid w:val="006C2418"/>
    <w:rsid w:val="006C3988"/>
    <w:rsid w:val="006C43F2"/>
    <w:rsid w:val="006C68F1"/>
    <w:rsid w:val="006C728C"/>
    <w:rsid w:val="006C7A1D"/>
    <w:rsid w:val="006D063E"/>
    <w:rsid w:val="006D0FEA"/>
    <w:rsid w:val="006D169B"/>
    <w:rsid w:val="006D1A97"/>
    <w:rsid w:val="006D2A66"/>
    <w:rsid w:val="006D3235"/>
    <w:rsid w:val="006D4D5D"/>
    <w:rsid w:val="006E0BC6"/>
    <w:rsid w:val="006E2C77"/>
    <w:rsid w:val="006E45D3"/>
    <w:rsid w:val="006E77C5"/>
    <w:rsid w:val="006F157C"/>
    <w:rsid w:val="006F246A"/>
    <w:rsid w:val="006F283E"/>
    <w:rsid w:val="006F2C8A"/>
    <w:rsid w:val="006F30BC"/>
    <w:rsid w:val="006F3413"/>
    <w:rsid w:val="006F3B65"/>
    <w:rsid w:val="006F7ED1"/>
    <w:rsid w:val="00701327"/>
    <w:rsid w:val="00701F3E"/>
    <w:rsid w:val="0070206A"/>
    <w:rsid w:val="00702795"/>
    <w:rsid w:val="00704A2C"/>
    <w:rsid w:val="00705740"/>
    <w:rsid w:val="00706C33"/>
    <w:rsid w:val="0070747E"/>
    <w:rsid w:val="00707E82"/>
    <w:rsid w:val="0071121B"/>
    <w:rsid w:val="00711BA8"/>
    <w:rsid w:val="0071245A"/>
    <w:rsid w:val="00712D58"/>
    <w:rsid w:val="007148AD"/>
    <w:rsid w:val="00715FEF"/>
    <w:rsid w:val="00716C67"/>
    <w:rsid w:val="007175E4"/>
    <w:rsid w:val="00720B35"/>
    <w:rsid w:val="00722C52"/>
    <w:rsid w:val="00723C67"/>
    <w:rsid w:val="0072491E"/>
    <w:rsid w:val="00724F29"/>
    <w:rsid w:val="007309B8"/>
    <w:rsid w:val="00731BF4"/>
    <w:rsid w:val="007335F7"/>
    <w:rsid w:val="00741422"/>
    <w:rsid w:val="0074260F"/>
    <w:rsid w:val="0074261A"/>
    <w:rsid w:val="00742899"/>
    <w:rsid w:val="00742FC5"/>
    <w:rsid w:val="00750E48"/>
    <w:rsid w:val="0075287E"/>
    <w:rsid w:val="00752A3F"/>
    <w:rsid w:val="007533D5"/>
    <w:rsid w:val="007541A6"/>
    <w:rsid w:val="00754E70"/>
    <w:rsid w:val="0075505C"/>
    <w:rsid w:val="00756539"/>
    <w:rsid w:val="0075730D"/>
    <w:rsid w:val="007624E7"/>
    <w:rsid w:val="0076276B"/>
    <w:rsid w:val="00762E41"/>
    <w:rsid w:val="00765AC4"/>
    <w:rsid w:val="007674B6"/>
    <w:rsid w:val="00770289"/>
    <w:rsid w:val="007706AB"/>
    <w:rsid w:val="00770934"/>
    <w:rsid w:val="00771B2A"/>
    <w:rsid w:val="00771E97"/>
    <w:rsid w:val="00771F35"/>
    <w:rsid w:val="007737AA"/>
    <w:rsid w:val="00773B30"/>
    <w:rsid w:val="00773FFE"/>
    <w:rsid w:val="00775285"/>
    <w:rsid w:val="007759CC"/>
    <w:rsid w:val="00776C5D"/>
    <w:rsid w:val="00780BC8"/>
    <w:rsid w:val="0078241D"/>
    <w:rsid w:val="00784315"/>
    <w:rsid w:val="00784B3B"/>
    <w:rsid w:val="00784B99"/>
    <w:rsid w:val="007857FB"/>
    <w:rsid w:val="007866BC"/>
    <w:rsid w:val="0078767D"/>
    <w:rsid w:val="00792AD8"/>
    <w:rsid w:val="00793051"/>
    <w:rsid w:val="0079386C"/>
    <w:rsid w:val="00793F1D"/>
    <w:rsid w:val="00794EFC"/>
    <w:rsid w:val="0079602D"/>
    <w:rsid w:val="00796CEF"/>
    <w:rsid w:val="007A062F"/>
    <w:rsid w:val="007A0783"/>
    <w:rsid w:val="007A132E"/>
    <w:rsid w:val="007A22A5"/>
    <w:rsid w:val="007A3046"/>
    <w:rsid w:val="007A30C5"/>
    <w:rsid w:val="007A36D7"/>
    <w:rsid w:val="007A4378"/>
    <w:rsid w:val="007A578C"/>
    <w:rsid w:val="007A68F0"/>
    <w:rsid w:val="007B0365"/>
    <w:rsid w:val="007B100E"/>
    <w:rsid w:val="007B13DC"/>
    <w:rsid w:val="007B14D0"/>
    <w:rsid w:val="007B685A"/>
    <w:rsid w:val="007B6BAF"/>
    <w:rsid w:val="007C00D0"/>
    <w:rsid w:val="007C065D"/>
    <w:rsid w:val="007C1483"/>
    <w:rsid w:val="007C14CB"/>
    <w:rsid w:val="007C2658"/>
    <w:rsid w:val="007C3F14"/>
    <w:rsid w:val="007C42A1"/>
    <w:rsid w:val="007C435A"/>
    <w:rsid w:val="007C4C18"/>
    <w:rsid w:val="007C6091"/>
    <w:rsid w:val="007C66FF"/>
    <w:rsid w:val="007C68AC"/>
    <w:rsid w:val="007D03F6"/>
    <w:rsid w:val="007D276A"/>
    <w:rsid w:val="007D2C22"/>
    <w:rsid w:val="007D2C38"/>
    <w:rsid w:val="007D2CF5"/>
    <w:rsid w:val="007D3F3D"/>
    <w:rsid w:val="007D65B8"/>
    <w:rsid w:val="007E15F1"/>
    <w:rsid w:val="007E50BA"/>
    <w:rsid w:val="007E5D91"/>
    <w:rsid w:val="007E6AB5"/>
    <w:rsid w:val="007E713C"/>
    <w:rsid w:val="007E72E7"/>
    <w:rsid w:val="007F0E9C"/>
    <w:rsid w:val="007F1421"/>
    <w:rsid w:val="007F189B"/>
    <w:rsid w:val="007F1C81"/>
    <w:rsid w:val="007F2B02"/>
    <w:rsid w:val="007F60CF"/>
    <w:rsid w:val="00800503"/>
    <w:rsid w:val="008013F7"/>
    <w:rsid w:val="008020DC"/>
    <w:rsid w:val="0080332C"/>
    <w:rsid w:val="00803B35"/>
    <w:rsid w:val="0080579F"/>
    <w:rsid w:val="00806094"/>
    <w:rsid w:val="00807345"/>
    <w:rsid w:val="008075B2"/>
    <w:rsid w:val="008118A6"/>
    <w:rsid w:val="00813D87"/>
    <w:rsid w:val="00814590"/>
    <w:rsid w:val="00815BBD"/>
    <w:rsid w:val="0081659D"/>
    <w:rsid w:val="0082027E"/>
    <w:rsid w:val="0082136C"/>
    <w:rsid w:val="0082240D"/>
    <w:rsid w:val="00823301"/>
    <w:rsid w:val="00824E4B"/>
    <w:rsid w:val="00825110"/>
    <w:rsid w:val="008267C5"/>
    <w:rsid w:val="008268D7"/>
    <w:rsid w:val="00827B0A"/>
    <w:rsid w:val="00831703"/>
    <w:rsid w:val="008334DD"/>
    <w:rsid w:val="008342CC"/>
    <w:rsid w:val="00834839"/>
    <w:rsid w:val="00835E7B"/>
    <w:rsid w:val="008371B9"/>
    <w:rsid w:val="00840CD6"/>
    <w:rsid w:val="00840F7D"/>
    <w:rsid w:val="00841131"/>
    <w:rsid w:val="008415DE"/>
    <w:rsid w:val="00842D35"/>
    <w:rsid w:val="00842EFE"/>
    <w:rsid w:val="00843997"/>
    <w:rsid w:val="00844E6C"/>
    <w:rsid w:val="0084588C"/>
    <w:rsid w:val="0084695A"/>
    <w:rsid w:val="008478D7"/>
    <w:rsid w:val="008542C4"/>
    <w:rsid w:val="00854ED8"/>
    <w:rsid w:val="008610B7"/>
    <w:rsid w:val="00861FC0"/>
    <w:rsid w:val="0086263A"/>
    <w:rsid w:val="0086273D"/>
    <w:rsid w:val="00862E19"/>
    <w:rsid w:val="00863385"/>
    <w:rsid w:val="008651E8"/>
    <w:rsid w:val="00865801"/>
    <w:rsid w:val="0086592B"/>
    <w:rsid w:val="008674E4"/>
    <w:rsid w:val="00871013"/>
    <w:rsid w:val="0087179F"/>
    <w:rsid w:val="008752F2"/>
    <w:rsid w:val="00880067"/>
    <w:rsid w:val="008805DD"/>
    <w:rsid w:val="0088405A"/>
    <w:rsid w:val="00884063"/>
    <w:rsid w:val="00885183"/>
    <w:rsid w:val="00886249"/>
    <w:rsid w:val="008868DE"/>
    <w:rsid w:val="00890170"/>
    <w:rsid w:val="008906FA"/>
    <w:rsid w:val="00892E1B"/>
    <w:rsid w:val="00893379"/>
    <w:rsid w:val="0089398C"/>
    <w:rsid w:val="0089567E"/>
    <w:rsid w:val="00896084"/>
    <w:rsid w:val="008A0BF5"/>
    <w:rsid w:val="008A2910"/>
    <w:rsid w:val="008A54D4"/>
    <w:rsid w:val="008B23AE"/>
    <w:rsid w:val="008C3F82"/>
    <w:rsid w:val="008C58F5"/>
    <w:rsid w:val="008C618F"/>
    <w:rsid w:val="008C63B9"/>
    <w:rsid w:val="008C644C"/>
    <w:rsid w:val="008C6DC2"/>
    <w:rsid w:val="008D030A"/>
    <w:rsid w:val="008D1E3C"/>
    <w:rsid w:val="008D5275"/>
    <w:rsid w:val="008D7140"/>
    <w:rsid w:val="008E0986"/>
    <w:rsid w:val="008E1D32"/>
    <w:rsid w:val="008E3247"/>
    <w:rsid w:val="008E393C"/>
    <w:rsid w:val="008E4171"/>
    <w:rsid w:val="008E4C9F"/>
    <w:rsid w:val="008E5D69"/>
    <w:rsid w:val="008E5DEE"/>
    <w:rsid w:val="008E64D8"/>
    <w:rsid w:val="008F07DA"/>
    <w:rsid w:val="008F482E"/>
    <w:rsid w:val="008F5D03"/>
    <w:rsid w:val="008F7367"/>
    <w:rsid w:val="009004DD"/>
    <w:rsid w:val="009009E1"/>
    <w:rsid w:val="009068A3"/>
    <w:rsid w:val="00907E6E"/>
    <w:rsid w:val="00911012"/>
    <w:rsid w:val="0091125A"/>
    <w:rsid w:val="00911B41"/>
    <w:rsid w:val="0091205A"/>
    <w:rsid w:val="0091374D"/>
    <w:rsid w:val="009153A8"/>
    <w:rsid w:val="00915E02"/>
    <w:rsid w:val="00916289"/>
    <w:rsid w:val="00917C1E"/>
    <w:rsid w:val="00921567"/>
    <w:rsid w:val="009237A0"/>
    <w:rsid w:val="009252DB"/>
    <w:rsid w:val="00925AEA"/>
    <w:rsid w:val="00925E0C"/>
    <w:rsid w:val="00925E90"/>
    <w:rsid w:val="0092637C"/>
    <w:rsid w:val="00926581"/>
    <w:rsid w:val="009279CD"/>
    <w:rsid w:val="009302D8"/>
    <w:rsid w:val="00931CE0"/>
    <w:rsid w:val="00933D23"/>
    <w:rsid w:val="009346AD"/>
    <w:rsid w:val="00936894"/>
    <w:rsid w:val="0094071C"/>
    <w:rsid w:val="00941E1C"/>
    <w:rsid w:val="009459B4"/>
    <w:rsid w:val="00945B0D"/>
    <w:rsid w:val="00945B70"/>
    <w:rsid w:val="00946B2D"/>
    <w:rsid w:val="00946D10"/>
    <w:rsid w:val="00947776"/>
    <w:rsid w:val="00947F35"/>
    <w:rsid w:val="00950014"/>
    <w:rsid w:val="00950C01"/>
    <w:rsid w:val="00950DD7"/>
    <w:rsid w:val="00953526"/>
    <w:rsid w:val="0095399A"/>
    <w:rsid w:val="0095463A"/>
    <w:rsid w:val="00954F24"/>
    <w:rsid w:val="009550AD"/>
    <w:rsid w:val="00957151"/>
    <w:rsid w:val="009641DA"/>
    <w:rsid w:val="00964832"/>
    <w:rsid w:val="009656A1"/>
    <w:rsid w:val="00971647"/>
    <w:rsid w:val="0097437D"/>
    <w:rsid w:val="009745DF"/>
    <w:rsid w:val="00974E55"/>
    <w:rsid w:val="00980F8E"/>
    <w:rsid w:val="00981735"/>
    <w:rsid w:val="00981738"/>
    <w:rsid w:val="0098690D"/>
    <w:rsid w:val="0098747B"/>
    <w:rsid w:val="00987959"/>
    <w:rsid w:val="0099187B"/>
    <w:rsid w:val="00993AD3"/>
    <w:rsid w:val="00994B36"/>
    <w:rsid w:val="00996C03"/>
    <w:rsid w:val="00997D62"/>
    <w:rsid w:val="00997DEA"/>
    <w:rsid w:val="009A5620"/>
    <w:rsid w:val="009A6028"/>
    <w:rsid w:val="009B21D4"/>
    <w:rsid w:val="009B3179"/>
    <w:rsid w:val="009B3A16"/>
    <w:rsid w:val="009B6790"/>
    <w:rsid w:val="009B69AC"/>
    <w:rsid w:val="009B6A83"/>
    <w:rsid w:val="009B7166"/>
    <w:rsid w:val="009B7685"/>
    <w:rsid w:val="009C1955"/>
    <w:rsid w:val="009C3D6A"/>
    <w:rsid w:val="009C68AE"/>
    <w:rsid w:val="009D1984"/>
    <w:rsid w:val="009D3766"/>
    <w:rsid w:val="009D4DA2"/>
    <w:rsid w:val="009D5496"/>
    <w:rsid w:val="009D6D66"/>
    <w:rsid w:val="009D703A"/>
    <w:rsid w:val="009D7252"/>
    <w:rsid w:val="009D7E26"/>
    <w:rsid w:val="009E2F2F"/>
    <w:rsid w:val="009E7471"/>
    <w:rsid w:val="009F15CB"/>
    <w:rsid w:val="009F1BD8"/>
    <w:rsid w:val="009F280D"/>
    <w:rsid w:val="009F313A"/>
    <w:rsid w:val="009F570F"/>
    <w:rsid w:val="009F5D23"/>
    <w:rsid w:val="009F6581"/>
    <w:rsid w:val="00A003D8"/>
    <w:rsid w:val="00A04082"/>
    <w:rsid w:val="00A06C38"/>
    <w:rsid w:val="00A127BD"/>
    <w:rsid w:val="00A12EF9"/>
    <w:rsid w:val="00A132EB"/>
    <w:rsid w:val="00A13FF4"/>
    <w:rsid w:val="00A140D2"/>
    <w:rsid w:val="00A14993"/>
    <w:rsid w:val="00A21565"/>
    <w:rsid w:val="00A233A2"/>
    <w:rsid w:val="00A24E33"/>
    <w:rsid w:val="00A24E55"/>
    <w:rsid w:val="00A25AA1"/>
    <w:rsid w:val="00A36943"/>
    <w:rsid w:val="00A36BF1"/>
    <w:rsid w:val="00A3712F"/>
    <w:rsid w:val="00A41A76"/>
    <w:rsid w:val="00A42012"/>
    <w:rsid w:val="00A4211C"/>
    <w:rsid w:val="00A43910"/>
    <w:rsid w:val="00A46FA8"/>
    <w:rsid w:val="00A50ED4"/>
    <w:rsid w:val="00A52AC7"/>
    <w:rsid w:val="00A54E53"/>
    <w:rsid w:val="00A55AEF"/>
    <w:rsid w:val="00A561EB"/>
    <w:rsid w:val="00A57ADE"/>
    <w:rsid w:val="00A60321"/>
    <w:rsid w:val="00A60D48"/>
    <w:rsid w:val="00A61F6C"/>
    <w:rsid w:val="00A62DE0"/>
    <w:rsid w:val="00A63331"/>
    <w:rsid w:val="00A63B2E"/>
    <w:rsid w:val="00A64338"/>
    <w:rsid w:val="00A657D0"/>
    <w:rsid w:val="00A65908"/>
    <w:rsid w:val="00A66962"/>
    <w:rsid w:val="00A67DAE"/>
    <w:rsid w:val="00A70E6F"/>
    <w:rsid w:val="00A71711"/>
    <w:rsid w:val="00A71AD8"/>
    <w:rsid w:val="00A72D48"/>
    <w:rsid w:val="00A74688"/>
    <w:rsid w:val="00A7538E"/>
    <w:rsid w:val="00A7785F"/>
    <w:rsid w:val="00A804BA"/>
    <w:rsid w:val="00A8131C"/>
    <w:rsid w:val="00A8142C"/>
    <w:rsid w:val="00A81AB4"/>
    <w:rsid w:val="00A82A75"/>
    <w:rsid w:val="00A84CEC"/>
    <w:rsid w:val="00A8677D"/>
    <w:rsid w:val="00A9099A"/>
    <w:rsid w:val="00A94226"/>
    <w:rsid w:val="00A94B94"/>
    <w:rsid w:val="00A95051"/>
    <w:rsid w:val="00A95F56"/>
    <w:rsid w:val="00A961AC"/>
    <w:rsid w:val="00AA15A5"/>
    <w:rsid w:val="00AA227D"/>
    <w:rsid w:val="00AA4460"/>
    <w:rsid w:val="00AA4FC9"/>
    <w:rsid w:val="00AB14AA"/>
    <w:rsid w:val="00AB30DD"/>
    <w:rsid w:val="00AB54E0"/>
    <w:rsid w:val="00AC25B5"/>
    <w:rsid w:val="00AC3439"/>
    <w:rsid w:val="00AC3517"/>
    <w:rsid w:val="00AC3685"/>
    <w:rsid w:val="00AC4B2F"/>
    <w:rsid w:val="00AC56D4"/>
    <w:rsid w:val="00AC5754"/>
    <w:rsid w:val="00AC64B7"/>
    <w:rsid w:val="00AD0316"/>
    <w:rsid w:val="00AD1316"/>
    <w:rsid w:val="00AD2CF2"/>
    <w:rsid w:val="00AD2FEA"/>
    <w:rsid w:val="00AD5CB7"/>
    <w:rsid w:val="00AD6696"/>
    <w:rsid w:val="00AE0605"/>
    <w:rsid w:val="00AE0899"/>
    <w:rsid w:val="00AE177E"/>
    <w:rsid w:val="00AE20B5"/>
    <w:rsid w:val="00AE4EA8"/>
    <w:rsid w:val="00AE51FB"/>
    <w:rsid w:val="00AE64B5"/>
    <w:rsid w:val="00AE7E9D"/>
    <w:rsid w:val="00AF0801"/>
    <w:rsid w:val="00AF0FE8"/>
    <w:rsid w:val="00AF24CF"/>
    <w:rsid w:val="00AF3B1E"/>
    <w:rsid w:val="00AF4034"/>
    <w:rsid w:val="00AF56C6"/>
    <w:rsid w:val="00AF5BF6"/>
    <w:rsid w:val="00AF5D45"/>
    <w:rsid w:val="00AF5E8B"/>
    <w:rsid w:val="00AF6774"/>
    <w:rsid w:val="00AF6F7B"/>
    <w:rsid w:val="00AF7322"/>
    <w:rsid w:val="00AF7B44"/>
    <w:rsid w:val="00B014D9"/>
    <w:rsid w:val="00B01DE1"/>
    <w:rsid w:val="00B0284B"/>
    <w:rsid w:val="00B02B70"/>
    <w:rsid w:val="00B03A41"/>
    <w:rsid w:val="00B04AE9"/>
    <w:rsid w:val="00B04BAA"/>
    <w:rsid w:val="00B05539"/>
    <w:rsid w:val="00B06D0B"/>
    <w:rsid w:val="00B107C0"/>
    <w:rsid w:val="00B11DA1"/>
    <w:rsid w:val="00B1201D"/>
    <w:rsid w:val="00B12B23"/>
    <w:rsid w:val="00B15D0B"/>
    <w:rsid w:val="00B15E36"/>
    <w:rsid w:val="00B2037E"/>
    <w:rsid w:val="00B2224E"/>
    <w:rsid w:val="00B237EC"/>
    <w:rsid w:val="00B264BF"/>
    <w:rsid w:val="00B26658"/>
    <w:rsid w:val="00B26C9A"/>
    <w:rsid w:val="00B27BEF"/>
    <w:rsid w:val="00B30561"/>
    <w:rsid w:val="00B339F9"/>
    <w:rsid w:val="00B34882"/>
    <w:rsid w:val="00B34AA7"/>
    <w:rsid w:val="00B375CE"/>
    <w:rsid w:val="00B37A1E"/>
    <w:rsid w:val="00B412B5"/>
    <w:rsid w:val="00B41A9A"/>
    <w:rsid w:val="00B4263A"/>
    <w:rsid w:val="00B43C60"/>
    <w:rsid w:val="00B43D10"/>
    <w:rsid w:val="00B455B5"/>
    <w:rsid w:val="00B51DF8"/>
    <w:rsid w:val="00B52704"/>
    <w:rsid w:val="00B53615"/>
    <w:rsid w:val="00B541A1"/>
    <w:rsid w:val="00B54CE9"/>
    <w:rsid w:val="00B56FD6"/>
    <w:rsid w:val="00B57117"/>
    <w:rsid w:val="00B63400"/>
    <w:rsid w:val="00B649EE"/>
    <w:rsid w:val="00B65EC8"/>
    <w:rsid w:val="00B6674B"/>
    <w:rsid w:val="00B707E5"/>
    <w:rsid w:val="00B748A5"/>
    <w:rsid w:val="00B779E5"/>
    <w:rsid w:val="00B811E0"/>
    <w:rsid w:val="00B82EA9"/>
    <w:rsid w:val="00B83D14"/>
    <w:rsid w:val="00B84AD3"/>
    <w:rsid w:val="00B8517B"/>
    <w:rsid w:val="00B873B4"/>
    <w:rsid w:val="00B87992"/>
    <w:rsid w:val="00B90033"/>
    <w:rsid w:val="00B90459"/>
    <w:rsid w:val="00B93D34"/>
    <w:rsid w:val="00B954C5"/>
    <w:rsid w:val="00B95B9C"/>
    <w:rsid w:val="00B964E1"/>
    <w:rsid w:val="00B972AF"/>
    <w:rsid w:val="00B977D4"/>
    <w:rsid w:val="00BA0015"/>
    <w:rsid w:val="00BA0969"/>
    <w:rsid w:val="00BA0D7E"/>
    <w:rsid w:val="00BA3195"/>
    <w:rsid w:val="00BA4BF0"/>
    <w:rsid w:val="00BA52B8"/>
    <w:rsid w:val="00BA5B5E"/>
    <w:rsid w:val="00BA6219"/>
    <w:rsid w:val="00BA70D7"/>
    <w:rsid w:val="00BA7F01"/>
    <w:rsid w:val="00BB0B98"/>
    <w:rsid w:val="00BB30DF"/>
    <w:rsid w:val="00BB332B"/>
    <w:rsid w:val="00BB3D5F"/>
    <w:rsid w:val="00BB407A"/>
    <w:rsid w:val="00BB43FB"/>
    <w:rsid w:val="00BB52CB"/>
    <w:rsid w:val="00BB6325"/>
    <w:rsid w:val="00BB66B5"/>
    <w:rsid w:val="00BC20BC"/>
    <w:rsid w:val="00BC21EB"/>
    <w:rsid w:val="00BC2722"/>
    <w:rsid w:val="00BC29B3"/>
    <w:rsid w:val="00BC2BA2"/>
    <w:rsid w:val="00BC30C6"/>
    <w:rsid w:val="00BC3B7C"/>
    <w:rsid w:val="00BC3ED3"/>
    <w:rsid w:val="00BC44CB"/>
    <w:rsid w:val="00BC55CF"/>
    <w:rsid w:val="00BC6E83"/>
    <w:rsid w:val="00BD0BD6"/>
    <w:rsid w:val="00BD107C"/>
    <w:rsid w:val="00BD170B"/>
    <w:rsid w:val="00BD32B2"/>
    <w:rsid w:val="00BD587C"/>
    <w:rsid w:val="00BD6538"/>
    <w:rsid w:val="00BD746C"/>
    <w:rsid w:val="00BE0CA6"/>
    <w:rsid w:val="00BE5645"/>
    <w:rsid w:val="00BE5D36"/>
    <w:rsid w:val="00BF0170"/>
    <w:rsid w:val="00BF3090"/>
    <w:rsid w:val="00BF3D3D"/>
    <w:rsid w:val="00BF620F"/>
    <w:rsid w:val="00BF7942"/>
    <w:rsid w:val="00C03B66"/>
    <w:rsid w:val="00C0543F"/>
    <w:rsid w:val="00C0652E"/>
    <w:rsid w:val="00C07AB9"/>
    <w:rsid w:val="00C1138F"/>
    <w:rsid w:val="00C14775"/>
    <w:rsid w:val="00C14B45"/>
    <w:rsid w:val="00C16421"/>
    <w:rsid w:val="00C16500"/>
    <w:rsid w:val="00C17515"/>
    <w:rsid w:val="00C21C01"/>
    <w:rsid w:val="00C24665"/>
    <w:rsid w:val="00C255C1"/>
    <w:rsid w:val="00C262F0"/>
    <w:rsid w:val="00C30EB4"/>
    <w:rsid w:val="00C31ECA"/>
    <w:rsid w:val="00C32636"/>
    <w:rsid w:val="00C33774"/>
    <w:rsid w:val="00C33CC5"/>
    <w:rsid w:val="00C40554"/>
    <w:rsid w:val="00C4241E"/>
    <w:rsid w:val="00C43588"/>
    <w:rsid w:val="00C46360"/>
    <w:rsid w:val="00C5755D"/>
    <w:rsid w:val="00C61241"/>
    <w:rsid w:val="00C61357"/>
    <w:rsid w:val="00C6191D"/>
    <w:rsid w:val="00C61925"/>
    <w:rsid w:val="00C64088"/>
    <w:rsid w:val="00C644BC"/>
    <w:rsid w:val="00C65392"/>
    <w:rsid w:val="00C655EF"/>
    <w:rsid w:val="00C70C89"/>
    <w:rsid w:val="00C73C20"/>
    <w:rsid w:val="00C749E6"/>
    <w:rsid w:val="00C74FCB"/>
    <w:rsid w:val="00C76588"/>
    <w:rsid w:val="00C80B51"/>
    <w:rsid w:val="00C80F2E"/>
    <w:rsid w:val="00C8133E"/>
    <w:rsid w:val="00C85B3C"/>
    <w:rsid w:val="00C86D4F"/>
    <w:rsid w:val="00C86FBF"/>
    <w:rsid w:val="00C91165"/>
    <w:rsid w:val="00C93BC6"/>
    <w:rsid w:val="00C93BD0"/>
    <w:rsid w:val="00C93C10"/>
    <w:rsid w:val="00C96865"/>
    <w:rsid w:val="00C97251"/>
    <w:rsid w:val="00C97759"/>
    <w:rsid w:val="00CA2071"/>
    <w:rsid w:val="00CA261A"/>
    <w:rsid w:val="00CA28C9"/>
    <w:rsid w:val="00CA2923"/>
    <w:rsid w:val="00CA31AF"/>
    <w:rsid w:val="00CA4D72"/>
    <w:rsid w:val="00CA7E35"/>
    <w:rsid w:val="00CB0CD3"/>
    <w:rsid w:val="00CB1AC3"/>
    <w:rsid w:val="00CB3CF9"/>
    <w:rsid w:val="00CB47E1"/>
    <w:rsid w:val="00CC43B2"/>
    <w:rsid w:val="00CC69B4"/>
    <w:rsid w:val="00CC75BF"/>
    <w:rsid w:val="00CD05DE"/>
    <w:rsid w:val="00CD4C02"/>
    <w:rsid w:val="00CD4DCE"/>
    <w:rsid w:val="00CD5FC2"/>
    <w:rsid w:val="00CD6D22"/>
    <w:rsid w:val="00CE035F"/>
    <w:rsid w:val="00CE05AA"/>
    <w:rsid w:val="00CE0A50"/>
    <w:rsid w:val="00CE437F"/>
    <w:rsid w:val="00CE4484"/>
    <w:rsid w:val="00CE6ADC"/>
    <w:rsid w:val="00CE79F6"/>
    <w:rsid w:val="00CE7CB4"/>
    <w:rsid w:val="00CE7D73"/>
    <w:rsid w:val="00CF2EBA"/>
    <w:rsid w:val="00CF38D2"/>
    <w:rsid w:val="00CF4419"/>
    <w:rsid w:val="00CF4AE4"/>
    <w:rsid w:val="00CF5229"/>
    <w:rsid w:val="00CF5A4A"/>
    <w:rsid w:val="00CF652A"/>
    <w:rsid w:val="00CF6D79"/>
    <w:rsid w:val="00CF7940"/>
    <w:rsid w:val="00CF7F1B"/>
    <w:rsid w:val="00D000F4"/>
    <w:rsid w:val="00D00E14"/>
    <w:rsid w:val="00D031A5"/>
    <w:rsid w:val="00D0552C"/>
    <w:rsid w:val="00D074F9"/>
    <w:rsid w:val="00D1428C"/>
    <w:rsid w:val="00D14EF0"/>
    <w:rsid w:val="00D1557E"/>
    <w:rsid w:val="00D1605A"/>
    <w:rsid w:val="00D17633"/>
    <w:rsid w:val="00D178BD"/>
    <w:rsid w:val="00D20780"/>
    <w:rsid w:val="00D20DE3"/>
    <w:rsid w:val="00D20FE3"/>
    <w:rsid w:val="00D21031"/>
    <w:rsid w:val="00D218CC"/>
    <w:rsid w:val="00D22A0F"/>
    <w:rsid w:val="00D22A18"/>
    <w:rsid w:val="00D31975"/>
    <w:rsid w:val="00D33E0C"/>
    <w:rsid w:val="00D34D2B"/>
    <w:rsid w:val="00D35A2C"/>
    <w:rsid w:val="00D363A4"/>
    <w:rsid w:val="00D36B46"/>
    <w:rsid w:val="00D40677"/>
    <w:rsid w:val="00D4091B"/>
    <w:rsid w:val="00D418DB"/>
    <w:rsid w:val="00D41A10"/>
    <w:rsid w:val="00D426B5"/>
    <w:rsid w:val="00D43F73"/>
    <w:rsid w:val="00D44766"/>
    <w:rsid w:val="00D4683B"/>
    <w:rsid w:val="00D46BE6"/>
    <w:rsid w:val="00D47366"/>
    <w:rsid w:val="00D5114B"/>
    <w:rsid w:val="00D537E0"/>
    <w:rsid w:val="00D54695"/>
    <w:rsid w:val="00D57DDF"/>
    <w:rsid w:val="00D64422"/>
    <w:rsid w:val="00D6555A"/>
    <w:rsid w:val="00D65F8D"/>
    <w:rsid w:val="00D66192"/>
    <w:rsid w:val="00D665A0"/>
    <w:rsid w:val="00D66D68"/>
    <w:rsid w:val="00D66ECF"/>
    <w:rsid w:val="00D67F1F"/>
    <w:rsid w:val="00D70FF1"/>
    <w:rsid w:val="00D7444C"/>
    <w:rsid w:val="00D74714"/>
    <w:rsid w:val="00D75BF4"/>
    <w:rsid w:val="00D77C9B"/>
    <w:rsid w:val="00D804B9"/>
    <w:rsid w:val="00D8453B"/>
    <w:rsid w:val="00D84FCC"/>
    <w:rsid w:val="00D855AA"/>
    <w:rsid w:val="00D86597"/>
    <w:rsid w:val="00D8796A"/>
    <w:rsid w:val="00D87A71"/>
    <w:rsid w:val="00D87CFD"/>
    <w:rsid w:val="00D90877"/>
    <w:rsid w:val="00D92F16"/>
    <w:rsid w:val="00D94F19"/>
    <w:rsid w:val="00D95767"/>
    <w:rsid w:val="00DA348D"/>
    <w:rsid w:val="00DA3908"/>
    <w:rsid w:val="00DA3C93"/>
    <w:rsid w:val="00DA43C7"/>
    <w:rsid w:val="00DB0A25"/>
    <w:rsid w:val="00DB46CC"/>
    <w:rsid w:val="00DB53FB"/>
    <w:rsid w:val="00DB6915"/>
    <w:rsid w:val="00DC13AB"/>
    <w:rsid w:val="00DC1C85"/>
    <w:rsid w:val="00DC292A"/>
    <w:rsid w:val="00DC2C96"/>
    <w:rsid w:val="00DC4670"/>
    <w:rsid w:val="00DC5D1E"/>
    <w:rsid w:val="00DC5DAD"/>
    <w:rsid w:val="00DC77FE"/>
    <w:rsid w:val="00DC7BA5"/>
    <w:rsid w:val="00DD32CD"/>
    <w:rsid w:val="00DD3928"/>
    <w:rsid w:val="00DD657E"/>
    <w:rsid w:val="00DD681F"/>
    <w:rsid w:val="00DD6A23"/>
    <w:rsid w:val="00DD7190"/>
    <w:rsid w:val="00DD72B2"/>
    <w:rsid w:val="00DD77E0"/>
    <w:rsid w:val="00DE1809"/>
    <w:rsid w:val="00DE1C64"/>
    <w:rsid w:val="00DE207C"/>
    <w:rsid w:val="00DE730C"/>
    <w:rsid w:val="00DE745A"/>
    <w:rsid w:val="00DF173D"/>
    <w:rsid w:val="00DF17DC"/>
    <w:rsid w:val="00DF1BAC"/>
    <w:rsid w:val="00DF2841"/>
    <w:rsid w:val="00DF3471"/>
    <w:rsid w:val="00DF381F"/>
    <w:rsid w:val="00DF5007"/>
    <w:rsid w:val="00E00650"/>
    <w:rsid w:val="00E00763"/>
    <w:rsid w:val="00E00AD2"/>
    <w:rsid w:val="00E02A2F"/>
    <w:rsid w:val="00E049C8"/>
    <w:rsid w:val="00E06FC7"/>
    <w:rsid w:val="00E07121"/>
    <w:rsid w:val="00E07352"/>
    <w:rsid w:val="00E11E48"/>
    <w:rsid w:val="00E11F28"/>
    <w:rsid w:val="00E134B3"/>
    <w:rsid w:val="00E136B5"/>
    <w:rsid w:val="00E14ADF"/>
    <w:rsid w:val="00E17726"/>
    <w:rsid w:val="00E225C6"/>
    <w:rsid w:val="00E235C1"/>
    <w:rsid w:val="00E24758"/>
    <w:rsid w:val="00E2757F"/>
    <w:rsid w:val="00E27D44"/>
    <w:rsid w:val="00E3370E"/>
    <w:rsid w:val="00E33EAB"/>
    <w:rsid w:val="00E34D39"/>
    <w:rsid w:val="00E36565"/>
    <w:rsid w:val="00E37F82"/>
    <w:rsid w:val="00E40115"/>
    <w:rsid w:val="00E40567"/>
    <w:rsid w:val="00E406BB"/>
    <w:rsid w:val="00E413C9"/>
    <w:rsid w:val="00E451A5"/>
    <w:rsid w:val="00E4546F"/>
    <w:rsid w:val="00E46DCD"/>
    <w:rsid w:val="00E5621C"/>
    <w:rsid w:val="00E5631A"/>
    <w:rsid w:val="00E56947"/>
    <w:rsid w:val="00E5772B"/>
    <w:rsid w:val="00E61154"/>
    <w:rsid w:val="00E61597"/>
    <w:rsid w:val="00E623B1"/>
    <w:rsid w:val="00E62D16"/>
    <w:rsid w:val="00E65775"/>
    <w:rsid w:val="00E65B15"/>
    <w:rsid w:val="00E66CC4"/>
    <w:rsid w:val="00E70CEB"/>
    <w:rsid w:val="00E7343D"/>
    <w:rsid w:val="00E73C8A"/>
    <w:rsid w:val="00E74BA2"/>
    <w:rsid w:val="00E76263"/>
    <w:rsid w:val="00E801C3"/>
    <w:rsid w:val="00E813AC"/>
    <w:rsid w:val="00E81596"/>
    <w:rsid w:val="00E83148"/>
    <w:rsid w:val="00E839CA"/>
    <w:rsid w:val="00E83F10"/>
    <w:rsid w:val="00E83F73"/>
    <w:rsid w:val="00E870F4"/>
    <w:rsid w:val="00E91590"/>
    <w:rsid w:val="00E9204B"/>
    <w:rsid w:val="00E92D26"/>
    <w:rsid w:val="00E97C8B"/>
    <w:rsid w:val="00E97DCD"/>
    <w:rsid w:val="00EA43DC"/>
    <w:rsid w:val="00EA6390"/>
    <w:rsid w:val="00EA6454"/>
    <w:rsid w:val="00EA7717"/>
    <w:rsid w:val="00EA794F"/>
    <w:rsid w:val="00EB04C1"/>
    <w:rsid w:val="00EB17F3"/>
    <w:rsid w:val="00EB2CCE"/>
    <w:rsid w:val="00EB31F1"/>
    <w:rsid w:val="00EB3929"/>
    <w:rsid w:val="00EB67EB"/>
    <w:rsid w:val="00EB789F"/>
    <w:rsid w:val="00EC049D"/>
    <w:rsid w:val="00EC0BCC"/>
    <w:rsid w:val="00EC1778"/>
    <w:rsid w:val="00EC623F"/>
    <w:rsid w:val="00ED12B6"/>
    <w:rsid w:val="00ED1C60"/>
    <w:rsid w:val="00ED30B8"/>
    <w:rsid w:val="00ED3534"/>
    <w:rsid w:val="00ED4959"/>
    <w:rsid w:val="00ED6F05"/>
    <w:rsid w:val="00EE02E1"/>
    <w:rsid w:val="00EE24D2"/>
    <w:rsid w:val="00EE3038"/>
    <w:rsid w:val="00EE3C31"/>
    <w:rsid w:val="00EE421A"/>
    <w:rsid w:val="00EE58F8"/>
    <w:rsid w:val="00EE64FD"/>
    <w:rsid w:val="00EF083E"/>
    <w:rsid w:val="00EF0932"/>
    <w:rsid w:val="00EF0FC1"/>
    <w:rsid w:val="00EF1CE8"/>
    <w:rsid w:val="00EF2D1C"/>
    <w:rsid w:val="00EF312D"/>
    <w:rsid w:val="00EF391B"/>
    <w:rsid w:val="00EF4E76"/>
    <w:rsid w:val="00EF5144"/>
    <w:rsid w:val="00EF7494"/>
    <w:rsid w:val="00F00890"/>
    <w:rsid w:val="00F014A2"/>
    <w:rsid w:val="00F01E16"/>
    <w:rsid w:val="00F02DBB"/>
    <w:rsid w:val="00F035C0"/>
    <w:rsid w:val="00F03CF3"/>
    <w:rsid w:val="00F058B1"/>
    <w:rsid w:val="00F11AEF"/>
    <w:rsid w:val="00F11B02"/>
    <w:rsid w:val="00F11FCD"/>
    <w:rsid w:val="00F12869"/>
    <w:rsid w:val="00F149FA"/>
    <w:rsid w:val="00F16D26"/>
    <w:rsid w:val="00F20158"/>
    <w:rsid w:val="00F23D22"/>
    <w:rsid w:val="00F26122"/>
    <w:rsid w:val="00F30E61"/>
    <w:rsid w:val="00F3151F"/>
    <w:rsid w:val="00F32188"/>
    <w:rsid w:val="00F32BFD"/>
    <w:rsid w:val="00F36087"/>
    <w:rsid w:val="00F40FFB"/>
    <w:rsid w:val="00F41226"/>
    <w:rsid w:val="00F427B2"/>
    <w:rsid w:val="00F451BA"/>
    <w:rsid w:val="00F45E9C"/>
    <w:rsid w:val="00F464DB"/>
    <w:rsid w:val="00F471E2"/>
    <w:rsid w:val="00F52E44"/>
    <w:rsid w:val="00F53525"/>
    <w:rsid w:val="00F54BC6"/>
    <w:rsid w:val="00F60799"/>
    <w:rsid w:val="00F65E11"/>
    <w:rsid w:val="00F673C0"/>
    <w:rsid w:val="00F701C2"/>
    <w:rsid w:val="00F7147F"/>
    <w:rsid w:val="00F71CBA"/>
    <w:rsid w:val="00F72EA1"/>
    <w:rsid w:val="00F741D9"/>
    <w:rsid w:val="00F74662"/>
    <w:rsid w:val="00F76D86"/>
    <w:rsid w:val="00F83FBB"/>
    <w:rsid w:val="00F85F64"/>
    <w:rsid w:val="00F8654D"/>
    <w:rsid w:val="00F86E95"/>
    <w:rsid w:val="00F92F84"/>
    <w:rsid w:val="00F93C13"/>
    <w:rsid w:val="00F95A71"/>
    <w:rsid w:val="00F96454"/>
    <w:rsid w:val="00F96686"/>
    <w:rsid w:val="00F97A5A"/>
    <w:rsid w:val="00F97C0A"/>
    <w:rsid w:val="00FA0559"/>
    <w:rsid w:val="00FA120F"/>
    <w:rsid w:val="00FA1219"/>
    <w:rsid w:val="00FA15AD"/>
    <w:rsid w:val="00FA204F"/>
    <w:rsid w:val="00FA31D6"/>
    <w:rsid w:val="00FA4B6A"/>
    <w:rsid w:val="00FA64E1"/>
    <w:rsid w:val="00FA7BED"/>
    <w:rsid w:val="00FB01BB"/>
    <w:rsid w:val="00FB0914"/>
    <w:rsid w:val="00FB353A"/>
    <w:rsid w:val="00FB5CF5"/>
    <w:rsid w:val="00FB60AE"/>
    <w:rsid w:val="00FB6309"/>
    <w:rsid w:val="00FB6DAB"/>
    <w:rsid w:val="00FC03E0"/>
    <w:rsid w:val="00FC04A6"/>
    <w:rsid w:val="00FC0C14"/>
    <w:rsid w:val="00FC16FC"/>
    <w:rsid w:val="00FC25DD"/>
    <w:rsid w:val="00FC4EBB"/>
    <w:rsid w:val="00FC4F48"/>
    <w:rsid w:val="00FC6894"/>
    <w:rsid w:val="00FD4CDF"/>
    <w:rsid w:val="00FD4F36"/>
    <w:rsid w:val="00FD540F"/>
    <w:rsid w:val="00FD5C0A"/>
    <w:rsid w:val="00FD5DD1"/>
    <w:rsid w:val="00FD70DE"/>
    <w:rsid w:val="00FD7116"/>
    <w:rsid w:val="00FE0943"/>
    <w:rsid w:val="00FE170A"/>
    <w:rsid w:val="00FE1A7C"/>
    <w:rsid w:val="00FE28CF"/>
    <w:rsid w:val="00FE2C69"/>
    <w:rsid w:val="00FE2F6A"/>
    <w:rsid w:val="00FE3DD8"/>
    <w:rsid w:val="00FE4F5F"/>
    <w:rsid w:val="00FE505D"/>
    <w:rsid w:val="00FE507D"/>
    <w:rsid w:val="00FE67D6"/>
    <w:rsid w:val="00FF1418"/>
    <w:rsid w:val="00FF163D"/>
    <w:rsid w:val="00FF3BF1"/>
    <w:rsid w:val="00FF5957"/>
    <w:rsid w:val="00FF5AB3"/>
    <w:rsid w:val="01196E3F"/>
    <w:rsid w:val="038E71E4"/>
    <w:rsid w:val="07FAA434"/>
    <w:rsid w:val="0F532D25"/>
    <w:rsid w:val="17B48A6E"/>
    <w:rsid w:val="1AE65EC0"/>
    <w:rsid w:val="3F04D645"/>
    <w:rsid w:val="3F6D5B38"/>
    <w:rsid w:val="4CC47F6E"/>
    <w:rsid w:val="4F466515"/>
    <w:rsid w:val="4FB7FD44"/>
    <w:rsid w:val="5353578C"/>
    <w:rsid w:val="57C8A7CD"/>
    <w:rsid w:val="5883AE7E"/>
    <w:rsid w:val="63AF1A1D"/>
    <w:rsid w:val="6D455293"/>
    <w:rsid w:val="78069594"/>
    <w:rsid w:val="79977F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EEE0E13D-F0BC-4F9B-91BA-3A7727DE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41A76"/>
    <w:pPr>
      <w:spacing w:after="200" w:line="276" w:lineRule="auto"/>
    </w:pPr>
    <w:rPr>
      <w:rFonts w:ascii="Arial" w:hAnsi="Arial"/>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eastAsiaTheme="majorEastAsia"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C73C20"/>
    <w:pPr>
      <w:spacing w:after="200" w:line="240" w:lineRule="auto"/>
      <w:ind w:left="1117" w:hanging="397"/>
      <w:outlineLvl w:val="2"/>
    </w:pPr>
    <w:rPr>
      <w:rFonts w:ascii="Arial" w:eastAsia="Times New Roman" w:hAnsi="Arial"/>
      <w:sz w:val="24"/>
      <w:lang w:eastAsia="en-GB"/>
    </w:rPr>
  </w:style>
  <w:style w:type="paragraph" w:styleId="Heading4">
    <w:name w:val="heading 4"/>
    <w:basedOn w:val="Normal"/>
    <w:next w:val="Normal"/>
    <w:link w:val="Heading4Char"/>
    <w:uiPriority w:val="9"/>
    <w:unhideWhenUsed/>
    <w:qFormat/>
    <w:rsid w:val="005E633A"/>
    <w:pPr>
      <w:tabs>
        <w:tab w:val="left" w:pos="1843"/>
      </w:tabs>
      <w:spacing w:after="120" w:line="240" w:lineRule="auto"/>
      <w:jc w:val="both"/>
      <w:outlineLvl w:val="3"/>
    </w:pPr>
    <w:rPr>
      <w:rFonts w:cs="Arial"/>
      <w:bCs/>
      <w:sz w:val="22"/>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link w:val="ListParagraphChar"/>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SimSun-ExtB" w:hAnsi="SimSun-ExtB"/>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C73C20"/>
    <w:rPr>
      <w:rFonts w:ascii="Arial" w:eastAsia="Times New Roman" w:hAnsi="Arial" w:cstheme="majorBidi"/>
      <w:color w:val="E30918"/>
      <w:szCs w:val="26"/>
      <w:lang w:eastAsia="en-GB"/>
    </w:rPr>
  </w:style>
  <w:style w:type="character" w:customStyle="1" w:styleId="Heading4Char">
    <w:name w:val="Heading 4 Char"/>
    <w:link w:val="Heading4"/>
    <w:uiPriority w:val="9"/>
    <w:rsid w:val="005E633A"/>
    <w:rPr>
      <w:rFonts w:ascii="Arial" w:hAnsi="Arial" w:cs="Arial"/>
      <w:bCs/>
      <w:sz w:val="22"/>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CommentReference">
    <w:name w:val="annotation reference"/>
    <w:basedOn w:val="DefaultParagraphFont"/>
    <w:uiPriority w:val="99"/>
    <w:semiHidden/>
    <w:unhideWhenUsed/>
    <w:rsid w:val="00993AD3"/>
    <w:rPr>
      <w:sz w:val="16"/>
      <w:szCs w:val="16"/>
    </w:rPr>
  </w:style>
  <w:style w:type="paragraph" w:styleId="CommentText">
    <w:name w:val="annotation text"/>
    <w:basedOn w:val="Normal"/>
    <w:link w:val="CommentTextChar"/>
    <w:uiPriority w:val="99"/>
    <w:unhideWhenUsed/>
    <w:rsid w:val="00993AD3"/>
    <w:pPr>
      <w:spacing w:after="115" w:line="240" w:lineRule="auto"/>
      <w:ind w:left="566" w:firstLine="9"/>
      <w:jc w:val="both"/>
    </w:pPr>
    <w:rPr>
      <w:rFonts w:eastAsia="Arial" w:cs="Arial"/>
      <w:color w:val="000000"/>
      <w:szCs w:val="20"/>
    </w:rPr>
  </w:style>
  <w:style w:type="character" w:customStyle="1" w:styleId="CommentTextChar">
    <w:name w:val="Comment Text Char"/>
    <w:basedOn w:val="DefaultParagraphFont"/>
    <w:link w:val="CommentText"/>
    <w:uiPriority w:val="99"/>
    <w:rsid w:val="00993AD3"/>
    <w:rPr>
      <w:rFonts w:ascii="Arial" w:eastAsia="Arial" w:hAnsi="Arial" w:cs="Arial"/>
      <w:color w:val="000000"/>
      <w:sz w:val="20"/>
      <w:szCs w:val="20"/>
      <w:lang w:eastAsia="en-AU"/>
    </w:rPr>
  </w:style>
  <w:style w:type="paragraph" w:customStyle="1" w:styleId="footnotedescription">
    <w:name w:val="footnote description"/>
    <w:next w:val="Normal"/>
    <w:link w:val="footnotedescriptionChar"/>
    <w:hidden/>
    <w:rsid w:val="00993AD3"/>
    <w:pPr>
      <w:spacing w:line="257" w:lineRule="auto"/>
      <w:ind w:left="566" w:right="292"/>
    </w:pPr>
    <w:rPr>
      <w:rFonts w:ascii="Arial" w:eastAsia="Arial" w:hAnsi="Arial" w:cs="Arial"/>
      <w:color w:val="000000"/>
      <w:sz w:val="16"/>
      <w:szCs w:val="22"/>
      <w:lang w:eastAsia="en-AU"/>
    </w:rPr>
  </w:style>
  <w:style w:type="character" w:customStyle="1" w:styleId="footnotedescriptionChar">
    <w:name w:val="footnote description Char"/>
    <w:link w:val="footnotedescription"/>
    <w:rsid w:val="00993AD3"/>
    <w:rPr>
      <w:rFonts w:ascii="Arial" w:eastAsia="Arial" w:hAnsi="Arial" w:cs="Arial"/>
      <w:color w:val="000000"/>
      <w:sz w:val="16"/>
      <w:szCs w:val="22"/>
      <w:lang w:eastAsia="en-AU"/>
    </w:rPr>
  </w:style>
  <w:style w:type="character" w:customStyle="1" w:styleId="footnotemark">
    <w:name w:val="footnote mark"/>
    <w:hidden/>
    <w:rsid w:val="00993AD3"/>
    <w:rPr>
      <w:rFonts w:ascii="Arial" w:eastAsia="Arial" w:hAnsi="Arial" w:cs="Arial"/>
      <w:color w:val="000000"/>
      <w:sz w:val="20"/>
      <w:vertAlign w:val="superscript"/>
    </w:rPr>
  </w:style>
  <w:style w:type="character" w:customStyle="1" w:styleId="ListParagraphChar">
    <w:name w:val="List Paragraph Char"/>
    <w:basedOn w:val="DefaultParagraphFont"/>
    <w:link w:val="ListParagraph"/>
    <w:uiPriority w:val="34"/>
    <w:rsid w:val="00993AD3"/>
    <w:rPr>
      <w:rFonts w:ascii="Arial" w:hAnsi="Arial"/>
      <w:sz w:val="20"/>
      <w:szCs w:val="22"/>
      <w:lang w:eastAsia="en-AU"/>
    </w:rPr>
  </w:style>
  <w:style w:type="paragraph" w:styleId="CommentSubject">
    <w:name w:val="annotation subject"/>
    <w:basedOn w:val="CommentText"/>
    <w:next w:val="CommentText"/>
    <w:link w:val="CommentSubjectChar"/>
    <w:uiPriority w:val="99"/>
    <w:semiHidden/>
    <w:unhideWhenUsed/>
    <w:rsid w:val="00EF312D"/>
    <w:pPr>
      <w:spacing w:after="200"/>
      <w:ind w:left="0" w:firstLine="0"/>
      <w:jc w:val="left"/>
    </w:pPr>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EF312D"/>
    <w:rPr>
      <w:rFonts w:ascii="Arial" w:eastAsia="Arial" w:hAnsi="Arial" w:cs="Arial"/>
      <w:b/>
      <w:bCs/>
      <w:color w:val="000000"/>
      <w:sz w:val="20"/>
      <w:szCs w:val="20"/>
      <w:lang w:eastAsia="en-AU"/>
    </w:rPr>
  </w:style>
  <w:style w:type="paragraph" w:styleId="Revision">
    <w:name w:val="Revision"/>
    <w:hidden/>
    <w:uiPriority w:val="99"/>
    <w:semiHidden/>
    <w:rsid w:val="00316835"/>
    <w:rPr>
      <w:rFonts w:ascii="Arial" w:hAnsi="Arial"/>
      <w:sz w:val="20"/>
      <w:szCs w:val="22"/>
      <w:lang w:eastAsia="en-AU"/>
    </w:rPr>
  </w:style>
  <w:style w:type="character" w:styleId="Mention">
    <w:name w:val="Mention"/>
    <w:basedOn w:val="DefaultParagraphFont"/>
    <w:uiPriority w:val="99"/>
    <w:rsid w:val="005E5C96"/>
    <w:rPr>
      <w:color w:val="2B579A"/>
      <w:shd w:val="clear" w:color="auto" w:fill="E1DFDD"/>
    </w:rPr>
  </w:style>
  <w:style w:type="paragraph" w:styleId="NormalWeb">
    <w:name w:val="Normal (Web)"/>
    <w:basedOn w:val="Normal"/>
    <w:uiPriority w:val="99"/>
    <w:semiHidden/>
    <w:unhideWhenUsed/>
    <w:rsid w:val="007A43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839000722">
      <w:bodyDiv w:val="1"/>
      <w:marLeft w:val="0"/>
      <w:marRight w:val="0"/>
      <w:marTop w:val="0"/>
      <w:marBottom w:val="0"/>
      <w:divBdr>
        <w:top w:val="none" w:sz="0" w:space="0" w:color="auto"/>
        <w:left w:val="none" w:sz="0" w:space="0" w:color="auto"/>
        <w:bottom w:val="none" w:sz="0" w:space="0" w:color="auto"/>
        <w:right w:val="none" w:sz="0" w:space="0" w:color="auto"/>
      </w:divBdr>
    </w:div>
    <w:div w:id="915357003">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iffith.edu.au/study?location=dom" TargetMode="External"/><Relationship Id="rId18" Type="http://schemas.openxmlformats.org/officeDocument/2006/relationships/hyperlink" Target="https://www.education.gov.au/guidelines-counter-foreign-interference-australian-university-sector/resources/guidelines-counter-foreign-interference-australian-university-sector" TargetMode="External"/><Relationship Id="rId26" Type="http://schemas.openxmlformats.org/officeDocument/2006/relationships/hyperlink" Target="https://sharepointpubstor.blob.core.windows.net/policylibrary-prod/Higher%20Degree%20by%20Research%20Enrolment%20and%20Variations%20to%20Candidature%20Procedure.pdf"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Student%20Review%20and%20Appeals%20Policy.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riffith.edu.au/__data/assets/pdf_file/0035/1786229/griffith-domestic-fee-offset-guidelines.pdf" TargetMode="External"/><Relationship Id="rId17" Type="http://schemas.openxmlformats.org/officeDocument/2006/relationships/hyperlink" Target="https://www.legislation.gov.au/Details/F2022C00105" TargetMode="External"/><Relationship Id="rId25" Type="http://schemas.openxmlformats.org/officeDocument/2006/relationships/hyperlink" Target="https://sharepointpubstor.blob.core.windows.net/policylibrary-prod/Higher%20Degree%20by%20Research%20Academic%20Progress%20Procedure.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riffith.edu.au/__data/assets/pdf_file/0035/1786229/griffith-domestic-fee-offset-guidelines.pdf" TargetMode="External"/><Relationship Id="rId20" Type="http://schemas.openxmlformats.org/officeDocument/2006/relationships/hyperlink" Target="https://sharepointpubstor.blob.core.windows.net/policylibrary-prod/Admission%20Policy.pdf" TargetMode="External"/><Relationship Id="rId29" Type="http://schemas.openxmlformats.org/officeDocument/2006/relationships/hyperlink" Target="https://sharepointpubstor.blob.core.windows.net/policylibrary-prod/Qualifications%20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study/degrees?studentType=domestic" TargetMode="External"/><Relationship Id="rId24" Type="http://schemas.openxmlformats.org/officeDocument/2006/relationships/hyperlink" Target="https://sharepointpubstor.blob.core.windows.net/policylibrary-prod/Enrolment%20Procedure.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ntranet.secure.griffith.edu.au/research/griffith-graduate-research-school/hdr-admission-equivalency-case-guidance" TargetMode="External"/><Relationship Id="rId23" Type="http://schemas.openxmlformats.org/officeDocument/2006/relationships/hyperlink" Target="https://sharepointpubstor.blob.core.windows.net/policylibrary-prod/English%20Language%20Proficiency%20Schedule.pdf" TargetMode="External"/><Relationship Id="rId28" Type="http://schemas.openxmlformats.org/officeDocument/2006/relationships/hyperlink" Target="https://sharepointpubstor.blob.core.windows.net/policylibrary-prod/HDR%20Scholarship%20Procedure.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harepointpubstor.blob.core.windows.net/policylibrary-prod/Higher%20Degree%20by%20Research%20Polic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se.gov.au/guidelines-counter-foreign-interference-australian-university-sector/resources/guidelines-counter-foreign-interference-australian-university-sector" TargetMode="External"/><Relationship Id="rId22" Type="http://schemas.openxmlformats.org/officeDocument/2006/relationships/hyperlink" Target="https://sharepointpubstor.blob.core.windows.net/policylibrary-prod/Credit%20and%20Recognition%20of%20Prior%20Learning%20Procedure.pdf" TargetMode="External"/><Relationship Id="rId27" Type="http://schemas.openxmlformats.org/officeDocument/2006/relationships/hyperlink" Target="https://sharepointpubstor.blob.core.windows.net/policylibrary-prod/Higher%20Degree%20by%20Research%20(HDR)%20Supervision%20Procedure.pdf" TargetMode="External"/><Relationship Id="rId30" Type="http://schemas.openxmlformats.org/officeDocument/2006/relationships/hyperlink" Target="https://sharepointpubstor.blob.core.windows.net/policylibrary-prod/Student%20Review%20and%20Appeals%20Procedure.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On xmlns="2f261a70-825f-4a37-b7b5-f6ecc2f4c5fa">2023-11-26T23:42:40+00:00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GGRS</TermName>
          <TermId xmlns="http://schemas.microsoft.com/office/infopath/2007/PartnerControls">9998683f-6a66-407c-9d64-f95cccd304fa</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572</Value>
      <Value>520</Value>
      <Value>562</Value>
      <Value>162</Value>
      <Value>574</Value>
    </TaxCatchAll>
    <PolicyCategoryParent xmlns="2f261a70-825f-4a37-b7b5-f6ecc2f4c5fa" xsi:nil="true"/>
    <LastPublished xmlns="2f261a70-825f-4a37-b7b5-f6ecc2f4c5fa">2024-04-16T14:00:00+00:00</LastPublished>
    <doccomments xmlns="2f261a70-825f-4a37-b7b5-f6ecc2f4c5fa">27/11/2023 - Academic Committee 05/2023 (16 Nov) meeting approved the Higher Degree by Research Admission Procedure (2023/0000401) as part of the full suite of supporting documents in the HDR Policy Transformation.
07/03/2024 - Standing COO Admin Updates - updates make to links that refer to rescinded policy/procedures.
26/03/2024 - Standing COO editorial updates - under Related Policy Documents - Student Administration Policy has been rescinded replaced with Admission Policy, effective T1 2024.</doccomments>
    <datedeclared xmlns="2f261a70-825f-4a37-b7b5-f6ecc2f4c5fa">2023-11-15T14:00:00+00:00</datedeclared>
    <PrivatePolicy xmlns="2f261a70-825f-4a37-b7b5-f6ecc2f4c5fa">false</PrivatePolicy>
    <policyadvisor xmlns="2f261a70-825f-4a37-b7b5-f6ecc2f4c5fa">
      <UserInfo>
        <DisplayName>Loree Joyce</DisplayName>
        <AccountId>41</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Dean, Griffith Graduate Research School</TermName>
          <TermId xmlns="http://schemas.microsoft.com/office/infopath/2007/PartnerControls">4cbcc5e7-ecc6-4b20-8c1c-55d16bb7fcde</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2.xml><?xml version="1.0" encoding="utf-8"?>
<ds:datastoreItem xmlns:ds="http://schemas.openxmlformats.org/officeDocument/2006/customXml" ds:itemID="{AF66F444-3B89-4ECA-B40C-BB59F310D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196F7AD6-2D24-452C-BA2D-4C1DD94A6C30}">
  <ds:schemaRefs>
    <ds:schemaRef ds:uri="http://purl.org/dc/terms/"/>
    <ds:schemaRef ds:uri="2f261a70-825f-4a37-b7b5-f6ecc2f4c5f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40c662e-0380-4817-843d-2c7e10d40c39"/>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9</TotalTime>
  <Pages>8</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Procedure template</vt:lpstr>
    </vt:vector>
  </TitlesOfParts>
  <Company/>
  <LinksUpToDate>false</LinksUpToDate>
  <CharactersWithSpaces>21422</CharactersWithSpaces>
  <SharedDoc>false</SharedDoc>
  <HLinks>
    <vt:vector size="108" baseType="variant">
      <vt:variant>
        <vt:i4>78</vt:i4>
      </vt:variant>
      <vt:variant>
        <vt:i4>69</vt:i4>
      </vt:variant>
      <vt:variant>
        <vt:i4>0</vt:i4>
      </vt:variant>
      <vt:variant>
        <vt:i4>5</vt:i4>
      </vt:variant>
      <vt:variant>
        <vt:lpwstr>https://sharepointpubstor.blob.core.windows.net/policylibrary-prod/Student Review and Appeals Procedures.pdf</vt:lpwstr>
      </vt:variant>
      <vt:variant>
        <vt:lpwstr/>
      </vt:variant>
      <vt:variant>
        <vt:i4>1048643</vt:i4>
      </vt:variant>
      <vt:variant>
        <vt:i4>66</vt:i4>
      </vt:variant>
      <vt:variant>
        <vt:i4>0</vt:i4>
      </vt:variant>
      <vt:variant>
        <vt:i4>5</vt:i4>
      </vt:variant>
      <vt:variant>
        <vt:lpwstr>https://sharepointpubstor.blob.core.windows.net/policylibrary-prod/Credit and Recognition of Prior Learning Procedure.pdf</vt:lpwstr>
      </vt:variant>
      <vt:variant>
        <vt:lpwstr/>
      </vt:variant>
      <vt:variant>
        <vt:i4>5046360</vt:i4>
      </vt:variant>
      <vt:variant>
        <vt:i4>63</vt:i4>
      </vt:variant>
      <vt:variant>
        <vt:i4>0</vt:i4>
      </vt:variant>
      <vt:variant>
        <vt:i4>5</vt:i4>
      </vt:variant>
      <vt:variant>
        <vt:lpwstr>https://sharepointpubstor.blob.core.windows.net/policylibrary-prod/Fees and Charges Schedules.pdf</vt:lpwstr>
      </vt:variant>
      <vt:variant>
        <vt:lpwstr/>
      </vt:variant>
      <vt:variant>
        <vt:i4>6029394</vt:i4>
      </vt:variant>
      <vt:variant>
        <vt:i4>60</vt:i4>
      </vt:variant>
      <vt:variant>
        <vt:i4>0</vt:i4>
      </vt:variant>
      <vt:variant>
        <vt:i4>5</vt:i4>
      </vt:variant>
      <vt:variant>
        <vt:lpwstr>https://sharepointpubstor.blob.core.windows.net/policylibrary-prod/Fees and Charges Procedure.pdf</vt:lpwstr>
      </vt:variant>
      <vt:variant>
        <vt:lpwstr/>
      </vt:variant>
      <vt:variant>
        <vt:i4>3473442</vt:i4>
      </vt:variant>
      <vt:variant>
        <vt:i4>57</vt:i4>
      </vt:variant>
      <vt:variant>
        <vt:i4>0</vt:i4>
      </vt:variant>
      <vt:variant>
        <vt:i4>5</vt:i4>
      </vt:variant>
      <vt:variant>
        <vt:lpwstr>https://sharepointpubstor.blob.core.windows.net/policylibrary-prod/Enrolment Procedure.pdf</vt:lpwstr>
      </vt:variant>
      <vt:variant>
        <vt:lpwstr/>
      </vt:variant>
      <vt:variant>
        <vt:i4>4587549</vt:i4>
      </vt:variant>
      <vt:variant>
        <vt:i4>54</vt:i4>
      </vt:variant>
      <vt:variant>
        <vt:i4>0</vt:i4>
      </vt:variant>
      <vt:variant>
        <vt:i4>5</vt:i4>
      </vt:variant>
      <vt:variant>
        <vt:lpwstr>https://sharepointpubstor.blob.core.windows.net/policylibrary-prod/Postgraduate Qualifications Policy.pdf</vt:lpwstr>
      </vt:variant>
      <vt:variant>
        <vt:lpwstr/>
      </vt:variant>
      <vt:variant>
        <vt:i4>720987</vt:i4>
      </vt:variant>
      <vt:variant>
        <vt:i4>51</vt:i4>
      </vt:variant>
      <vt:variant>
        <vt:i4>0</vt:i4>
      </vt:variant>
      <vt:variant>
        <vt:i4>5</vt:i4>
      </vt:variant>
      <vt:variant>
        <vt:lpwstr>https://sharepointpubstor.blob.core.windows.net/policylibrary-prod/Student Review and Appeals Policy.pdf</vt:lpwstr>
      </vt:variant>
      <vt:variant>
        <vt:lpwstr/>
      </vt:variant>
      <vt:variant>
        <vt:i4>327760</vt:i4>
      </vt:variant>
      <vt:variant>
        <vt:i4>48</vt:i4>
      </vt:variant>
      <vt:variant>
        <vt:i4>0</vt:i4>
      </vt:variant>
      <vt:variant>
        <vt:i4>5</vt:i4>
      </vt:variant>
      <vt:variant>
        <vt:lpwstr>https://sharepointpubstor.blob.core.windows.net/policylibrary-prod/Student Administration Policy.pdf</vt:lpwstr>
      </vt:variant>
      <vt:variant>
        <vt:lpwstr/>
      </vt:variant>
      <vt:variant>
        <vt:i4>8192103</vt:i4>
      </vt:variant>
      <vt:variant>
        <vt:i4>45</vt:i4>
      </vt:variant>
      <vt:variant>
        <vt:i4>0</vt:i4>
      </vt:variant>
      <vt:variant>
        <vt:i4>5</vt:i4>
      </vt:variant>
      <vt:variant>
        <vt:lpwstr>https://sharepointpubstor.blob.core.windows.net/policylibrary-prod/Academic Misconduct Policy - Higher Degree Research Candidates.pdf?_gl=1*1n4tyfb*_ga*NDg4ODE1NjkxLjE2NjU2MzY5OTU.*_ga_5GKYJEBSN9*MTY3NjQzNTc2NC4zNC4xLjE2NzY0MzU3NzMuMC4wLjA.</vt:lpwstr>
      </vt:variant>
      <vt:variant>
        <vt:lpwstr/>
      </vt:variant>
      <vt:variant>
        <vt:i4>4587644</vt:i4>
      </vt:variant>
      <vt:variant>
        <vt:i4>42</vt:i4>
      </vt:variant>
      <vt:variant>
        <vt:i4>0</vt:i4>
      </vt:variant>
      <vt:variant>
        <vt:i4>5</vt:i4>
      </vt:variant>
      <vt:variant>
        <vt:lpwstr>https://www.griffith.edu.au/__data/assets/pdf_file/0035/1786229/griffith-domestic-fee-offset-guidelines.pdf</vt:lpwstr>
      </vt:variant>
      <vt:variant>
        <vt:lpwstr>:~:text=The%20funding%20provided%20through%20the%20RTP%20offers%20the,a%20candidate%20within%20a%20maximum%20period%20of%20candidature.</vt:lpwstr>
      </vt:variant>
      <vt:variant>
        <vt:i4>4128882</vt:i4>
      </vt:variant>
      <vt:variant>
        <vt:i4>33</vt:i4>
      </vt:variant>
      <vt:variant>
        <vt:i4>0</vt:i4>
      </vt:variant>
      <vt:variant>
        <vt:i4>5</vt:i4>
      </vt:variant>
      <vt:variant>
        <vt:lpwstr>https://intranet.secure.griffith.edu.au/research/griffith-graduate-research-school/hdr-admission-equivalency-case-guidance</vt:lpwstr>
      </vt:variant>
      <vt:variant>
        <vt:lpwstr/>
      </vt:variant>
      <vt:variant>
        <vt:i4>7602213</vt:i4>
      </vt:variant>
      <vt:variant>
        <vt:i4>30</vt:i4>
      </vt:variant>
      <vt:variant>
        <vt:i4>0</vt:i4>
      </vt:variant>
      <vt:variant>
        <vt:i4>5</vt:i4>
      </vt:variant>
      <vt:variant>
        <vt:lpwstr>https://www.dese.gov.au/guidelines-counter-foreign-interference-australian-university-sector/resources/guidelines-counter-foreign-interference-australian-university-sector</vt:lpwstr>
      </vt:variant>
      <vt:variant>
        <vt:lpwstr/>
      </vt:variant>
      <vt:variant>
        <vt:i4>7733329</vt:i4>
      </vt:variant>
      <vt:variant>
        <vt:i4>24</vt:i4>
      </vt:variant>
      <vt:variant>
        <vt:i4>0</vt:i4>
      </vt:variant>
      <vt:variant>
        <vt:i4>5</vt:i4>
      </vt:variant>
      <vt:variant>
        <vt:lpwstr/>
      </vt:variant>
      <vt:variant>
        <vt:lpwstr>_Review_and_Appeal</vt:lpwstr>
      </vt:variant>
      <vt:variant>
        <vt:i4>196626</vt:i4>
      </vt:variant>
      <vt:variant>
        <vt:i4>21</vt:i4>
      </vt:variant>
      <vt:variant>
        <vt:i4>0</vt:i4>
      </vt:variant>
      <vt:variant>
        <vt:i4>5</vt:i4>
      </vt:variant>
      <vt:variant>
        <vt:lpwstr/>
      </vt:variant>
      <vt:variant>
        <vt:lpwstr>_Admission_Offers</vt:lpwstr>
      </vt:variant>
      <vt:variant>
        <vt:i4>1900631</vt:i4>
      </vt:variant>
      <vt:variant>
        <vt:i4>18</vt:i4>
      </vt:variant>
      <vt:variant>
        <vt:i4>0</vt:i4>
      </vt:variant>
      <vt:variant>
        <vt:i4>5</vt:i4>
      </vt:variant>
      <vt:variant>
        <vt:lpwstr/>
      </vt:variant>
      <vt:variant>
        <vt:lpwstr>_Prior_Higher_Degree_1</vt:lpwstr>
      </vt:variant>
      <vt:variant>
        <vt:i4>2883592</vt:i4>
      </vt:variant>
      <vt:variant>
        <vt:i4>15</vt:i4>
      </vt:variant>
      <vt:variant>
        <vt:i4>0</vt:i4>
      </vt:variant>
      <vt:variant>
        <vt:i4>5</vt:i4>
      </vt:variant>
      <vt:variant>
        <vt:lpwstr/>
      </vt:variant>
      <vt:variant>
        <vt:lpwstr>_Prior_Higher_Degree</vt:lpwstr>
      </vt:variant>
      <vt:variant>
        <vt:i4>1507385</vt:i4>
      </vt:variant>
      <vt:variant>
        <vt:i4>12</vt:i4>
      </vt:variant>
      <vt:variant>
        <vt:i4>0</vt:i4>
      </vt:variant>
      <vt:variant>
        <vt:i4>5</vt:i4>
      </vt:variant>
      <vt:variant>
        <vt:lpwstr/>
      </vt:variant>
      <vt:variant>
        <vt:lpwstr>_Requirements_for_Candidates</vt:lpwstr>
      </vt:variant>
      <vt:variant>
        <vt:i4>2162730</vt:i4>
      </vt:variant>
      <vt:variant>
        <vt:i4>9</vt:i4>
      </vt:variant>
      <vt:variant>
        <vt:i4>0</vt:i4>
      </vt:variant>
      <vt:variant>
        <vt:i4>5</vt:i4>
      </vt:variant>
      <vt:variant>
        <vt:lpwstr/>
      </vt:variant>
      <vt:variant>
        <vt:lpwstr>_Qualifications_for_Candidature_1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Degree by Research Admission Procedure</dc:title>
  <dc:subject/>
  <dc:creator>Rebecca Voisey</dc:creator>
  <cp:keywords/>
  <dc:description/>
  <cp:lastModifiedBy>Donna Kalaentzis</cp:lastModifiedBy>
  <cp:revision>2</cp:revision>
  <cp:lastPrinted>2023-10-11T00:03:00Z</cp:lastPrinted>
  <dcterms:created xsi:type="dcterms:W3CDTF">2024-04-17T00:10:00Z</dcterms:created>
  <dcterms:modified xsi:type="dcterms:W3CDTF">2024-04-17T00:10:00Z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ediaServiceImageTags">
    <vt:lpwstr/>
  </property>
  <property fmtid="{D5CDD505-2E9C-101B-9397-08002B2CF9AE}" pid="11" name="policysection">
    <vt:lpwstr/>
  </property>
  <property fmtid="{D5CDD505-2E9C-101B-9397-08002B2CF9AE}" pid="12" name="appauthority">
    <vt:lpwstr>562;#Dean, Griffith Graduate Research School|4cbcc5e7-ecc6-4b20-8c1c-55d16bb7fcde</vt:lpwstr>
  </property>
  <property fmtid="{D5CDD505-2E9C-101B-9397-08002B2CF9AE}" pid="13" name="policycategory">
    <vt:lpwstr/>
  </property>
  <property fmtid="{D5CDD505-2E9C-101B-9397-08002B2CF9AE}" pid="14" name="officearea">
    <vt:lpwstr>162;#GGRS|9998683f-6a66-407c-9d64-f95cccd304fa</vt:lpwstr>
  </property>
  <property fmtid="{D5CDD505-2E9C-101B-9397-08002B2CF9AE}" pid="15" name="Managed_Testing_Field">
    <vt:lpwstr/>
  </property>
  <property fmtid="{D5CDD505-2E9C-101B-9397-08002B2CF9AE}" pid="16" name="policy-category">
    <vt:lpwstr>520;#Research|fcddc5b2-7820-4eeb-aa0d-6e6ccb155e00</vt:lpwstr>
  </property>
  <property fmtid="{D5CDD505-2E9C-101B-9397-08002B2CF9AE}" pid="17" name="glossaryterms">
    <vt:lpwstr/>
  </property>
  <property fmtid="{D5CDD505-2E9C-101B-9397-08002B2CF9AE}" pid="18" name="policyreview">
    <vt:lpwstr>574;#2029|3cd3c4e6-7c0a-49e2-a93f-12d21594ce65</vt:lpwstr>
  </property>
  <property fmtid="{D5CDD505-2E9C-101B-9397-08002B2CF9AE}" pid="19" name="policyaudience">
    <vt:lpwstr>572;#Staff and Student|e31810fd-0fc5-4050-aa32-a98462f8b255</vt:lpwstr>
  </property>
</Properties>
</file>