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C756" w14:textId="77777777" w:rsidR="00BB7DF5" w:rsidRDefault="00C70346" w:rsidP="0063672B">
      <w:pPr>
        <w:pStyle w:val="ContentsHeading1"/>
        <w:pBdr>
          <w:bottom w:val="none" w:sz="0" w:space="0" w:color="auto"/>
        </w:pBdr>
        <w:jc w:val="both"/>
        <w:rPr>
          <w:rFonts w:ascii="Arial" w:hAnsi="Arial" w:cs="Arial"/>
          <w:sz w:val="48"/>
          <w:szCs w:val="48"/>
        </w:rPr>
      </w:pPr>
      <w:r>
        <w:rPr>
          <w:rFonts w:ascii="Arial" w:hAnsi="Arial" w:cs="Arial"/>
          <w:sz w:val="48"/>
          <w:szCs w:val="48"/>
        </w:rPr>
        <w:t xml:space="preserve">Griffith Global Mobility Student </w:t>
      </w:r>
    </w:p>
    <w:p w14:paraId="29AB1C03" w14:textId="77777777" w:rsidR="00B67268" w:rsidRDefault="00C70346" w:rsidP="0063672B">
      <w:pPr>
        <w:pStyle w:val="ContentsHeading1"/>
        <w:pBdr>
          <w:bottom w:val="none" w:sz="0" w:space="0" w:color="auto"/>
        </w:pBdr>
        <w:ind w:left="142" w:hanging="142"/>
        <w:jc w:val="both"/>
        <w:rPr>
          <w:rFonts w:ascii="Arial" w:hAnsi="Arial" w:cs="Arial"/>
          <w:sz w:val="48"/>
          <w:szCs w:val="48"/>
        </w:rPr>
      </w:pPr>
      <w:r>
        <w:rPr>
          <w:rFonts w:ascii="Arial" w:hAnsi="Arial" w:cs="Arial"/>
          <w:sz w:val="48"/>
          <w:szCs w:val="48"/>
        </w:rPr>
        <w:t>Funding Policy</w:t>
      </w:r>
    </w:p>
    <w:p w14:paraId="2287C7E9" w14:textId="2020E983" w:rsidR="007B7A16" w:rsidRPr="00FB03D6" w:rsidRDefault="007B7A16" w:rsidP="0063672B">
      <w:pPr>
        <w:pStyle w:val="ContentsHeading1"/>
        <w:pBdr>
          <w:bottom w:val="none" w:sz="0" w:space="0" w:color="auto"/>
        </w:pBdr>
        <w:jc w:val="both"/>
        <w:rPr>
          <w:rFonts w:ascii="Arial" w:hAnsi="Arial" w:cs="Arial"/>
          <w:sz w:val="48"/>
          <w:szCs w:val="48"/>
        </w:rPr>
        <w:sectPr w:rsidR="007B7A16" w:rsidRPr="00FB03D6" w:rsidSect="00D87683">
          <w:headerReference w:type="default" r:id="rId11"/>
          <w:footerReference w:type="default" r:id="rId12"/>
          <w:type w:val="continuous"/>
          <w:pgSz w:w="11900" w:h="16840" w:code="9"/>
          <w:pgMar w:top="1985" w:right="680" w:bottom="851" w:left="680" w:header="680" w:footer="454" w:gutter="0"/>
          <w:cols w:space="454"/>
          <w:docGrid w:linePitch="360"/>
        </w:sectPr>
      </w:pPr>
    </w:p>
    <w:p w14:paraId="3149F537" w14:textId="77777777" w:rsidR="007B7A16" w:rsidRDefault="007B7A16" w:rsidP="0063672B">
      <w:pPr>
        <w:spacing w:after="0"/>
        <w:jc w:val="both"/>
        <w:rPr>
          <w:rFonts w:ascii="Copernicus Medium" w:hAnsi="Copernicus Medium" w:cs="Arial"/>
          <w:b/>
          <w:bCs/>
          <w:color w:val="E30918"/>
          <w:sz w:val="24"/>
          <w:szCs w:val="24"/>
          <w:shd w:val="clear" w:color="auto" w:fill="FFFFFF"/>
        </w:rPr>
      </w:pPr>
      <w:bookmarkStart w:id="0" w:name="_Ref20321537"/>
    </w:p>
    <w:p w14:paraId="5AE970ED" w14:textId="277E3F2A" w:rsidR="007B7A16" w:rsidRPr="004F01DA" w:rsidRDefault="007B7A16" w:rsidP="0063672B">
      <w:pPr>
        <w:spacing w:after="0"/>
        <w:jc w:val="both"/>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_Ref20480964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Pr="004F01DA">
        <w:rPr>
          <w:rFonts w:ascii="Copernicus Medium" w:hAnsi="Copernicus Medium" w:cs="Arial"/>
          <w:b/>
          <w:bCs/>
          <w:color w:val="E30918"/>
          <w:sz w:val="24"/>
          <w:szCs w:val="24"/>
          <w:shd w:val="clear" w:color="auto" w:fill="FFFFFF"/>
        </w:rPr>
        <w:t>1.0 Purpose</w:t>
      </w:r>
      <w:r w:rsidRPr="004F01DA">
        <w:rPr>
          <w:rFonts w:ascii="Copernicus Medium" w:hAnsi="Copernicus Medium" w:cs="Arial"/>
          <w:b/>
          <w:bCs/>
          <w:color w:val="E30918"/>
          <w:sz w:val="24"/>
          <w:szCs w:val="24"/>
          <w:shd w:val="clear" w:color="auto" w:fill="FFFFFF"/>
        </w:rPr>
        <w:fldChar w:fldCharType="end"/>
      </w:r>
    </w:p>
    <w:p w14:paraId="489E2D1B" w14:textId="77777777" w:rsidR="007B7A16" w:rsidRPr="004F01DA" w:rsidRDefault="007B7A16" w:rsidP="0063672B">
      <w:pPr>
        <w:spacing w:after="0"/>
        <w:jc w:val="both"/>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_Ref20480989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Pr="004F01DA">
        <w:rPr>
          <w:rFonts w:ascii="Copernicus Medium" w:hAnsi="Copernicus Medium" w:cs="Arial"/>
          <w:b/>
          <w:bCs/>
          <w:color w:val="E30918"/>
          <w:sz w:val="24"/>
          <w:szCs w:val="24"/>
        </w:rPr>
        <w:t>2.0 Scope</w:t>
      </w:r>
      <w:r w:rsidRPr="004F01DA">
        <w:rPr>
          <w:rFonts w:ascii="Copernicus Medium" w:hAnsi="Copernicus Medium" w:cs="Arial"/>
          <w:b/>
          <w:bCs/>
          <w:color w:val="E30918"/>
          <w:sz w:val="24"/>
          <w:szCs w:val="24"/>
          <w:shd w:val="clear" w:color="auto" w:fill="FFFFFF"/>
        </w:rPr>
        <w:fldChar w:fldCharType="end"/>
      </w:r>
    </w:p>
    <w:p w14:paraId="77354C0F" w14:textId="50F77395" w:rsidR="007B7A16" w:rsidRDefault="007B7A16" w:rsidP="0063672B">
      <w:pPr>
        <w:spacing w:after="0"/>
        <w:jc w:val="both"/>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_Ref20481014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Pr="004F01DA">
        <w:rPr>
          <w:rFonts w:ascii="Copernicus Medium" w:hAnsi="Copernicus Medium" w:cs="Arial"/>
          <w:b/>
          <w:bCs/>
          <w:color w:val="E30918"/>
          <w:sz w:val="24"/>
          <w:szCs w:val="24"/>
        </w:rPr>
        <w:t xml:space="preserve">3.0 </w:t>
      </w:r>
      <w:r>
        <w:rPr>
          <w:rFonts w:ascii="Copernicus Medium" w:hAnsi="Copernicus Medium" w:cs="Arial"/>
          <w:b/>
          <w:bCs/>
          <w:color w:val="E30918"/>
          <w:sz w:val="24"/>
          <w:szCs w:val="24"/>
        </w:rPr>
        <w:t>Policy</w:t>
      </w:r>
      <w:r w:rsidRPr="004F01DA">
        <w:rPr>
          <w:rFonts w:ascii="Copernicus Medium" w:hAnsi="Copernicus Medium" w:cs="Arial"/>
          <w:b/>
          <w:bCs/>
          <w:color w:val="E30918"/>
          <w:sz w:val="24"/>
          <w:szCs w:val="24"/>
          <w:shd w:val="clear" w:color="auto" w:fill="FFFFFF"/>
        </w:rPr>
        <w:fldChar w:fldCharType="end"/>
      </w:r>
      <w:r>
        <w:rPr>
          <w:rFonts w:ascii="Copernicus Medium" w:hAnsi="Copernicus Medium" w:cs="Arial"/>
          <w:b/>
          <w:bCs/>
          <w:color w:val="E30918"/>
          <w:sz w:val="24"/>
          <w:szCs w:val="24"/>
          <w:shd w:val="clear" w:color="auto" w:fill="FFFFFF"/>
        </w:rPr>
        <w:t xml:space="preserve"> statement</w:t>
      </w:r>
    </w:p>
    <w:p w14:paraId="7EABF026" w14:textId="0703829C" w:rsidR="007B7A16" w:rsidRDefault="007B7A16" w:rsidP="0063672B">
      <w:pPr>
        <w:spacing w:after="0"/>
        <w:jc w:val="both"/>
        <w:rPr>
          <w:rFonts w:ascii="Copernicus Medium" w:hAnsi="Copernicus Medium" w:cs="Arial"/>
          <w:b/>
          <w:bCs/>
          <w:color w:val="E30918"/>
          <w:sz w:val="24"/>
          <w:szCs w:val="24"/>
          <w:shd w:val="clear" w:color="auto" w:fill="FFFFFF"/>
        </w:rPr>
      </w:pPr>
      <w:r>
        <w:rPr>
          <w:rFonts w:ascii="Copernicus Medium" w:hAnsi="Copernicus Medium" w:cs="Arial"/>
          <w:b/>
          <w:bCs/>
          <w:color w:val="E30918"/>
          <w:sz w:val="24"/>
          <w:szCs w:val="24"/>
          <w:shd w:val="clear" w:color="auto" w:fill="FFFFFF"/>
        </w:rPr>
        <w:t xml:space="preserve">4.0 Roles, </w:t>
      </w:r>
      <w:proofErr w:type="gramStart"/>
      <w:r>
        <w:rPr>
          <w:rFonts w:ascii="Copernicus Medium" w:hAnsi="Copernicus Medium" w:cs="Arial"/>
          <w:b/>
          <w:bCs/>
          <w:color w:val="E30918"/>
          <w:sz w:val="24"/>
          <w:szCs w:val="24"/>
          <w:shd w:val="clear" w:color="auto" w:fill="FFFFFF"/>
        </w:rPr>
        <w:t>responsibilities</w:t>
      </w:r>
      <w:proofErr w:type="gramEnd"/>
      <w:r>
        <w:rPr>
          <w:rFonts w:ascii="Copernicus Medium" w:hAnsi="Copernicus Medium" w:cs="Arial"/>
          <w:b/>
          <w:bCs/>
          <w:color w:val="E30918"/>
          <w:sz w:val="24"/>
          <w:szCs w:val="24"/>
          <w:shd w:val="clear" w:color="auto" w:fill="FFFFFF"/>
        </w:rPr>
        <w:t xml:space="preserve"> and delegations</w:t>
      </w:r>
    </w:p>
    <w:p w14:paraId="52B3C0D4" w14:textId="236ADE55" w:rsidR="007B7A16" w:rsidRPr="004F01DA" w:rsidRDefault="007B7A16" w:rsidP="0063672B">
      <w:pPr>
        <w:spacing w:after="240"/>
        <w:jc w:val="both"/>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_Ref20320732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Pr>
          <w:rFonts w:ascii="Copernicus Medium" w:hAnsi="Copernicus Medium" w:cs="Arial"/>
          <w:b/>
          <w:bCs/>
          <w:color w:val="E30918"/>
          <w:sz w:val="24"/>
          <w:szCs w:val="24"/>
        </w:rPr>
        <w:t>5</w:t>
      </w:r>
      <w:r w:rsidRPr="004F01DA">
        <w:rPr>
          <w:rFonts w:ascii="Copernicus Medium" w:hAnsi="Copernicus Medium" w:cs="Arial"/>
          <w:b/>
          <w:bCs/>
          <w:color w:val="E30918"/>
          <w:sz w:val="24"/>
          <w:szCs w:val="24"/>
        </w:rPr>
        <w:t>.0 Definitions</w:t>
      </w:r>
      <w:r w:rsidRPr="004F01DA">
        <w:rPr>
          <w:rFonts w:ascii="Copernicus Medium" w:hAnsi="Copernicus Medium" w:cs="Arial"/>
          <w:b/>
          <w:bCs/>
          <w:color w:val="E30918"/>
          <w:sz w:val="24"/>
          <w:szCs w:val="24"/>
          <w:shd w:val="clear" w:color="auto" w:fill="FFFFFF"/>
        </w:rPr>
        <w:fldChar w:fldCharType="end"/>
      </w:r>
    </w:p>
    <w:p w14:paraId="2E800012" w14:textId="3B16BF68" w:rsidR="00BC55CF" w:rsidRPr="00902125" w:rsidRDefault="00902125" w:rsidP="0063672B">
      <w:pPr>
        <w:pStyle w:val="Heading2"/>
        <w:jc w:val="both"/>
      </w:pPr>
      <w:r w:rsidRPr="00902125">
        <w:t xml:space="preserve">1.0 </w:t>
      </w:r>
      <w:r w:rsidR="00BC55CF" w:rsidRPr="00902125">
        <w:t>Purpose</w:t>
      </w:r>
      <w:bookmarkEnd w:id="0"/>
    </w:p>
    <w:p w14:paraId="59A619C9" w14:textId="5328600E" w:rsidR="00560079" w:rsidRPr="000209B9" w:rsidRDefault="00C70346" w:rsidP="0063672B">
      <w:pPr>
        <w:jc w:val="both"/>
        <w:rPr>
          <w:rFonts w:ascii="Arial" w:hAnsi="Arial" w:cs="Arial"/>
          <w:shd w:val="clear" w:color="auto" w:fill="FFFFFF"/>
        </w:rPr>
      </w:pPr>
      <w:r>
        <w:rPr>
          <w:rFonts w:ascii="Arial" w:hAnsi="Arial" w:cs="Arial"/>
          <w:shd w:val="clear" w:color="auto" w:fill="FFFFFF"/>
        </w:rPr>
        <w:t>This</w:t>
      </w:r>
      <w:r w:rsidR="00D20EFC">
        <w:rPr>
          <w:rFonts w:ascii="Arial" w:hAnsi="Arial" w:cs="Arial"/>
          <w:shd w:val="clear" w:color="auto" w:fill="FFFFFF"/>
        </w:rPr>
        <w:t xml:space="preserve"> p</w:t>
      </w:r>
      <w:r>
        <w:rPr>
          <w:rFonts w:ascii="Arial" w:hAnsi="Arial" w:cs="Arial"/>
          <w:shd w:val="clear" w:color="auto" w:fill="FFFFFF"/>
        </w:rPr>
        <w:t xml:space="preserve">olicy </w:t>
      </w:r>
      <w:r w:rsidRPr="005559F0">
        <w:rPr>
          <w:rFonts w:ascii="Arial" w:hAnsi="Arial" w:cs="Arial"/>
          <w:shd w:val="clear" w:color="auto" w:fill="FFFFFF"/>
        </w:rPr>
        <w:t>governs</w:t>
      </w:r>
      <w:r>
        <w:rPr>
          <w:rFonts w:ascii="Arial" w:hAnsi="Arial" w:cs="Arial"/>
          <w:shd w:val="clear" w:color="auto" w:fill="FFFFFF"/>
        </w:rPr>
        <w:t xml:space="preserve"> the administration of funding to support student participation in Global Mobility programs.</w:t>
      </w:r>
      <w:r w:rsidR="0044072A">
        <w:rPr>
          <w:rFonts w:ascii="Arial" w:hAnsi="Arial" w:cs="Arial"/>
          <w:shd w:val="clear" w:color="auto" w:fill="FFFFFF"/>
        </w:rPr>
        <w:t xml:space="preserve"> </w:t>
      </w:r>
    </w:p>
    <w:p w14:paraId="65297E40" w14:textId="186B5343" w:rsidR="00F97A5A" w:rsidRPr="00902125" w:rsidRDefault="00902125" w:rsidP="0063672B">
      <w:pPr>
        <w:pStyle w:val="Heading2"/>
        <w:jc w:val="both"/>
      </w:pPr>
      <w:bookmarkStart w:id="1" w:name="_Ref20318879"/>
      <w:r w:rsidRPr="00902125">
        <w:t xml:space="preserve">2.0 </w:t>
      </w:r>
      <w:r w:rsidR="00F97A5A" w:rsidRPr="00902125">
        <w:t>Scope</w:t>
      </w:r>
      <w:bookmarkEnd w:id="1"/>
    </w:p>
    <w:p w14:paraId="3D0980F7" w14:textId="44F06D32" w:rsidR="00A82546" w:rsidRDefault="00434579" w:rsidP="0063672B">
      <w:pPr>
        <w:jc w:val="both"/>
        <w:rPr>
          <w:rFonts w:ascii="Arial" w:hAnsi="Arial" w:cs="Arial"/>
          <w:color w:val="000000"/>
          <w:spacing w:val="2"/>
          <w:shd w:val="clear" w:color="auto" w:fill="FFFFFF"/>
        </w:rPr>
      </w:pPr>
      <w:bookmarkStart w:id="2" w:name="_Hlk115871398"/>
      <w:r>
        <w:rPr>
          <w:rFonts w:ascii="Arial" w:hAnsi="Arial" w:cs="Arial"/>
          <w:color w:val="000000"/>
          <w:spacing w:val="2"/>
          <w:shd w:val="clear" w:color="auto" w:fill="FFFFFF"/>
        </w:rPr>
        <w:t xml:space="preserve">This policy applies to Griffith University award </w:t>
      </w:r>
      <w:r w:rsidR="005625B2">
        <w:rPr>
          <w:rFonts w:ascii="Arial" w:hAnsi="Arial" w:cs="Arial"/>
          <w:color w:val="000000"/>
          <w:spacing w:val="2"/>
          <w:shd w:val="clear" w:color="auto" w:fill="FFFFFF"/>
        </w:rPr>
        <w:t xml:space="preserve">students </w:t>
      </w:r>
      <w:r w:rsidR="00C32920">
        <w:rPr>
          <w:rFonts w:ascii="Arial" w:hAnsi="Arial" w:cs="Arial"/>
          <w:color w:val="000000"/>
          <w:spacing w:val="2"/>
          <w:shd w:val="clear" w:color="auto" w:fill="FFFFFF"/>
        </w:rPr>
        <w:t xml:space="preserve">who receive funding from the University’s International Experience Incentive Scheme, </w:t>
      </w:r>
      <w:r w:rsidR="007B4257">
        <w:rPr>
          <w:rFonts w:ascii="Arial" w:hAnsi="Arial" w:cs="Arial"/>
          <w:color w:val="000000"/>
          <w:spacing w:val="2"/>
          <w:shd w:val="clear" w:color="auto" w:fill="FFFFFF"/>
        </w:rPr>
        <w:t xml:space="preserve">an OS-HELP loan, or from an </w:t>
      </w:r>
      <w:r w:rsidR="00C32920">
        <w:rPr>
          <w:rFonts w:ascii="Arial" w:hAnsi="Arial" w:cs="Arial"/>
          <w:color w:val="000000"/>
          <w:spacing w:val="2"/>
          <w:shd w:val="clear" w:color="auto" w:fill="FFFFFF"/>
        </w:rPr>
        <w:t xml:space="preserve">Australian Government </w:t>
      </w:r>
      <w:r w:rsidR="00ED6FDA">
        <w:rPr>
          <w:rFonts w:ascii="Arial" w:hAnsi="Arial" w:cs="Arial"/>
          <w:color w:val="000000"/>
          <w:spacing w:val="2"/>
          <w:shd w:val="clear" w:color="auto" w:fill="FFFFFF"/>
        </w:rPr>
        <w:t xml:space="preserve">international </w:t>
      </w:r>
      <w:r w:rsidR="00C32920">
        <w:rPr>
          <w:rFonts w:ascii="Arial" w:hAnsi="Arial" w:cs="Arial"/>
          <w:color w:val="000000"/>
          <w:spacing w:val="2"/>
          <w:shd w:val="clear" w:color="auto" w:fill="FFFFFF"/>
        </w:rPr>
        <w:t xml:space="preserve">mobility </w:t>
      </w:r>
      <w:r w:rsidR="00002B9A">
        <w:rPr>
          <w:rFonts w:ascii="Arial" w:hAnsi="Arial" w:cs="Arial"/>
          <w:color w:val="000000"/>
          <w:spacing w:val="2"/>
          <w:shd w:val="clear" w:color="auto" w:fill="FFFFFF"/>
        </w:rPr>
        <w:t xml:space="preserve">funding </w:t>
      </w:r>
      <w:r w:rsidR="00ED6FDA">
        <w:rPr>
          <w:rFonts w:ascii="Arial" w:hAnsi="Arial" w:cs="Arial"/>
          <w:color w:val="000000"/>
          <w:spacing w:val="2"/>
          <w:shd w:val="clear" w:color="auto" w:fill="FFFFFF"/>
        </w:rPr>
        <w:t>program</w:t>
      </w:r>
      <w:r w:rsidR="00C32920">
        <w:rPr>
          <w:rFonts w:ascii="Arial" w:hAnsi="Arial" w:cs="Arial"/>
          <w:color w:val="000000"/>
          <w:spacing w:val="2"/>
          <w:shd w:val="clear" w:color="auto" w:fill="FFFFFF"/>
        </w:rPr>
        <w:t>, or other student mobility funding sources that may become available to</w:t>
      </w:r>
      <w:r w:rsidR="00A82546">
        <w:rPr>
          <w:rFonts w:ascii="Arial" w:hAnsi="Arial" w:cs="Arial"/>
          <w:color w:val="000000"/>
          <w:spacing w:val="2"/>
          <w:shd w:val="clear" w:color="auto" w:fill="FFFFFF"/>
        </w:rPr>
        <w:t xml:space="preserve"> support </w:t>
      </w:r>
      <w:r>
        <w:rPr>
          <w:rFonts w:ascii="Arial" w:hAnsi="Arial" w:cs="Arial"/>
          <w:color w:val="000000"/>
          <w:spacing w:val="2"/>
          <w:shd w:val="clear" w:color="auto" w:fill="FFFFFF"/>
        </w:rPr>
        <w:t>participat</w:t>
      </w:r>
      <w:r w:rsidR="00A82546">
        <w:rPr>
          <w:rFonts w:ascii="Arial" w:hAnsi="Arial" w:cs="Arial"/>
          <w:color w:val="000000"/>
          <w:spacing w:val="2"/>
          <w:shd w:val="clear" w:color="auto" w:fill="FFFFFF"/>
        </w:rPr>
        <w:t xml:space="preserve">ion </w:t>
      </w:r>
      <w:r>
        <w:rPr>
          <w:rFonts w:ascii="Arial" w:hAnsi="Arial" w:cs="Arial"/>
          <w:color w:val="000000"/>
          <w:spacing w:val="2"/>
          <w:shd w:val="clear" w:color="auto" w:fill="FFFFFF"/>
        </w:rPr>
        <w:t xml:space="preserve">in </w:t>
      </w:r>
      <w:r w:rsidR="00C32920">
        <w:rPr>
          <w:rFonts w:ascii="Arial" w:hAnsi="Arial" w:cs="Arial"/>
          <w:color w:val="000000"/>
          <w:spacing w:val="2"/>
          <w:shd w:val="clear" w:color="auto" w:fill="FFFFFF"/>
        </w:rPr>
        <w:t xml:space="preserve">a </w:t>
      </w:r>
      <w:proofErr w:type="gramStart"/>
      <w:r>
        <w:rPr>
          <w:rFonts w:ascii="Arial" w:hAnsi="Arial" w:cs="Arial"/>
          <w:color w:val="000000"/>
          <w:spacing w:val="2"/>
          <w:shd w:val="clear" w:color="auto" w:fill="FFFFFF"/>
        </w:rPr>
        <w:t>University</w:t>
      </w:r>
      <w:proofErr w:type="gramEnd"/>
      <w:r>
        <w:rPr>
          <w:rFonts w:ascii="Arial" w:hAnsi="Arial" w:cs="Arial"/>
          <w:color w:val="000000"/>
          <w:spacing w:val="2"/>
          <w:shd w:val="clear" w:color="auto" w:fill="FFFFFF"/>
        </w:rPr>
        <w:t xml:space="preserve">-endorsed Global Mobility </w:t>
      </w:r>
      <w:r w:rsidR="00695DF3">
        <w:rPr>
          <w:rFonts w:ascii="Arial" w:hAnsi="Arial" w:cs="Arial"/>
          <w:color w:val="000000"/>
          <w:spacing w:val="2"/>
          <w:shd w:val="clear" w:color="auto" w:fill="FFFFFF"/>
        </w:rPr>
        <w:t>program</w:t>
      </w:r>
      <w:r w:rsidR="007B4257">
        <w:rPr>
          <w:rFonts w:ascii="Arial" w:hAnsi="Arial" w:cs="Arial"/>
          <w:color w:val="000000"/>
          <w:spacing w:val="2"/>
          <w:shd w:val="clear" w:color="auto" w:fill="FFFFFF"/>
        </w:rPr>
        <w:t xml:space="preserve">. It </w:t>
      </w:r>
      <w:r w:rsidR="005625B2">
        <w:rPr>
          <w:rFonts w:ascii="Arial" w:hAnsi="Arial" w:cs="Arial"/>
          <w:color w:val="000000"/>
          <w:spacing w:val="2"/>
          <w:shd w:val="clear" w:color="auto" w:fill="FFFFFF"/>
        </w:rPr>
        <w:t xml:space="preserve">applies </w:t>
      </w:r>
      <w:r w:rsidR="00A82546">
        <w:rPr>
          <w:rFonts w:ascii="Arial" w:hAnsi="Arial" w:cs="Arial"/>
          <w:color w:val="000000"/>
          <w:spacing w:val="2"/>
          <w:shd w:val="clear" w:color="auto" w:fill="FFFFFF"/>
        </w:rPr>
        <w:t xml:space="preserve">to </w:t>
      </w:r>
      <w:r w:rsidR="00E84631">
        <w:rPr>
          <w:rFonts w:ascii="Arial" w:hAnsi="Arial" w:cs="Arial"/>
          <w:color w:val="000000"/>
          <w:spacing w:val="2"/>
          <w:shd w:val="clear" w:color="auto" w:fill="FFFFFF"/>
        </w:rPr>
        <w:t xml:space="preserve">any element of the University </w:t>
      </w:r>
      <w:r w:rsidR="002C1049">
        <w:rPr>
          <w:rFonts w:ascii="Arial" w:hAnsi="Arial" w:cs="Arial"/>
          <w:color w:val="000000"/>
          <w:spacing w:val="2"/>
          <w:shd w:val="clear" w:color="auto" w:fill="FFFFFF"/>
        </w:rPr>
        <w:t>and</w:t>
      </w:r>
      <w:r w:rsidR="004D47D9">
        <w:rPr>
          <w:rFonts w:ascii="Arial" w:hAnsi="Arial" w:cs="Arial"/>
          <w:color w:val="000000"/>
          <w:spacing w:val="2"/>
          <w:shd w:val="clear" w:color="auto" w:fill="FFFFFF"/>
        </w:rPr>
        <w:t xml:space="preserve"> </w:t>
      </w:r>
      <w:r w:rsidR="00A82546">
        <w:rPr>
          <w:rFonts w:ascii="Arial" w:hAnsi="Arial" w:cs="Arial"/>
          <w:color w:val="000000"/>
          <w:spacing w:val="2"/>
          <w:shd w:val="clear" w:color="auto" w:fill="FFFFFF"/>
        </w:rPr>
        <w:t xml:space="preserve">Griffith staff </w:t>
      </w:r>
      <w:r w:rsidR="004D47D9">
        <w:rPr>
          <w:rFonts w:ascii="Arial" w:hAnsi="Arial" w:cs="Arial"/>
          <w:color w:val="000000"/>
          <w:spacing w:val="2"/>
          <w:shd w:val="clear" w:color="auto" w:fill="FFFFFF"/>
        </w:rPr>
        <w:t xml:space="preserve">members </w:t>
      </w:r>
      <w:r w:rsidR="00CB5FB1">
        <w:rPr>
          <w:rFonts w:ascii="Arial" w:hAnsi="Arial" w:cs="Arial"/>
          <w:color w:val="000000"/>
          <w:spacing w:val="2"/>
          <w:shd w:val="clear" w:color="auto" w:fill="FFFFFF"/>
        </w:rPr>
        <w:t>apply</w:t>
      </w:r>
      <w:r w:rsidR="00002B9A">
        <w:rPr>
          <w:rFonts w:ascii="Arial" w:hAnsi="Arial" w:cs="Arial"/>
          <w:color w:val="000000"/>
          <w:spacing w:val="2"/>
          <w:shd w:val="clear" w:color="auto" w:fill="FFFFFF"/>
        </w:rPr>
        <w:t>ing</w:t>
      </w:r>
      <w:r w:rsidR="00CB5FB1">
        <w:rPr>
          <w:rFonts w:ascii="Arial" w:hAnsi="Arial" w:cs="Arial"/>
          <w:color w:val="000000"/>
          <w:spacing w:val="2"/>
          <w:shd w:val="clear" w:color="auto" w:fill="FFFFFF"/>
        </w:rPr>
        <w:t xml:space="preserve"> for or </w:t>
      </w:r>
      <w:r w:rsidR="00E84631">
        <w:rPr>
          <w:rFonts w:ascii="Arial" w:hAnsi="Arial" w:cs="Arial"/>
          <w:color w:val="000000"/>
          <w:spacing w:val="2"/>
          <w:shd w:val="clear" w:color="auto" w:fill="FFFFFF"/>
        </w:rPr>
        <w:t xml:space="preserve">in receipt of </w:t>
      </w:r>
      <w:r w:rsidR="004D47D9">
        <w:rPr>
          <w:rFonts w:ascii="Arial" w:hAnsi="Arial" w:cs="Arial"/>
          <w:color w:val="000000"/>
          <w:spacing w:val="2"/>
          <w:shd w:val="clear" w:color="auto" w:fill="FFFFFF"/>
        </w:rPr>
        <w:t xml:space="preserve">student </w:t>
      </w:r>
      <w:r w:rsidR="00E84631">
        <w:rPr>
          <w:rFonts w:ascii="Arial" w:hAnsi="Arial" w:cs="Arial"/>
          <w:color w:val="000000"/>
          <w:spacing w:val="2"/>
          <w:shd w:val="clear" w:color="auto" w:fill="FFFFFF"/>
        </w:rPr>
        <w:t xml:space="preserve">mobility </w:t>
      </w:r>
      <w:r w:rsidR="00757166">
        <w:rPr>
          <w:rFonts w:ascii="Arial" w:hAnsi="Arial" w:cs="Arial"/>
          <w:color w:val="000000"/>
          <w:spacing w:val="2"/>
          <w:shd w:val="clear" w:color="auto" w:fill="FFFFFF"/>
        </w:rPr>
        <w:t xml:space="preserve">funding for the purposes of </w:t>
      </w:r>
      <w:r w:rsidR="00BC679A">
        <w:rPr>
          <w:rFonts w:ascii="Arial" w:hAnsi="Arial" w:cs="Arial"/>
          <w:color w:val="000000"/>
          <w:spacing w:val="2"/>
          <w:shd w:val="clear" w:color="auto" w:fill="FFFFFF"/>
        </w:rPr>
        <w:t xml:space="preserve">supporting student participation in </w:t>
      </w:r>
      <w:r w:rsidR="00757166">
        <w:rPr>
          <w:rFonts w:ascii="Arial" w:hAnsi="Arial" w:cs="Arial"/>
          <w:color w:val="000000"/>
          <w:spacing w:val="2"/>
          <w:shd w:val="clear" w:color="auto" w:fill="FFFFFF"/>
        </w:rPr>
        <w:t>a</w:t>
      </w:r>
      <w:r w:rsidR="00BC679A">
        <w:rPr>
          <w:rFonts w:ascii="Arial" w:hAnsi="Arial" w:cs="Arial"/>
          <w:color w:val="000000"/>
          <w:spacing w:val="2"/>
          <w:shd w:val="clear" w:color="auto" w:fill="FFFFFF"/>
        </w:rPr>
        <w:t xml:space="preserve"> </w:t>
      </w:r>
      <w:proofErr w:type="gramStart"/>
      <w:r w:rsidR="00BC679A">
        <w:rPr>
          <w:rFonts w:ascii="Arial" w:hAnsi="Arial" w:cs="Arial"/>
          <w:color w:val="000000"/>
          <w:spacing w:val="2"/>
          <w:shd w:val="clear" w:color="auto" w:fill="FFFFFF"/>
        </w:rPr>
        <w:t>University</w:t>
      </w:r>
      <w:proofErr w:type="gramEnd"/>
      <w:r w:rsidR="00BC679A">
        <w:rPr>
          <w:rFonts w:ascii="Arial" w:hAnsi="Arial" w:cs="Arial"/>
          <w:color w:val="000000"/>
          <w:spacing w:val="2"/>
          <w:shd w:val="clear" w:color="auto" w:fill="FFFFFF"/>
        </w:rPr>
        <w:t xml:space="preserve">-endorsed </w:t>
      </w:r>
      <w:r w:rsidR="00757166">
        <w:rPr>
          <w:rFonts w:ascii="Arial" w:hAnsi="Arial" w:cs="Arial"/>
          <w:color w:val="000000"/>
          <w:spacing w:val="2"/>
          <w:shd w:val="clear" w:color="auto" w:fill="FFFFFF"/>
        </w:rPr>
        <w:t>Global Mobility program</w:t>
      </w:r>
      <w:r w:rsidR="00BC679A">
        <w:rPr>
          <w:rFonts w:ascii="Arial" w:hAnsi="Arial" w:cs="Arial"/>
          <w:color w:val="000000"/>
          <w:spacing w:val="2"/>
          <w:shd w:val="clear" w:color="auto" w:fill="FFFFFF"/>
        </w:rPr>
        <w:t>.</w:t>
      </w:r>
    </w:p>
    <w:p w14:paraId="16734CDB" w14:textId="7BE92445" w:rsidR="00C91165" w:rsidRPr="00B23529" w:rsidRDefault="00902125" w:rsidP="0063672B">
      <w:pPr>
        <w:pStyle w:val="Heading2"/>
        <w:jc w:val="both"/>
        <w:rPr>
          <w:rFonts w:ascii="Arial" w:eastAsiaTheme="minorHAnsi" w:hAnsi="Arial" w:cs="Arial"/>
          <w:color w:val="000000"/>
          <w:spacing w:val="2"/>
          <w:sz w:val="20"/>
          <w:szCs w:val="22"/>
          <w:shd w:val="clear" w:color="auto" w:fill="FFFFFF"/>
        </w:rPr>
      </w:pPr>
      <w:bookmarkStart w:id="3" w:name="_Ref20318910"/>
      <w:bookmarkEnd w:id="2"/>
      <w:r w:rsidRPr="00902125">
        <w:t xml:space="preserve">3.0 </w:t>
      </w:r>
      <w:r w:rsidR="00C91165" w:rsidRPr="00B23529">
        <w:t xml:space="preserve">Policy </w:t>
      </w:r>
      <w:r w:rsidR="00C655EF" w:rsidRPr="00B23529">
        <w:t>s</w:t>
      </w:r>
      <w:r w:rsidR="00C91165" w:rsidRPr="00B23529">
        <w:t>tatement</w:t>
      </w:r>
      <w:bookmarkEnd w:id="3"/>
    </w:p>
    <w:p w14:paraId="07CDC3F3" w14:textId="5731463D" w:rsidR="00806CE5" w:rsidRDefault="00B03CAC" w:rsidP="0063672B">
      <w:pPr>
        <w:pStyle w:val="NormalWhite"/>
        <w:spacing w:after="0"/>
        <w:jc w:val="both"/>
        <w:rPr>
          <w:rFonts w:ascii="Arial" w:hAnsi="Arial" w:cs="Arial"/>
          <w:color w:val="000000"/>
          <w:spacing w:val="2"/>
          <w:shd w:val="clear" w:color="auto" w:fill="FFFFFF"/>
        </w:rPr>
      </w:pPr>
      <w:bookmarkStart w:id="4" w:name="_Hlk115871563"/>
      <w:r w:rsidRPr="00B03CAC">
        <w:rPr>
          <w:rFonts w:ascii="Arial" w:hAnsi="Arial" w:cs="Arial"/>
          <w:color w:val="000000"/>
          <w:spacing w:val="2"/>
          <w:shd w:val="clear" w:color="auto" w:fill="FFFFFF"/>
        </w:rPr>
        <w:t>The University</w:t>
      </w:r>
      <w:r w:rsidR="00D03E4B">
        <w:rPr>
          <w:rFonts w:ascii="Arial" w:hAnsi="Arial" w:cs="Arial"/>
          <w:color w:val="000000"/>
          <w:spacing w:val="2"/>
          <w:shd w:val="clear" w:color="auto" w:fill="FFFFFF"/>
        </w:rPr>
        <w:t xml:space="preserve"> is committed to providing </w:t>
      </w:r>
      <w:r w:rsidR="006E0A1B">
        <w:rPr>
          <w:rFonts w:ascii="Arial" w:hAnsi="Arial" w:cs="Arial"/>
          <w:color w:val="000000"/>
          <w:spacing w:val="2"/>
          <w:shd w:val="clear" w:color="auto" w:fill="FFFFFF"/>
        </w:rPr>
        <w:t xml:space="preserve">its </w:t>
      </w:r>
      <w:r w:rsidR="00D03E4B">
        <w:rPr>
          <w:rFonts w:ascii="Arial" w:hAnsi="Arial" w:cs="Arial"/>
          <w:color w:val="000000"/>
          <w:spacing w:val="2"/>
          <w:shd w:val="clear" w:color="auto" w:fill="FFFFFF"/>
        </w:rPr>
        <w:t>degree students</w:t>
      </w:r>
      <w:r w:rsidR="00002B9A">
        <w:rPr>
          <w:rFonts w:ascii="Arial" w:hAnsi="Arial" w:cs="Arial"/>
          <w:color w:val="000000"/>
          <w:spacing w:val="2"/>
          <w:shd w:val="clear" w:color="auto" w:fill="FFFFFF"/>
        </w:rPr>
        <w:t>,</w:t>
      </w:r>
      <w:r w:rsidR="004E2BE1">
        <w:rPr>
          <w:rFonts w:ascii="Arial" w:hAnsi="Arial" w:cs="Arial"/>
          <w:color w:val="000000"/>
          <w:spacing w:val="2"/>
          <w:shd w:val="clear" w:color="auto" w:fill="FFFFFF"/>
        </w:rPr>
        <w:t xml:space="preserve"> including </w:t>
      </w:r>
      <w:r w:rsidR="00D7448A">
        <w:rPr>
          <w:rFonts w:ascii="Arial" w:hAnsi="Arial" w:cs="Arial"/>
          <w:color w:val="000000"/>
          <w:spacing w:val="2"/>
          <w:shd w:val="clear" w:color="auto" w:fill="FFFFFF"/>
        </w:rPr>
        <w:t>h</w:t>
      </w:r>
      <w:r w:rsidR="004E2BE1">
        <w:rPr>
          <w:rFonts w:ascii="Arial" w:hAnsi="Arial" w:cs="Arial"/>
          <w:color w:val="000000"/>
          <w:spacing w:val="2"/>
          <w:shd w:val="clear" w:color="auto" w:fill="FFFFFF"/>
        </w:rPr>
        <w:t xml:space="preserve">igher </w:t>
      </w:r>
      <w:r w:rsidR="00D7448A">
        <w:rPr>
          <w:rFonts w:ascii="Arial" w:hAnsi="Arial" w:cs="Arial"/>
          <w:color w:val="000000"/>
          <w:spacing w:val="2"/>
          <w:shd w:val="clear" w:color="auto" w:fill="FFFFFF"/>
        </w:rPr>
        <w:t>d</w:t>
      </w:r>
      <w:r w:rsidR="004E2BE1">
        <w:rPr>
          <w:rFonts w:ascii="Arial" w:hAnsi="Arial" w:cs="Arial"/>
          <w:color w:val="000000"/>
          <w:spacing w:val="2"/>
          <w:shd w:val="clear" w:color="auto" w:fill="FFFFFF"/>
        </w:rPr>
        <w:t xml:space="preserve">egree </w:t>
      </w:r>
      <w:r w:rsidR="00D7448A">
        <w:rPr>
          <w:rFonts w:ascii="Arial" w:hAnsi="Arial" w:cs="Arial"/>
          <w:color w:val="000000"/>
          <w:spacing w:val="2"/>
          <w:shd w:val="clear" w:color="auto" w:fill="FFFFFF"/>
        </w:rPr>
        <w:t>r</w:t>
      </w:r>
      <w:r w:rsidR="004E2BE1">
        <w:rPr>
          <w:rFonts w:ascii="Arial" w:hAnsi="Arial" w:cs="Arial"/>
          <w:color w:val="000000"/>
          <w:spacing w:val="2"/>
          <w:shd w:val="clear" w:color="auto" w:fill="FFFFFF"/>
        </w:rPr>
        <w:t>esearch candidates</w:t>
      </w:r>
      <w:r w:rsidR="00002B9A">
        <w:rPr>
          <w:rFonts w:ascii="Arial" w:hAnsi="Arial" w:cs="Arial"/>
          <w:color w:val="000000"/>
          <w:spacing w:val="2"/>
          <w:shd w:val="clear" w:color="auto" w:fill="FFFFFF"/>
        </w:rPr>
        <w:t>,</w:t>
      </w:r>
      <w:r w:rsidR="004E2BE1">
        <w:rPr>
          <w:rFonts w:ascii="Arial" w:hAnsi="Arial" w:cs="Arial"/>
          <w:color w:val="000000"/>
          <w:spacing w:val="2"/>
          <w:shd w:val="clear" w:color="auto" w:fill="FFFFFF"/>
        </w:rPr>
        <w:t xml:space="preserve"> </w:t>
      </w:r>
      <w:r w:rsidR="00D03E4B">
        <w:rPr>
          <w:rFonts w:ascii="Arial" w:hAnsi="Arial" w:cs="Arial"/>
          <w:color w:val="000000"/>
          <w:spacing w:val="2"/>
          <w:shd w:val="clear" w:color="auto" w:fill="FFFFFF"/>
        </w:rPr>
        <w:t>with</w:t>
      </w:r>
      <w:r w:rsidR="00B23529">
        <w:rPr>
          <w:rFonts w:ascii="Arial" w:hAnsi="Arial" w:cs="Arial"/>
          <w:color w:val="000000"/>
          <w:spacing w:val="2"/>
          <w:shd w:val="clear" w:color="auto" w:fill="FFFFFF"/>
        </w:rPr>
        <w:t xml:space="preserve"> </w:t>
      </w:r>
      <w:r w:rsidR="00D03E4B">
        <w:rPr>
          <w:rFonts w:ascii="Arial" w:hAnsi="Arial" w:cs="Arial"/>
          <w:color w:val="000000"/>
          <w:spacing w:val="2"/>
          <w:shd w:val="clear" w:color="auto" w:fill="FFFFFF"/>
        </w:rPr>
        <w:t xml:space="preserve">access to </w:t>
      </w:r>
      <w:r w:rsidR="004E2BE1">
        <w:rPr>
          <w:rFonts w:ascii="Arial" w:hAnsi="Arial" w:cs="Arial"/>
          <w:color w:val="000000"/>
          <w:spacing w:val="2"/>
          <w:shd w:val="clear" w:color="auto" w:fill="FFFFFF"/>
        </w:rPr>
        <w:t xml:space="preserve">funding to support participation in one or more </w:t>
      </w:r>
      <w:r w:rsidR="00023A77">
        <w:rPr>
          <w:rFonts w:ascii="Arial" w:hAnsi="Arial" w:cs="Arial"/>
          <w:color w:val="000000"/>
          <w:spacing w:val="2"/>
          <w:shd w:val="clear" w:color="auto" w:fill="FFFFFF"/>
        </w:rPr>
        <w:t>Global Mobility program</w:t>
      </w:r>
      <w:r w:rsidR="00D7448A">
        <w:rPr>
          <w:rFonts w:ascii="Arial" w:hAnsi="Arial" w:cs="Arial"/>
          <w:color w:val="000000"/>
          <w:spacing w:val="2"/>
          <w:shd w:val="clear" w:color="auto" w:fill="FFFFFF"/>
        </w:rPr>
        <w:t>s</w:t>
      </w:r>
      <w:r w:rsidR="006E0A1B">
        <w:rPr>
          <w:rFonts w:ascii="Arial" w:hAnsi="Arial" w:cs="Arial"/>
          <w:color w:val="000000"/>
          <w:spacing w:val="2"/>
          <w:shd w:val="clear" w:color="auto" w:fill="FFFFFF"/>
        </w:rPr>
        <w:t xml:space="preserve"> while </w:t>
      </w:r>
      <w:r w:rsidR="004E2BE1">
        <w:rPr>
          <w:rFonts w:ascii="Arial" w:hAnsi="Arial" w:cs="Arial"/>
          <w:color w:val="000000"/>
          <w:spacing w:val="2"/>
          <w:shd w:val="clear" w:color="auto" w:fill="FFFFFF"/>
        </w:rPr>
        <w:t>they are</w:t>
      </w:r>
      <w:r w:rsidR="0044072A">
        <w:rPr>
          <w:rFonts w:ascii="Arial" w:hAnsi="Arial" w:cs="Arial"/>
          <w:color w:val="000000"/>
          <w:spacing w:val="2"/>
          <w:shd w:val="clear" w:color="auto" w:fill="FFFFFF"/>
        </w:rPr>
        <w:t xml:space="preserve"> studying with the University</w:t>
      </w:r>
      <w:r w:rsidR="004E2BE1">
        <w:rPr>
          <w:rFonts w:ascii="Arial" w:hAnsi="Arial" w:cs="Arial"/>
          <w:color w:val="000000"/>
          <w:spacing w:val="2"/>
          <w:shd w:val="clear" w:color="auto" w:fill="FFFFFF"/>
        </w:rPr>
        <w:t xml:space="preserve">. </w:t>
      </w:r>
    </w:p>
    <w:p w14:paraId="4AEBB7C5" w14:textId="77777777" w:rsidR="00806CE5" w:rsidRDefault="00806CE5" w:rsidP="0063672B">
      <w:pPr>
        <w:pStyle w:val="NormalWhite"/>
        <w:spacing w:after="0"/>
        <w:jc w:val="both"/>
        <w:rPr>
          <w:rFonts w:ascii="Arial" w:hAnsi="Arial" w:cs="Arial"/>
          <w:color w:val="000000"/>
          <w:spacing w:val="2"/>
          <w:shd w:val="clear" w:color="auto" w:fill="FFFFFF"/>
        </w:rPr>
      </w:pPr>
    </w:p>
    <w:p w14:paraId="05D5DE04" w14:textId="06549AAF" w:rsidR="00806CE5" w:rsidRDefault="0044072A" w:rsidP="0063672B">
      <w:pPr>
        <w:pStyle w:val="NormalWhite"/>
        <w:spacing w:after="0"/>
        <w:jc w:val="both"/>
        <w:rPr>
          <w:rFonts w:ascii="Arial" w:hAnsi="Arial" w:cs="Arial"/>
          <w:color w:val="000000"/>
          <w:spacing w:val="2"/>
          <w:shd w:val="clear" w:color="auto" w:fill="FFFFFF"/>
        </w:rPr>
      </w:pPr>
      <w:r>
        <w:rPr>
          <w:rFonts w:ascii="Arial" w:hAnsi="Arial" w:cs="Arial"/>
          <w:color w:val="000000"/>
          <w:spacing w:val="2"/>
          <w:shd w:val="clear" w:color="auto" w:fill="FFFFFF"/>
        </w:rPr>
        <w:t xml:space="preserve">The University’s </w:t>
      </w:r>
      <w:r w:rsidR="00B23529">
        <w:rPr>
          <w:rFonts w:ascii="Arial" w:hAnsi="Arial" w:cs="Arial"/>
          <w:color w:val="000000"/>
          <w:spacing w:val="2"/>
          <w:shd w:val="clear" w:color="auto" w:fill="FFFFFF"/>
        </w:rPr>
        <w:t>Strategic Plan</w:t>
      </w:r>
      <w:r w:rsidR="00D7448A">
        <w:rPr>
          <w:rFonts w:ascii="Arial" w:hAnsi="Arial" w:cs="Arial"/>
          <w:color w:val="000000"/>
          <w:spacing w:val="2"/>
          <w:shd w:val="clear" w:color="auto" w:fill="FFFFFF"/>
        </w:rPr>
        <w:t>,</w:t>
      </w:r>
      <w:r w:rsidR="00B23529">
        <w:rPr>
          <w:rFonts w:ascii="Arial" w:hAnsi="Arial" w:cs="Arial"/>
          <w:color w:val="000000"/>
          <w:spacing w:val="2"/>
          <w:shd w:val="clear" w:color="auto" w:fill="FFFFFF"/>
        </w:rPr>
        <w:t xml:space="preserve"> </w:t>
      </w:r>
      <w:r w:rsidR="00B03CAC" w:rsidRPr="00B03CAC">
        <w:rPr>
          <w:rFonts w:ascii="Arial" w:hAnsi="Arial" w:cs="Arial"/>
          <w:color w:val="000000"/>
          <w:spacing w:val="2"/>
          <w:shd w:val="clear" w:color="auto" w:fill="FFFFFF"/>
        </w:rPr>
        <w:t>Academic Plan</w:t>
      </w:r>
      <w:r w:rsidR="00354C0B">
        <w:rPr>
          <w:rFonts w:ascii="Arial" w:hAnsi="Arial" w:cs="Arial"/>
          <w:color w:val="000000"/>
          <w:spacing w:val="2"/>
          <w:shd w:val="clear" w:color="auto" w:fill="FFFFFF"/>
        </w:rPr>
        <w:t xml:space="preserve">, </w:t>
      </w:r>
      <w:r w:rsidR="00B23529">
        <w:rPr>
          <w:rFonts w:ascii="Arial" w:hAnsi="Arial" w:cs="Arial"/>
          <w:color w:val="000000"/>
          <w:spacing w:val="2"/>
          <w:shd w:val="clear" w:color="auto" w:fill="FFFFFF"/>
        </w:rPr>
        <w:t xml:space="preserve">and </w:t>
      </w:r>
      <w:r w:rsidR="00D03E4B">
        <w:rPr>
          <w:rFonts w:ascii="Arial" w:hAnsi="Arial" w:cs="Arial"/>
          <w:color w:val="000000"/>
          <w:spacing w:val="2"/>
          <w:shd w:val="clear" w:color="auto" w:fill="FFFFFF"/>
        </w:rPr>
        <w:t>Learning and Teaching Framework</w:t>
      </w:r>
      <w:r w:rsidR="00D7448A">
        <w:rPr>
          <w:rFonts w:ascii="Arial" w:hAnsi="Arial" w:cs="Arial"/>
          <w:color w:val="000000"/>
          <w:spacing w:val="2"/>
          <w:shd w:val="clear" w:color="auto" w:fill="FFFFFF"/>
        </w:rPr>
        <w:t xml:space="preserve"> </w:t>
      </w:r>
      <w:r w:rsidR="00F43593">
        <w:rPr>
          <w:rFonts w:ascii="Arial" w:hAnsi="Arial" w:cs="Arial"/>
          <w:color w:val="000000"/>
          <w:spacing w:val="2"/>
          <w:shd w:val="clear" w:color="auto" w:fill="FFFFFF"/>
        </w:rPr>
        <w:t xml:space="preserve">highlight these opportunities as </w:t>
      </w:r>
      <w:r w:rsidR="00B03CAC" w:rsidRPr="00B03CAC">
        <w:rPr>
          <w:rFonts w:ascii="Arial" w:hAnsi="Arial" w:cs="Arial"/>
          <w:color w:val="000000"/>
          <w:spacing w:val="2"/>
          <w:shd w:val="clear" w:color="auto" w:fill="FFFFFF"/>
        </w:rPr>
        <w:t>authentic learning</w:t>
      </w:r>
      <w:r w:rsidR="00B03CAC">
        <w:rPr>
          <w:rFonts w:ascii="Arial" w:hAnsi="Arial" w:cs="Arial"/>
          <w:color w:val="000000"/>
          <w:spacing w:val="2"/>
          <w:shd w:val="clear" w:color="auto" w:fill="FFFFFF"/>
        </w:rPr>
        <w:t xml:space="preserve"> </w:t>
      </w:r>
      <w:r w:rsidR="00B03CAC" w:rsidRPr="00B03CAC">
        <w:rPr>
          <w:rFonts w:ascii="Arial" w:hAnsi="Arial" w:cs="Arial"/>
          <w:color w:val="000000"/>
          <w:spacing w:val="2"/>
          <w:shd w:val="clear" w:color="auto" w:fill="FFFFFF"/>
        </w:rPr>
        <w:t xml:space="preserve">experiences </w:t>
      </w:r>
      <w:r w:rsidR="00B23529">
        <w:rPr>
          <w:rFonts w:ascii="Arial" w:hAnsi="Arial" w:cs="Arial"/>
          <w:color w:val="000000"/>
          <w:spacing w:val="2"/>
          <w:shd w:val="clear" w:color="auto" w:fill="FFFFFF"/>
        </w:rPr>
        <w:t xml:space="preserve">that </w:t>
      </w:r>
      <w:r w:rsidR="003F56EA">
        <w:rPr>
          <w:rFonts w:ascii="Arial" w:hAnsi="Arial" w:cs="Arial"/>
          <w:color w:val="000000"/>
          <w:spacing w:val="2"/>
          <w:shd w:val="clear" w:color="auto" w:fill="FFFFFF"/>
        </w:rPr>
        <w:t xml:space="preserve">enable students to connect </w:t>
      </w:r>
      <w:r w:rsidR="00002B9A">
        <w:rPr>
          <w:rFonts w:ascii="Arial" w:hAnsi="Arial" w:cs="Arial"/>
          <w:color w:val="000000"/>
          <w:spacing w:val="2"/>
          <w:shd w:val="clear" w:color="auto" w:fill="FFFFFF"/>
        </w:rPr>
        <w:t xml:space="preserve">with </w:t>
      </w:r>
      <w:r w:rsidR="003F56EA">
        <w:rPr>
          <w:rFonts w:ascii="Arial" w:hAnsi="Arial" w:cs="Arial"/>
          <w:color w:val="000000"/>
          <w:spacing w:val="2"/>
          <w:shd w:val="clear" w:color="auto" w:fill="FFFFFF"/>
        </w:rPr>
        <w:t xml:space="preserve">and contribute to </w:t>
      </w:r>
      <w:r w:rsidR="00B23529">
        <w:rPr>
          <w:rFonts w:ascii="Arial" w:hAnsi="Arial" w:cs="Arial"/>
          <w:color w:val="000000"/>
          <w:spacing w:val="2"/>
          <w:shd w:val="clear" w:color="auto" w:fill="FFFFFF"/>
        </w:rPr>
        <w:t xml:space="preserve">the </w:t>
      </w:r>
      <w:r w:rsidR="00B23529" w:rsidRPr="00B23529">
        <w:rPr>
          <w:rFonts w:ascii="Arial" w:hAnsi="Arial" w:cs="Arial"/>
          <w:color w:val="000000"/>
          <w:spacing w:val="2"/>
          <w:shd w:val="clear" w:color="auto" w:fill="FFFFFF"/>
        </w:rPr>
        <w:t xml:space="preserve">world </w:t>
      </w:r>
      <w:r w:rsidR="00B23529">
        <w:rPr>
          <w:rFonts w:ascii="Arial" w:hAnsi="Arial" w:cs="Arial"/>
          <w:color w:val="000000"/>
          <w:spacing w:val="2"/>
          <w:shd w:val="clear" w:color="auto" w:fill="FFFFFF"/>
        </w:rPr>
        <w:t>beyond university.</w:t>
      </w:r>
      <w:r w:rsidR="004E2BE1">
        <w:rPr>
          <w:rFonts w:ascii="Arial" w:hAnsi="Arial" w:cs="Arial"/>
          <w:color w:val="000000"/>
          <w:spacing w:val="2"/>
          <w:shd w:val="clear" w:color="auto" w:fill="FFFFFF"/>
        </w:rPr>
        <w:t xml:space="preserve"> </w:t>
      </w:r>
      <w:r w:rsidR="006E0A1B">
        <w:rPr>
          <w:rFonts w:ascii="Arial" w:hAnsi="Arial" w:cs="Arial"/>
          <w:color w:val="000000"/>
          <w:spacing w:val="2"/>
          <w:shd w:val="clear" w:color="auto" w:fill="FFFFFF"/>
        </w:rPr>
        <w:t xml:space="preserve">These </w:t>
      </w:r>
      <w:r w:rsidR="00B23529">
        <w:rPr>
          <w:rFonts w:ascii="Arial" w:hAnsi="Arial" w:cs="Arial"/>
          <w:color w:val="000000"/>
          <w:spacing w:val="2"/>
          <w:shd w:val="clear" w:color="auto" w:fill="FFFFFF"/>
        </w:rPr>
        <w:t>learning experiences</w:t>
      </w:r>
      <w:r w:rsidR="00EC5987">
        <w:rPr>
          <w:rFonts w:ascii="Arial" w:hAnsi="Arial" w:cs="Arial"/>
          <w:color w:val="000000"/>
          <w:spacing w:val="2"/>
          <w:shd w:val="clear" w:color="auto" w:fill="FFFFFF"/>
        </w:rPr>
        <w:t xml:space="preserve"> </w:t>
      </w:r>
      <w:r w:rsidR="004E2BE1">
        <w:rPr>
          <w:rFonts w:ascii="Arial" w:hAnsi="Arial" w:cs="Arial"/>
          <w:color w:val="000000"/>
          <w:spacing w:val="2"/>
          <w:shd w:val="clear" w:color="auto" w:fill="FFFFFF"/>
        </w:rPr>
        <w:t xml:space="preserve">are </w:t>
      </w:r>
      <w:r w:rsidR="00BB4461">
        <w:rPr>
          <w:rFonts w:ascii="Arial" w:hAnsi="Arial" w:cs="Arial"/>
          <w:color w:val="000000"/>
          <w:spacing w:val="2"/>
          <w:shd w:val="clear" w:color="auto" w:fill="FFFFFF"/>
        </w:rPr>
        <w:t>integral to the d</w:t>
      </w:r>
      <w:r w:rsidR="003F56EA">
        <w:rPr>
          <w:rFonts w:ascii="Arial" w:hAnsi="Arial" w:cs="Arial"/>
          <w:color w:val="000000"/>
          <w:spacing w:val="2"/>
          <w:shd w:val="clear" w:color="auto" w:fill="FFFFFF"/>
        </w:rPr>
        <w:t xml:space="preserve">evelopment of several key </w:t>
      </w:r>
      <w:r>
        <w:rPr>
          <w:rFonts w:ascii="Arial" w:hAnsi="Arial" w:cs="Arial"/>
          <w:color w:val="000000"/>
          <w:spacing w:val="2"/>
          <w:shd w:val="clear" w:color="auto" w:fill="FFFFFF"/>
        </w:rPr>
        <w:t>transferable skills</w:t>
      </w:r>
      <w:r w:rsidR="003F56EA">
        <w:rPr>
          <w:rFonts w:ascii="Arial" w:hAnsi="Arial" w:cs="Arial"/>
          <w:color w:val="000000"/>
          <w:spacing w:val="2"/>
          <w:shd w:val="clear" w:color="auto" w:fill="FFFFFF"/>
        </w:rPr>
        <w:t xml:space="preserve"> underpinned by the Griffith </w:t>
      </w:r>
      <w:r w:rsidR="00B23529" w:rsidRPr="00B23529">
        <w:rPr>
          <w:rFonts w:ascii="Arial" w:hAnsi="Arial" w:cs="Arial"/>
          <w:color w:val="000000"/>
          <w:spacing w:val="2"/>
          <w:shd w:val="clear" w:color="auto" w:fill="FFFFFF"/>
        </w:rPr>
        <w:t xml:space="preserve">Graduate </w:t>
      </w:r>
      <w:r w:rsidR="003F56EA">
        <w:rPr>
          <w:rFonts w:ascii="Arial" w:hAnsi="Arial" w:cs="Arial"/>
          <w:color w:val="000000"/>
          <w:spacing w:val="2"/>
          <w:shd w:val="clear" w:color="auto" w:fill="FFFFFF"/>
        </w:rPr>
        <w:t>Attributes</w:t>
      </w:r>
      <w:r w:rsidR="00BB4461">
        <w:rPr>
          <w:rFonts w:ascii="Arial" w:hAnsi="Arial" w:cs="Arial"/>
          <w:color w:val="000000"/>
          <w:spacing w:val="2"/>
          <w:shd w:val="clear" w:color="auto" w:fill="FFFFFF"/>
        </w:rPr>
        <w:t xml:space="preserve">, </w:t>
      </w:r>
      <w:r w:rsidR="00B23529" w:rsidRPr="00B23529">
        <w:rPr>
          <w:rFonts w:ascii="Arial" w:hAnsi="Arial" w:cs="Arial"/>
          <w:color w:val="000000"/>
          <w:spacing w:val="2"/>
          <w:shd w:val="clear" w:color="auto" w:fill="FFFFFF"/>
        </w:rPr>
        <w:t>enhanc</w:t>
      </w:r>
      <w:r w:rsidR="00E05665">
        <w:rPr>
          <w:rFonts w:ascii="Arial" w:hAnsi="Arial" w:cs="Arial"/>
          <w:color w:val="000000"/>
          <w:spacing w:val="2"/>
          <w:shd w:val="clear" w:color="auto" w:fill="FFFFFF"/>
        </w:rPr>
        <w:t xml:space="preserve">e </w:t>
      </w:r>
      <w:r w:rsidR="00BB4461">
        <w:rPr>
          <w:rFonts w:ascii="Arial" w:hAnsi="Arial" w:cs="Arial"/>
          <w:color w:val="000000"/>
          <w:spacing w:val="2"/>
          <w:shd w:val="clear" w:color="auto" w:fill="FFFFFF"/>
        </w:rPr>
        <w:t xml:space="preserve">student </w:t>
      </w:r>
      <w:r w:rsidR="00B23529" w:rsidRPr="00B23529">
        <w:rPr>
          <w:rFonts w:ascii="Arial" w:hAnsi="Arial" w:cs="Arial"/>
          <w:color w:val="000000"/>
          <w:spacing w:val="2"/>
          <w:shd w:val="clear" w:color="auto" w:fill="FFFFFF"/>
        </w:rPr>
        <w:t>employability</w:t>
      </w:r>
      <w:r w:rsidR="00EC5987">
        <w:rPr>
          <w:rFonts w:ascii="Arial" w:hAnsi="Arial" w:cs="Arial"/>
          <w:color w:val="000000"/>
          <w:spacing w:val="2"/>
          <w:shd w:val="clear" w:color="auto" w:fill="FFFFFF"/>
        </w:rPr>
        <w:t>,</w:t>
      </w:r>
      <w:r w:rsidR="00002B9A">
        <w:rPr>
          <w:rFonts w:ascii="Arial" w:hAnsi="Arial" w:cs="Arial"/>
          <w:color w:val="000000"/>
          <w:spacing w:val="2"/>
          <w:shd w:val="clear" w:color="auto" w:fill="FFFFFF"/>
        </w:rPr>
        <w:t xml:space="preserve"> and help to</w:t>
      </w:r>
      <w:r w:rsidR="00EC5987">
        <w:rPr>
          <w:rFonts w:ascii="Arial" w:hAnsi="Arial" w:cs="Arial"/>
          <w:color w:val="000000"/>
          <w:spacing w:val="2"/>
          <w:shd w:val="clear" w:color="auto" w:fill="FFFFFF"/>
        </w:rPr>
        <w:t xml:space="preserve"> </w:t>
      </w:r>
      <w:r w:rsidR="00E05665">
        <w:rPr>
          <w:rFonts w:ascii="Arial" w:hAnsi="Arial" w:cs="Arial"/>
          <w:color w:val="000000"/>
          <w:spacing w:val="2"/>
          <w:shd w:val="clear" w:color="auto" w:fill="FFFFFF"/>
        </w:rPr>
        <w:t xml:space="preserve">equip </w:t>
      </w:r>
      <w:r w:rsidR="00002B9A">
        <w:rPr>
          <w:rFonts w:ascii="Arial" w:hAnsi="Arial" w:cs="Arial"/>
          <w:color w:val="000000"/>
          <w:spacing w:val="2"/>
          <w:shd w:val="clear" w:color="auto" w:fill="FFFFFF"/>
        </w:rPr>
        <w:t xml:space="preserve">students </w:t>
      </w:r>
      <w:r w:rsidR="00EC5987">
        <w:rPr>
          <w:rFonts w:ascii="Arial" w:hAnsi="Arial" w:cs="Arial"/>
          <w:color w:val="000000"/>
          <w:spacing w:val="2"/>
          <w:shd w:val="clear" w:color="auto" w:fill="FFFFFF"/>
        </w:rPr>
        <w:t xml:space="preserve">with </w:t>
      </w:r>
      <w:r w:rsidR="004E2BE1">
        <w:rPr>
          <w:rFonts w:ascii="Arial" w:hAnsi="Arial" w:cs="Arial"/>
          <w:color w:val="000000"/>
          <w:spacing w:val="2"/>
          <w:shd w:val="clear" w:color="auto" w:fill="FFFFFF"/>
        </w:rPr>
        <w:t xml:space="preserve">the </w:t>
      </w:r>
      <w:r w:rsidR="00B23529" w:rsidRPr="00B23529">
        <w:rPr>
          <w:rFonts w:ascii="Arial" w:hAnsi="Arial" w:cs="Arial"/>
          <w:color w:val="000000"/>
          <w:spacing w:val="2"/>
          <w:shd w:val="clear" w:color="auto" w:fill="FFFFFF"/>
        </w:rPr>
        <w:t xml:space="preserve">requisite </w:t>
      </w:r>
      <w:r>
        <w:rPr>
          <w:rFonts w:ascii="Arial" w:hAnsi="Arial" w:cs="Arial"/>
          <w:color w:val="000000"/>
          <w:spacing w:val="2"/>
          <w:shd w:val="clear" w:color="auto" w:fill="FFFFFF"/>
        </w:rPr>
        <w:t xml:space="preserve">knowledge </w:t>
      </w:r>
      <w:r w:rsidR="00B23529" w:rsidRPr="00B23529">
        <w:rPr>
          <w:rFonts w:ascii="Arial" w:hAnsi="Arial" w:cs="Arial"/>
          <w:color w:val="000000"/>
          <w:spacing w:val="2"/>
          <w:shd w:val="clear" w:color="auto" w:fill="FFFFFF"/>
        </w:rPr>
        <w:t xml:space="preserve">to </w:t>
      </w:r>
      <w:r w:rsidR="003F56EA">
        <w:rPr>
          <w:rFonts w:ascii="Arial" w:hAnsi="Arial" w:cs="Arial"/>
          <w:color w:val="000000"/>
          <w:spacing w:val="2"/>
          <w:shd w:val="clear" w:color="auto" w:fill="FFFFFF"/>
        </w:rPr>
        <w:t xml:space="preserve">respond to </w:t>
      </w:r>
      <w:r w:rsidR="00EC5987">
        <w:rPr>
          <w:rFonts w:ascii="Arial" w:hAnsi="Arial" w:cs="Arial"/>
          <w:color w:val="000000"/>
          <w:spacing w:val="2"/>
          <w:shd w:val="clear" w:color="auto" w:fill="FFFFFF"/>
        </w:rPr>
        <w:t xml:space="preserve">a </w:t>
      </w:r>
      <w:r w:rsidR="003F56EA">
        <w:rPr>
          <w:rFonts w:ascii="Arial" w:hAnsi="Arial" w:cs="Arial"/>
          <w:color w:val="000000"/>
          <w:spacing w:val="2"/>
          <w:shd w:val="clear" w:color="auto" w:fill="FFFFFF"/>
        </w:rPr>
        <w:t>changing workforce</w:t>
      </w:r>
      <w:r w:rsidR="004E2BE1">
        <w:rPr>
          <w:rFonts w:ascii="Arial" w:hAnsi="Arial" w:cs="Arial"/>
          <w:color w:val="000000"/>
          <w:spacing w:val="2"/>
          <w:shd w:val="clear" w:color="auto" w:fill="FFFFFF"/>
        </w:rPr>
        <w:t xml:space="preserve"> </w:t>
      </w:r>
      <w:r w:rsidR="003F56EA">
        <w:rPr>
          <w:rFonts w:ascii="Arial" w:hAnsi="Arial" w:cs="Arial"/>
          <w:color w:val="000000"/>
          <w:spacing w:val="2"/>
          <w:shd w:val="clear" w:color="auto" w:fill="FFFFFF"/>
        </w:rPr>
        <w:t xml:space="preserve">and </w:t>
      </w:r>
      <w:r w:rsidR="00EC5987">
        <w:rPr>
          <w:rFonts w:ascii="Arial" w:hAnsi="Arial" w:cs="Arial"/>
          <w:color w:val="000000"/>
          <w:spacing w:val="2"/>
          <w:shd w:val="clear" w:color="auto" w:fill="FFFFFF"/>
        </w:rPr>
        <w:t xml:space="preserve">to be </w:t>
      </w:r>
      <w:r w:rsidR="00B23529" w:rsidRPr="00B23529">
        <w:rPr>
          <w:rFonts w:ascii="Arial" w:hAnsi="Arial" w:cs="Arial"/>
          <w:color w:val="000000"/>
          <w:spacing w:val="2"/>
          <w:shd w:val="clear" w:color="auto" w:fill="FFFFFF"/>
        </w:rPr>
        <w:t>future-ready</w:t>
      </w:r>
      <w:r w:rsidR="004E2BE1">
        <w:rPr>
          <w:rFonts w:ascii="Arial" w:hAnsi="Arial" w:cs="Arial"/>
          <w:color w:val="000000"/>
          <w:spacing w:val="2"/>
          <w:shd w:val="clear" w:color="auto" w:fill="FFFFFF"/>
        </w:rPr>
        <w:t xml:space="preserve"> upon graduation.</w:t>
      </w:r>
    </w:p>
    <w:bookmarkEnd w:id="4"/>
    <w:p w14:paraId="05D6EDD1" w14:textId="23E14534" w:rsidR="00CB1C21" w:rsidRPr="00CB1C21" w:rsidRDefault="00BB1FE3" w:rsidP="0063672B">
      <w:pPr>
        <w:pStyle w:val="Heading3"/>
        <w:keepNext w:val="0"/>
        <w:keepLines w:val="0"/>
        <w:jc w:val="both"/>
      </w:pPr>
      <w:r>
        <w:t xml:space="preserve">3.1 </w:t>
      </w:r>
      <w:r w:rsidR="00013F6F">
        <w:t>S</w:t>
      </w:r>
      <w:r w:rsidR="00806CE5" w:rsidRPr="00806CE5">
        <w:t xml:space="preserve">ources of funding </w:t>
      </w:r>
    </w:p>
    <w:p w14:paraId="65282040" w14:textId="77777777" w:rsidR="00731652" w:rsidRPr="00792F1A" w:rsidRDefault="00866E02" w:rsidP="0063672B">
      <w:pPr>
        <w:pStyle w:val="NormalWhite"/>
        <w:jc w:val="both"/>
        <w:rPr>
          <w:rFonts w:ascii="Arial" w:hAnsi="Arial" w:cs="Arial"/>
          <w:b/>
          <w:bCs/>
          <w:color w:val="auto"/>
        </w:rPr>
      </w:pPr>
      <w:r w:rsidRPr="00792F1A">
        <w:rPr>
          <w:rFonts w:ascii="Arial" w:hAnsi="Arial" w:cs="Arial"/>
          <w:b/>
          <w:bCs/>
          <w:color w:val="auto"/>
        </w:rPr>
        <w:t xml:space="preserve">(a) </w:t>
      </w:r>
      <w:r w:rsidR="00ED0B06" w:rsidRPr="00792F1A">
        <w:rPr>
          <w:rFonts w:ascii="Arial" w:hAnsi="Arial" w:cs="Arial"/>
          <w:b/>
          <w:bCs/>
          <w:color w:val="auto"/>
        </w:rPr>
        <w:t>International Experience Incentive Scheme</w:t>
      </w:r>
    </w:p>
    <w:p w14:paraId="7079C3EC" w14:textId="76BED7DB" w:rsidR="00866E02" w:rsidRDefault="00ED0B06" w:rsidP="00B07B73">
      <w:pPr>
        <w:pStyle w:val="NormalWhite"/>
        <w:jc w:val="both"/>
        <w:rPr>
          <w:rFonts w:ascii="Arial" w:hAnsi="Arial" w:cs="Arial"/>
          <w:color w:val="auto"/>
        </w:rPr>
      </w:pPr>
      <w:r w:rsidRPr="00866E02">
        <w:rPr>
          <w:rFonts w:ascii="Arial" w:hAnsi="Arial" w:cs="Arial"/>
          <w:color w:val="auto"/>
        </w:rPr>
        <w:t>G</w:t>
      </w:r>
      <w:r w:rsidR="00015EB9" w:rsidRPr="00015EB9">
        <w:rPr>
          <w:rFonts w:ascii="Arial" w:hAnsi="Arial" w:cs="Arial"/>
          <w:color w:val="auto"/>
        </w:rPr>
        <w:t xml:space="preserve">riffith University's Vice Chancellor dedicates funding each year </w:t>
      </w:r>
      <w:r w:rsidR="00002B9A">
        <w:rPr>
          <w:rFonts w:ascii="Arial" w:hAnsi="Arial" w:cs="Arial"/>
          <w:color w:val="auto"/>
        </w:rPr>
        <w:t>to provide</w:t>
      </w:r>
      <w:r w:rsidR="00015EB9" w:rsidRPr="00015EB9">
        <w:rPr>
          <w:rFonts w:ascii="Arial" w:hAnsi="Arial" w:cs="Arial"/>
          <w:color w:val="auto"/>
        </w:rPr>
        <w:t xml:space="preserve"> International Experience Incentive Scheme </w:t>
      </w:r>
      <w:r w:rsidRPr="00866E02">
        <w:rPr>
          <w:rFonts w:ascii="Arial" w:hAnsi="Arial" w:cs="Arial"/>
          <w:color w:val="auto"/>
        </w:rPr>
        <w:t xml:space="preserve">(IEIS) </w:t>
      </w:r>
      <w:r w:rsidR="00015EB9" w:rsidRPr="00015EB9">
        <w:rPr>
          <w:rFonts w:ascii="Arial" w:hAnsi="Arial" w:cs="Arial"/>
          <w:color w:val="auto"/>
        </w:rPr>
        <w:t xml:space="preserve">grants to assist students with the cost of </w:t>
      </w:r>
      <w:r w:rsidRPr="00866E02">
        <w:rPr>
          <w:rFonts w:ascii="Arial" w:hAnsi="Arial" w:cs="Arial"/>
          <w:color w:val="auto"/>
        </w:rPr>
        <w:t xml:space="preserve">a Global Mobility </w:t>
      </w:r>
      <w:r w:rsidR="00015EB9" w:rsidRPr="00015EB9">
        <w:rPr>
          <w:rFonts w:ascii="Arial" w:hAnsi="Arial" w:cs="Arial"/>
          <w:color w:val="auto"/>
        </w:rPr>
        <w:t xml:space="preserve">program. IEIS grants are available to </w:t>
      </w:r>
      <w:r w:rsidR="00002B9A">
        <w:rPr>
          <w:rFonts w:ascii="Arial" w:hAnsi="Arial" w:cs="Arial"/>
          <w:color w:val="auto"/>
        </w:rPr>
        <w:t xml:space="preserve">support </w:t>
      </w:r>
      <w:r w:rsidR="00015EB9" w:rsidRPr="00015EB9">
        <w:rPr>
          <w:rFonts w:ascii="Arial" w:hAnsi="Arial" w:cs="Arial"/>
          <w:color w:val="auto"/>
        </w:rPr>
        <w:t>domestic and international students participating in a</w:t>
      </w:r>
      <w:r w:rsidRPr="00866E02">
        <w:rPr>
          <w:rFonts w:ascii="Arial" w:hAnsi="Arial" w:cs="Arial"/>
          <w:color w:val="auto"/>
        </w:rPr>
        <w:t xml:space="preserve"> </w:t>
      </w:r>
      <w:proofErr w:type="gramStart"/>
      <w:r w:rsidRPr="00866E02">
        <w:rPr>
          <w:rFonts w:ascii="Arial" w:hAnsi="Arial" w:cs="Arial"/>
          <w:color w:val="auto"/>
        </w:rPr>
        <w:t>University</w:t>
      </w:r>
      <w:proofErr w:type="gramEnd"/>
      <w:r w:rsidRPr="00866E02">
        <w:rPr>
          <w:rFonts w:ascii="Arial" w:hAnsi="Arial" w:cs="Arial"/>
          <w:color w:val="auto"/>
        </w:rPr>
        <w:t xml:space="preserve">-endorsed Global Mobility </w:t>
      </w:r>
      <w:r w:rsidR="00015EB9" w:rsidRPr="00015EB9">
        <w:rPr>
          <w:rFonts w:ascii="Arial" w:hAnsi="Arial" w:cs="Arial"/>
          <w:color w:val="auto"/>
        </w:rPr>
        <w:t>program</w:t>
      </w:r>
      <w:r w:rsidRPr="00866E02">
        <w:rPr>
          <w:rFonts w:ascii="Arial" w:hAnsi="Arial" w:cs="Arial"/>
          <w:color w:val="auto"/>
        </w:rPr>
        <w:t xml:space="preserve">. </w:t>
      </w:r>
    </w:p>
    <w:p w14:paraId="1CBC6FDA" w14:textId="574EAAE0" w:rsidR="007B4257" w:rsidRPr="0063672B" w:rsidRDefault="007B4257" w:rsidP="00B07B73">
      <w:pPr>
        <w:pStyle w:val="NormalWhite"/>
        <w:jc w:val="both"/>
        <w:rPr>
          <w:rFonts w:ascii="Arial" w:hAnsi="Arial" w:cs="Arial"/>
          <w:b/>
          <w:bCs/>
          <w:color w:val="auto"/>
        </w:rPr>
      </w:pPr>
      <w:r w:rsidRPr="00792F1A">
        <w:rPr>
          <w:rFonts w:ascii="Arial" w:hAnsi="Arial" w:cs="Arial"/>
          <w:b/>
          <w:bCs/>
          <w:color w:val="auto"/>
        </w:rPr>
        <w:t>(b) OS-HELP loans</w:t>
      </w:r>
    </w:p>
    <w:p w14:paraId="059E96C3" w14:textId="393E1AD6" w:rsidR="007B4257" w:rsidRDefault="007B4257" w:rsidP="00B07B73">
      <w:pPr>
        <w:pStyle w:val="NormalWhite"/>
        <w:spacing w:after="0"/>
        <w:jc w:val="both"/>
        <w:rPr>
          <w:rFonts w:ascii="Arial" w:hAnsi="Arial" w:cs="Arial"/>
          <w:color w:val="auto"/>
        </w:rPr>
      </w:pPr>
      <w:r w:rsidRPr="007B4257">
        <w:rPr>
          <w:rFonts w:ascii="Arial" w:hAnsi="Arial" w:cs="Arial"/>
          <w:color w:val="auto"/>
        </w:rPr>
        <w:t>The</w:t>
      </w:r>
      <w:r>
        <w:rPr>
          <w:rFonts w:ascii="Arial" w:hAnsi="Arial" w:cs="Arial"/>
          <w:color w:val="auto"/>
        </w:rPr>
        <w:t xml:space="preserve"> Australian </w:t>
      </w:r>
      <w:r w:rsidRPr="007B4257">
        <w:rPr>
          <w:rFonts w:ascii="Arial" w:hAnsi="Arial" w:cs="Arial"/>
          <w:color w:val="auto"/>
        </w:rPr>
        <w:t>Government provides a number of OS-HELP loans to the University annually to</w:t>
      </w:r>
      <w:r w:rsidR="00B07B73">
        <w:rPr>
          <w:rFonts w:ascii="Arial" w:hAnsi="Arial" w:cs="Arial"/>
          <w:color w:val="auto"/>
        </w:rPr>
        <w:t xml:space="preserve"> </w:t>
      </w:r>
      <w:r w:rsidRPr="007B4257">
        <w:rPr>
          <w:rFonts w:ascii="Arial" w:hAnsi="Arial" w:cs="Arial"/>
          <w:color w:val="auto"/>
        </w:rPr>
        <w:t>help eligible students undertake part of their study overseas in</w:t>
      </w:r>
      <w:r w:rsidR="00EC5756">
        <w:rPr>
          <w:rFonts w:ascii="Arial" w:hAnsi="Arial" w:cs="Arial"/>
          <w:color w:val="auto"/>
        </w:rPr>
        <w:t xml:space="preserve"> a </w:t>
      </w:r>
      <w:proofErr w:type="gramStart"/>
      <w:r w:rsidR="00EC5756" w:rsidRPr="00866E02">
        <w:rPr>
          <w:rFonts w:ascii="Arial" w:hAnsi="Arial" w:cs="Arial"/>
          <w:color w:val="auto"/>
        </w:rPr>
        <w:t>University</w:t>
      </w:r>
      <w:proofErr w:type="gramEnd"/>
      <w:r w:rsidR="00EC5756" w:rsidRPr="00866E02">
        <w:rPr>
          <w:rFonts w:ascii="Arial" w:hAnsi="Arial" w:cs="Arial"/>
          <w:color w:val="auto"/>
        </w:rPr>
        <w:t xml:space="preserve">-endorsed Global Mobility </w:t>
      </w:r>
      <w:r w:rsidR="00EC5756" w:rsidRPr="00015EB9">
        <w:rPr>
          <w:rFonts w:ascii="Arial" w:hAnsi="Arial" w:cs="Arial"/>
          <w:color w:val="auto"/>
        </w:rPr>
        <w:t>program</w:t>
      </w:r>
      <w:r>
        <w:rPr>
          <w:rFonts w:ascii="Arial" w:hAnsi="Arial" w:cs="Arial"/>
          <w:color w:val="auto"/>
        </w:rPr>
        <w:t>.</w:t>
      </w:r>
      <w:r w:rsidR="00EC5756">
        <w:rPr>
          <w:rFonts w:ascii="Arial" w:hAnsi="Arial" w:cs="Arial"/>
          <w:color w:val="auto"/>
        </w:rPr>
        <w:t xml:space="preserve"> </w:t>
      </w:r>
    </w:p>
    <w:p w14:paraId="15D164B8" w14:textId="77777777" w:rsidR="00EC5756" w:rsidRDefault="00EC5756" w:rsidP="0063672B">
      <w:pPr>
        <w:pStyle w:val="NormalWhite"/>
        <w:spacing w:after="0"/>
        <w:jc w:val="both"/>
        <w:rPr>
          <w:rFonts w:ascii="Arial" w:hAnsi="Arial" w:cs="Arial"/>
          <w:color w:val="auto"/>
        </w:rPr>
      </w:pPr>
    </w:p>
    <w:p w14:paraId="6F145999" w14:textId="77777777" w:rsidR="0063672B" w:rsidRDefault="0063672B" w:rsidP="0063672B">
      <w:pPr>
        <w:spacing w:after="0" w:line="240" w:lineRule="auto"/>
        <w:jc w:val="both"/>
        <w:rPr>
          <w:rFonts w:ascii="Arial" w:hAnsi="Arial" w:cs="Arial"/>
          <w:b/>
          <w:bCs/>
          <w:u w:color="F04E45"/>
        </w:rPr>
      </w:pPr>
      <w:r>
        <w:rPr>
          <w:rFonts w:ascii="Arial" w:hAnsi="Arial" w:cs="Arial"/>
          <w:b/>
          <w:bCs/>
        </w:rPr>
        <w:br w:type="page"/>
      </w:r>
    </w:p>
    <w:p w14:paraId="42ED6E29" w14:textId="30FCD8C2" w:rsidR="007B7A16" w:rsidRPr="0063672B" w:rsidRDefault="00866E02" w:rsidP="0063672B">
      <w:pPr>
        <w:pStyle w:val="NormalWhite"/>
        <w:jc w:val="both"/>
        <w:rPr>
          <w:rFonts w:ascii="Arial" w:hAnsi="Arial" w:cs="Arial"/>
          <w:b/>
          <w:bCs/>
          <w:color w:val="auto"/>
        </w:rPr>
      </w:pPr>
      <w:r w:rsidRPr="00792F1A">
        <w:rPr>
          <w:rFonts w:ascii="Arial" w:hAnsi="Arial" w:cs="Arial"/>
          <w:b/>
          <w:bCs/>
          <w:color w:val="auto"/>
        </w:rPr>
        <w:lastRenderedPageBreak/>
        <w:t>(</w:t>
      </w:r>
      <w:r w:rsidR="007B4257" w:rsidRPr="00792F1A">
        <w:rPr>
          <w:rFonts w:ascii="Arial" w:hAnsi="Arial" w:cs="Arial"/>
          <w:b/>
          <w:bCs/>
          <w:color w:val="auto"/>
        </w:rPr>
        <w:t>c</w:t>
      </w:r>
      <w:r w:rsidRPr="00792F1A">
        <w:rPr>
          <w:rFonts w:ascii="Arial" w:hAnsi="Arial" w:cs="Arial"/>
          <w:b/>
          <w:bCs/>
          <w:color w:val="auto"/>
        </w:rPr>
        <w:t xml:space="preserve">) </w:t>
      </w:r>
      <w:r w:rsidR="006D5203" w:rsidRPr="00792F1A">
        <w:rPr>
          <w:rFonts w:ascii="Arial" w:hAnsi="Arial" w:cs="Arial"/>
          <w:b/>
          <w:bCs/>
          <w:color w:val="auto"/>
        </w:rPr>
        <w:t xml:space="preserve">Australian Government </w:t>
      </w:r>
      <w:r w:rsidR="00ED6FDA" w:rsidRPr="00792F1A">
        <w:rPr>
          <w:rFonts w:ascii="Arial" w:hAnsi="Arial" w:cs="Arial"/>
          <w:b/>
          <w:bCs/>
          <w:color w:val="auto"/>
        </w:rPr>
        <w:t xml:space="preserve">international </w:t>
      </w:r>
      <w:r w:rsidR="006D5203" w:rsidRPr="00792F1A">
        <w:rPr>
          <w:rFonts w:ascii="Arial" w:hAnsi="Arial" w:cs="Arial"/>
          <w:b/>
          <w:bCs/>
          <w:color w:val="auto"/>
        </w:rPr>
        <w:t xml:space="preserve">mobility </w:t>
      </w:r>
      <w:r w:rsidR="00002B9A" w:rsidRPr="00792F1A">
        <w:rPr>
          <w:rFonts w:ascii="Arial" w:hAnsi="Arial" w:cs="Arial"/>
          <w:b/>
          <w:bCs/>
          <w:color w:val="auto"/>
        </w:rPr>
        <w:t xml:space="preserve">funding </w:t>
      </w:r>
      <w:r w:rsidR="004333B4" w:rsidRPr="00792F1A">
        <w:rPr>
          <w:rFonts w:ascii="Arial" w:hAnsi="Arial" w:cs="Arial"/>
          <w:b/>
          <w:bCs/>
          <w:color w:val="auto"/>
        </w:rPr>
        <w:t>programs</w:t>
      </w:r>
      <w:r w:rsidR="007B7A16" w:rsidRPr="0063672B">
        <w:rPr>
          <w:rFonts w:ascii="Arial" w:hAnsi="Arial" w:cs="Arial"/>
          <w:b/>
          <w:bCs/>
          <w:color w:val="auto"/>
        </w:rPr>
        <w:tab/>
      </w:r>
    </w:p>
    <w:p w14:paraId="256F18BB" w14:textId="68F1B473" w:rsidR="00002B9A" w:rsidRDefault="0045517E" w:rsidP="0063672B">
      <w:pPr>
        <w:pStyle w:val="NormalWhite"/>
        <w:jc w:val="both"/>
        <w:rPr>
          <w:rFonts w:ascii="Arial" w:hAnsi="Arial" w:cs="Arial"/>
          <w:color w:val="000000"/>
          <w:spacing w:val="2"/>
          <w:shd w:val="clear" w:color="auto" w:fill="FFFFFF"/>
        </w:rPr>
      </w:pPr>
      <w:r>
        <w:rPr>
          <w:rFonts w:ascii="Arial" w:hAnsi="Arial" w:cs="Arial"/>
          <w:color w:val="000000"/>
          <w:spacing w:val="2"/>
          <w:shd w:val="clear" w:color="auto" w:fill="FFFFFF"/>
        </w:rPr>
        <w:t xml:space="preserve">The </w:t>
      </w:r>
      <w:r w:rsidR="00C47426">
        <w:rPr>
          <w:rFonts w:ascii="Arial" w:hAnsi="Arial" w:cs="Arial"/>
          <w:color w:val="000000"/>
          <w:spacing w:val="2"/>
          <w:shd w:val="clear" w:color="auto" w:fill="FFFFFF"/>
        </w:rPr>
        <w:t>A</w:t>
      </w:r>
      <w:r>
        <w:rPr>
          <w:rFonts w:ascii="Arial" w:hAnsi="Arial" w:cs="Arial"/>
          <w:color w:val="000000"/>
          <w:spacing w:val="2"/>
          <w:shd w:val="clear" w:color="auto" w:fill="FFFFFF"/>
        </w:rPr>
        <w:t xml:space="preserve">ustralian Government is committed to promoting opportunities for Australians to have </w:t>
      </w:r>
      <w:r w:rsidR="00EA7AF7">
        <w:rPr>
          <w:rFonts w:ascii="Arial" w:hAnsi="Arial" w:cs="Arial"/>
          <w:color w:val="000000"/>
          <w:spacing w:val="2"/>
          <w:shd w:val="clear" w:color="auto" w:fill="FFFFFF"/>
        </w:rPr>
        <w:t xml:space="preserve">an overseas study experience and </w:t>
      </w:r>
      <w:r w:rsidR="00266D64">
        <w:rPr>
          <w:rFonts w:ascii="Arial" w:hAnsi="Arial" w:cs="Arial"/>
          <w:color w:val="000000"/>
          <w:spacing w:val="2"/>
          <w:shd w:val="clear" w:color="auto" w:fill="FFFFFF"/>
        </w:rPr>
        <w:t xml:space="preserve">provides support for student mobility to eligible Australian </w:t>
      </w:r>
      <w:r w:rsidR="00002B9A">
        <w:rPr>
          <w:rFonts w:ascii="Arial" w:hAnsi="Arial" w:cs="Arial"/>
          <w:color w:val="000000"/>
          <w:spacing w:val="2"/>
          <w:shd w:val="clear" w:color="auto" w:fill="FFFFFF"/>
        </w:rPr>
        <w:t>e</w:t>
      </w:r>
      <w:r w:rsidR="00266D64">
        <w:rPr>
          <w:rFonts w:ascii="Arial" w:hAnsi="Arial" w:cs="Arial"/>
          <w:color w:val="000000"/>
          <w:spacing w:val="2"/>
          <w:shd w:val="clear" w:color="auto" w:fill="FFFFFF"/>
        </w:rPr>
        <w:t>ducation providers through a suite of international mobility programs</w:t>
      </w:r>
      <w:r w:rsidR="007C3F69">
        <w:rPr>
          <w:rFonts w:ascii="Arial" w:hAnsi="Arial" w:cs="Arial"/>
          <w:color w:val="000000"/>
          <w:spacing w:val="2"/>
          <w:shd w:val="clear" w:color="auto" w:fill="FFFFFF"/>
        </w:rPr>
        <w:t xml:space="preserve">. </w:t>
      </w:r>
      <w:r w:rsidR="000B61E5">
        <w:rPr>
          <w:rFonts w:ascii="Arial" w:hAnsi="Arial" w:cs="Arial"/>
          <w:color w:val="000000"/>
          <w:spacing w:val="2"/>
          <w:shd w:val="clear" w:color="auto" w:fill="FFFFFF"/>
        </w:rPr>
        <w:t>These include</w:t>
      </w:r>
      <w:r w:rsidR="00354C0B">
        <w:rPr>
          <w:rFonts w:ascii="Arial" w:hAnsi="Arial" w:cs="Arial"/>
          <w:color w:val="000000"/>
          <w:spacing w:val="2"/>
          <w:shd w:val="clear" w:color="auto" w:fill="FFFFFF"/>
        </w:rPr>
        <w:t xml:space="preserve"> the </w:t>
      </w:r>
      <w:r w:rsidR="000B61E5" w:rsidRPr="00866E02">
        <w:rPr>
          <w:rFonts w:ascii="Arial" w:hAnsi="Arial" w:cs="Arial"/>
          <w:color w:val="000000"/>
          <w:spacing w:val="2"/>
          <w:shd w:val="clear" w:color="auto" w:fill="FFFFFF"/>
        </w:rPr>
        <w:t>New Colombo Plan Mobility Program</w:t>
      </w:r>
      <w:r w:rsidR="00354C0B">
        <w:rPr>
          <w:rFonts w:ascii="Arial" w:hAnsi="Arial" w:cs="Arial"/>
          <w:color w:val="000000"/>
          <w:spacing w:val="2"/>
          <w:shd w:val="clear" w:color="auto" w:fill="FFFFFF"/>
        </w:rPr>
        <w:t xml:space="preserve"> and other student </w:t>
      </w:r>
      <w:r w:rsidR="00A04C92" w:rsidRPr="00866E02">
        <w:rPr>
          <w:rFonts w:ascii="Arial" w:hAnsi="Arial" w:cs="Arial"/>
          <w:color w:val="000000"/>
          <w:spacing w:val="2"/>
          <w:shd w:val="clear" w:color="auto" w:fill="FFFFFF"/>
        </w:rPr>
        <w:t xml:space="preserve">mobility </w:t>
      </w:r>
      <w:r w:rsidR="00002B9A">
        <w:rPr>
          <w:rFonts w:ascii="Arial" w:hAnsi="Arial" w:cs="Arial"/>
          <w:color w:val="000000"/>
          <w:spacing w:val="2"/>
          <w:shd w:val="clear" w:color="auto" w:fill="FFFFFF"/>
        </w:rPr>
        <w:t xml:space="preserve">funding </w:t>
      </w:r>
      <w:r w:rsidR="00A04C92" w:rsidRPr="00866E02">
        <w:rPr>
          <w:rFonts w:ascii="Arial" w:hAnsi="Arial" w:cs="Arial"/>
          <w:color w:val="000000"/>
          <w:spacing w:val="2"/>
          <w:shd w:val="clear" w:color="auto" w:fill="FFFFFF"/>
        </w:rPr>
        <w:t>programs offered by the Australian Government</w:t>
      </w:r>
      <w:r w:rsidR="00354C0B">
        <w:rPr>
          <w:rFonts w:ascii="Arial" w:hAnsi="Arial" w:cs="Arial"/>
          <w:color w:val="000000"/>
          <w:spacing w:val="2"/>
          <w:shd w:val="clear" w:color="auto" w:fill="FFFFFF"/>
        </w:rPr>
        <w:t xml:space="preserve">. </w:t>
      </w:r>
      <w:r w:rsidR="00245246" w:rsidRPr="00866E02">
        <w:rPr>
          <w:rFonts w:ascii="Arial" w:hAnsi="Arial" w:cs="Arial"/>
          <w:color w:val="000000"/>
          <w:spacing w:val="2"/>
          <w:shd w:val="clear" w:color="auto" w:fill="FFFFFF"/>
        </w:rPr>
        <w:t xml:space="preserve"> </w:t>
      </w:r>
    </w:p>
    <w:p w14:paraId="3352A150" w14:textId="0AEB024E" w:rsidR="00EC5756" w:rsidRPr="0063672B" w:rsidRDefault="00002B9A" w:rsidP="0063672B">
      <w:pPr>
        <w:pStyle w:val="NormalWhite"/>
        <w:jc w:val="both"/>
        <w:rPr>
          <w:rFonts w:ascii="Arial" w:hAnsi="Arial" w:cs="Arial"/>
          <w:b/>
          <w:bCs/>
          <w:color w:val="auto"/>
        </w:rPr>
      </w:pPr>
      <w:r w:rsidRPr="0063672B">
        <w:rPr>
          <w:rFonts w:ascii="Arial" w:hAnsi="Arial" w:cs="Arial"/>
          <w:b/>
          <w:bCs/>
          <w:color w:val="auto"/>
        </w:rPr>
        <w:t>(</w:t>
      </w:r>
      <w:r w:rsidR="00EC5756" w:rsidRPr="0063672B">
        <w:rPr>
          <w:rFonts w:ascii="Arial" w:hAnsi="Arial" w:cs="Arial"/>
          <w:b/>
          <w:bCs/>
          <w:color w:val="auto"/>
        </w:rPr>
        <w:t>d</w:t>
      </w:r>
      <w:r w:rsidRPr="0063672B">
        <w:rPr>
          <w:rFonts w:ascii="Arial" w:hAnsi="Arial" w:cs="Arial"/>
          <w:b/>
          <w:bCs/>
          <w:color w:val="auto"/>
        </w:rPr>
        <w:t>) Other funding sources</w:t>
      </w:r>
    </w:p>
    <w:p w14:paraId="2DD3E507" w14:textId="0FCFD608" w:rsidR="00002B9A" w:rsidRPr="007B4257" w:rsidRDefault="00002B9A" w:rsidP="0063672B">
      <w:pPr>
        <w:spacing w:before="240"/>
        <w:jc w:val="both"/>
        <w:rPr>
          <w:rFonts w:ascii="Arial" w:hAnsi="Arial" w:cs="Arial"/>
          <w:color w:val="000000"/>
          <w:spacing w:val="2"/>
          <w:u w:color="F04E45"/>
          <w:shd w:val="clear" w:color="auto" w:fill="FFFFFF"/>
        </w:rPr>
      </w:pPr>
      <w:r>
        <w:rPr>
          <w:rFonts w:ascii="Arial" w:hAnsi="Arial" w:cs="Arial"/>
          <w:color w:val="000000"/>
          <w:spacing w:val="2"/>
          <w:u w:color="F04E45"/>
          <w:shd w:val="clear" w:color="auto" w:fill="FFFFFF"/>
        </w:rPr>
        <w:t xml:space="preserve">Funding to support Global Mobility may become available </w:t>
      </w:r>
      <w:proofErr w:type="gramStart"/>
      <w:r>
        <w:rPr>
          <w:rFonts w:ascii="Arial" w:hAnsi="Arial" w:cs="Arial"/>
          <w:color w:val="000000"/>
          <w:spacing w:val="2"/>
          <w:u w:color="F04E45"/>
          <w:shd w:val="clear" w:color="auto" w:fill="FFFFFF"/>
        </w:rPr>
        <w:t>as a result of</w:t>
      </w:r>
      <w:proofErr w:type="gramEnd"/>
      <w:r>
        <w:rPr>
          <w:rFonts w:ascii="Arial" w:hAnsi="Arial" w:cs="Arial"/>
          <w:color w:val="000000"/>
          <w:spacing w:val="2"/>
          <w:u w:color="F04E45"/>
          <w:shd w:val="clear" w:color="auto" w:fill="FFFFFF"/>
        </w:rPr>
        <w:t xml:space="preserve"> philanthropy, industry support, or other opportunities. </w:t>
      </w:r>
    </w:p>
    <w:p w14:paraId="639DCB15" w14:textId="057287DB" w:rsidR="00822C7A" w:rsidRPr="0063672B" w:rsidRDefault="00DD228C" w:rsidP="0063672B">
      <w:pPr>
        <w:jc w:val="both"/>
        <w:rPr>
          <w:rFonts w:ascii="Arial" w:hAnsi="Arial" w:cs="Arial"/>
          <w:u w:color="F04E45"/>
          <w:shd w:val="clear" w:color="auto" w:fill="FFFFFF"/>
        </w:rPr>
      </w:pPr>
      <w:r w:rsidRPr="0063672B">
        <w:rPr>
          <w:rFonts w:ascii="Arial" w:hAnsi="Arial" w:cs="Arial"/>
          <w:u w:color="F04E45"/>
          <w:shd w:val="clear" w:color="auto" w:fill="FFFFFF"/>
        </w:rPr>
        <w:t xml:space="preserve">Griffith Global Mobility maintains a central </w:t>
      </w:r>
      <w:hyperlink r:id="rId13" w:history="1">
        <w:r w:rsidRPr="0063672B">
          <w:rPr>
            <w:rStyle w:val="Hyperlink"/>
            <w:rFonts w:ascii="Arial" w:hAnsi="Arial" w:cs="Arial"/>
            <w:spacing w:val="2"/>
            <w:shd w:val="clear" w:color="auto" w:fill="FFFFFF"/>
          </w:rPr>
          <w:t>website</w:t>
        </w:r>
      </w:hyperlink>
      <w:r w:rsidRPr="0063672B">
        <w:rPr>
          <w:rFonts w:ascii="Arial" w:hAnsi="Arial" w:cs="Arial"/>
          <w:u w:color="F04E45"/>
          <w:shd w:val="clear" w:color="auto" w:fill="FFFFFF"/>
        </w:rPr>
        <w:t xml:space="preserve"> with current information about</w:t>
      </w:r>
      <w:r w:rsidR="00822C7A" w:rsidRPr="0063672B">
        <w:rPr>
          <w:rFonts w:ascii="Arial" w:hAnsi="Arial" w:cs="Arial"/>
          <w:u w:color="F04E45"/>
          <w:shd w:val="clear" w:color="auto" w:fill="FFFFFF"/>
        </w:rPr>
        <w:t xml:space="preserve"> the funding available including</w:t>
      </w:r>
      <w:r w:rsidRPr="0063672B">
        <w:rPr>
          <w:rFonts w:ascii="Arial" w:hAnsi="Arial" w:cs="Arial"/>
          <w:u w:color="F04E45"/>
          <w:shd w:val="clear" w:color="auto" w:fill="FFFFFF"/>
        </w:rPr>
        <w:t xml:space="preserve"> eligibility and the levels of funding by program type.</w:t>
      </w:r>
      <w:r w:rsidR="00FA7ABF" w:rsidRPr="0063672B">
        <w:rPr>
          <w:rFonts w:ascii="Arial" w:hAnsi="Arial" w:cs="Arial"/>
          <w:u w:color="F04E45"/>
          <w:shd w:val="clear" w:color="auto" w:fill="FFFFFF"/>
        </w:rPr>
        <w:t xml:space="preserve"> </w:t>
      </w:r>
      <w:r w:rsidR="00EC5756" w:rsidRPr="0063672B">
        <w:rPr>
          <w:rFonts w:ascii="Arial" w:hAnsi="Arial" w:cs="Arial"/>
          <w:u w:color="F04E45"/>
          <w:shd w:val="clear" w:color="auto" w:fill="FFFFFF"/>
        </w:rPr>
        <w:t xml:space="preserve">OS-HELP criteria for eligibility </w:t>
      </w:r>
      <w:r w:rsidR="00906599" w:rsidRPr="0063672B">
        <w:rPr>
          <w:rFonts w:ascii="Arial" w:hAnsi="Arial" w:cs="Arial"/>
          <w:u w:color="F04E45"/>
          <w:shd w:val="clear" w:color="auto" w:fill="FFFFFF"/>
        </w:rPr>
        <w:t>are</w:t>
      </w:r>
      <w:r w:rsidR="00FA7ABF" w:rsidRPr="0063672B">
        <w:rPr>
          <w:rFonts w:ascii="Arial" w:hAnsi="Arial" w:cs="Arial"/>
          <w:u w:color="F04E45"/>
          <w:shd w:val="clear" w:color="auto" w:fill="FFFFFF"/>
        </w:rPr>
        <w:t xml:space="preserve"> </w:t>
      </w:r>
      <w:r w:rsidR="00EC5756" w:rsidRPr="0063672B">
        <w:rPr>
          <w:rFonts w:ascii="Arial" w:hAnsi="Arial" w:cs="Arial"/>
          <w:u w:color="F04E45"/>
          <w:shd w:val="clear" w:color="auto" w:fill="FFFFFF"/>
        </w:rPr>
        <w:t>published in the</w:t>
      </w:r>
      <w:r w:rsidR="00D61A25" w:rsidRPr="0063672B">
        <w:rPr>
          <w:rFonts w:ascii="Arial" w:hAnsi="Arial" w:cs="Arial"/>
        </w:rPr>
        <w:t xml:space="preserve"> </w:t>
      </w:r>
      <w:r w:rsidR="00D61A25" w:rsidRPr="0063672B">
        <w:rPr>
          <w:rFonts w:ascii="Arial" w:hAnsi="Arial" w:cs="Arial"/>
          <w:u w:color="F04E45"/>
          <w:shd w:val="clear" w:color="auto" w:fill="FFFFFF"/>
        </w:rPr>
        <w:t xml:space="preserve">Australian Government’s </w:t>
      </w:r>
      <w:hyperlink r:id="rId14" w:history="1">
        <w:r w:rsidR="00D61A25" w:rsidRPr="0063672B">
          <w:rPr>
            <w:rStyle w:val="Hyperlink"/>
            <w:rFonts w:ascii="Arial" w:hAnsi="Arial" w:cs="Arial"/>
            <w:spacing w:val="2"/>
            <w:shd w:val="clear" w:color="auto" w:fill="FFFFFF"/>
          </w:rPr>
          <w:t>Study Assist</w:t>
        </w:r>
      </w:hyperlink>
      <w:r w:rsidR="00D61A25" w:rsidRPr="0063672B">
        <w:rPr>
          <w:rFonts w:ascii="Arial" w:hAnsi="Arial" w:cs="Arial"/>
          <w:u w:color="F04E45"/>
          <w:shd w:val="clear" w:color="auto" w:fill="FFFFFF"/>
        </w:rPr>
        <w:t xml:space="preserve"> information page</w:t>
      </w:r>
      <w:r w:rsidR="00EC5756" w:rsidRPr="0063672B">
        <w:rPr>
          <w:rFonts w:ascii="Arial" w:hAnsi="Arial" w:cs="Arial"/>
          <w:szCs w:val="20"/>
          <w:u w:color="F04E45"/>
          <w:shd w:val="clear" w:color="auto" w:fill="FFFFFF"/>
        </w:rPr>
        <w:t>.</w:t>
      </w:r>
      <w:r w:rsidR="00F2545F" w:rsidRPr="0063672B">
        <w:rPr>
          <w:rFonts w:ascii="Arial" w:hAnsi="Arial" w:cs="Arial"/>
          <w:szCs w:val="20"/>
          <w:u w:color="F04E45"/>
          <w:shd w:val="clear" w:color="auto" w:fill="FFFFFF"/>
        </w:rPr>
        <w:t xml:space="preserve"> </w:t>
      </w:r>
      <w:r w:rsidR="007D53C3" w:rsidRPr="0063672B">
        <w:rPr>
          <w:rFonts w:ascii="Arial" w:hAnsi="Arial" w:cs="Arial"/>
          <w:szCs w:val="20"/>
          <w:u w:color="F04E45"/>
          <w:shd w:val="clear" w:color="auto" w:fill="FFFFFF"/>
        </w:rPr>
        <w:t xml:space="preserve">Australian Government mobility </w:t>
      </w:r>
      <w:r w:rsidR="00EC5756" w:rsidRPr="0063672B">
        <w:rPr>
          <w:rFonts w:ascii="Arial" w:hAnsi="Arial" w:cs="Arial"/>
          <w:szCs w:val="20"/>
          <w:u w:color="F04E45"/>
          <w:shd w:val="clear" w:color="auto" w:fill="FFFFFF"/>
        </w:rPr>
        <w:t>funding opportunit</w:t>
      </w:r>
      <w:r w:rsidR="00822C7A" w:rsidRPr="0063672B">
        <w:rPr>
          <w:rFonts w:ascii="Arial" w:hAnsi="Arial" w:cs="Arial"/>
          <w:szCs w:val="20"/>
          <w:u w:color="F04E45"/>
          <w:shd w:val="clear" w:color="auto" w:fill="FFFFFF"/>
        </w:rPr>
        <w:t xml:space="preserve">ies </w:t>
      </w:r>
      <w:r w:rsidR="00EC5756" w:rsidRPr="0063672B">
        <w:rPr>
          <w:rFonts w:ascii="Arial" w:hAnsi="Arial" w:cs="Arial"/>
          <w:szCs w:val="20"/>
          <w:u w:color="F04E45"/>
          <w:shd w:val="clear" w:color="auto" w:fill="FFFFFF"/>
        </w:rPr>
        <w:t>and guidelines</w:t>
      </w:r>
      <w:r w:rsidR="00792F1A" w:rsidRPr="0063672B">
        <w:rPr>
          <w:rFonts w:ascii="Arial" w:hAnsi="Arial" w:cs="Arial"/>
          <w:szCs w:val="20"/>
          <w:u w:color="F04E45"/>
          <w:shd w:val="clear" w:color="auto" w:fill="FFFFFF"/>
        </w:rPr>
        <w:t xml:space="preserve"> are published </w:t>
      </w:r>
      <w:r w:rsidR="00EC5756" w:rsidRPr="0063672B">
        <w:rPr>
          <w:rFonts w:ascii="Arial" w:hAnsi="Arial" w:cs="Arial"/>
          <w:szCs w:val="20"/>
          <w:u w:color="F04E45"/>
          <w:shd w:val="clear" w:color="auto" w:fill="FFFFFF"/>
        </w:rPr>
        <w:t xml:space="preserve">on </w:t>
      </w:r>
      <w:hyperlink r:id="rId15" w:history="1">
        <w:proofErr w:type="spellStart"/>
        <w:r w:rsidR="00EC5756" w:rsidRPr="0063672B">
          <w:rPr>
            <w:rStyle w:val="Hyperlink"/>
            <w:rFonts w:ascii="Arial" w:hAnsi="Arial" w:cs="Arial"/>
            <w:spacing w:val="2"/>
            <w:szCs w:val="20"/>
            <w:shd w:val="clear" w:color="auto" w:fill="FFFFFF"/>
          </w:rPr>
          <w:t>GrantConnect</w:t>
        </w:r>
        <w:proofErr w:type="spellEnd"/>
      </w:hyperlink>
      <w:r w:rsidR="00EC5756" w:rsidRPr="0063672B">
        <w:rPr>
          <w:rFonts w:ascii="Arial" w:hAnsi="Arial" w:cs="Arial"/>
          <w:szCs w:val="20"/>
          <w:u w:color="F04E45"/>
          <w:shd w:val="clear" w:color="auto" w:fill="FFFFFF"/>
        </w:rPr>
        <w:t>.</w:t>
      </w:r>
      <w:r w:rsidR="00EC5756" w:rsidRPr="0063672B">
        <w:rPr>
          <w:rFonts w:ascii="Arial" w:hAnsi="Arial" w:cs="Arial"/>
          <w:u w:color="F04E45"/>
          <w:shd w:val="clear" w:color="auto" w:fill="FFFFFF"/>
        </w:rPr>
        <w:t xml:space="preserve"> </w:t>
      </w:r>
    </w:p>
    <w:p w14:paraId="6969F6BD" w14:textId="6F412C04" w:rsidR="00E942A7" w:rsidRDefault="00822C7A" w:rsidP="0063672B">
      <w:pPr>
        <w:jc w:val="both"/>
        <w:rPr>
          <w:rFonts w:ascii="Arial" w:hAnsi="Arial" w:cs="Arial"/>
          <w:color w:val="000000"/>
          <w:spacing w:val="2"/>
          <w:u w:color="F04E45"/>
          <w:shd w:val="clear" w:color="auto" w:fill="FFFFFF"/>
        </w:rPr>
      </w:pPr>
      <w:bookmarkStart w:id="5" w:name="_Hlk104989258"/>
      <w:bookmarkStart w:id="6" w:name="_Hlk115863664"/>
      <w:r w:rsidRPr="007B4257">
        <w:rPr>
          <w:rFonts w:ascii="Arial" w:hAnsi="Arial" w:cs="Arial"/>
          <w:color w:val="000000"/>
          <w:spacing w:val="2"/>
          <w:u w:color="F04E45"/>
          <w:shd w:val="clear" w:color="auto" w:fill="FFFFFF"/>
        </w:rPr>
        <w:t>Fund</w:t>
      </w:r>
      <w:r>
        <w:rPr>
          <w:rFonts w:ascii="Arial" w:hAnsi="Arial" w:cs="Arial"/>
          <w:color w:val="000000"/>
          <w:spacing w:val="2"/>
          <w:u w:color="F04E45"/>
          <w:shd w:val="clear" w:color="auto" w:fill="FFFFFF"/>
        </w:rPr>
        <w:t xml:space="preserve">ing </w:t>
      </w:r>
      <w:r w:rsidRPr="007B4257">
        <w:rPr>
          <w:rFonts w:ascii="Arial" w:hAnsi="Arial" w:cs="Arial"/>
          <w:color w:val="000000"/>
          <w:spacing w:val="2"/>
          <w:u w:color="F04E45"/>
          <w:shd w:val="clear" w:color="auto" w:fill="FFFFFF"/>
        </w:rPr>
        <w:t>will be paid in line with the Griffith Global Mobility Student Funding Procedure</w:t>
      </w:r>
      <w:r>
        <w:rPr>
          <w:rFonts w:ascii="Arial" w:hAnsi="Arial" w:cs="Arial"/>
          <w:color w:val="000000"/>
          <w:spacing w:val="2"/>
          <w:u w:color="F04E45"/>
          <w:shd w:val="clear" w:color="auto" w:fill="FFFFFF"/>
        </w:rPr>
        <w:t xml:space="preserve"> and/or the OS-HELP Procedure and </w:t>
      </w:r>
      <w:r w:rsidR="00EC5756" w:rsidRPr="00EC5756">
        <w:rPr>
          <w:rFonts w:ascii="Arial" w:hAnsi="Arial" w:cs="Arial"/>
          <w:color w:val="000000"/>
          <w:spacing w:val="2"/>
          <w:u w:color="F04E45"/>
          <w:shd w:val="clear" w:color="auto" w:fill="FFFFFF"/>
        </w:rPr>
        <w:t>with reference to the University’s Travel Policy and any associated guidelines.</w:t>
      </w:r>
      <w:r w:rsidR="00DD228C">
        <w:rPr>
          <w:rFonts w:ascii="Arial" w:hAnsi="Arial" w:cs="Arial"/>
          <w:color w:val="000000"/>
          <w:spacing w:val="2"/>
          <w:u w:color="F04E45"/>
          <w:shd w:val="clear" w:color="auto" w:fill="FFFFFF"/>
        </w:rPr>
        <w:t xml:space="preserve"> Additionally, </w:t>
      </w:r>
      <w:r>
        <w:rPr>
          <w:rFonts w:ascii="Arial" w:hAnsi="Arial" w:cs="Arial"/>
          <w:color w:val="000000"/>
          <w:spacing w:val="2"/>
          <w:u w:color="F04E45"/>
          <w:shd w:val="clear" w:color="auto" w:fill="FFFFFF"/>
        </w:rPr>
        <w:t>a</w:t>
      </w:r>
      <w:r w:rsidR="00DD228C" w:rsidRPr="007B4257">
        <w:rPr>
          <w:rFonts w:ascii="Arial" w:hAnsi="Arial" w:cs="Arial"/>
          <w:color w:val="000000"/>
          <w:spacing w:val="2"/>
          <w:u w:color="F04E45"/>
          <w:shd w:val="clear" w:color="auto" w:fill="FFFFFF"/>
        </w:rPr>
        <w:t xml:space="preserve">ll staff or students receiving funding will be required to meet and uphold specific funding conditions. </w:t>
      </w:r>
      <w:bookmarkEnd w:id="5"/>
      <w:r>
        <w:rPr>
          <w:rFonts w:ascii="Arial" w:hAnsi="Arial" w:cs="Arial"/>
          <w:color w:val="000000"/>
          <w:spacing w:val="2"/>
          <w:u w:color="F04E45"/>
          <w:shd w:val="clear" w:color="auto" w:fill="FFFFFF"/>
        </w:rPr>
        <w:t xml:space="preserve"> </w:t>
      </w:r>
    </w:p>
    <w:p w14:paraId="35B37A56" w14:textId="5E7B75E6" w:rsidR="00DA348D" w:rsidRPr="00196740" w:rsidRDefault="00902125" w:rsidP="0063672B">
      <w:pPr>
        <w:pStyle w:val="Heading2"/>
      </w:pPr>
      <w:bookmarkStart w:id="7" w:name="_Ref20320710"/>
      <w:bookmarkStart w:id="8" w:name="_Ref21613385"/>
      <w:bookmarkEnd w:id="6"/>
      <w:r w:rsidRPr="00196740">
        <w:t xml:space="preserve">4.0 </w:t>
      </w:r>
      <w:r w:rsidR="00DA348D" w:rsidRPr="00196740">
        <w:t>Roles</w:t>
      </w:r>
      <w:r w:rsidR="00AB5659" w:rsidRPr="00196740">
        <w:t>,</w:t>
      </w:r>
      <w:r w:rsidR="00DA348D" w:rsidRPr="00196740">
        <w:t xml:space="preserve"> </w:t>
      </w:r>
      <w:proofErr w:type="gramStart"/>
      <w:r w:rsidR="00DA348D" w:rsidRPr="00196740">
        <w:t>responsibilities</w:t>
      </w:r>
      <w:bookmarkEnd w:id="7"/>
      <w:proofErr w:type="gramEnd"/>
      <w:r w:rsidR="00AB5659" w:rsidRPr="00196740">
        <w:t xml:space="preserve"> and delegations</w:t>
      </w:r>
      <w:bookmarkEnd w:id="8"/>
    </w:p>
    <w:p w14:paraId="565BBEEC" w14:textId="42E9A8BD" w:rsidR="005645AE" w:rsidRDefault="00227B7A" w:rsidP="0063672B">
      <w:pPr>
        <w:jc w:val="both"/>
        <w:rPr>
          <w:rFonts w:ascii="Arial" w:hAnsi="Arial" w:cs="Arial"/>
          <w:szCs w:val="20"/>
        </w:rPr>
      </w:pPr>
      <w:bookmarkStart w:id="9" w:name="_Hlk115863784"/>
      <w:r w:rsidRPr="00227B7A">
        <w:rPr>
          <w:rFonts w:ascii="Arial" w:hAnsi="Arial" w:cs="Arial"/>
          <w:color w:val="000000"/>
          <w:spacing w:val="2"/>
          <w:u w:color="F04E45"/>
          <w:shd w:val="clear" w:color="auto" w:fill="FFFFFF"/>
        </w:rPr>
        <w:t>The Vice President (Global) has ultimate responsibility for this policy and may delegate responsibility for</w:t>
      </w:r>
      <w:r>
        <w:rPr>
          <w:rFonts w:ascii="Arial" w:hAnsi="Arial" w:cs="Arial"/>
          <w:color w:val="000000"/>
          <w:spacing w:val="2"/>
          <w:u w:color="F04E45"/>
          <w:shd w:val="clear" w:color="auto" w:fill="FFFFFF"/>
        </w:rPr>
        <w:t xml:space="preserve"> </w:t>
      </w:r>
      <w:r w:rsidR="007B4257">
        <w:rPr>
          <w:rFonts w:ascii="Arial" w:hAnsi="Arial" w:cs="Arial"/>
          <w:color w:val="000000"/>
          <w:spacing w:val="2"/>
          <w:u w:color="F04E45"/>
          <w:shd w:val="clear" w:color="auto" w:fill="FFFFFF"/>
        </w:rPr>
        <w:t>the effective</w:t>
      </w:r>
      <w:r w:rsidR="00BB05FE">
        <w:rPr>
          <w:rFonts w:ascii="Arial" w:hAnsi="Arial" w:cs="Arial"/>
          <w:color w:val="000000"/>
          <w:spacing w:val="2"/>
          <w:u w:color="F04E45"/>
          <w:shd w:val="clear" w:color="auto" w:fill="FFFFFF"/>
        </w:rPr>
        <w:t xml:space="preserve"> management and administration</w:t>
      </w:r>
      <w:r w:rsidR="0042444E">
        <w:rPr>
          <w:rFonts w:ascii="Arial" w:hAnsi="Arial" w:cs="Arial"/>
          <w:color w:val="000000"/>
          <w:spacing w:val="2"/>
          <w:u w:color="F04E45"/>
          <w:shd w:val="clear" w:color="auto" w:fill="FFFFFF"/>
        </w:rPr>
        <w:t xml:space="preserve"> of the policy </w:t>
      </w:r>
      <w:r w:rsidR="00BB05FE">
        <w:rPr>
          <w:rFonts w:ascii="Arial" w:hAnsi="Arial" w:cs="Arial"/>
          <w:color w:val="000000"/>
          <w:spacing w:val="2"/>
          <w:u w:color="F04E45"/>
          <w:shd w:val="clear" w:color="auto" w:fill="FFFFFF"/>
        </w:rPr>
        <w:t xml:space="preserve">to the Manager, International Partnerships, </w:t>
      </w:r>
      <w:r w:rsidRPr="00227B7A">
        <w:rPr>
          <w:rFonts w:ascii="Arial" w:hAnsi="Arial" w:cs="Arial"/>
          <w:color w:val="000000"/>
          <w:spacing w:val="2"/>
          <w:u w:color="F04E45"/>
          <w:shd w:val="clear" w:color="auto" w:fill="FFFFFF"/>
        </w:rPr>
        <w:t>Griffith International</w:t>
      </w:r>
      <w:r w:rsidR="00BB05FE">
        <w:rPr>
          <w:rFonts w:ascii="Arial" w:hAnsi="Arial" w:cs="Arial"/>
          <w:color w:val="000000"/>
          <w:spacing w:val="2"/>
          <w:u w:color="F04E45"/>
          <w:shd w:val="clear" w:color="auto" w:fill="FFFFFF"/>
        </w:rPr>
        <w:t>. The Coordinator, Global Mobility has</w:t>
      </w:r>
      <w:r w:rsidRPr="00227B7A">
        <w:rPr>
          <w:rFonts w:ascii="Arial" w:hAnsi="Arial" w:cs="Arial"/>
          <w:color w:val="000000"/>
          <w:spacing w:val="2"/>
          <w:u w:color="F04E45"/>
          <w:shd w:val="clear" w:color="auto" w:fill="FFFFFF"/>
        </w:rPr>
        <w:t xml:space="preserve"> delegated authority to</w:t>
      </w:r>
      <w:r w:rsidR="00CA6426">
        <w:rPr>
          <w:rFonts w:ascii="Arial" w:hAnsi="Arial" w:cs="Arial"/>
          <w:color w:val="000000"/>
          <w:spacing w:val="2"/>
          <w:u w:color="F04E45"/>
          <w:shd w:val="clear" w:color="auto" w:fill="FFFFFF"/>
        </w:rPr>
        <w:t xml:space="preserve"> administer the funding </w:t>
      </w:r>
      <w:proofErr w:type="gramStart"/>
      <w:r w:rsidR="00CA6426">
        <w:rPr>
          <w:rFonts w:ascii="Arial" w:hAnsi="Arial" w:cs="Arial"/>
          <w:color w:val="000000"/>
          <w:spacing w:val="2"/>
          <w:u w:color="F04E45"/>
          <w:shd w:val="clear" w:color="auto" w:fill="FFFFFF"/>
        </w:rPr>
        <w:t>with</w:t>
      </w:r>
      <w:r w:rsidR="00DD228C">
        <w:rPr>
          <w:rFonts w:ascii="Arial" w:hAnsi="Arial" w:cs="Arial"/>
          <w:szCs w:val="20"/>
        </w:rPr>
        <w:t xml:space="preserve"> the exception of</w:t>
      </w:r>
      <w:proofErr w:type="gramEnd"/>
      <w:r w:rsidR="00DD228C">
        <w:rPr>
          <w:rFonts w:ascii="Arial" w:hAnsi="Arial" w:cs="Arial"/>
          <w:szCs w:val="20"/>
        </w:rPr>
        <w:t xml:space="preserve"> OS-HELP, which is administered by International Finance within Griffith International. </w:t>
      </w:r>
      <w:r w:rsidR="00CA6426">
        <w:rPr>
          <w:rFonts w:ascii="Arial" w:hAnsi="Arial" w:cs="Arial"/>
          <w:szCs w:val="20"/>
        </w:rPr>
        <w:t xml:space="preserve">The International Finance team has delegated authority to administer OS-HELP loans and the Manager, International Partnerships is responsible for submitting and reporting on annual loan estimates in liaison with the University’s Financial Management team. </w:t>
      </w:r>
    </w:p>
    <w:p w14:paraId="0DAB0F6F" w14:textId="6569D9D3" w:rsidR="005645AE" w:rsidRDefault="005645AE" w:rsidP="0063672B">
      <w:pPr>
        <w:jc w:val="both"/>
        <w:rPr>
          <w:rFonts w:ascii="Arial" w:hAnsi="Arial" w:cs="Arial"/>
          <w:szCs w:val="20"/>
        </w:rPr>
      </w:pPr>
      <w:r w:rsidRPr="005645AE">
        <w:rPr>
          <w:rFonts w:ascii="Arial" w:hAnsi="Arial" w:cs="Arial"/>
          <w:szCs w:val="20"/>
        </w:rPr>
        <w:t xml:space="preserve">The effective management of OS-HELP loans in accordance with </w:t>
      </w:r>
      <w:proofErr w:type="gramStart"/>
      <w:r w:rsidRPr="005645AE">
        <w:rPr>
          <w:rFonts w:ascii="Arial" w:hAnsi="Arial" w:cs="Arial"/>
          <w:szCs w:val="20"/>
        </w:rPr>
        <w:t>University</w:t>
      </w:r>
      <w:proofErr w:type="gramEnd"/>
      <w:r w:rsidRPr="005645AE">
        <w:rPr>
          <w:rFonts w:ascii="Arial" w:hAnsi="Arial" w:cs="Arial"/>
          <w:szCs w:val="20"/>
        </w:rPr>
        <w:t xml:space="preserve"> policy and the Australian</w:t>
      </w:r>
      <w:r w:rsidR="00F34350">
        <w:rPr>
          <w:rFonts w:ascii="Arial" w:hAnsi="Arial" w:cs="Arial"/>
          <w:szCs w:val="20"/>
        </w:rPr>
        <w:t xml:space="preserve"> </w:t>
      </w:r>
      <w:r w:rsidRPr="005645AE">
        <w:rPr>
          <w:rFonts w:ascii="Arial" w:hAnsi="Arial" w:cs="Arial"/>
          <w:szCs w:val="20"/>
        </w:rPr>
        <w:t>Government conditions is the responsibility of the Vice President (Global).</w:t>
      </w:r>
      <w:r>
        <w:rPr>
          <w:rFonts w:ascii="Arial" w:hAnsi="Arial" w:cs="Arial"/>
          <w:szCs w:val="20"/>
        </w:rPr>
        <w:t xml:space="preserve"> </w:t>
      </w:r>
      <w:r w:rsidRPr="005645AE">
        <w:rPr>
          <w:rFonts w:ascii="Arial" w:hAnsi="Arial" w:cs="Arial"/>
          <w:szCs w:val="20"/>
        </w:rPr>
        <w:t>The implementation of the OS-HELP loan scheme at the University will be reviewed annually by the</w:t>
      </w:r>
      <w:r>
        <w:rPr>
          <w:rFonts w:ascii="Arial" w:hAnsi="Arial" w:cs="Arial"/>
          <w:szCs w:val="20"/>
        </w:rPr>
        <w:t xml:space="preserve"> </w:t>
      </w:r>
      <w:r w:rsidRPr="005645AE">
        <w:rPr>
          <w:rFonts w:ascii="Arial" w:hAnsi="Arial" w:cs="Arial"/>
          <w:szCs w:val="20"/>
        </w:rPr>
        <w:t>Manager,</w:t>
      </w:r>
      <w:r>
        <w:rPr>
          <w:rFonts w:ascii="Arial" w:hAnsi="Arial" w:cs="Arial"/>
          <w:szCs w:val="20"/>
        </w:rPr>
        <w:t xml:space="preserve"> International Partnerships in consultation with the Manager, International Finance and </w:t>
      </w:r>
      <w:r w:rsidRPr="005645AE">
        <w:rPr>
          <w:rFonts w:ascii="Arial" w:hAnsi="Arial" w:cs="Arial"/>
          <w:szCs w:val="20"/>
        </w:rPr>
        <w:t>Director</w:t>
      </w:r>
      <w:r w:rsidR="00D61A25">
        <w:rPr>
          <w:rFonts w:ascii="Arial" w:hAnsi="Arial" w:cs="Arial"/>
          <w:szCs w:val="20"/>
        </w:rPr>
        <w:t xml:space="preserve">, Griffith </w:t>
      </w:r>
      <w:r w:rsidRPr="005645AE">
        <w:rPr>
          <w:rFonts w:ascii="Arial" w:hAnsi="Arial" w:cs="Arial"/>
          <w:szCs w:val="20"/>
        </w:rPr>
        <w:t>International, following approval</w:t>
      </w:r>
      <w:r>
        <w:rPr>
          <w:rFonts w:ascii="Arial" w:hAnsi="Arial" w:cs="Arial"/>
          <w:szCs w:val="20"/>
        </w:rPr>
        <w:t xml:space="preserve"> </w:t>
      </w:r>
      <w:r w:rsidRPr="005645AE">
        <w:rPr>
          <w:rFonts w:ascii="Arial" w:hAnsi="Arial" w:cs="Arial"/>
          <w:szCs w:val="20"/>
        </w:rPr>
        <w:t>by the Vice President (Global).</w:t>
      </w:r>
    </w:p>
    <w:p w14:paraId="39C5839E" w14:textId="3DA5041D" w:rsidR="00EB0CC5" w:rsidRPr="00A7737E" w:rsidRDefault="0048268F" w:rsidP="0063672B">
      <w:pPr>
        <w:jc w:val="both"/>
        <w:rPr>
          <w:rFonts w:ascii="Arial" w:hAnsi="Arial" w:cs="Arial"/>
          <w:color w:val="000000"/>
          <w:spacing w:val="2"/>
          <w:u w:color="F04E45"/>
          <w:shd w:val="clear" w:color="auto" w:fill="FFFFFF"/>
        </w:rPr>
      </w:pPr>
      <w:bookmarkStart w:id="10" w:name="_Hlk115871682"/>
      <w:bookmarkEnd w:id="9"/>
      <w:r w:rsidRPr="0048268F">
        <w:rPr>
          <w:rFonts w:ascii="Arial" w:hAnsi="Arial" w:cs="Arial"/>
          <w:color w:val="000000"/>
          <w:spacing w:val="2"/>
          <w:u w:color="F04E45"/>
          <w:shd w:val="clear" w:color="auto" w:fill="FFFFFF"/>
        </w:rPr>
        <w:t xml:space="preserve">The University requires </w:t>
      </w:r>
      <w:r w:rsidR="00D34819">
        <w:rPr>
          <w:rFonts w:ascii="Arial" w:hAnsi="Arial" w:cs="Arial"/>
          <w:color w:val="000000"/>
          <w:spacing w:val="2"/>
          <w:u w:color="F04E45"/>
          <w:shd w:val="clear" w:color="auto" w:fill="FFFFFF"/>
        </w:rPr>
        <w:t xml:space="preserve">all </w:t>
      </w:r>
      <w:r w:rsidRPr="0048268F">
        <w:rPr>
          <w:rFonts w:ascii="Arial" w:hAnsi="Arial" w:cs="Arial"/>
          <w:color w:val="000000"/>
          <w:spacing w:val="2"/>
          <w:u w:color="F04E45"/>
          <w:shd w:val="clear" w:color="auto" w:fill="FFFFFF"/>
        </w:rPr>
        <w:t xml:space="preserve">those </w:t>
      </w:r>
      <w:r w:rsidR="00D34819">
        <w:rPr>
          <w:rFonts w:ascii="Arial" w:hAnsi="Arial" w:cs="Arial"/>
          <w:color w:val="000000"/>
          <w:spacing w:val="2"/>
          <w:u w:color="F04E45"/>
          <w:shd w:val="clear" w:color="auto" w:fill="FFFFFF"/>
        </w:rPr>
        <w:t xml:space="preserve">involved in the delivery of a </w:t>
      </w:r>
      <w:proofErr w:type="gramStart"/>
      <w:r w:rsidRPr="0048268F">
        <w:rPr>
          <w:rFonts w:ascii="Arial" w:hAnsi="Arial" w:cs="Arial"/>
          <w:color w:val="000000"/>
          <w:spacing w:val="2"/>
          <w:u w:color="F04E45"/>
          <w:shd w:val="clear" w:color="auto" w:fill="FFFFFF"/>
        </w:rPr>
        <w:t>University</w:t>
      </w:r>
      <w:proofErr w:type="gramEnd"/>
      <w:r w:rsidR="00D34819">
        <w:rPr>
          <w:rFonts w:ascii="Arial" w:hAnsi="Arial" w:cs="Arial"/>
          <w:color w:val="000000"/>
          <w:spacing w:val="2"/>
          <w:u w:color="F04E45"/>
          <w:shd w:val="clear" w:color="auto" w:fill="FFFFFF"/>
        </w:rPr>
        <w:t>-approved Global Mobility program</w:t>
      </w:r>
      <w:r w:rsidR="007E4A65">
        <w:rPr>
          <w:rFonts w:ascii="Arial" w:hAnsi="Arial" w:cs="Arial"/>
          <w:color w:val="000000"/>
          <w:spacing w:val="2"/>
          <w:u w:color="F04E45"/>
          <w:shd w:val="clear" w:color="auto" w:fill="FFFFFF"/>
        </w:rPr>
        <w:t xml:space="preserve"> (</w:t>
      </w:r>
      <w:r w:rsidR="007E4A65" w:rsidRPr="00A7737E">
        <w:rPr>
          <w:rFonts w:ascii="Arial" w:hAnsi="Arial" w:cs="Arial"/>
          <w:color w:val="000000"/>
          <w:spacing w:val="2"/>
          <w:u w:color="F04E45"/>
          <w:shd w:val="clear" w:color="auto" w:fill="FFFFFF"/>
        </w:rPr>
        <w:t>including for avoidance of doubt, Griffith students)</w:t>
      </w:r>
      <w:r w:rsidR="007E4A65">
        <w:rPr>
          <w:rFonts w:ascii="Arial" w:hAnsi="Arial" w:cs="Arial"/>
          <w:color w:val="000000"/>
          <w:spacing w:val="2"/>
          <w:u w:color="F04E45"/>
          <w:shd w:val="clear" w:color="auto" w:fill="FFFFFF"/>
        </w:rPr>
        <w:t xml:space="preserve">, </w:t>
      </w:r>
      <w:r w:rsidR="00D34819">
        <w:rPr>
          <w:rFonts w:ascii="Arial" w:hAnsi="Arial" w:cs="Arial"/>
          <w:color w:val="000000"/>
          <w:spacing w:val="2"/>
          <w:u w:color="F04E45"/>
          <w:shd w:val="clear" w:color="auto" w:fill="FFFFFF"/>
        </w:rPr>
        <w:t xml:space="preserve">in particular </w:t>
      </w:r>
      <w:r w:rsidR="00073DB5">
        <w:rPr>
          <w:rFonts w:ascii="Arial" w:hAnsi="Arial" w:cs="Arial"/>
          <w:color w:val="000000"/>
          <w:spacing w:val="2"/>
          <w:u w:color="F04E45"/>
          <w:shd w:val="clear" w:color="auto" w:fill="FFFFFF"/>
        </w:rPr>
        <w:t xml:space="preserve">programs </w:t>
      </w:r>
      <w:r w:rsidR="00D34819">
        <w:rPr>
          <w:rFonts w:ascii="Arial" w:hAnsi="Arial" w:cs="Arial"/>
          <w:color w:val="000000"/>
          <w:spacing w:val="2"/>
          <w:u w:color="F04E45"/>
          <w:shd w:val="clear" w:color="auto" w:fill="FFFFFF"/>
        </w:rPr>
        <w:t xml:space="preserve">supported by the </w:t>
      </w:r>
      <w:r>
        <w:rPr>
          <w:rFonts w:ascii="Arial" w:hAnsi="Arial" w:cs="Arial"/>
          <w:color w:val="000000"/>
          <w:spacing w:val="2"/>
          <w:u w:color="F04E45"/>
          <w:shd w:val="clear" w:color="auto" w:fill="FFFFFF"/>
        </w:rPr>
        <w:t>Australian Government</w:t>
      </w:r>
      <w:r w:rsidR="00D34819">
        <w:rPr>
          <w:rFonts w:ascii="Arial" w:hAnsi="Arial" w:cs="Arial"/>
          <w:color w:val="000000"/>
          <w:spacing w:val="2"/>
          <w:u w:color="F04E45"/>
          <w:shd w:val="clear" w:color="auto" w:fill="FFFFFF"/>
        </w:rPr>
        <w:t xml:space="preserve">, </w:t>
      </w:r>
      <w:r w:rsidRPr="0048268F">
        <w:rPr>
          <w:rFonts w:ascii="Arial" w:hAnsi="Arial" w:cs="Arial"/>
          <w:color w:val="000000"/>
          <w:spacing w:val="2"/>
          <w:u w:color="F04E45"/>
          <w:shd w:val="clear" w:color="auto" w:fill="FFFFFF"/>
        </w:rPr>
        <w:t xml:space="preserve">comply </w:t>
      </w:r>
      <w:r w:rsidR="00D34819">
        <w:rPr>
          <w:rFonts w:ascii="Arial" w:hAnsi="Arial" w:cs="Arial"/>
          <w:color w:val="000000"/>
          <w:spacing w:val="2"/>
          <w:u w:color="F04E45"/>
          <w:shd w:val="clear" w:color="auto" w:fill="FFFFFF"/>
        </w:rPr>
        <w:t xml:space="preserve">at all times </w:t>
      </w:r>
      <w:r w:rsidRPr="0048268F">
        <w:rPr>
          <w:rFonts w:ascii="Arial" w:hAnsi="Arial" w:cs="Arial"/>
          <w:color w:val="000000"/>
          <w:spacing w:val="2"/>
          <w:u w:color="F04E45"/>
          <w:shd w:val="clear" w:color="auto" w:fill="FFFFFF"/>
        </w:rPr>
        <w:t>with the relevant legislation</w:t>
      </w:r>
      <w:r w:rsidR="00D34819">
        <w:t xml:space="preserve">, </w:t>
      </w:r>
      <w:r w:rsidR="00D34819" w:rsidRPr="00D34819">
        <w:rPr>
          <w:rFonts w:ascii="Arial" w:hAnsi="Arial" w:cs="Arial"/>
          <w:color w:val="000000"/>
          <w:spacing w:val="2"/>
          <w:u w:color="F04E45"/>
          <w:shd w:val="clear" w:color="auto" w:fill="FFFFFF"/>
        </w:rPr>
        <w:t>laws and Australian Government Policies</w:t>
      </w:r>
      <w:r w:rsidRPr="0048268F">
        <w:rPr>
          <w:rFonts w:ascii="Arial" w:hAnsi="Arial" w:cs="Arial"/>
          <w:color w:val="000000"/>
          <w:spacing w:val="2"/>
          <w:u w:color="F04E45"/>
          <w:shd w:val="clear" w:color="auto" w:fill="FFFFFF"/>
        </w:rPr>
        <w:t xml:space="preserve"> and standards</w:t>
      </w:r>
      <w:r w:rsidR="00A7737E">
        <w:rPr>
          <w:rFonts w:ascii="Arial" w:hAnsi="Arial" w:cs="Arial"/>
          <w:color w:val="000000"/>
          <w:spacing w:val="2"/>
          <w:u w:color="F04E45"/>
          <w:shd w:val="clear" w:color="auto" w:fill="FFFFFF"/>
        </w:rPr>
        <w:t>, such as</w:t>
      </w:r>
      <w:r w:rsidR="00A63D77" w:rsidRPr="00A7737E">
        <w:rPr>
          <w:rFonts w:ascii="Arial" w:hAnsi="Arial" w:cs="Arial"/>
          <w:color w:val="000000"/>
          <w:spacing w:val="2"/>
          <w:u w:color="F04E45"/>
          <w:shd w:val="clear" w:color="auto" w:fill="FFFFFF"/>
        </w:rPr>
        <w:t xml:space="preserve">: </w:t>
      </w:r>
    </w:p>
    <w:p w14:paraId="630C7F84" w14:textId="3D411350" w:rsidR="00A63D77" w:rsidRPr="00141909" w:rsidRDefault="00A63D77" w:rsidP="0063672B">
      <w:pPr>
        <w:pStyle w:val="ListParagraph"/>
        <w:numPr>
          <w:ilvl w:val="0"/>
          <w:numId w:val="40"/>
        </w:numPr>
        <w:jc w:val="both"/>
        <w:rPr>
          <w:rFonts w:ascii="Arial" w:hAnsi="Arial" w:cs="Arial"/>
          <w:color w:val="000000"/>
          <w:spacing w:val="2"/>
          <w:u w:color="F04E45"/>
          <w:shd w:val="clear" w:color="auto" w:fill="FFFFFF"/>
        </w:rPr>
      </w:pPr>
      <w:r w:rsidRPr="00141909">
        <w:rPr>
          <w:rFonts w:ascii="Arial" w:hAnsi="Arial" w:cs="Arial"/>
          <w:color w:val="000000"/>
          <w:spacing w:val="2"/>
          <w:u w:color="F04E45"/>
          <w:shd w:val="clear" w:color="auto" w:fill="FFFFFF"/>
        </w:rPr>
        <w:t xml:space="preserve">All </w:t>
      </w:r>
      <w:r w:rsidR="00636AB6" w:rsidRPr="00141909">
        <w:rPr>
          <w:rFonts w:ascii="Arial" w:hAnsi="Arial" w:cs="Arial"/>
          <w:color w:val="000000"/>
          <w:spacing w:val="2"/>
          <w:u w:color="F04E45"/>
          <w:shd w:val="clear" w:color="auto" w:fill="FFFFFF"/>
        </w:rPr>
        <w:t>relevant</w:t>
      </w:r>
      <w:r w:rsidRPr="00141909">
        <w:rPr>
          <w:rFonts w:ascii="Arial" w:hAnsi="Arial" w:cs="Arial"/>
          <w:color w:val="000000"/>
          <w:spacing w:val="2"/>
          <w:u w:color="F04E45"/>
          <w:shd w:val="clear" w:color="auto" w:fill="FFFFFF"/>
        </w:rPr>
        <w:t xml:space="preserve"> statutes, regulations, by-laws, and requirements of any Commonwealth, State, Territory or location </w:t>
      </w:r>
      <w:r w:rsidR="00636AB6" w:rsidRPr="00141909">
        <w:rPr>
          <w:rFonts w:ascii="Arial" w:hAnsi="Arial" w:cs="Arial"/>
          <w:color w:val="000000"/>
          <w:spacing w:val="2"/>
          <w:u w:color="F04E45"/>
          <w:shd w:val="clear" w:color="auto" w:fill="FFFFFF"/>
        </w:rPr>
        <w:t>authorit</w:t>
      </w:r>
      <w:r w:rsidR="008A4E09" w:rsidRPr="00141909">
        <w:rPr>
          <w:rFonts w:ascii="Arial" w:hAnsi="Arial" w:cs="Arial"/>
          <w:color w:val="000000"/>
          <w:spacing w:val="2"/>
          <w:u w:color="F04E45"/>
          <w:shd w:val="clear" w:color="auto" w:fill="FFFFFF"/>
        </w:rPr>
        <w:t>y</w:t>
      </w:r>
      <w:r w:rsidR="00141909" w:rsidRPr="00141909">
        <w:rPr>
          <w:rFonts w:ascii="Arial" w:hAnsi="Arial" w:cs="Arial"/>
          <w:color w:val="000000"/>
          <w:spacing w:val="2"/>
          <w:u w:color="F04E45"/>
          <w:shd w:val="clear" w:color="auto" w:fill="FFFFFF"/>
        </w:rPr>
        <w:t xml:space="preserve"> including those relating to the </w:t>
      </w:r>
      <w:hyperlink r:id="rId16" w:history="1">
        <w:r w:rsidR="00141909" w:rsidRPr="00141909">
          <w:rPr>
            <w:rStyle w:val="Hyperlink"/>
            <w:rFonts w:ascii="Arial" w:hAnsi="Arial" w:cs="Arial"/>
            <w:spacing w:val="2"/>
            <w:shd w:val="clear" w:color="auto" w:fill="FFFFFF"/>
          </w:rPr>
          <w:t>Higher Education Loan Program</w:t>
        </w:r>
      </w:hyperlink>
      <w:r w:rsidR="00141909" w:rsidRPr="00141909">
        <w:rPr>
          <w:rFonts w:ascii="Arial" w:hAnsi="Arial" w:cs="Arial"/>
          <w:color w:val="000000"/>
          <w:spacing w:val="2"/>
          <w:u w:color="F04E45"/>
          <w:shd w:val="clear" w:color="auto" w:fill="FFFFFF"/>
        </w:rPr>
        <w:t xml:space="preserve"> such as the </w:t>
      </w:r>
      <w:hyperlink r:id="rId17" w:history="1">
        <w:r w:rsidR="00141909" w:rsidRPr="00141909">
          <w:rPr>
            <w:rStyle w:val="Hyperlink"/>
            <w:rFonts w:ascii="Arial" w:hAnsi="Arial" w:cs="Arial"/>
            <w:spacing w:val="2"/>
            <w:shd w:val="clear" w:color="auto" w:fill="FFFFFF"/>
          </w:rPr>
          <w:t>Higher Education Support Act 2003</w:t>
        </w:r>
      </w:hyperlink>
      <w:r w:rsidR="00141909" w:rsidRPr="00141909">
        <w:rPr>
          <w:rFonts w:ascii="Arial" w:hAnsi="Arial" w:cs="Arial"/>
          <w:color w:val="000000"/>
          <w:spacing w:val="2"/>
          <w:u w:color="F04E45"/>
          <w:shd w:val="clear" w:color="auto" w:fill="FFFFFF"/>
        </w:rPr>
        <w:t xml:space="preserve"> and </w:t>
      </w:r>
      <w:hyperlink r:id="rId18" w:history="1">
        <w:r w:rsidR="00141909" w:rsidRPr="00141909">
          <w:rPr>
            <w:rStyle w:val="Hyperlink"/>
            <w:rFonts w:ascii="Arial" w:hAnsi="Arial" w:cs="Arial"/>
            <w:spacing w:val="2"/>
            <w:shd w:val="clear" w:color="auto" w:fill="FFFFFF"/>
          </w:rPr>
          <w:t xml:space="preserve">OS-HELP </w:t>
        </w:r>
        <w:r w:rsidR="00141909">
          <w:rPr>
            <w:rStyle w:val="Hyperlink"/>
            <w:rFonts w:ascii="Arial" w:hAnsi="Arial" w:cs="Arial"/>
            <w:spacing w:val="2"/>
            <w:shd w:val="clear" w:color="auto" w:fill="FFFFFF"/>
          </w:rPr>
          <w:t>G</w:t>
        </w:r>
        <w:r w:rsidR="00141909" w:rsidRPr="00141909">
          <w:rPr>
            <w:rStyle w:val="Hyperlink"/>
            <w:rFonts w:ascii="Arial" w:hAnsi="Arial" w:cs="Arial"/>
            <w:spacing w:val="2"/>
            <w:shd w:val="clear" w:color="auto" w:fill="FFFFFF"/>
          </w:rPr>
          <w:t>uidelines 2013</w:t>
        </w:r>
      </w:hyperlink>
      <w:r w:rsidR="00141909" w:rsidRPr="00141909">
        <w:rPr>
          <w:rFonts w:ascii="Arial" w:hAnsi="Arial" w:cs="Arial"/>
          <w:color w:val="000000"/>
          <w:spacing w:val="2"/>
          <w:u w:color="F04E45"/>
          <w:shd w:val="clear" w:color="auto" w:fill="FFFFFF"/>
        </w:rPr>
        <w:t xml:space="preserve">  </w:t>
      </w:r>
    </w:p>
    <w:p w14:paraId="72A5C153" w14:textId="6476D11C" w:rsidR="008A4E09" w:rsidRDefault="00A63D77" w:rsidP="0063672B">
      <w:pPr>
        <w:pStyle w:val="ListParagraph"/>
        <w:numPr>
          <w:ilvl w:val="0"/>
          <w:numId w:val="40"/>
        </w:numPr>
        <w:jc w:val="both"/>
        <w:rPr>
          <w:rFonts w:ascii="Arial" w:hAnsi="Arial" w:cs="Arial"/>
          <w:color w:val="000000"/>
          <w:spacing w:val="2"/>
          <w:u w:color="F04E45"/>
          <w:shd w:val="clear" w:color="auto" w:fill="FFFFFF"/>
        </w:rPr>
      </w:pPr>
      <w:r w:rsidRPr="008A4E09">
        <w:rPr>
          <w:rFonts w:ascii="Arial" w:hAnsi="Arial" w:cs="Arial"/>
          <w:color w:val="000000"/>
          <w:spacing w:val="2"/>
          <w:u w:color="F04E45"/>
          <w:shd w:val="clear" w:color="auto" w:fill="FFFFFF"/>
        </w:rPr>
        <w:t>Any Commonwealth policies notified in writing by the Australian Government, such as</w:t>
      </w:r>
      <w:r w:rsidR="00A7737E" w:rsidRPr="008A4E09">
        <w:rPr>
          <w:rFonts w:ascii="Arial" w:hAnsi="Arial" w:cs="Arial"/>
          <w:color w:val="000000"/>
          <w:spacing w:val="2"/>
          <w:u w:color="F04E45"/>
          <w:shd w:val="clear" w:color="auto" w:fill="FFFFFF"/>
        </w:rPr>
        <w:t xml:space="preserve"> </w:t>
      </w:r>
      <w:r w:rsidR="001B0656">
        <w:rPr>
          <w:rFonts w:ascii="Arial" w:hAnsi="Arial" w:cs="Arial"/>
          <w:color w:val="000000"/>
          <w:spacing w:val="2"/>
          <w:u w:color="F04E45"/>
          <w:shd w:val="clear" w:color="auto" w:fill="FFFFFF"/>
        </w:rPr>
        <w:t xml:space="preserve">the Department of Foreign Affairs and Trade </w:t>
      </w:r>
      <w:hyperlink r:id="rId19" w:history="1">
        <w:r w:rsidR="00A7737E" w:rsidRPr="0063672B">
          <w:rPr>
            <w:rStyle w:val="Hyperlink"/>
            <w:rFonts w:ascii="Arial" w:hAnsi="Arial" w:cs="Arial"/>
            <w:spacing w:val="2"/>
            <w:shd w:val="clear" w:color="auto" w:fill="FFFFFF"/>
          </w:rPr>
          <w:t>Child Protection</w:t>
        </w:r>
      </w:hyperlink>
      <w:r w:rsidR="00A7737E" w:rsidRPr="008A4E09">
        <w:rPr>
          <w:rFonts w:ascii="Arial" w:hAnsi="Arial" w:cs="Arial"/>
          <w:color w:val="000000"/>
          <w:spacing w:val="2"/>
          <w:u w:color="F04E45"/>
          <w:shd w:val="clear" w:color="auto" w:fill="FFFFFF"/>
        </w:rPr>
        <w:t xml:space="preserve"> and </w:t>
      </w:r>
      <w:hyperlink r:id="rId20" w:history="1">
        <w:r w:rsidR="00A7737E" w:rsidRPr="0063672B">
          <w:rPr>
            <w:rStyle w:val="Hyperlink"/>
            <w:rFonts w:ascii="Arial" w:hAnsi="Arial" w:cs="Arial"/>
            <w:spacing w:val="2"/>
            <w:shd w:val="clear" w:color="auto" w:fill="FFFFFF"/>
          </w:rPr>
          <w:t>Preventing Sexual Exploitation, Abuse and Harassment</w:t>
        </w:r>
      </w:hyperlink>
      <w:r w:rsidR="00A7737E" w:rsidRPr="008A4E09">
        <w:rPr>
          <w:rFonts w:ascii="Arial" w:hAnsi="Arial" w:cs="Arial"/>
          <w:color w:val="000000"/>
          <w:spacing w:val="2"/>
          <w:u w:color="F04E45"/>
          <w:shd w:val="clear" w:color="auto" w:fill="FFFFFF"/>
        </w:rPr>
        <w:t xml:space="preserve"> policies</w:t>
      </w:r>
    </w:p>
    <w:p w14:paraId="49D8C870" w14:textId="1EE22374" w:rsidR="00EA59F9" w:rsidRPr="00BE4284" w:rsidRDefault="003E3A29" w:rsidP="0063672B">
      <w:pPr>
        <w:pStyle w:val="ListParagraph"/>
        <w:numPr>
          <w:ilvl w:val="0"/>
          <w:numId w:val="40"/>
        </w:numPr>
        <w:spacing w:after="0"/>
        <w:jc w:val="both"/>
        <w:rPr>
          <w:rFonts w:ascii="Arial" w:hAnsi="Arial" w:cs="Arial"/>
          <w:color w:val="000000"/>
          <w:spacing w:val="2"/>
          <w:szCs w:val="20"/>
          <w:u w:color="F04E45"/>
          <w:shd w:val="clear" w:color="auto" w:fill="FFFFFF"/>
        </w:rPr>
      </w:pPr>
      <w:r w:rsidRPr="00BE4284">
        <w:rPr>
          <w:rFonts w:ascii="Arial" w:hAnsi="Arial" w:cs="Arial"/>
          <w:color w:val="000000"/>
          <w:spacing w:val="2"/>
          <w:szCs w:val="20"/>
          <w:u w:color="F04E45"/>
          <w:shd w:val="clear" w:color="auto" w:fill="FFFFFF"/>
        </w:rPr>
        <w:t xml:space="preserve">All legislated requirements </w:t>
      </w:r>
      <w:r w:rsidR="00BE4284">
        <w:rPr>
          <w:rFonts w:ascii="Arial" w:hAnsi="Arial" w:cs="Arial"/>
          <w:color w:val="000000"/>
          <w:spacing w:val="2"/>
          <w:szCs w:val="20"/>
          <w:u w:color="F04E45"/>
          <w:shd w:val="clear" w:color="auto" w:fill="FFFFFF"/>
        </w:rPr>
        <w:t xml:space="preserve">associated with </w:t>
      </w:r>
      <w:r w:rsidRPr="00BE4284">
        <w:rPr>
          <w:rFonts w:ascii="Arial" w:hAnsi="Arial" w:cs="Arial"/>
          <w:color w:val="000000"/>
          <w:spacing w:val="2"/>
          <w:szCs w:val="20"/>
          <w:u w:color="F04E45"/>
          <w:shd w:val="clear" w:color="auto" w:fill="FFFFFF"/>
        </w:rPr>
        <w:t xml:space="preserve">existing and long-term arrangements </w:t>
      </w:r>
      <w:r w:rsidR="00BE4284">
        <w:rPr>
          <w:rFonts w:ascii="Arial" w:hAnsi="Arial" w:cs="Arial"/>
          <w:color w:val="000000"/>
          <w:spacing w:val="2"/>
          <w:szCs w:val="20"/>
          <w:u w:color="F04E45"/>
          <w:shd w:val="clear" w:color="auto" w:fill="FFFFFF"/>
        </w:rPr>
        <w:t xml:space="preserve">involving </w:t>
      </w:r>
      <w:r w:rsidRPr="00BE4284">
        <w:rPr>
          <w:rFonts w:ascii="Arial" w:hAnsi="Arial" w:cs="Arial"/>
          <w:color w:val="000000"/>
          <w:spacing w:val="2"/>
          <w:szCs w:val="20"/>
          <w:u w:color="F04E45"/>
          <w:shd w:val="clear" w:color="auto" w:fill="FFFFFF"/>
        </w:rPr>
        <w:t xml:space="preserve">foreign parties </w:t>
      </w:r>
      <w:r w:rsidR="00BE4284" w:rsidRPr="00BE4284">
        <w:rPr>
          <w:rFonts w:ascii="Arial" w:hAnsi="Arial" w:cs="Arial"/>
          <w:color w:val="000000"/>
          <w:spacing w:val="2"/>
          <w:szCs w:val="20"/>
          <w:u w:color="F04E45"/>
          <w:shd w:val="clear" w:color="auto" w:fill="FFFFFF"/>
        </w:rPr>
        <w:t>including</w:t>
      </w:r>
      <w:r w:rsidR="00BE4284" w:rsidRPr="0063672B">
        <w:rPr>
          <w:rFonts w:ascii="Arial" w:hAnsi="Arial" w:cs="Arial"/>
          <w:color w:val="000000" w:themeColor="text1"/>
          <w:spacing w:val="2"/>
          <w:szCs w:val="20"/>
          <w:u w:color="F04E45"/>
          <w:shd w:val="clear" w:color="auto" w:fill="FFFFFF"/>
        </w:rPr>
        <w:t xml:space="preserve"> </w:t>
      </w:r>
      <w:r w:rsidR="00BE4284" w:rsidRPr="0063672B">
        <w:rPr>
          <w:rFonts w:ascii="Arial" w:hAnsi="Arial" w:cs="Arial"/>
          <w:color w:val="000000" w:themeColor="text1"/>
          <w:szCs w:val="20"/>
          <w:shd w:val="clear" w:color="auto" w:fill="FFFFFF"/>
        </w:rPr>
        <w:t xml:space="preserve">laws and regulations such as </w:t>
      </w:r>
      <w:hyperlink r:id="rId21" w:history="1">
        <w:r w:rsidR="00BE4284" w:rsidRPr="0063672B">
          <w:rPr>
            <w:rStyle w:val="Hyperlink"/>
            <w:rFonts w:ascii="Arial" w:hAnsi="Arial" w:cs="Arial"/>
            <w:spacing w:val="2"/>
            <w:shd w:val="clear" w:color="auto" w:fill="FFFFFF"/>
          </w:rPr>
          <w:t>Australia’s Foreign Relations Act 2020</w:t>
        </w:r>
      </w:hyperlink>
      <w:r w:rsidR="00BE4284" w:rsidRPr="00BE4284">
        <w:rPr>
          <w:rFonts w:ascii="Arial" w:hAnsi="Arial" w:cs="Arial"/>
          <w:color w:val="323130"/>
          <w:szCs w:val="20"/>
          <w:shd w:val="clear" w:color="auto" w:fill="FFFFFF"/>
        </w:rPr>
        <w:t> </w:t>
      </w:r>
      <w:r w:rsidR="00BE4284" w:rsidRPr="0063672B">
        <w:rPr>
          <w:rFonts w:ascii="Arial" w:hAnsi="Arial" w:cs="Arial"/>
          <w:color w:val="000000" w:themeColor="text1"/>
          <w:szCs w:val="20"/>
          <w:shd w:val="clear" w:color="auto" w:fill="FFFFFF"/>
        </w:rPr>
        <w:t>and</w:t>
      </w:r>
      <w:r w:rsidR="00BE4284" w:rsidRPr="00BE4284">
        <w:rPr>
          <w:rFonts w:ascii="Arial" w:hAnsi="Arial" w:cs="Arial"/>
          <w:color w:val="323130"/>
          <w:szCs w:val="20"/>
          <w:shd w:val="clear" w:color="auto" w:fill="FFFFFF"/>
        </w:rPr>
        <w:t> </w:t>
      </w:r>
      <w:hyperlink r:id="rId22" w:history="1">
        <w:r w:rsidR="00BE4284" w:rsidRPr="0063672B">
          <w:rPr>
            <w:rStyle w:val="Hyperlink"/>
            <w:rFonts w:ascii="Arial" w:hAnsi="Arial" w:cs="Arial"/>
            <w:spacing w:val="2"/>
            <w:shd w:val="clear" w:color="auto" w:fill="FFFFFF"/>
          </w:rPr>
          <w:t>Foreign Influence Transparency Scheme Act 2018</w:t>
        </w:r>
      </w:hyperlink>
    </w:p>
    <w:p w14:paraId="7C65EC6F" w14:textId="2F9FB5D3" w:rsidR="00A63D77" w:rsidRDefault="008A4E09" w:rsidP="0063672B">
      <w:pPr>
        <w:pStyle w:val="ListParagraph"/>
        <w:numPr>
          <w:ilvl w:val="0"/>
          <w:numId w:val="40"/>
        </w:numPr>
        <w:jc w:val="both"/>
        <w:rPr>
          <w:rFonts w:ascii="Arial" w:hAnsi="Arial" w:cs="Arial"/>
          <w:color w:val="000000"/>
          <w:spacing w:val="2"/>
          <w:u w:color="F04E45"/>
          <w:shd w:val="clear" w:color="auto" w:fill="FFFFFF"/>
        </w:rPr>
      </w:pPr>
      <w:r>
        <w:rPr>
          <w:rFonts w:ascii="Arial" w:hAnsi="Arial" w:cs="Arial"/>
          <w:color w:val="000000"/>
          <w:spacing w:val="2"/>
          <w:u w:color="F04E45"/>
          <w:shd w:val="clear" w:color="auto" w:fill="FFFFFF"/>
        </w:rPr>
        <w:t xml:space="preserve">The </w:t>
      </w:r>
      <w:hyperlink r:id="rId23" w:history="1">
        <w:r w:rsidR="00636AB6" w:rsidRPr="0063672B">
          <w:rPr>
            <w:rStyle w:val="Hyperlink"/>
            <w:rFonts w:ascii="Arial" w:hAnsi="Arial" w:cs="Arial"/>
            <w:spacing w:val="2"/>
            <w:shd w:val="clear" w:color="auto" w:fill="FFFFFF"/>
          </w:rPr>
          <w:t xml:space="preserve">Privacy Act </w:t>
        </w:r>
        <w:r w:rsidR="00557063" w:rsidRPr="0063672B">
          <w:rPr>
            <w:rStyle w:val="Hyperlink"/>
            <w:rFonts w:ascii="Arial" w:hAnsi="Arial" w:cs="Arial"/>
            <w:spacing w:val="2"/>
            <w:shd w:val="clear" w:color="auto" w:fill="FFFFFF"/>
          </w:rPr>
          <w:t>1988</w:t>
        </w:r>
      </w:hyperlink>
      <w:r w:rsidR="00557063" w:rsidRPr="008A4E09">
        <w:rPr>
          <w:rFonts w:ascii="Arial" w:hAnsi="Arial" w:cs="Arial"/>
          <w:i/>
          <w:iCs/>
          <w:color w:val="000000"/>
          <w:spacing w:val="2"/>
          <w:u w:color="F04E45"/>
          <w:shd w:val="clear" w:color="auto" w:fill="FFFFFF"/>
        </w:rPr>
        <w:t xml:space="preserve"> </w:t>
      </w:r>
      <w:r w:rsidR="00636AB6" w:rsidRPr="008A4E09">
        <w:rPr>
          <w:rFonts w:ascii="Arial" w:hAnsi="Arial" w:cs="Arial"/>
          <w:color w:val="000000"/>
          <w:spacing w:val="2"/>
          <w:u w:color="F04E45"/>
          <w:shd w:val="clear" w:color="auto" w:fill="FFFFFF"/>
        </w:rPr>
        <w:t xml:space="preserve">(including the </w:t>
      </w:r>
      <w:hyperlink r:id="rId24" w:history="1">
        <w:r w:rsidR="004211DC" w:rsidRPr="0063672B">
          <w:rPr>
            <w:rStyle w:val="Hyperlink"/>
            <w:rFonts w:ascii="Arial" w:hAnsi="Arial" w:cs="Arial"/>
            <w:spacing w:val="2"/>
            <w:shd w:val="clear" w:color="auto" w:fill="FFFFFF"/>
          </w:rPr>
          <w:t>Australian</w:t>
        </w:r>
        <w:r w:rsidR="00636AB6" w:rsidRPr="0063672B">
          <w:rPr>
            <w:rStyle w:val="Hyperlink"/>
            <w:rFonts w:ascii="Arial" w:hAnsi="Arial" w:cs="Arial"/>
            <w:spacing w:val="2"/>
            <w:shd w:val="clear" w:color="auto" w:fill="FFFFFF"/>
          </w:rPr>
          <w:t xml:space="preserve"> Privacy and Principles</w:t>
        </w:r>
      </w:hyperlink>
      <w:r w:rsidR="00636AB6" w:rsidRPr="0063672B">
        <w:rPr>
          <w:rStyle w:val="Hyperlink"/>
          <w:color w:val="000000" w:themeColor="text1"/>
          <w:u w:val="none"/>
        </w:rPr>
        <w:t>)</w:t>
      </w:r>
      <w:r w:rsidR="004211DC" w:rsidRPr="0063672B">
        <w:rPr>
          <w:rFonts w:ascii="Arial" w:hAnsi="Arial" w:cs="Arial"/>
          <w:color w:val="000000" w:themeColor="text1"/>
          <w:spacing w:val="2"/>
          <w:shd w:val="clear" w:color="auto" w:fill="FFFFFF"/>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23"/>
      </w:tblGrid>
      <w:tr w:rsidR="004D0EE6" w:rsidRPr="00BA6219" w14:paraId="0D9BCA1F" w14:textId="77777777" w:rsidTr="004D0EE6">
        <w:trPr>
          <w:trHeight w:val="454"/>
        </w:trPr>
        <w:tc>
          <w:tcPr>
            <w:tcW w:w="1438" w:type="pct"/>
            <w:tcBorders>
              <w:bottom w:val="single" w:sz="8" w:space="0" w:color="E30918"/>
            </w:tcBorders>
            <w:shd w:val="clear" w:color="auto" w:fill="auto"/>
          </w:tcPr>
          <w:p w14:paraId="2F7490A9" w14:textId="4D15312E" w:rsidR="004D0EE6" w:rsidRPr="00FC5552" w:rsidRDefault="004D0EE6" w:rsidP="0063672B">
            <w:pPr>
              <w:spacing w:before="120" w:after="120"/>
              <w:jc w:val="both"/>
              <w:rPr>
                <w:rFonts w:ascii="Arial" w:hAnsi="Arial" w:cs="Arial"/>
                <w:b/>
                <w:bCs/>
                <w:color w:val="000000" w:themeColor="text1"/>
                <w:sz w:val="24"/>
                <w:szCs w:val="24"/>
              </w:rPr>
            </w:pPr>
            <w:r>
              <w:rPr>
                <w:rFonts w:ascii="Arial" w:hAnsi="Arial" w:cs="Arial"/>
                <w:b/>
                <w:bCs/>
                <w:color w:val="E30918"/>
                <w:sz w:val="24"/>
                <w:szCs w:val="24"/>
              </w:rPr>
              <w:lastRenderedPageBreak/>
              <w:t xml:space="preserve">ROLE </w:t>
            </w:r>
          </w:p>
        </w:tc>
        <w:tc>
          <w:tcPr>
            <w:tcW w:w="3562" w:type="pct"/>
            <w:tcBorders>
              <w:bottom w:val="single" w:sz="8" w:space="0" w:color="E30918"/>
            </w:tcBorders>
            <w:shd w:val="clear" w:color="auto" w:fill="auto"/>
          </w:tcPr>
          <w:p w14:paraId="61802F19" w14:textId="3C95FC21" w:rsidR="004D0EE6" w:rsidRPr="00BA6219" w:rsidRDefault="004D0EE6" w:rsidP="0063672B">
            <w:pPr>
              <w:spacing w:before="120" w:after="120"/>
              <w:jc w:val="both"/>
              <w:rPr>
                <w:rFonts w:cs="Arial"/>
                <w:color w:val="000000" w:themeColor="text1"/>
                <w:szCs w:val="20"/>
              </w:rPr>
            </w:pPr>
            <w:r>
              <w:rPr>
                <w:rFonts w:ascii="Arial" w:hAnsi="Arial" w:cs="Arial"/>
                <w:b/>
                <w:bCs/>
                <w:color w:val="E30918"/>
                <w:sz w:val="24"/>
                <w:szCs w:val="24"/>
              </w:rPr>
              <w:t>RESPONSIBILITY</w:t>
            </w:r>
          </w:p>
        </w:tc>
      </w:tr>
      <w:tr w:rsidR="004D0EE6" w14:paraId="614AA826" w14:textId="77777777" w:rsidTr="004D0EE6">
        <w:tc>
          <w:tcPr>
            <w:tcW w:w="1438" w:type="pct"/>
            <w:tcBorders>
              <w:top w:val="single" w:sz="8" w:space="0" w:color="E30918"/>
            </w:tcBorders>
            <w:shd w:val="clear" w:color="auto" w:fill="E6E7E8"/>
          </w:tcPr>
          <w:p w14:paraId="2CA5BA4A" w14:textId="26DA12D9" w:rsidR="004D0EE6" w:rsidRPr="000209B9" w:rsidRDefault="003F5883" w:rsidP="0063672B">
            <w:pPr>
              <w:spacing w:before="120" w:after="120"/>
              <w:rPr>
                <w:rFonts w:ascii="Arial" w:hAnsi="Arial" w:cs="Arial"/>
                <w:szCs w:val="20"/>
              </w:rPr>
            </w:pPr>
            <w:r>
              <w:rPr>
                <w:rFonts w:ascii="Arial" w:hAnsi="Arial" w:cs="Arial"/>
                <w:szCs w:val="20"/>
              </w:rPr>
              <w:t xml:space="preserve">Vice President (Global) </w:t>
            </w:r>
          </w:p>
        </w:tc>
        <w:tc>
          <w:tcPr>
            <w:tcW w:w="3562" w:type="pct"/>
            <w:tcBorders>
              <w:top w:val="single" w:sz="8" w:space="0" w:color="E30918"/>
            </w:tcBorders>
            <w:shd w:val="clear" w:color="auto" w:fill="E6E7E8"/>
          </w:tcPr>
          <w:p w14:paraId="2D2E38ED" w14:textId="4DB777CE" w:rsidR="004D0EE6" w:rsidRPr="000209B9" w:rsidRDefault="00FB03D6" w:rsidP="0063672B">
            <w:pPr>
              <w:spacing w:before="120" w:after="120"/>
              <w:jc w:val="both"/>
              <w:rPr>
                <w:rFonts w:ascii="Arial" w:hAnsi="Arial" w:cs="Arial"/>
                <w:szCs w:val="20"/>
              </w:rPr>
            </w:pPr>
            <w:r>
              <w:rPr>
                <w:rFonts w:ascii="Arial" w:hAnsi="Arial" w:cs="Arial"/>
                <w:szCs w:val="20"/>
              </w:rPr>
              <w:t xml:space="preserve">Responsible </w:t>
            </w:r>
            <w:r w:rsidR="001B0656">
              <w:rPr>
                <w:rFonts w:ascii="Arial" w:hAnsi="Arial" w:cs="Arial"/>
                <w:szCs w:val="20"/>
              </w:rPr>
              <w:t>for</w:t>
            </w:r>
            <w:r>
              <w:rPr>
                <w:rFonts w:ascii="Arial" w:hAnsi="Arial" w:cs="Arial"/>
                <w:szCs w:val="20"/>
              </w:rPr>
              <w:t xml:space="preserve"> the </w:t>
            </w:r>
            <w:r w:rsidR="00B32B87">
              <w:rPr>
                <w:rFonts w:ascii="Arial" w:hAnsi="Arial" w:cs="Arial"/>
                <w:szCs w:val="20"/>
              </w:rPr>
              <w:t xml:space="preserve">Griffith Global Mobility </w:t>
            </w:r>
            <w:r w:rsidR="001B0656">
              <w:rPr>
                <w:rFonts w:ascii="Arial" w:hAnsi="Arial" w:cs="Arial"/>
                <w:szCs w:val="20"/>
              </w:rPr>
              <w:t>Student F</w:t>
            </w:r>
            <w:r w:rsidR="00B32B87">
              <w:rPr>
                <w:rFonts w:ascii="Arial" w:hAnsi="Arial" w:cs="Arial"/>
                <w:szCs w:val="20"/>
              </w:rPr>
              <w:t xml:space="preserve">unding </w:t>
            </w:r>
            <w:r w:rsidR="001B0656">
              <w:rPr>
                <w:rFonts w:ascii="Arial" w:hAnsi="Arial" w:cs="Arial"/>
                <w:szCs w:val="20"/>
              </w:rPr>
              <w:t>P</w:t>
            </w:r>
            <w:r w:rsidR="00B32B87">
              <w:rPr>
                <w:rFonts w:ascii="Arial" w:hAnsi="Arial" w:cs="Arial"/>
                <w:szCs w:val="20"/>
              </w:rPr>
              <w:t>olicy, delegation of responsibilities, and the allocation of appropriate resources</w:t>
            </w:r>
          </w:p>
        </w:tc>
      </w:tr>
      <w:tr w:rsidR="004D0EE6" w14:paraId="0FEB9BBE" w14:textId="77777777" w:rsidTr="004D0EE6">
        <w:tc>
          <w:tcPr>
            <w:tcW w:w="1438" w:type="pct"/>
          </w:tcPr>
          <w:p w14:paraId="0821A1A9" w14:textId="303DBF62" w:rsidR="004D0EE6" w:rsidRPr="000209B9" w:rsidRDefault="003F5883" w:rsidP="0063672B">
            <w:pPr>
              <w:spacing w:before="120" w:after="120"/>
              <w:rPr>
                <w:rFonts w:ascii="Arial" w:hAnsi="Arial" w:cs="Arial"/>
                <w:szCs w:val="20"/>
              </w:rPr>
            </w:pPr>
            <w:r>
              <w:rPr>
                <w:rFonts w:ascii="Arial" w:hAnsi="Arial" w:cs="Arial"/>
                <w:szCs w:val="20"/>
              </w:rPr>
              <w:t>Manager, International Partnerships</w:t>
            </w:r>
          </w:p>
        </w:tc>
        <w:tc>
          <w:tcPr>
            <w:tcW w:w="3562" w:type="pct"/>
          </w:tcPr>
          <w:p w14:paraId="70BCA3FA" w14:textId="4A63CD90" w:rsidR="004D0EE6" w:rsidRPr="000209B9" w:rsidRDefault="00B32B87" w:rsidP="0063672B">
            <w:pPr>
              <w:spacing w:before="120" w:after="120"/>
              <w:jc w:val="both"/>
              <w:rPr>
                <w:rFonts w:ascii="Arial" w:hAnsi="Arial" w:cs="Arial"/>
                <w:szCs w:val="20"/>
              </w:rPr>
            </w:pPr>
            <w:r>
              <w:rPr>
                <w:rFonts w:ascii="Arial" w:hAnsi="Arial" w:cs="Arial"/>
                <w:szCs w:val="20"/>
              </w:rPr>
              <w:t>Management and administration of Global Mobility</w:t>
            </w:r>
            <w:r w:rsidR="001B0656">
              <w:rPr>
                <w:rFonts w:ascii="Arial" w:hAnsi="Arial" w:cs="Arial"/>
                <w:szCs w:val="20"/>
              </w:rPr>
              <w:t xml:space="preserve"> student</w:t>
            </w:r>
            <w:r>
              <w:rPr>
                <w:rFonts w:ascii="Arial" w:hAnsi="Arial" w:cs="Arial"/>
                <w:szCs w:val="20"/>
              </w:rPr>
              <w:t xml:space="preserve"> funding </w:t>
            </w:r>
            <w:r w:rsidR="005645AE">
              <w:rPr>
                <w:rFonts w:ascii="Arial" w:hAnsi="Arial" w:cs="Arial"/>
                <w:szCs w:val="20"/>
              </w:rPr>
              <w:t xml:space="preserve">including reporting for OS-HELP loan estimates, </w:t>
            </w:r>
            <w:r w:rsidR="00196740">
              <w:rPr>
                <w:rFonts w:ascii="Arial" w:hAnsi="Arial" w:cs="Arial"/>
                <w:szCs w:val="20"/>
              </w:rPr>
              <w:t>and Griffith Global Mobility</w:t>
            </w:r>
          </w:p>
        </w:tc>
      </w:tr>
      <w:tr w:rsidR="004D0EE6" w14:paraId="7880D5C3" w14:textId="77777777" w:rsidTr="004D0EE6">
        <w:tc>
          <w:tcPr>
            <w:tcW w:w="1438" w:type="pct"/>
            <w:shd w:val="clear" w:color="auto" w:fill="E6E7E8"/>
          </w:tcPr>
          <w:p w14:paraId="5CC28D7B" w14:textId="5DED096C" w:rsidR="004D0EE6" w:rsidRPr="000209B9" w:rsidRDefault="003F5883" w:rsidP="0063672B">
            <w:pPr>
              <w:spacing w:before="120" w:after="120"/>
              <w:rPr>
                <w:rFonts w:ascii="Arial" w:hAnsi="Arial" w:cs="Arial"/>
                <w:szCs w:val="20"/>
              </w:rPr>
            </w:pPr>
            <w:r>
              <w:rPr>
                <w:rFonts w:ascii="Arial" w:hAnsi="Arial" w:cs="Arial"/>
                <w:szCs w:val="20"/>
              </w:rPr>
              <w:t xml:space="preserve">Coordinator, Global Mobility </w:t>
            </w:r>
          </w:p>
        </w:tc>
        <w:tc>
          <w:tcPr>
            <w:tcW w:w="3562" w:type="pct"/>
            <w:shd w:val="clear" w:color="auto" w:fill="E6E7E8"/>
          </w:tcPr>
          <w:p w14:paraId="46384A22" w14:textId="71D1E367" w:rsidR="004D0EE6" w:rsidRPr="000209B9" w:rsidRDefault="00B32B87" w:rsidP="0063672B">
            <w:pPr>
              <w:spacing w:before="120" w:after="120"/>
              <w:jc w:val="both"/>
              <w:rPr>
                <w:rFonts w:ascii="Arial" w:hAnsi="Arial" w:cs="Arial"/>
                <w:szCs w:val="20"/>
              </w:rPr>
            </w:pPr>
            <w:r>
              <w:rPr>
                <w:rFonts w:ascii="Arial" w:hAnsi="Arial" w:cs="Arial"/>
                <w:szCs w:val="20"/>
              </w:rPr>
              <w:t xml:space="preserve">Global Mobility funding coordination </w:t>
            </w:r>
            <w:r w:rsidR="007075AE">
              <w:rPr>
                <w:rFonts w:ascii="Arial" w:hAnsi="Arial" w:cs="Arial"/>
                <w:szCs w:val="20"/>
              </w:rPr>
              <w:t xml:space="preserve">including liaison, </w:t>
            </w:r>
            <w:r w:rsidR="0042444E">
              <w:rPr>
                <w:rFonts w:ascii="Arial" w:hAnsi="Arial" w:cs="Arial"/>
                <w:szCs w:val="20"/>
              </w:rPr>
              <w:t xml:space="preserve">application processing, </w:t>
            </w:r>
            <w:r w:rsidR="007075AE">
              <w:rPr>
                <w:rFonts w:ascii="Arial" w:hAnsi="Arial" w:cs="Arial"/>
                <w:szCs w:val="20"/>
              </w:rPr>
              <w:t>monitoring</w:t>
            </w:r>
            <w:r w:rsidR="00196740">
              <w:rPr>
                <w:rFonts w:ascii="Arial" w:hAnsi="Arial" w:cs="Arial"/>
                <w:szCs w:val="20"/>
              </w:rPr>
              <w:t xml:space="preserve">, </w:t>
            </w:r>
            <w:proofErr w:type="gramStart"/>
            <w:r w:rsidR="00EE415F">
              <w:rPr>
                <w:rFonts w:ascii="Arial" w:hAnsi="Arial" w:cs="Arial"/>
                <w:szCs w:val="20"/>
              </w:rPr>
              <w:t>compliance</w:t>
            </w:r>
            <w:proofErr w:type="gramEnd"/>
            <w:r w:rsidR="00196740">
              <w:rPr>
                <w:rFonts w:ascii="Arial" w:hAnsi="Arial" w:cs="Arial"/>
                <w:szCs w:val="20"/>
              </w:rPr>
              <w:t xml:space="preserve"> and </w:t>
            </w:r>
            <w:r w:rsidR="007075AE">
              <w:rPr>
                <w:rFonts w:ascii="Arial" w:hAnsi="Arial" w:cs="Arial"/>
                <w:szCs w:val="20"/>
              </w:rPr>
              <w:t>reporting</w:t>
            </w:r>
          </w:p>
        </w:tc>
      </w:tr>
      <w:tr w:rsidR="005645AE" w14:paraId="319F2116" w14:textId="77777777" w:rsidTr="005645AE">
        <w:tc>
          <w:tcPr>
            <w:tcW w:w="1438" w:type="pct"/>
            <w:shd w:val="clear" w:color="auto" w:fill="auto"/>
          </w:tcPr>
          <w:p w14:paraId="6AEC256D" w14:textId="2C8A0340" w:rsidR="005645AE" w:rsidRPr="005645AE" w:rsidRDefault="005645AE" w:rsidP="0063672B">
            <w:pPr>
              <w:spacing w:before="120" w:after="120"/>
              <w:rPr>
                <w:rFonts w:ascii="Arial" w:hAnsi="Arial" w:cs="Arial"/>
                <w:szCs w:val="20"/>
              </w:rPr>
            </w:pPr>
            <w:r w:rsidRPr="005645AE">
              <w:rPr>
                <w:rFonts w:ascii="Arial" w:hAnsi="Arial" w:cs="Arial"/>
                <w:szCs w:val="20"/>
              </w:rPr>
              <w:t>Finance Officer, International Finance</w:t>
            </w:r>
          </w:p>
        </w:tc>
        <w:tc>
          <w:tcPr>
            <w:tcW w:w="3562" w:type="pct"/>
            <w:shd w:val="clear" w:color="auto" w:fill="auto"/>
          </w:tcPr>
          <w:p w14:paraId="0064AF20" w14:textId="1C0DDB4F" w:rsidR="005645AE" w:rsidRPr="005645AE" w:rsidRDefault="005645AE" w:rsidP="0063672B">
            <w:pPr>
              <w:spacing w:before="120" w:after="120"/>
              <w:jc w:val="both"/>
              <w:rPr>
                <w:rFonts w:ascii="Arial" w:hAnsi="Arial" w:cs="Arial"/>
                <w:szCs w:val="20"/>
              </w:rPr>
            </w:pPr>
            <w:r w:rsidRPr="005645AE">
              <w:rPr>
                <w:rFonts w:ascii="Arial" w:hAnsi="Arial" w:cs="Arial"/>
                <w:szCs w:val="20"/>
              </w:rPr>
              <w:t xml:space="preserve">OS-HELP loan application processing, </w:t>
            </w:r>
            <w:r w:rsidR="00F34350" w:rsidRPr="005645AE">
              <w:rPr>
                <w:rFonts w:ascii="Arial" w:hAnsi="Arial" w:cs="Arial"/>
                <w:szCs w:val="20"/>
              </w:rPr>
              <w:t xml:space="preserve">allocation, </w:t>
            </w:r>
            <w:proofErr w:type="gramStart"/>
            <w:r w:rsidRPr="005645AE">
              <w:rPr>
                <w:rFonts w:ascii="Arial" w:hAnsi="Arial" w:cs="Arial"/>
                <w:szCs w:val="20"/>
              </w:rPr>
              <w:t>monitoring</w:t>
            </w:r>
            <w:proofErr w:type="gramEnd"/>
            <w:r w:rsidRPr="005645AE">
              <w:rPr>
                <w:rFonts w:ascii="Arial" w:hAnsi="Arial" w:cs="Arial"/>
                <w:szCs w:val="20"/>
              </w:rPr>
              <w:t xml:space="preserve"> and compliance</w:t>
            </w:r>
          </w:p>
        </w:tc>
      </w:tr>
    </w:tbl>
    <w:p w14:paraId="34009791" w14:textId="54CB7D04" w:rsidR="003E0B6D" w:rsidRPr="00902125" w:rsidRDefault="00DA348D" w:rsidP="0063672B">
      <w:pPr>
        <w:pStyle w:val="Heading2"/>
        <w:jc w:val="both"/>
      </w:pPr>
      <w:bookmarkStart w:id="11" w:name="_Ref20320732"/>
      <w:bookmarkEnd w:id="10"/>
      <w:r w:rsidRPr="00902125">
        <w:t>5</w:t>
      </w:r>
      <w:r w:rsidR="003E0B6D" w:rsidRPr="00902125">
        <w:t>.0 Definitions</w:t>
      </w:r>
      <w:bookmarkEnd w:id="11"/>
    </w:p>
    <w:p w14:paraId="36448D87" w14:textId="32E7995A" w:rsidR="00091793" w:rsidRPr="00091793" w:rsidRDefault="00091793" w:rsidP="0063672B">
      <w:pPr>
        <w:jc w:val="both"/>
        <w:rPr>
          <w:rFonts w:ascii="Arial" w:hAnsi="Arial" w:cs="Arial"/>
          <w:szCs w:val="20"/>
        </w:rPr>
      </w:pPr>
      <w:bookmarkStart w:id="12" w:name="_Hlk115871718"/>
      <w:r w:rsidRPr="00091793">
        <w:rPr>
          <w:rFonts w:ascii="Arial" w:hAnsi="Arial" w:cs="Arial"/>
          <w:szCs w:val="20"/>
        </w:rPr>
        <w:t>For the purposes of this policy and related policy documents, the following definitions apply:</w:t>
      </w:r>
    </w:p>
    <w:p w14:paraId="31FDF93C" w14:textId="5FAB1D90" w:rsidR="00E609DC" w:rsidRPr="00E609DC" w:rsidRDefault="004B7F44" w:rsidP="0063672B">
      <w:pPr>
        <w:autoSpaceDE w:val="0"/>
        <w:autoSpaceDN w:val="0"/>
        <w:adjustRightInd w:val="0"/>
        <w:jc w:val="both"/>
        <w:rPr>
          <w:rFonts w:ascii="Arial" w:hAnsi="Arial" w:cs="Arial"/>
          <w:color w:val="000000"/>
          <w:szCs w:val="20"/>
          <w:lang w:eastAsia="en-US"/>
        </w:rPr>
      </w:pPr>
      <w:bookmarkStart w:id="13" w:name="_Hlk115863888"/>
      <w:r w:rsidRPr="00D6321E">
        <w:rPr>
          <w:rFonts w:ascii="Arial" w:hAnsi="Arial" w:cs="Arial"/>
          <w:b/>
          <w:bCs/>
          <w:szCs w:val="20"/>
        </w:rPr>
        <w:t>Funding</w:t>
      </w:r>
      <w:r>
        <w:rPr>
          <w:rFonts w:ascii="Arial" w:hAnsi="Arial" w:cs="Arial"/>
          <w:szCs w:val="20"/>
        </w:rPr>
        <w:t xml:space="preserve"> is the funds payable by Griffith Global Mobility </w:t>
      </w:r>
      <w:r w:rsidR="005645AE">
        <w:rPr>
          <w:rFonts w:ascii="Arial" w:hAnsi="Arial" w:cs="Arial"/>
          <w:szCs w:val="20"/>
        </w:rPr>
        <w:t xml:space="preserve">or International Finance (OS-HELP loans) </w:t>
      </w:r>
      <w:r>
        <w:rPr>
          <w:rFonts w:ascii="Arial" w:hAnsi="Arial" w:cs="Arial"/>
          <w:szCs w:val="20"/>
        </w:rPr>
        <w:t>to support student participation in Global Mobility programs.</w:t>
      </w:r>
      <w:r w:rsidR="00E609DC">
        <w:rPr>
          <w:rFonts w:ascii="Arial" w:hAnsi="Arial" w:cs="Arial"/>
          <w:color w:val="000000"/>
          <w:szCs w:val="20"/>
          <w:lang w:eastAsia="en-US"/>
        </w:rPr>
        <w:t xml:space="preserve"> </w:t>
      </w:r>
    </w:p>
    <w:p w14:paraId="627F7C81" w14:textId="2B1070AE" w:rsidR="00BA0110" w:rsidRDefault="00722585" w:rsidP="0063672B">
      <w:pPr>
        <w:jc w:val="both"/>
        <w:rPr>
          <w:rFonts w:ascii="Arial" w:hAnsi="Arial" w:cs="Arial"/>
          <w:szCs w:val="20"/>
        </w:rPr>
      </w:pPr>
      <w:proofErr w:type="spellStart"/>
      <w:r w:rsidRPr="00403AC8">
        <w:rPr>
          <w:rFonts w:ascii="Arial" w:hAnsi="Arial" w:cs="Arial"/>
          <w:b/>
          <w:bCs/>
          <w:szCs w:val="20"/>
        </w:rPr>
        <w:t>GrantConnect</w:t>
      </w:r>
      <w:proofErr w:type="spellEnd"/>
      <w:r w:rsidRPr="00403AC8">
        <w:rPr>
          <w:rFonts w:ascii="Arial" w:hAnsi="Arial" w:cs="Arial"/>
          <w:szCs w:val="20"/>
        </w:rPr>
        <w:t xml:space="preserve"> </w:t>
      </w:r>
      <w:r w:rsidRPr="004B7F44">
        <w:rPr>
          <w:rFonts w:ascii="Arial" w:hAnsi="Arial" w:cs="Arial"/>
          <w:szCs w:val="20"/>
        </w:rPr>
        <w:t>is the Australian Government’s whole-of-government grants information system, which centralises the publication and reporting of Commonwealth grants in accordance with the Commonwealth Grants Rules and Guidelines (CGRGs).</w:t>
      </w:r>
    </w:p>
    <w:p w14:paraId="7BBC5D1B" w14:textId="0D5EA963" w:rsidR="00BA0110" w:rsidRPr="00E609DC" w:rsidRDefault="00722585" w:rsidP="0063672B">
      <w:pPr>
        <w:jc w:val="both"/>
        <w:rPr>
          <w:rFonts w:ascii="Arial" w:hAnsi="Arial" w:cs="Arial"/>
          <w:szCs w:val="20"/>
        </w:rPr>
      </w:pPr>
      <w:r w:rsidRPr="00722585">
        <w:rPr>
          <w:rFonts w:ascii="Arial" w:hAnsi="Arial" w:cs="Arial"/>
          <w:b/>
          <w:bCs/>
          <w:szCs w:val="20"/>
        </w:rPr>
        <w:t>Global Mobility program</w:t>
      </w:r>
      <w:r w:rsidRPr="00722585">
        <w:rPr>
          <w:rFonts w:ascii="Arial" w:hAnsi="Arial" w:cs="Arial"/>
          <w:szCs w:val="20"/>
        </w:rPr>
        <w:t xml:space="preserve"> </w:t>
      </w:r>
      <w:bookmarkStart w:id="14" w:name="_Hlk104988575"/>
      <w:r w:rsidRPr="00722585">
        <w:rPr>
          <w:rFonts w:ascii="Arial" w:hAnsi="Arial" w:cs="Arial"/>
          <w:szCs w:val="20"/>
        </w:rPr>
        <w:t xml:space="preserve">means any program coordinated, or otherwise endorsed by the University, and involves students participating in an international experience including but not limited to, global internships, study programs, and exchanges. They can be offered by Griffith Global Mobility, by an element within the University, an overseas partner institution, an exchange partner university, and/or by a </w:t>
      </w:r>
      <w:proofErr w:type="gramStart"/>
      <w:r w:rsidRPr="00722585">
        <w:rPr>
          <w:rFonts w:ascii="Arial" w:hAnsi="Arial" w:cs="Arial"/>
          <w:szCs w:val="20"/>
        </w:rPr>
        <w:t>University</w:t>
      </w:r>
      <w:proofErr w:type="gramEnd"/>
      <w:r w:rsidRPr="00722585">
        <w:rPr>
          <w:rFonts w:ascii="Arial" w:hAnsi="Arial" w:cs="Arial"/>
          <w:szCs w:val="20"/>
        </w:rPr>
        <w:t xml:space="preserve">-approved third-party provider. They may be credit bearing or non-credit bearing and delivered online or in another country. </w:t>
      </w:r>
      <w:bookmarkEnd w:id="14"/>
    </w:p>
    <w:p w14:paraId="741CE8BF" w14:textId="59AC9A3E" w:rsidR="00722585" w:rsidRDefault="00722585" w:rsidP="0063672B">
      <w:pPr>
        <w:jc w:val="both"/>
        <w:rPr>
          <w:rFonts w:ascii="Arial" w:hAnsi="Arial" w:cs="Arial"/>
          <w:szCs w:val="20"/>
        </w:rPr>
      </w:pPr>
      <w:r w:rsidRPr="00353E8C">
        <w:rPr>
          <w:rFonts w:ascii="Arial" w:hAnsi="Arial" w:cs="Arial"/>
          <w:b/>
          <w:bCs/>
          <w:szCs w:val="20"/>
        </w:rPr>
        <w:t>Griffith Global Mobility</w:t>
      </w:r>
      <w:r>
        <w:rPr>
          <w:rFonts w:ascii="Arial" w:hAnsi="Arial" w:cs="Arial"/>
          <w:szCs w:val="20"/>
        </w:rPr>
        <w:t xml:space="preserve"> is the central </w:t>
      </w:r>
      <w:r w:rsidRPr="00B32B87">
        <w:rPr>
          <w:rFonts w:ascii="Arial" w:hAnsi="Arial" w:cs="Arial"/>
          <w:szCs w:val="20"/>
        </w:rPr>
        <w:t xml:space="preserve">unit </w:t>
      </w:r>
      <w:r>
        <w:rPr>
          <w:rFonts w:ascii="Arial" w:hAnsi="Arial" w:cs="Arial"/>
          <w:szCs w:val="20"/>
        </w:rPr>
        <w:t xml:space="preserve">at Griffith </w:t>
      </w:r>
      <w:r w:rsidRPr="00B32B87">
        <w:rPr>
          <w:rFonts w:ascii="Arial" w:hAnsi="Arial" w:cs="Arial"/>
          <w:szCs w:val="20"/>
        </w:rPr>
        <w:t>responsible for the administration</w:t>
      </w:r>
      <w:r>
        <w:rPr>
          <w:rFonts w:ascii="Arial" w:hAnsi="Arial" w:cs="Arial"/>
          <w:szCs w:val="20"/>
        </w:rPr>
        <w:t xml:space="preserve">, </w:t>
      </w:r>
      <w:proofErr w:type="gramStart"/>
      <w:r w:rsidRPr="00B32B87">
        <w:rPr>
          <w:rFonts w:ascii="Arial" w:hAnsi="Arial" w:cs="Arial"/>
          <w:szCs w:val="20"/>
        </w:rPr>
        <w:t>management</w:t>
      </w:r>
      <w:proofErr w:type="gramEnd"/>
      <w:r w:rsidRPr="00B32B87">
        <w:rPr>
          <w:rFonts w:ascii="Arial" w:hAnsi="Arial" w:cs="Arial"/>
          <w:szCs w:val="20"/>
        </w:rPr>
        <w:t xml:space="preserve"> </w:t>
      </w:r>
      <w:r>
        <w:rPr>
          <w:rFonts w:ascii="Arial" w:hAnsi="Arial" w:cs="Arial"/>
          <w:szCs w:val="20"/>
        </w:rPr>
        <w:t xml:space="preserve">and oversight </w:t>
      </w:r>
      <w:r w:rsidRPr="00B32B87">
        <w:rPr>
          <w:rFonts w:ascii="Arial" w:hAnsi="Arial" w:cs="Arial"/>
          <w:szCs w:val="20"/>
        </w:rPr>
        <w:t>of</w:t>
      </w:r>
      <w:r>
        <w:rPr>
          <w:rFonts w:ascii="Arial" w:hAnsi="Arial" w:cs="Arial"/>
          <w:szCs w:val="20"/>
        </w:rPr>
        <w:t xml:space="preserve"> student global </w:t>
      </w:r>
      <w:r w:rsidRPr="00B32B87">
        <w:rPr>
          <w:rFonts w:ascii="Arial" w:hAnsi="Arial" w:cs="Arial"/>
          <w:szCs w:val="20"/>
        </w:rPr>
        <w:t>mobili</w:t>
      </w:r>
      <w:r>
        <w:rPr>
          <w:rFonts w:ascii="Arial" w:hAnsi="Arial" w:cs="Arial"/>
          <w:szCs w:val="20"/>
        </w:rPr>
        <w:t xml:space="preserve">ty. </w:t>
      </w:r>
    </w:p>
    <w:p w14:paraId="5A76761A" w14:textId="1F368DE5" w:rsidR="00E609DC" w:rsidRDefault="00BA0110" w:rsidP="0063672B">
      <w:pPr>
        <w:jc w:val="both"/>
        <w:rPr>
          <w:rFonts w:ascii="Arial" w:hAnsi="Arial" w:cs="Arial"/>
          <w:szCs w:val="20"/>
        </w:rPr>
      </w:pPr>
      <w:r w:rsidRPr="00353E8C">
        <w:rPr>
          <w:rFonts w:ascii="Arial" w:hAnsi="Arial" w:cs="Arial"/>
          <w:b/>
          <w:bCs/>
          <w:szCs w:val="20"/>
        </w:rPr>
        <w:t>International Experience Incentive Scheme (IEIS)</w:t>
      </w:r>
      <w:r w:rsidRPr="00B32B87">
        <w:rPr>
          <w:rFonts w:ascii="Arial" w:hAnsi="Arial" w:cs="Arial"/>
          <w:szCs w:val="20"/>
        </w:rPr>
        <w:t xml:space="preserve"> </w:t>
      </w:r>
      <w:r w:rsidR="00792F1A">
        <w:rPr>
          <w:rFonts w:ascii="Arial" w:hAnsi="Arial" w:cs="Arial"/>
          <w:szCs w:val="20"/>
        </w:rPr>
        <w:t>provides grants</w:t>
      </w:r>
      <w:r w:rsidRPr="00B32B87">
        <w:rPr>
          <w:rFonts w:ascii="Arial" w:hAnsi="Arial" w:cs="Arial"/>
          <w:szCs w:val="20"/>
        </w:rPr>
        <w:t xml:space="preserve"> paid to eligible Griffith students participating in an outbound mobility program. </w:t>
      </w:r>
    </w:p>
    <w:p w14:paraId="7A0F11CB" w14:textId="77777777" w:rsidR="00DD566E" w:rsidRPr="0063672B" w:rsidRDefault="00DD566E" w:rsidP="0063672B">
      <w:pPr>
        <w:spacing w:after="120"/>
        <w:jc w:val="both"/>
        <w:rPr>
          <w:rFonts w:ascii="Arial" w:hAnsi="Arial" w:cs="Arial"/>
          <w:color w:val="000000" w:themeColor="text1"/>
          <w:szCs w:val="20"/>
        </w:rPr>
      </w:pPr>
      <w:r>
        <w:rPr>
          <w:rFonts w:ascii="Arial" w:hAnsi="Arial" w:cs="Arial"/>
          <w:b/>
          <w:bCs/>
          <w:szCs w:val="20"/>
        </w:rPr>
        <w:t xml:space="preserve">New Colombo Plan or NCP </w:t>
      </w:r>
      <w:r w:rsidRPr="003A3F05">
        <w:rPr>
          <w:rFonts w:ascii="Arial" w:hAnsi="Arial" w:cs="Arial"/>
          <w:szCs w:val="20"/>
        </w:rPr>
        <w:t xml:space="preserve">means </w:t>
      </w:r>
      <w:r w:rsidRPr="0063672B">
        <w:rPr>
          <w:rFonts w:ascii="Arial" w:hAnsi="Arial" w:cs="Arial"/>
          <w:color w:val="000000" w:themeColor="text1"/>
          <w:szCs w:val="20"/>
        </w:rPr>
        <w:t>the New Colombo Plan managed by the Commonwealth Department of Foreign Affairs and Trade.</w:t>
      </w:r>
    </w:p>
    <w:p w14:paraId="1CAC0435" w14:textId="31561BC2" w:rsidR="00F2545F" w:rsidRDefault="00F2545F" w:rsidP="0063672B">
      <w:pPr>
        <w:spacing w:after="120"/>
        <w:jc w:val="both"/>
        <w:rPr>
          <w:rFonts w:ascii="Arial" w:hAnsi="Arial" w:cs="Arial"/>
          <w:b/>
          <w:bCs/>
          <w:szCs w:val="20"/>
        </w:rPr>
      </w:pPr>
      <w:r>
        <w:rPr>
          <w:rFonts w:ascii="Arial" w:hAnsi="Arial" w:cs="Arial"/>
          <w:b/>
          <w:bCs/>
          <w:szCs w:val="20"/>
        </w:rPr>
        <w:t xml:space="preserve">OS-HELP </w:t>
      </w:r>
      <w:r w:rsidRPr="00F2545F">
        <w:rPr>
          <w:rFonts w:ascii="Arial" w:hAnsi="Arial" w:cs="Arial"/>
          <w:szCs w:val="20"/>
        </w:rPr>
        <w:t>loan means</w:t>
      </w:r>
      <w:r>
        <w:rPr>
          <w:rFonts w:ascii="Arial" w:hAnsi="Arial" w:cs="Arial"/>
          <w:b/>
          <w:bCs/>
          <w:szCs w:val="20"/>
        </w:rPr>
        <w:t xml:space="preserve"> </w:t>
      </w:r>
      <w:r w:rsidR="00855D24" w:rsidRPr="00855D24">
        <w:rPr>
          <w:rFonts w:ascii="Arial" w:hAnsi="Arial" w:cs="Arial"/>
          <w:szCs w:val="20"/>
        </w:rPr>
        <w:t xml:space="preserve">a </w:t>
      </w:r>
      <w:r w:rsidRPr="00F2545F">
        <w:rPr>
          <w:rFonts w:ascii="Arial" w:hAnsi="Arial" w:cs="Arial"/>
          <w:szCs w:val="20"/>
        </w:rPr>
        <w:t xml:space="preserve">loan </w:t>
      </w:r>
      <w:r w:rsidR="00855D24">
        <w:rPr>
          <w:rFonts w:ascii="Arial" w:hAnsi="Arial" w:cs="Arial"/>
          <w:szCs w:val="20"/>
        </w:rPr>
        <w:t xml:space="preserve">provided by the </w:t>
      </w:r>
      <w:r w:rsidR="00855D24" w:rsidRPr="00855D24">
        <w:rPr>
          <w:rFonts w:ascii="Arial" w:hAnsi="Arial" w:cs="Arial"/>
          <w:szCs w:val="20"/>
        </w:rPr>
        <w:t xml:space="preserve">Australian Government </w:t>
      </w:r>
      <w:r w:rsidRPr="00F2545F">
        <w:rPr>
          <w:rFonts w:ascii="Arial" w:hAnsi="Arial" w:cs="Arial"/>
          <w:szCs w:val="20"/>
        </w:rPr>
        <w:t xml:space="preserve">for students enrolled in a </w:t>
      </w:r>
      <w:hyperlink r:id="rId25" w:history="1">
        <w:r w:rsidRPr="00F2545F">
          <w:rPr>
            <w:rStyle w:val="Hyperlink"/>
            <w:rFonts w:ascii="Arial" w:hAnsi="Arial" w:cs="Arial"/>
            <w:szCs w:val="20"/>
          </w:rPr>
          <w:t>Commonwealth supported place (CSP)</w:t>
        </w:r>
      </w:hyperlink>
      <w:r w:rsidRPr="00F2545F">
        <w:rPr>
          <w:rFonts w:ascii="Arial" w:hAnsi="Arial" w:cs="Arial"/>
          <w:szCs w:val="20"/>
        </w:rPr>
        <w:t xml:space="preserve"> who want to study some of their course overseas.</w:t>
      </w:r>
      <w:r>
        <w:rPr>
          <w:rFonts w:ascii="Arial" w:hAnsi="Arial" w:cs="Arial"/>
          <w:szCs w:val="20"/>
        </w:rPr>
        <w:t xml:space="preserve"> </w:t>
      </w:r>
    </w:p>
    <w:p w14:paraId="24766297" w14:textId="77777777" w:rsidR="00792F1A" w:rsidRDefault="00792F1A" w:rsidP="0063672B">
      <w:pPr>
        <w:spacing w:after="120"/>
        <w:jc w:val="both"/>
        <w:rPr>
          <w:rFonts w:ascii="Arial" w:hAnsi="Arial" w:cs="Arial"/>
          <w:b/>
          <w:bCs/>
          <w:szCs w:val="20"/>
        </w:rPr>
      </w:pPr>
      <w:r w:rsidRPr="00792F1A">
        <w:rPr>
          <w:rFonts w:ascii="Arial" w:hAnsi="Arial" w:cs="Arial"/>
          <w:b/>
          <w:bCs/>
          <w:szCs w:val="20"/>
        </w:rPr>
        <w:t xml:space="preserve">Student </w:t>
      </w:r>
      <w:r w:rsidRPr="00792F1A">
        <w:rPr>
          <w:rFonts w:ascii="Arial" w:hAnsi="Arial" w:cs="Arial"/>
          <w:szCs w:val="20"/>
        </w:rPr>
        <w:t>means a person who has an active enrolment status in a program of Griffith University (for complete definition of an active enrolment status refer to the Student Enrolment Policy) and excludes those enrolled in a Griffith University Open Universities Australia (OUA) degree.</w:t>
      </w:r>
    </w:p>
    <w:p w14:paraId="57188A35" w14:textId="3298A172" w:rsidR="00A90C25" w:rsidRPr="00D03D39" w:rsidRDefault="00CF3257" w:rsidP="0063672B">
      <w:pPr>
        <w:spacing w:after="120"/>
        <w:jc w:val="both"/>
        <w:rPr>
          <w:rFonts w:ascii="Arial" w:hAnsi="Arial" w:cs="Arial"/>
          <w:b/>
          <w:bCs/>
          <w:szCs w:val="20"/>
        </w:rPr>
        <w:sectPr w:rsidR="00A90C25" w:rsidRPr="00D03D39" w:rsidSect="00AB79FC">
          <w:headerReference w:type="default" r:id="rId26"/>
          <w:footerReference w:type="default" r:id="rId27"/>
          <w:type w:val="continuous"/>
          <w:pgSz w:w="11900" w:h="16840" w:code="9"/>
          <w:pgMar w:top="1985" w:right="1021" w:bottom="1021" w:left="1021" w:header="680" w:footer="454" w:gutter="0"/>
          <w:cols w:space="454"/>
          <w:docGrid w:linePitch="360"/>
        </w:sectPr>
      </w:pPr>
      <w:r w:rsidRPr="00CF3257">
        <w:rPr>
          <w:rFonts w:ascii="Arial" w:hAnsi="Arial" w:cs="Arial"/>
          <w:b/>
          <w:bCs/>
          <w:color w:val="000000"/>
          <w:spacing w:val="2"/>
          <w:u w:color="F04E45"/>
          <w:shd w:val="clear" w:color="auto" w:fill="FFFFFF"/>
        </w:rPr>
        <w:t xml:space="preserve">University-endorsed or </w:t>
      </w:r>
      <w:r w:rsidR="00A90C25" w:rsidRPr="00CF3257">
        <w:rPr>
          <w:rFonts w:ascii="Arial" w:hAnsi="Arial" w:cs="Arial"/>
          <w:b/>
          <w:bCs/>
          <w:color w:val="000000"/>
          <w:spacing w:val="2"/>
          <w:u w:color="F04E45"/>
          <w:shd w:val="clear" w:color="auto" w:fill="FFFFFF"/>
        </w:rPr>
        <w:t xml:space="preserve">approved Global Mobility </w:t>
      </w:r>
      <w:r w:rsidRPr="00CF3257">
        <w:rPr>
          <w:rFonts w:ascii="Arial" w:hAnsi="Arial" w:cs="Arial"/>
          <w:b/>
          <w:bCs/>
          <w:color w:val="000000"/>
          <w:spacing w:val="2"/>
          <w:u w:color="F04E45"/>
          <w:shd w:val="clear" w:color="auto" w:fill="FFFFFF"/>
        </w:rPr>
        <w:t>program</w:t>
      </w:r>
      <w:r>
        <w:rPr>
          <w:rFonts w:ascii="Arial" w:hAnsi="Arial" w:cs="Arial"/>
          <w:color w:val="000000"/>
          <w:spacing w:val="2"/>
          <w:u w:color="F04E45"/>
          <w:shd w:val="clear" w:color="auto" w:fill="FFFFFF"/>
        </w:rPr>
        <w:t xml:space="preserve"> means a program approved by Griffith Global Mobility </w:t>
      </w:r>
      <w:r w:rsidR="00A90C25" w:rsidRPr="00274B9C">
        <w:rPr>
          <w:rFonts w:ascii="Arial" w:hAnsi="Arial" w:cs="Arial"/>
          <w:color w:val="000000"/>
          <w:spacing w:val="2"/>
          <w:u w:color="F04E45"/>
          <w:shd w:val="clear" w:color="auto" w:fill="FFFFFF"/>
        </w:rPr>
        <w:t xml:space="preserve">and deemed to be of high quality with regard to the planned activities, </w:t>
      </w:r>
      <w:r w:rsidR="00A90C25">
        <w:rPr>
          <w:rFonts w:ascii="Arial" w:hAnsi="Arial" w:cs="Arial"/>
          <w:color w:val="000000"/>
          <w:spacing w:val="2"/>
          <w:shd w:val="clear" w:color="auto" w:fill="FFFFFF"/>
        </w:rPr>
        <w:t xml:space="preserve">fees, </w:t>
      </w:r>
      <w:r w:rsidR="00A90C25" w:rsidRPr="00274B9C">
        <w:rPr>
          <w:rFonts w:ascii="Arial" w:hAnsi="Arial" w:cs="Arial"/>
          <w:color w:val="000000"/>
          <w:spacing w:val="2"/>
          <w:u w:color="F04E45"/>
          <w:shd w:val="clear" w:color="auto" w:fill="FFFFFF"/>
        </w:rPr>
        <w:t>refund policies, student support services</w:t>
      </w:r>
      <w:r w:rsidR="00A90C25">
        <w:rPr>
          <w:rFonts w:ascii="Arial" w:hAnsi="Arial" w:cs="Arial"/>
          <w:color w:val="000000"/>
          <w:spacing w:val="2"/>
          <w:shd w:val="clear" w:color="auto" w:fill="FFFFFF"/>
        </w:rPr>
        <w:t xml:space="preserve">, and if being delivered in-country, the </w:t>
      </w:r>
      <w:r w:rsidR="00A90C25" w:rsidRPr="00274B9C">
        <w:rPr>
          <w:rFonts w:ascii="Arial" w:hAnsi="Arial" w:cs="Arial"/>
          <w:color w:val="000000"/>
          <w:spacing w:val="2"/>
          <w:u w:color="F04E45"/>
          <w:shd w:val="clear" w:color="auto" w:fill="FFFFFF"/>
        </w:rPr>
        <w:t>intended local transport, accommodation, communication networks, and procedures for managing emergency</w:t>
      </w:r>
      <w:r w:rsidR="00A90C25" w:rsidRPr="00DA3B45">
        <w:rPr>
          <w:rFonts w:ascii="Arial" w:hAnsi="Arial" w:cs="Arial"/>
          <w:color w:val="000000"/>
          <w:spacing w:val="2"/>
          <w:shd w:val="clear" w:color="auto" w:fill="FFFFFF"/>
        </w:rPr>
        <w:t xml:space="preserve"> situations, and any other relevant safeguards required in accordance with the risk management processes established by the University.</w:t>
      </w:r>
    </w:p>
    <w:tbl>
      <w:tblPr>
        <w:tblStyle w:val="TableGrid"/>
        <w:tblpPr w:leftFromText="180" w:rightFromText="180" w:vertAnchor="page" w:horzAnchor="margin" w:tblpY="19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CB102C" w14:paraId="7B3FD078" w14:textId="77777777" w:rsidTr="006464C6">
        <w:tc>
          <w:tcPr>
            <w:tcW w:w="1222" w:type="pct"/>
            <w:shd w:val="clear" w:color="auto" w:fill="595959" w:themeFill="text1" w:themeFillTint="A6"/>
          </w:tcPr>
          <w:bookmarkEnd w:id="12"/>
          <w:bookmarkEnd w:id="13"/>
          <w:p w14:paraId="48544CF1" w14:textId="77777777" w:rsidR="006D1A97" w:rsidRPr="00FC5552" w:rsidRDefault="006D1A97" w:rsidP="0063672B">
            <w:pPr>
              <w:spacing w:before="120" w:after="120"/>
              <w:jc w:val="both"/>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lastRenderedPageBreak/>
              <w:t>INFORMATION</w:t>
            </w:r>
          </w:p>
        </w:tc>
        <w:tc>
          <w:tcPr>
            <w:tcW w:w="3778" w:type="pct"/>
            <w:shd w:val="clear" w:color="auto" w:fill="595959" w:themeFill="text1" w:themeFillTint="A6"/>
          </w:tcPr>
          <w:p w14:paraId="65189603" w14:textId="77777777" w:rsidR="006D1A97" w:rsidRPr="00FC5552" w:rsidRDefault="006D1A97" w:rsidP="0063672B">
            <w:pPr>
              <w:spacing w:before="120" w:after="120"/>
              <w:jc w:val="both"/>
              <w:rPr>
                <w:rFonts w:ascii="Arial" w:hAnsi="Arial" w:cs="Arial"/>
                <w:color w:val="FFFFFF" w:themeColor="background1"/>
              </w:rPr>
            </w:pPr>
            <w:r w:rsidRPr="00FC5552">
              <w:rPr>
                <w:rFonts w:ascii="Arial" w:hAnsi="Arial" w:cs="Arial"/>
                <w:color w:val="FFFFFF" w:themeColor="background1"/>
              </w:rPr>
              <w:t>Printable version (PDF) Downloadable version (Word)</w:t>
            </w:r>
          </w:p>
        </w:tc>
      </w:tr>
      <w:tr w:rsidR="006D1A97" w14:paraId="732F5140" w14:textId="77777777" w:rsidTr="006464C6">
        <w:tc>
          <w:tcPr>
            <w:tcW w:w="1222" w:type="pct"/>
            <w:shd w:val="clear" w:color="auto" w:fill="auto"/>
          </w:tcPr>
          <w:p w14:paraId="5A2D9490" w14:textId="77777777" w:rsidR="006D1A97" w:rsidRPr="000209B9" w:rsidRDefault="006D1A97" w:rsidP="0063672B">
            <w:pPr>
              <w:spacing w:before="120" w:after="120"/>
              <w:jc w:val="both"/>
              <w:rPr>
                <w:rFonts w:ascii="Arial" w:hAnsi="Arial" w:cs="Arial"/>
                <w:szCs w:val="20"/>
              </w:rPr>
            </w:pPr>
            <w:r w:rsidRPr="000209B9">
              <w:rPr>
                <w:rFonts w:ascii="Arial" w:hAnsi="Arial" w:cs="Arial"/>
                <w:szCs w:val="20"/>
              </w:rPr>
              <w:t>Title</w:t>
            </w:r>
          </w:p>
        </w:tc>
        <w:tc>
          <w:tcPr>
            <w:tcW w:w="3778" w:type="pct"/>
            <w:shd w:val="clear" w:color="auto" w:fill="auto"/>
          </w:tcPr>
          <w:p w14:paraId="21A933A7" w14:textId="316D755A" w:rsidR="006D1A97" w:rsidRPr="000209B9" w:rsidRDefault="009A2C78" w:rsidP="0063672B">
            <w:pPr>
              <w:spacing w:before="120" w:after="120"/>
              <w:jc w:val="both"/>
              <w:rPr>
                <w:rFonts w:ascii="Arial" w:hAnsi="Arial" w:cs="Arial"/>
                <w:szCs w:val="20"/>
              </w:rPr>
            </w:pPr>
            <w:r>
              <w:rPr>
                <w:rFonts w:ascii="Arial" w:hAnsi="Arial" w:cs="Arial"/>
                <w:szCs w:val="20"/>
              </w:rPr>
              <w:t xml:space="preserve">Griffith Global Mobility </w:t>
            </w:r>
            <w:r w:rsidR="008945F3">
              <w:rPr>
                <w:rFonts w:ascii="Arial" w:hAnsi="Arial" w:cs="Arial"/>
                <w:szCs w:val="20"/>
              </w:rPr>
              <w:t>S</w:t>
            </w:r>
            <w:r>
              <w:rPr>
                <w:rFonts w:ascii="Arial" w:hAnsi="Arial" w:cs="Arial"/>
                <w:szCs w:val="20"/>
              </w:rPr>
              <w:t xml:space="preserve">tudent </w:t>
            </w:r>
            <w:r w:rsidR="008945F3">
              <w:rPr>
                <w:rFonts w:ascii="Arial" w:hAnsi="Arial" w:cs="Arial"/>
                <w:szCs w:val="20"/>
              </w:rPr>
              <w:t>F</w:t>
            </w:r>
            <w:r>
              <w:rPr>
                <w:rFonts w:ascii="Arial" w:hAnsi="Arial" w:cs="Arial"/>
                <w:szCs w:val="20"/>
              </w:rPr>
              <w:t xml:space="preserve">unding </w:t>
            </w:r>
            <w:r w:rsidR="008945F3">
              <w:rPr>
                <w:rFonts w:ascii="Arial" w:hAnsi="Arial" w:cs="Arial"/>
                <w:szCs w:val="20"/>
              </w:rPr>
              <w:t>P</w:t>
            </w:r>
            <w:r>
              <w:rPr>
                <w:rFonts w:ascii="Arial" w:hAnsi="Arial" w:cs="Arial"/>
                <w:szCs w:val="20"/>
              </w:rPr>
              <w:t>olicy</w:t>
            </w:r>
          </w:p>
        </w:tc>
      </w:tr>
      <w:tr w:rsidR="006D1A97" w14:paraId="3397A4DD" w14:textId="77777777" w:rsidTr="006464C6">
        <w:tc>
          <w:tcPr>
            <w:tcW w:w="1222" w:type="pct"/>
            <w:shd w:val="clear" w:color="auto" w:fill="E6E7E8"/>
          </w:tcPr>
          <w:p w14:paraId="794CFE4E" w14:textId="77777777" w:rsidR="006D1A97" w:rsidRPr="000209B9" w:rsidRDefault="006D1A97" w:rsidP="0063672B">
            <w:pPr>
              <w:spacing w:before="120" w:after="120"/>
              <w:jc w:val="both"/>
              <w:rPr>
                <w:rFonts w:ascii="Arial" w:hAnsi="Arial" w:cs="Arial"/>
                <w:szCs w:val="20"/>
              </w:rPr>
            </w:pPr>
            <w:r w:rsidRPr="000209B9">
              <w:rPr>
                <w:rFonts w:ascii="Arial" w:hAnsi="Arial" w:cs="Arial"/>
                <w:szCs w:val="20"/>
              </w:rPr>
              <w:t>Document number</w:t>
            </w:r>
          </w:p>
        </w:tc>
        <w:tc>
          <w:tcPr>
            <w:tcW w:w="3778" w:type="pct"/>
            <w:shd w:val="clear" w:color="auto" w:fill="E6E7E8"/>
          </w:tcPr>
          <w:p w14:paraId="19C4F27F" w14:textId="23D2B185" w:rsidR="006D1A97" w:rsidRPr="000209B9" w:rsidRDefault="006715FE" w:rsidP="0063672B">
            <w:pPr>
              <w:spacing w:before="120" w:after="120"/>
              <w:jc w:val="both"/>
              <w:rPr>
                <w:rFonts w:ascii="Arial" w:hAnsi="Arial" w:cs="Arial"/>
                <w:szCs w:val="20"/>
              </w:rPr>
            </w:pPr>
            <w:r w:rsidRPr="006715FE">
              <w:rPr>
                <w:rFonts w:ascii="Arial" w:hAnsi="Arial" w:cs="Arial"/>
                <w:szCs w:val="20"/>
              </w:rPr>
              <w:t>202</w:t>
            </w:r>
            <w:r w:rsidR="002B33EF">
              <w:rPr>
                <w:rFonts w:ascii="Arial" w:hAnsi="Arial" w:cs="Arial"/>
                <w:szCs w:val="20"/>
              </w:rPr>
              <w:t>3</w:t>
            </w:r>
            <w:r w:rsidRPr="006715FE">
              <w:rPr>
                <w:rFonts w:ascii="Arial" w:hAnsi="Arial" w:cs="Arial"/>
                <w:szCs w:val="20"/>
              </w:rPr>
              <w:t>/0000</w:t>
            </w:r>
            <w:r w:rsidR="002B33EF">
              <w:rPr>
                <w:rFonts w:ascii="Arial" w:hAnsi="Arial" w:cs="Arial"/>
                <w:szCs w:val="20"/>
              </w:rPr>
              <w:t>453</w:t>
            </w:r>
          </w:p>
        </w:tc>
      </w:tr>
      <w:tr w:rsidR="006D1A97" w14:paraId="0CF1FDA4" w14:textId="77777777" w:rsidTr="006464C6">
        <w:tc>
          <w:tcPr>
            <w:tcW w:w="1222" w:type="pct"/>
            <w:shd w:val="clear" w:color="auto" w:fill="auto"/>
          </w:tcPr>
          <w:p w14:paraId="5B9C8B00" w14:textId="77777777" w:rsidR="006D1A97" w:rsidRPr="000209B9" w:rsidRDefault="006D1A97" w:rsidP="0063672B">
            <w:pPr>
              <w:spacing w:before="120" w:after="120"/>
              <w:jc w:val="both"/>
              <w:rPr>
                <w:rFonts w:ascii="Arial" w:hAnsi="Arial" w:cs="Arial"/>
                <w:szCs w:val="20"/>
              </w:rPr>
            </w:pPr>
            <w:r w:rsidRPr="000209B9">
              <w:rPr>
                <w:rFonts w:ascii="Arial" w:hAnsi="Arial" w:cs="Arial"/>
                <w:szCs w:val="20"/>
              </w:rPr>
              <w:t>Purpose</w:t>
            </w:r>
          </w:p>
        </w:tc>
        <w:tc>
          <w:tcPr>
            <w:tcW w:w="3778" w:type="pct"/>
            <w:shd w:val="clear" w:color="auto" w:fill="auto"/>
          </w:tcPr>
          <w:p w14:paraId="1F8D5B3D" w14:textId="7099A3B8" w:rsidR="006D1A97" w:rsidRPr="000209B9" w:rsidRDefault="000909DB" w:rsidP="0063672B">
            <w:pPr>
              <w:spacing w:before="120" w:after="120"/>
              <w:jc w:val="both"/>
              <w:rPr>
                <w:rFonts w:ascii="Arial" w:hAnsi="Arial" w:cs="Arial"/>
                <w:szCs w:val="20"/>
              </w:rPr>
            </w:pPr>
            <w:r w:rsidRPr="000909DB">
              <w:rPr>
                <w:rFonts w:ascii="Arial" w:hAnsi="Arial" w:cs="Arial"/>
                <w:szCs w:val="20"/>
              </w:rPr>
              <w:t>This policy governs the administration of funding to support student participation in Global Mobility programs.</w:t>
            </w:r>
          </w:p>
        </w:tc>
      </w:tr>
      <w:tr w:rsidR="006D1A97" w14:paraId="43F34308" w14:textId="77777777" w:rsidTr="006464C6">
        <w:tc>
          <w:tcPr>
            <w:tcW w:w="1222" w:type="pct"/>
            <w:shd w:val="clear" w:color="auto" w:fill="E6E7E8"/>
          </w:tcPr>
          <w:p w14:paraId="3A9C452F" w14:textId="77777777" w:rsidR="006D1A97" w:rsidRPr="000209B9" w:rsidRDefault="006D1A97" w:rsidP="0063672B">
            <w:pPr>
              <w:spacing w:before="120" w:after="120"/>
              <w:jc w:val="both"/>
              <w:rPr>
                <w:rFonts w:ascii="Arial" w:hAnsi="Arial" w:cs="Arial"/>
                <w:szCs w:val="20"/>
              </w:rPr>
            </w:pPr>
            <w:r w:rsidRPr="000209B9">
              <w:rPr>
                <w:rFonts w:ascii="Arial" w:hAnsi="Arial" w:cs="Arial"/>
                <w:szCs w:val="20"/>
              </w:rPr>
              <w:t>Audience</w:t>
            </w:r>
          </w:p>
        </w:tc>
        <w:tc>
          <w:tcPr>
            <w:tcW w:w="3778" w:type="pct"/>
            <w:shd w:val="clear" w:color="auto" w:fill="E6E7E8"/>
          </w:tcPr>
          <w:p w14:paraId="1816F64A" w14:textId="58F5C7BE" w:rsidR="006D1A97" w:rsidRPr="00EE646E" w:rsidRDefault="001A6B5E" w:rsidP="0063672B">
            <w:pPr>
              <w:spacing w:before="120" w:after="120"/>
              <w:jc w:val="both"/>
              <w:rPr>
                <w:rFonts w:ascii="Arial" w:hAnsi="Arial" w:cs="Arial"/>
                <w:szCs w:val="20"/>
              </w:rPr>
            </w:pPr>
            <w:r>
              <w:rPr>
                <w:rFonts w:ascii="Arial" w:hAnsi="Arial" w:cs="Arial"/>
                <w:szCs w:val="20"/>
              </w:rPr>
              <w:t xml:space="preserve">Staff; </w:t>
            </w:r>
            <w:r w:rsidR="007B7A16">
              <w:rPr>
                <w:rFonts w:ascii="Arial" w:hAnsi="Arial" w:cs="Arial"/>
                <w:szCs w:val="20"/>
              </w:rPr>
              <w:t>S</w:t>
            </w:r>
            <w:r>
              <w:rPr>
                <w:rFonts w:ascii="Arial" w:hAnsi="Arial" w:cs="Arial"/>
                <w:szCs w:val="20"/>
              </w:rPr>
              <w:t>tudents</w:t>
            </w:r>
            <w:r w:rsidR="007B7A16">
              <w:rPr>
                <w:rFonts w:ascii="Arial" w:hAnsi="Arial" w:cs="Arial"/>
                <w:szCs w:val="20"/>
              </w:rPr>
              <w:t>; Public</w:t>
            </w:r>
          </w:p>
        </w:tc>
      </w:tr>
      <w:tr w:rsidR="006D1A97" w14:paraId="4B686D95" w14:textId="77777777" w:rsidTr="006464C6">
        <w:tc>
          <w:tcPr>
            <w:tcW w:w="1222" w:type="pct"/>
            <w:shd w:val="clear" w:color="auto" w:fill="auto"/>
          </w:tcPr>
          <w:p w14:paraId="665F750D" w14:textId="77777777" w:rsidR="006D1A97" w:rsidRPr="000209B9" w:rsidRDefault="006D1A97" w:rsidP="0063672B">
            <w:pPr>
              <w:spacing w:before="120" w:after="120"/>
              <w:jc w:val="both"/>
              <w:rPr>
                <w:rFonts w:ascii="Arial" w:hAnsi="Arial" w:cs="Arial"/>
                <w:szCs w:val="20"/>
              </w:rPr>
            </w:pPr>
            <w:r w:rsidRPr="000209B9">
              <w:rPr>
                <w:rFonts w:ascii="Arial" w:hAnsi="Arial" w:cs="Arial"/>
                <w:szCs w:val="20"/>
              </w:rPr>
              <w:t>Category</w:t>
            </w:r>
          </w:p>
        </w:tc>
        <w:tc>
          <w:tcPr>
            <w:tcW w:w="3778" w:type="pct"/>
            <w:shd w:val="clear" w:color="auto" w:fill="auto"/>
          </w:tcPr>
          <w:p w14:paraId="771A6A2E" w14:textId="34877AC6" w:rsidR="006D1A97" w:rsidRPr="000209B9" w:rsidRDefault="00CC43B2" w:rsidP="0063672B">
            <w:pPr>
              <w:spacing w:before="120" w:after="120"/>
              <w:jc w:val="both"/>
              <w:rPr>
                <w:rFonts w:ascii="Arial" w:hAnsi="Arial" w:cs="Arial"/>
                <w:szCs w:val="20"/>
              </w:rPr>
            </w:pPr>
            <w:r w:rsidRPr="00EE646E">
              <w:rPr>
                <w:rFonts w:ascii="Arial" w:hAnsi="Arial" w:cs="Arial"/>
                <w:szCs w:val="20"/>
              </w:rPr>
              <w:t>Academic</w:t>
            </w:r>
          </w:p>
        </w:tc>
      </w:tr>
      <w:tr w:rsidR="006D1A97" w14:paraId="5003F038" w14:textId="77777777" w:rsidTr="006464C6">
        <w:tc>
          <w:tcPr>
            <w:tcW w:w="1222" w:type="pct"/>
            <w:shd w:val="clear" w:color="auto" w:fill="E6E7E8"/>
          </w:tcPr>
          <w:p w14:paraId="0040C52D" w14:textId="65A3D833" w:rsidR="006D1A97" w:rsidRPr="000209B9" w:rsidRDefault="006D1A97" w:rsidP="0063672B">
            <w:pPr>
              <w:spacing w:before="120" w:after="120"/>
              <w:jc w:val="both"/>
              <w:rPr>
                <w:rFonts w:ascii="Arial" w:hAnsi="Arial" w:cs="Arial"/>
                <w:szCs w:val="20"/>
              </w:rPr>
            </w:pPr>
            <w:r w:rsidRPr="000209B9">
              <w:rPr>
                <w:rFonts w:ascii="Arial" w:hAnsi="Arial" w:cs="Arial"/>
                <w:szCs w:val="20"/>
              </w:rPr>
              <w:t>Sub</w:t>
            </w:r>
            <w:r w:rsidR="00AB30DD" w:rsidRPr="000209B9">
              <w:rPr>
                <w:rFonts w:ascii="Arial" w:hAnsi="Arial" w:cs="Arial"/>
                <w:szCs w:val="20"/>
              </w:rPr>
              <w:t>category</w:t>
            </w:r>
          </w:p>
        </w:tc>
        <w:tc>
          <w:tcPr>
            <w:tcW w:w="3778" w:type="pct"/>
            <w:shd w:val="clear" w:color="auto" w:fill="E6E7E8"/>
          </w:tcPr>
          <w:p w14:paraId="4FD8ECDE" w14:textId="2620BA05" w:rsidR="00AB79FC" w:rsidRPr="007B7A16" w:rsidRDefault="00AB79FC" w:rsidP="0063672B">
            <w:pPr>
              <w:spacing w:before="120" w:after="120"/>
              <w:jc w:val="both"/>
              <w:rPr>
                <w:rFonts w:ascii="Arial" w:hAnsi="Arial" w:cs="Arial"/>
                <w:szCs w:val="20"/>
              </w:rPr>
            </w:pPr>
            <w:r w:rsidRPr="007B7A16">
              <w:rPr>
                <w:rFonts w:ascii="Arial" w:hAnsi="Arial" w:cs="Arial"/>
                <w:szCs w:val="20"/>
              </w:rPr>
              <w:t>Student Services</w:t>
            </w:r>
          </w:p>
        </w:tc>
      </w:tr>
      <w:tr w:rsidR="007837D8" w14:paraId="2215AE91" w14:textId="77777777" w:rsidTr="006464C6">
        <w:tc>
          <w:tcPr>
            <w:tcW w:w="1222" w:type="pct"/>
            <w:shd w:val="clear" w:color="auto" w:fill="auto"/>
          </w:tcPr>
          <w:p w14:paraId="126EA693" w14:textId="2E19AE03" w:rsidR="007837D8" w:rsidRPr="00B306C2" w:rsidRDefault="007837D8" w:rsidP="0063672B">
            <w:pPr>
              <w:spacing w:before="120" w:after="120"/>
              <w:jc w:val="both"/>
              <w:rPr>
                <w:rFonts w:ascii="Arial" w:hAnsi="Arial" w:cs="Arial"/>
                <w:szCs w:val="20"/>
              </w:rPr>
            </w:pPr>
            <w:r w:rsidRPr="00EE646E">
              <w:rPr>
                <w:rFonts w:ascii="Arial" w:hAnsi="Arial" w:cs="Arial"/>
                <w:szCs w:val="20"/>
              </w:rPr>
              <w:t>Approval date</w:t>
            </w:r>
          </w:p>
        </w:tc>
        <w:tc>
          <w:tcPr>
            <w:tcW w:w="3778" w:type="pct"/>
            <w:shd w:val="clear" w:color="auto" w:fill="auto"/>
          </w:tcPr>
          <w:p w14:paraId="39F90A87" w14:textId="6DC7E869" w:rsidR="007837D8" w:rsidRPr="00EE646E" w:rsidRDefault="007B7A16" w:rsidP="0063672B">
            <w:pPr>
              <w:spacing w:before="120" w:after="120"/>
              <w:jc w:val="both"/>
              <w:rPr>
                <w:rFonts w:ascii="Arial" w:hAnsi="Arial" w:cs="Arial"/>
                <w:szCs w:val="20"/>
              </w:rPr>
            </w:pPr>
            <w:r>
              <w:rPr>
                <w:rFonts w:ascii="Arial" w:hAnsi="Arial" w:cs="Arial"/>
                <w:szCs w:val="20"/>
              </w:rPr>
              <w:t>12 October 2022</w:t>
            </w:r>
          </w:p>
        </w:tc>
      </w:tr>
      <w:tr w:rsidR="006D1A97" w14:paraId="4B3B6DDA" w14:textId="77777777" w:rsidTr="006464C6">
        <w:tc>
          <w:tcPr>
            <w:tcW w:w="1222" w:type="pct"/>
            <w:shd w:val="clear" w:color="auto" w:fill="auto"/>
          </w:tcPr>
          <w:p w14:paraId="422367F7" w14:textId="77777777" w:rsidR="006D1A97" w:rsidRPr="00EE646E" w:rsidRDefault="006D1A97" w:rsidP="0063672B">
            <w:pPr>
              <w:spacing w:before="120" w:after="120"/>
              <w:jc w:val="both"/>
              <w:rPr>
                <w:rFonts w:ascii="Arial" w:hAnsi="Arial" w:cs="Arial"/>
                <w:szCs w:val="20"/>
              </w:rPr>
            </w:pPr>
            <w:r w:rsidRPr="00EE646E">
              <w:rPr>
                <w:rFonts w:ascii="Arial" w:hAnsi="Arial" w:cs="Arial"/>
                <w:szCs w:val="20"/>
              </w:rPr>
              <w:t>Effective date</w:t>
            </w:r>
          </w:p>
        </w:tc>
        <w:tc>
          <w:tcPr>
            <w:tcW w:w="3778" w:type="pct"/>
            <w:shd w:val="clear" w:color="auto" w:fill="auto"/>
          </w:tcPr>
          <w:p w14:paraId="63583D7A" w14:textId="3493CA9D" w:rsidR="006D1A97" w:rsidRPr="00EE646E" w:rsidRDefault="007B7A16" w:rsidP="0063672B">
            <w:pPr>
              <w:spacing w:before="120" w:after="120"/>
              <w:jc w:val="both"/>
              <w:rPr>
                <w:rFonts w:ascii="Arial" w:hAnsi="Arial" w:cs="Arial"/>
                <w:szCs w:val="20"/>
              </w:rPr>
            </w:pPr>
            <w:r>
              <w:rPr>
                <w:rFonts w:ascii="Arial" w:hAnsi="Arial" w:cs="Arial"/>
                <w:szCs w:val="20"/>
              </w:rPr>
              <w:t>12 October 2022</w:t>
            </w:r>
          </w:p>
        </w:tc>
      </w:tr>
      <w:tr w:rsidR="006D1A97" w14:paraId="76DDC947" w14:textId="77777777" w:rsidTr="006464C6">
        <w:tc>
          <w:tcPr>
            <w:tcW w:w="1222" w:type="pct"/>
            <w:shd w:val="clear" w:color="auto" w:fill="E6E7E8"/>
          </w:tcPr>
          <w:p w14:paraId="41F219B0" w14:textId="77777777" w:rsidR="006D1A97" w:rsidRPr="000209B9" w:rsidRDefault="006D1A97" w:rsidP="0063672B">
            <w:pPr>
              <w:spacing w:before="120" w:after="120"/>
              <w:jc w:val="both"/>
              <w:rPr>
                <w:rFonts w:ascii="Arial" w:hAnsi="Arial" w:cs="Arial"/>
                <w:szCs w:val="20"/>
              </w:rPr>
            </w:pPr>
            <w:r w:rsidRPr="000209B9">
              <w:rPr>
                <w:rFonts w:ascii="Arial" w:hAnsi="Arial" w:cs="Arial"/>
                <w:szCs w:val="20"/>
              </w:rPr>
              <w:t>Review date</w:t>
            </w:r>
          </w:p>
        </w:tc>
        <w:tc>
          <w:tcPr>
            <w:tcW w:w="3778" w:type="pct"/>
            <w:shd w:val="clear" w:color="auto" w:fill="E6E7E8"/>
          </w:tcPr>
          <w:p w14:paraId="7FD05870" w14:textId="75279BB2" w:rsidR="006D1A97" w:rsidRPr="000209B9" w:rsidRDefault="0095265D" w:rsidP="0063672B">
            <w:pPr>
              <w:spacing w:before="120" w:after="120"/>
              <w:jc w:val="both"/>
              <w:rPr>
                <w:rFonts w:ascii="Arial" w:hAnsi="Arial" w:cs="Arial"/>
                <w:szCs w:val="20"/>
              </w:rPr>
            </w:pPr>
            <w:r>
              <w:rPr>
                <w:rFonts w:ascii="Arial" w:hAnsi="Arial" w:cs="Arial"/>
                <w:szCs w:val="20"/>
              </w:rPr>
              <w:t>202</w:t>
            </w:r>
            <w:r w:rsidR="007B7A16">
              <w:rPr>
                <w:rFonts w:ascii="Arial" w:hAnsi="Arial" w:cs="Arial"/>
                <w:szCs w:val="20"/>
              </w:rPr>
              <w:t>4</w:t>
            </w:r>
          </w:p>
        </w:tc>
      </w:tr>
      <w:tr w:rsidR="006D1A97" w14:paraId="72CC8086" w14:textId="77777777" w:rsidTr="006464C6">
        <w:tc>
          <w:tcPr>
            <w:tcW w:w="1222" w:type="pct"/>
            <w:shd w:val="clear" w:color="auto" w:fill="auto"/>
          </w:tcPr>
          <w:p w14:paraId="357FAE17" w14:textId="28F73799" w:rsidR="006D1A97" w:rsidRPr="000209B9" w:rsidRDefault="00AA227D" w:rsidP="0063672B">
            <w:pPr>
              <w:spacing w:before="120" w:after="120"/>
              <w:jc w:val="both"/>
              <w:rPr>
                <w:rFonts w:ascii="Arial" w:hAnsi="Arial" w:cs="Arial"/>
                <w:szCs w:val="20"/>
              </w:rPr>
            </w:pPr>
            <w:r w:rsidRPr="000209B9">
              <w:rPr>
                <w:rFonts w:ascii="Arial" w:hAnsi="Arial" w:cs="Arial"/>
                <w:szCs w:val="20"/>
              </w:rPr>
              <w:t xml:space="preserve">Policy </w:t>
            </w:r>
            <w:r w:rsidR="005E4006" w:rsidRPr="000209B9">
              <w:rPr>
                <w:rFonts w:ascii="Arial" w:hAnsi="Arial" w:cs="Arial"/>
                <w:szCs w:val="20"/>
              </w:rPr>
              <w:t>a</w:t>
            </w:r>
            <w:r w:rsidRPr="000209B9">
              <w:rPr>
                <w:rFonts w:ascii="Arial" w:hAnsi="Arial" w:cs="Arial"/>
                <w:szCs w:val="20"/>
              </w:rPr>
              <w:t>dvisor</w:t>
            </w:r>
          </w:p>
        </w:tc>
        <w:tc>
          <w:tcPr>
            <w:tcW w:w="3778" w:type="pct"/>
            <w:shd w:val="clear" w:color="auto" w:fill="auto"/>
          </w:tcPr>
          <w:p w14:paraId="7E468796" w14:textId="194A2BEE" w:rsidR="006D1A97" w:rsidRPr="000209B9" w:rsidRDefault="0095265D" w:rsidP="0063672B">
            <w:pPr>
              <w:spacing w:before="120" w:after="120"/>
              <w:jc w:val="both"/>
              <w:rPr>
                <w:rFonts w:ascii="Arial" w:hAnsi="Arial" w:cs="Arial"/>
                <w:szCs w:val="20"/>
              </w:rPr>
            </w:pPr>
            <w:r>
              <w:rPr>
                <w:rFonts w:ascii="Arial" w:hAnsi="Arial" w:cs="Arial"/>
                <w:szCs w:val="20"/>
              </w:rPr>
              <w:t>Manager, International Partnerships</w:t>
            </w:r>
          </w:p>
        </w:tc>
      </w:tr>
      <w:tr w:rsidR="006D1A97" w14:paraId="5F52FDBC" w14:textId="77777777" w:rsidTr="006464C6">
        <w:tc>
          <w:tcPr>
            <w:tcW w:w="1222" w:type="pct"/>
            <w:shd w:val="clear" w:color="auto" w:fill="E6E7E8"/>
          </w:tcPr>
          <w:p w14:paraId="2A6B7869" w14:textId="77777777" w:rsidR="006D1A97" w:rsidRPr="000209B9" w:rsidRDefault="006D1A97" w:rsidP="0063672B">
            <w:pPr>
              <w:spacing w:before="120" w:after="120"/>
              <w:jc w:val="both"/>
              <w:rPr>
                <w:rFonts w:ascii="Arial" w:hAnsi="Arial" w:cs="Arial"/>
                <w:szCs w:val="20"/>
              </w:rPr>
            </w:pPr>
            <w:r w:rsidRPr="000209B9">
              <w:rPr>
                <w:rFonts w:ascii="Arial" w:hAnsi="Arial" w:cs="Arial"/>
                <w:szCs w:val="20"/>
              </w:rPr>
              <w:t>Approving authority</w:t>
            </w:r>
          </w:p>
        </w:tc>
        <w:tc>
          <w:tcPr>
            <w:tcW w:w="3778" w:type="pct"/>
            <w:shd w:val="clear" w:color="auto" w:fill="E6E7E8"/>
          </w:tcPr>
          <w:p w14:paraId="77F724FD" w14:textId="1DDAAC98" w:rsidR="008B48A8" w:rsidRPr="000209B9" w:rsidRDefault="002B33EF" w:rsidP="0063672B">
            <w:pPr>
              <w:spacing w:before="120" w:after="120"/>
              <w:jc w:val="both"/>
              <w:rPr>
                <w:rFonts w:ascii="Arial" w:hAnsi="Arial" w:cs="Arial"/>
                <w:szCs w:val="20"/>
              </w:rPr>
            </w:pPr>
            <w:r>
              <w:rPr>
                <w:rFonts w:ascii="Arial" w:hAnsi="Arial" w:cs="Arial"/>
                <w:szCs w:val="20"/>
              </w:rPr>
              <w:t>Academic Committee</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363A85" w14:paraId="10B6998B" w14:textId="77777777" w:rsidTr="006464C6">
        <w:trPr>
          <w:tblHeader/>
        </w:trPr>
        <w:tc>
          <w:tcPr>
            <w:tcW w:w="5000" w:type="pct"/>
            <w:gridSpan w:val="2"/>
            <w:shd w:val="clear" w:color="auto" w:fill="595959" w:themeFill="text1" w:themeFillTint="A6"/>
          </w:tcPr>
          <w:p w14:paraId="1E57286D" w14:textId="2CDBEC96" w:rsidR="00363A85" w:rsidRPr="000209B9" w:rsidRDefault="00363A85" w:rsidP="0063672B">
            <w:pPr>
              <w:spacing w:before="120" w:after="120"/>
              <w:jc w:val="both"/>
              <w:rPr>
                <w:rFonts w:ascii="Arial" w:hAnsi="Arial" w:cs="Arial"/>
              </w:rPr>
            </w:pPr>
            <w:r w:rsidRPr="00FC5552">
              <w:rPr>
                <w:rFonts w:ascii="Arial" w:hAnsi="Arial" w:cs="Arial"/>
                <w:b/>
                <w:bCs/>
                <w:caps/>
                <w:color w:val="FFFFFF" w:themeColor="background1"/>
                <w:sz w:val="24"/>
                <w:szCs w:val="24"/>
              </w:rPr>
              <w:t>RELATED POLICY DOCUMENTS AND supporting documents</w:t>
            </w:r>
          </w:p>
        </w:tc>
      </w:tr>
      <w:tr w:rsidR="00BD083F" w14:paraId="6B2D8946" w14:textId="77777777" w:rsidTr="006464C6">
        <w:trPr>
          <w:tblHeader/>
        </w:trPr>
        <w:tc>
          <w:tcPr>
            <w:tcW w:w="1222" w:type="pct"/>
            <w:shd w:val="clear" w:color="auto" w:fill="auto"/>
          </w:tcPr>
          <w:p w14:paraId="4EA57448" w14:textId="7F3F95B5" w:rsidR="00A24E55" w:rsidRPr="000209B9" w:rsidRDefault="00A24E55" w:rsidP="0063672B">
            <w:pPr>
              <w:spacing w:before="120" w:after="120"/>
              <w:jc w:val="both"/>
              <w:rPr>
                <w:rFonts w:ascii="Arial" w:hAnsi="Arial" w:cs="Arial"/>
                <w:szCs w:val="20"/>
              </w:rPr>
            </w:pPr>
            <w:r w:rsidRPr="000209B9">
              <w:rPr>
                <w:rFonts w:ascii="Arial" w:hAnsi="Arial" w:cs="Arial"/>
                <w:szCs w:val="20"/>
              </w:rPr>
              <w:t xml:space="preserve">Legislation </w:t>
            </w:r>
          </w:p>
        </w:tc>
        <w:tc>
          <w:tcPr>
            <w:tcW w:w="3778" w:type="pct"/>
            <w:shd w:val="clear" w:color="auto" w:fill="auto"/>
          </w:tcPr>
          <w:p w14:paraId="7380EA8C" w14:textId="77777777" w:rsidR="0015375B" w:rsidRPr="00AC38F3" w:rsidRDefault="005E174D" w:rsidP="0063672B">
            <w:pPr>
              <w:spacing w:before="120" w:after="120"/>
              <w:jc w:val="both"/>
              <w:rPr>
                <w:rStyle w:val="Hyperlink"/>
                <w:rFonts w:ascii="Arial" w:hAnsi="Arial" w:cs="Arial"/>
                <w:szCs w:val="20"/>
              </w:rPr>
            </w:pPr>
            <w:hyperlink r:id="rId28" w:history="1">
              <w:r w:rsidR="00B47438" w:rsidRPr="00AC38F3">
                <w:rPr>
                  <w:rStyle w:val="Hyperlink"/>
                  <w:rFonts w:ascii="Arial" w:hAnsi="Arial" w:cs="Arial"/>
                  <w:szCs w:val="20"/>
                </w:rPr>
                <w:t>Australia’s Foreign Relations Act 2020</w:t>
              </w:r>
            </w:hyperlink>
            <w:r w:rsidR="00B47438" w:rsidRPr="00AC38F3">
              <w:rPr>
                <w:rStyle w:val="Hyperlink"/>
                <w:rFonts w:ascii="Arial" w:hAnsi="Arial" w:cs="Arial"/>
                <w:szCs w:val="20"/>
              </w:rPr>
              <w:t> </w:t>
            </w:r>
          </w:p>
          <w:p w14:paraId="41B4558D" w14:textId="28648A7C" w:rsidR="00B47438" w:rsidRPr="00AC38F3" w:rsidRDefault="005E174D" w:rsidP="0063672B">
            <w:pPr>
              <w:spacing w:before="120" w:after="120"/>
              <w:jc w:val="both"/>
              <w:rPr>
                <w:rStyle w:val="Hyperlink"/>
                <w:rFonts w:ascii="Arial" w:hAnsi="Arial" w:cs="Arial"/>
                <w:szCs w:val="20"/>
              </w:rPr>
            </w:pPr>
            <w:hyperlink r:id="rId29" w:history="1">
              <w:r w:rsidR="00B47438" w:rsidRPr="00AC38F3">
                <w:rPr>
                  <w:rStyle w:val="Hyperlink"/>
                  <w:rFonts w:ascii="Arial" w:hAnsi="Arial" w:cs="Arial"/>
                  <w:szCs w:val="20"/>
                </w:rPr>
                <w:t>Foreign Influence Transparency Scheme Act 2018</w:t>
              </w:r>
            </w:hyperlink>
          </w:p>
          <w:p w14:paraId="263712DC" w14:textId="77777777" w:rsidR="00AC38F3" w:rsidRDefault="005E174D" w:rsidP="0063672B">
            <w:pPr>
              <w:spacing w:before="120" w:after="120"/>
              <w:jc w:val="both"/>
              <w:rPr>
                <w:rStyle w:val="Hyperlink"/>
                <w:rFonts w:ascii="Arial" w:hAnsi="Arial" w:cs="Arial"/>
                <w:szCs w:val="20"/>
              </w:rPr>
            </w:pPr>
            <w:hyperlink r:id="rId30" w:history="1">
              <w:r w:rsidR="00B47438" w:rsidRPr="00AC38F3">
                <w:rPr>
                  <w:rStyle w:val="Hyperlink"/>
                  <w:rFonts w:ascii="Arial" w:hAnsi="Arial" w:cs="Arial"/>
                  <w:szCs w:val="20"/>
                </w:rPr>
                <w:t>Privacy Act 1988</w:t>
              </w:r>
            </w:hyperlink>
          </w:p>
          <w:p w14:paraId="3C6AE059" w14:textId="6EAAB6E3" w:rsidR="00A24E55" w:rsidRPr="006A10A1" w:rsidRDefault="005E174D" w:rsidP="0063672B">
            <w:pPr>
              <w:spacing w:before="120" w:after="120"/>
              <w:jc w:val="both"/>
              <w:rPr>
                <w:rFonts w:ascii="Arial" w:hAnsi="Arial" w:cs="Arial"/>
                <w:color w:val="000000"/>
                <w:spacing w:val="2"/>
                <w:u w:color="F04E45"/>
                <w:shd w:val="clear" w:color="auto" w:fill="FFFFFF"/>
              </w:rPr>
            </w:pPr>
            <w:hyperlink r:id="rId31" w:history="1">
              <w:r w:rsidR="00B47438" w:rsidRPr="00AC38F3">
                <w:rPr>
                  <w:rStyle w:val="Hyperlink"/>
                  <w:rFonts w:ascii="Arial" w:hAnsi="Arial" w:cs="Arial"/>
                  <w:szCs w:val="20"/>
                </w:rPr>
                <w:t>Australian Privacy and Principles</w:t>
              </w:r>
            </w:hyperlink>
          </w:p>
        </w:tc>
      </w:tr>
      <w:tr w:rsidR="00BD083F" w14:paraId="39FA95E6" w14:textId="77777777" w:rsidTr="006464C6">
        <w:trPr>
          <w:tblHeader/>
        </w:trPr>
        <w:tc>
          <w:tcPr>
            <w:tcW w:w="1222" w:type="pct"/>
            <w:shd w:val="clear" w:color="auto" w:fill="E6E7E8"/>
          </w:tcPr>
          <w:p w14:paraId="406D83D7" w14:textId="77777777" w:rsidR="00AA227D" w:rsidRPr="000209B9" w:rsidRDefault="00AA227D" w:rsidP="0063672B">
            <w:pPr>
              <w:spacing w:before="120" w:after="120"/>
              <w:jc w:val="both"/>
              <w:rPr>
                <w:rFonts w:ascii="Arial" w:hAnsi="Arial" w:cs="Arial"/>
                <w:szCs w:val="20"/>
              </w:rPr>
            </w:pPr>
            <w:r w:rsidRPr="000209B9">
              <w:rPr>
                <w:rFonts w:ascii="Arial" w:hAnsi="Arial" w:cs="Arial"/>
                <w:szCs w:val="20"/>
              </w:rPr>
              <w:t>Policy</w:t>
            </w:r>
          </w:p>
        </w:tc>
        <w:tc>
          <w:tcPr>
            <w:tcW w:w="3778" w:type="pct"/>
            <w:shd w:val="clear" w:color="auto" w:fill="E6E7E8"/>
          </w:tcPr>
          <w:p w14:paraId="3693C280" w14:textId="02DFCDBD" w:rsidR="00FC59EC" w:rsidRDefault="005E174D" w:rsidP="0063672B">
            <w:pPr>
              <w:spacing w:before="120" w:after="120"/>
              <w:jc w:val="both"/>
              <w:rPr>
                <w:rFonts w:ascii="Arial" w:hAnsi="Arial" w:cs="Arial"/>
                <w:color w:val="E30918"/>
                <w:szCs w:val="20"/>
                <w:u w:val="single"/>
              </w:rPr>
            </w:pPr>
            <w:hyperlink r:id="rId32" w:history="1">
              <w:r w:rsidR="00D31AB0" w:rsidRPr="00354D29">
                <w:rPr>
                  <w:rStyle w:val="Hyperlink"/>
                  <w:rFonts w:ascii="Arial" w:hAnsi="Arial" w:cs="Arial"/>
                  <w:szCs w:val="20"/>
                </w:rPr>
                <w:t xml:space="preserve">Griffith Global Mobility </w:t>
              </w:r>
              <w:r w:rsidR="004F0517">
                <w:rPr>
                  <w:rStyle w:val="Hyperlink"/>
                  <w:rFonts w:ascii="Arial" w:hAnsi="Arial" w:cs="Arial"/>
                  <w:szCs w:val="20"/>
                </w:rPr>
                <w:t>P</w:t>
              </w:r>
              <w:r w:rsidR="00D31AB0" w:rsidRPr="00354D29">
                <w:rPr>
                  <w:rStyle w:val="Hyperlink"/>
                  <w:rFonts w:ascii="Arial" w:hAnsi="Arial" w:cs="Arial"/>
                  <w:szCs w:val="20"/>
                </w:rPr>
                <w:t>olicy</w:t>
              </w:r>
            </w:hyperlink>
          </w:p>
          <w:p w14:paraId="74245029" w14:textId="0AFE577B" w:rsidR="00F86292" w:rsidRPr="005E174D" w:rsidRDefault="005E174D" w:rsidP="0063672B">
            <w:pPr>
              <w:spacing w:before="120" w:after="120"/>
              <w:jc w:val="both"/>
              <w:rPr>
                <w:rStyle w:val="Hyperlink"/>
                <w:rFonts w:ascii="Arial" w:hAnsi="Arial" w:cs="Arial"/>
                <w:szCs w:val="20"/>
              </w:rPr>
            </w:pPr>
            <w:r>
              <w:rPr>
                <w:rFonts w:ascii="Arial" w:hAnsi="Arial" w:cs="Arial"/>
                <w:szCs w:val="20"/>
              </w:rPr>
              <w:fldChar w:fldCharType="begin"/>
            </w:r>
            <w:r>
              <w:rPr>
                <w:rFonts w:ascii="Arial" w:hAnsi="Arial" w:cs="Arial"/>
                <w:szCs w:val="20"/>
              </w:rPr>
              <w:instrText>HYPERLINK "https://sharepointpubstor.blob.core.windows.net/policylibrary-prod/Student%20Review%20and%20Appeals%20Policy.pdf"</w:instrText>
            </w:r>
            <w:r>
              <w:rPr>
                <w:rFonts w:ascii="Arial" w:hAnsi="Arial" w:cs="Arial"/>
                <w:szCs w:val="20"/>
              </w:rPr>
            </w:r>
            <w:r>
              <w:rPr>
                <w:rFonts w:ascii="Arial" w:hAnsi="Arial" w:cs="Arial"/>
                <w:szCs w:val="20"/>
              </w:rPr>
              <w:fldChar w:fldCharType="separate"/>
            </w:r>
            <w:r w:rsidR="00F86292" w:rsidRPr="005E174D">
              <w:rPr>
                <w:rStyle w:val="Hyperlink"/>
                <w:rFonts w:ascii="Arial" w:hAnsi="Arial" w:cs="Arial"/>
                <w:szCs w:val="20"/>
              </w:rPr>
              <w:t xml:space="preserve">Student </w:t>
            </w:r>
            <w:r w:rsidR="004F0517" w:rsidRPr="005E174D">
              <w:rPr>
                <w:rStyle w:val="Hyperlink"/>
                <w:rFonts w:ascii="Arial" w:hAnsi="Arial" w:cs="Arial"/>
                <w:szCs w:val="20"/>
              </w:rPr>
              <w:t>Review and App</w:t>
            </w:r>
            <w:r w:rsidR="004F0517" w:rsidRPr="005E174D">
              <w:rPr>
                <w:rStyle w:val="Hyperlink"/>
                <w:rFonts w:ascii="Arial" w:hAnsi="Arial" w:cs="Arial"/>
                <w:szCs w:val="20"/>
              </w:rPr>
              <w:t>e</w:t>
            </w:r>
            <w:r w:rsidR="004F0517" w:rsidRPr="005E174D">
              <w:rPr>
                <w:rStyle w:val="Hyperlink"/>
                <w:rFonts w:ascii="Arial" w:hAnsi="Arial" w:cs="Arial"/>
                <w:szCs w:val="20"/>
              </w:rPr>
              <w:t>als Po</w:t>
            </w:r>
            <w:r w:rsidR="00F86292" w:rsidRPr="005E174D">
              <w:rPr>
                <w:rStyle w:val="Hyperlink"/>
                <w:rFonts w:ascii="Arial" w:hAnsi="Arial" w:cs="Arial"/>
                <w:szCs w:val="20"/>
              </w:rPr>
              <w:t>licy</w:t>
            </w:r>
          </w:p>
          <w:p w14:paraId="57E2FC6C" w14:textId="4D1D394A" w:rsidR="00792F1A" w:rsidRPr="000209B9" w:rsidRDefault="005E174D" w:rsidP="0063672B">
            <w:pPr>
              <w:spacing w:before="120" w:after="120"/>
              <w:jc w:val="both"/>
              <w:rPr>
                <w:rFonts w:ascii="Arial" w:hAnsi="Arial" w:cs="Arial"/>
                <w:color w:val="E30918"/>
                <w:szCs w:val="20"/>
                <w:u w:val="single"/>
              </w:rPr>
            </w:pPr>
            <w:r>
              <w:rPr>
                <w:rFonts w:ascii="Arial" w:hAnsi="Arial" w:cs="Arial"/>
                <w:szCs w:val="20"/>
              </w:rPr>
              <w:fldChar w:fldCharType="end"/>
            </w:r>
            <w:hyperlink r:id="rId33" w:history="1">
              <w:r w:rsidR="00792F1A" w:rsidRPr="00792F1A">
                <w:rPr>
                  <w:rStyle w:val="Hyperlink"/>
                  <w:rFonts w:ascii="Arial" w:hAnsi="Arial" w:cs="Arial"/>
                  <w:szCs w:val="20"/>
                </w:rPr>
                <w:t>Student Enrolment Policy</w:t>
              </w:r>
            </w:hyperlink>
          </w:p>
        </w:tc>
      </w:tr>
      <w:tr w:rsidR="00BD083F" w14:paraId="4F2E48CD" w14:textId="77777777" w:rsidTr="006464C6">
        <w:trPr>
          <w:tblHeader/>
        </w:trPr>
        <w:tc>
          <w:tcPr>
            <w:tcW w:w="1222" w:type="pct"/>
            <w:shd w:val="clear" w:color="auto" w:fill="auto"/>
          </w:tcPr>
          <w:p w14:paraId="04ABE946" w14:textId="77777777" w:rsidR="00AA227D" w:rsidRPr="000209B9" w:rsidRDefault="00AA227D" w:rsidP="0063672B">
            <w:pPr>
              <w:spacing w:before="120" w:after="120"/>
              <w:jc w:val="both"/>
              <w:rPr>
                <w:rFonts w:ascii="Arial" w:hAnsi="Arial" w:cs="Arial"/>
                <w:szCs w:val="20"/>
              </w:rPr>
            </w:pPr>
            <w:r w:rsidRPr="000209B9">
              <w:rPr>
                <w:rFonts w:ascii="Arial" w:hAnsi="Arial" w:cs="Arial"/>
                <w:szCs w:val="20"/>
              </w:rPr>
              <w:t>Procedures</w:t>
            </w:r>
          </w:p>
        </w:tc>
        <w:tc>
          <w:tcPr>
            <w:tcW w:w="3778" w:type="pct"/>
            <w:shd w:val="clear" w:color="auto" w:fill="auto"/>
          </w:tcPr>
          <w:p w14:paraId="3DD9B799" w14:textId="4C2CBFAA" w:rsidR="00AA227D" w:rsidRDefault="004F0517" w:rsidP="0063672B">
            <w:pPr>
              <w:spacing w:before="120" w:after="120"/>
              <w:jc w:val="both"/>
              <w:rPr>
                <w:rFonts w:ascii="Arial" w:hAnsi="Arial" w:cs="Arial"/>
                <w:szCs w:val="20"/>
              </w:rPr>
            </w:pPr>
            <w:hyperlink r:id="rId34" w:history="1">
              <w:r w:rsidR="00FC59EC" w:rsidRPr="004F0517">
                <w:rPr>
                  <w:rStyle w:val="Hyperlink"/>
                  <w:rFonts w:ascii="Arial" w:hAnsi="Arial" w:cs="Arial"/>
                  <w:szCs w:val="20"/>
                </w:rPr>
                <w:t xml:space="preserve">Griffith Global Mobility </w:t>
              </w:r>
              <w:r w:rsidR="001B0656" w:rsidRPr="004F0517">
                <w:rPr>
                  <w:rStyle w:val="Hyperlink"/>
                  <w:rFonts w:ascii="Arial" w:hAnsi="Arial" w:cs="Arial"/>
                  <w:szCs w:val="20"/>
                </w:rPr>
                <w:t>S</w:t>
              </w:r>
              <w:r w:rsidR="00FC59EC" w:rsidRPr="004F0517">
                <w:rPr>
                  <w:rStyle w:val="Hyperlink"/>
                  <w:rFonts w:ascii="Arial" w:hAnsi="Arial" w:cs="Arial"/>
                  <w:szCs w:val="20"/>
                </w:rPr>
                <w:t xml:space="preserve">tudent </w:t>
              </w:r>
              <w:r w:rsidR="001B0656" w:rsidRPr="004F0517">
                <w:rPr>
                  <w:rStyle w:val="Hyperlink"/>
                  <w:rFonts w:ascii="Arial" w:hAnsi="Arial" w:cs="Arial"/>
                  <w:szCs w:val="20"/>
                </w:rPr>
                <w:t>F</w:t>
              </w:r>
              <w:r w:rsidR="00FC59EC" w:rsidRPr="004F0517">
                <w:rPr>
                  <w:rStyle w:val="Hyperlink"/>
                  <w:rFonts w:ascii="Arial" w:hAnsi="Arial" w:cs="Arial"/>
                  <w:szCs w:val="20"/>
                </w:rPr>
                <w:t xml:space="preserve">unding </w:t>
              </w:r>
              <w:r w:rsidR="001B0656" w:rsidRPr="004F0517">
                <w:rPr>
                  <w:rStyle w:val="Hyperlink"/>
                  <w:rFonts w:ascii="Arial" w:hAnsi="Arial" w:cs="Arial"/>
                  <w:szCs w:val="20"/>
                </w:rPr>
                <w:t>P</w:t>
              </w:r>
              <w:r w:rsidR="00F86292" w:rsidRPr="004F0517">
                <w:rPr>
                  <w:rStyle w:val="Hyperlink"/>
                  <w:rFonts w:ascii="Arial" w:hAnsi="Arial" w:cs="Arial"/>
                  <w:szCs w:val="20"/>
                </w:rPr>
                <w:t>rocedure</w:t>
              </w:r>
            </w:hyperlink>
          </w:p>
          <w:p w14:paraId="72EE4CE3" w14:textId="76024ECB" w:rsidR="00812A72" w:rsidRDefault="008C329C" w:rsidP="0063672B">
            <w:pPr>
              <w:spacing w:before="120" w:after="120"/>
              <w:jc w:val="both"/>
              <w:rPr>
                <w:rFonts w:ascii="Arial" w:hAnsi="Arial" w:cs="Arial"/>
                <w:szCs w:val="20"/>
              </w:rPr>
            </w:pPr>
            <w:hyperlink r:id="rId35" w:history="1">
              <w:r w:rsidR="00812A72" w:rsidRPr="008C329C">
                <w:rPr>
                  <w:rStyle w:val="Hyperlink"/>
                  <w:rFonts w:ascii="Arial" w:hAnsi="Arial" w:cs="Arial"/>
                  <w:szCs w:val="20"/>
                </w:rPr>
                <w:t>Fees and Charges Procedure</w:t>
              </w:r>
            </w:hyperlink>
          </w:p>
          <w:p w14:paraId="5220CB91" w14:textId="08A559B2" w:rsidR="00812A72" w:rsidRPr="000209B9" w:rsidRDefault="008C329C" w:rsidP="0063672B">
            <w:pPr>
              <w:spacing w:before="120" w:after="120"/>
              <w:jc w:val="both"/>
              <w:rPr>
                <w:rFonts w:ascii="Arial" w:hAnsi="Arial" w:cs="Arial"/>
                <w:szCs w:val="20"/>
              </w:rPr>
            </w:pPr>
            <w:hyperlink r:id="rId36" w:history="1">
              <w:r w:rsidR="00812A72" w:rsidRPr="008C329C">
                <w:rPr>
                  <w:rStyle w:val="Hyperlink"/>
                  <w:rFonts w:ascii="Arial" w:hAnsi="Arial" w:cs="Arial"/>
                  <w:szCs w:val="20"/>
                </w:rPr>
                <w:t>Fees and Charges Schedule</w:t>
              </w:r>
            </w:hyperlink>
          </w:p>
        </w:tc>
      </w:tr>
      <w:tr w:rsidR="00BD083F" w:rsidRPr="009F66F7" w14:paraId="404524B8" w14:textId="77777777" w:rsidTr="006464C6">
        <w:trPr>
          <w:tblHeader/>
        </w:trPr>
        <w:tc>
          <w:tcPr>
            <w:tcW w:w="1222" w:type="pct"/>
            <w:shd w:val="clear" w:color="auto" w:fill="auto"/>
          </w:tcPr>
          <w:p w14:paraId="072FB676" w14:textId="77777777" w:rsidR="00AA227D" w:rsidRPr="003757C4" w:rsidRDefault="00AA227D" w:rsidP="0063672B">
            <w:pPr>
              <w:spacing w:before="120" w:after="120"/>
              <w:jc w:val="both"/>
              <w:rPr>
                <w:rFonts w:ascii="Arial" w:hAnsi="Arial" w:cs="Arial"/>
                <w:szCs w:val="20"/>
              </w:rPr>
            </w:pPr>
            <w:r w:rsidRPr="003757C4">
              <w:rPr>
                <w:rFonts w:ascii="Arial" w:hAnsi="Arial" w:cs="Arial"/>
                <w:szCs w:val="20"/>
              </w:rPr>
              <w:t>Forms</w:t>
            </w:r>
          </w:p>
        </w:tc>
        <w:tc>
          <w:tcPr>
            <w:tcW w:w="3778" w:type="pct"/>
            <w:shd w:val="clear" w:color="auto" w:fill="auto"/>
          </w:tcPr>
          <w:p w14:paraId="705356F9" w14:textId="74180DB6" w:rsidR="00F86292" w:rsidRDefault="005E174D" w:rsidP="0063672B">
            <w:pPr>
              <w:spacing w:before="120" w:after="120"/>
              <w:jc w:val="both"/>
              <w:rPr>
                <w:rFonts w:ascii="Arial" w:hAnsi="Arial" w:cs="Arial"/>
                <w:szCs w:val="20"/>
              </w:rPr>
            </w:pPr>
            <w:hyperlink r:id="rId37" w:history="1">
              <w:r w:rsidR="00F86292" w:rsidRPr="00354D29">
                <w:rPr>
                  <w:rStyle w:val="Hyperlink"/>
                  <w:rFonts w:ascii="Arial" w:hAnsi="Arial" w:cs="Arial"/>
                  <w:szCs w:val="20"/>
                </w:rPr>
                <w:t>Review of Decision Form</w:t>
              </w:r>
            </w:hyperlink>
          </w:p>
          <w:p w14:paraId="200D7B6F" w14:textId="232216CB" w:rsidR="00F86292" w:rsidRPr="00F86292" w:rsidRDefault="005E174D" w:rsidP="0063672B">
            <w:pPr>
              <w:spacing w:before="120" w:after="120"/>
              <w:jc w:val="both"/>
              <w:rPr>
                <w:rFonts w:ascii="Arial" w:hAnsi="Arial" w:cs="Arial"/>
                <w:szCs w:val="20"/>
              </w:rPr>
            </w:pPr>
            <w:hyperlink r:id="rId38" w:history="1">
              <w:r w:rsidR="00F86292" w:rsidRPr="00AC38F3">
                <w:rPr>
                  <w:rStyle w:val="Hyperlink"/>
                  <w:rFonts w:ascii="Arial" w:hAnsi="Arial" w:cs="Arial"/>
                  <w:szCs w:val="20"/>
                </w:rPr>
                <w:t>Griffith</w:t>
              </w:r>
              <w:r w:rsidR="0063672B">
                <w:rPr>
                  <w:rStyle w:val="Hyperlink"/>
                  <w:rFonts w:ascii="Arial" w:hAnsi="Arial" w:cs="Arial"/>
                  <w:szCs w:val="20"/>
                </w:rPr>
                <w:t xml:space="preserve"> </w:t>
              </w:r>
              <w:r w:rsidR="00F86292" w:rsidRPr="00AC38F3">
                <w:rPr>
                  <w:rStyle w:val="Hyperlink"/>
                  <w:rFonts w:ascii="Arial" w:hAnsi="Arial" w:cs="Arial"/>
                  <w:szCs w:val="20"/>
                </w:rPr>
                <w:t>Global Mobility program application forms</w:t>
              </w:r>
            </w:hyperlink>
            <w:r w:rsidR="00AC38F3">
              <w:rPr>
                <w:rFonts w:ascii="Arial" w:hAnsi="Arial" w:cs="Arial"/>
                <w:szCs w:val="20"/>
              </w:rPr>
              <w:t xml:space="preserve"> </w:t>
            </w:r>
            <w:r w:rsidR="00F86292">
              <w:rPr>
                <w:rFonts w:ascii="Arial" w:hAnsi="Arial" w:cs="Arial"/>
                <w:szCs w:val="20"/>
              </w:rPr>
              <w:t xml:space="preserve"> </w:t>
            </w:r>
          </w:p>
        </w:tc>
      </w:tr>
    </w:tbl>
    <w:p w14:paraId="680A8379" w14:textId="03BA350E" w:rsidR="00DA3C93" w:rsidRPr="00DA3C93" w:rsidRDefault="00DA3C93" w:rsidP="0063672B">
      <w:pPr>
        <w:tabs>
          <w:tab w:val="left" w:pos="8550"/>
        </w:tabs>
        <w:jc w:val="both"/>
        <w:rPr>
          <w:szCs w:val="20"/>
        </w:rPr>
      </w:pPr>
    </w:p>
    <w:sectPr w:rsidR="00DA3C93" w:rsidRPr="00DA3C93" w:rsidSect="00B268D5">
      <w:pgSz w:w="11900" w:h="1682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D005" w14:textId="77777777" w:rsidR="00190FD3" w:rsidRDefault="00190FD3" w:rsidP="00F45E9C">
      <w:r>
        <w:separator/>
      </w:r>
    </w:p>
  </w:endnote>
  <w:endnote w:type="continuationSeparator" w:id="0">
    <w:p w14:paraId="4A9A5090" w14:textId="77777777" w:rsidR="00190FD3" w:rsidRDefault="00190FD3" w:rsidP="00F45E9C">
      <w:r>
        <w:continuationSeparator/>
      </w:r>
    </w:p>
  </w:endnote>
  <w:endnote w:type="continuationNotice" w:id="1">
    <w:p w14:paraId="43A5A9E4" w14:textId="77777777" w:rsidR="00190FD3" w:rsidRDefault="00190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6F" w:usb1="500160FB" w:usb2="00000010" w:usb3="00000000" w:csb0="00000093" w:csb1="00000000"/>
  </w:font>
  <w:font w:name="Yu Mincho">
    <w:altName w:val="Yu Gothic"/>
    <w:charset w:val="80"/>
    <w:family w:val="roman"/>
    <w:pitch w:val="variable"/>
    <w:sig w:usb0="800002E7" w:usb1="2AC7FCFF" w:usb2="00000012" w:usb3="00000000" w:csb0="0002009F" w:csb1="00000000"/>
  </w:font>
  <w:font w:name="FoundrySterling-Book">
    <w:altName w:val="Courier New"/>
    <w:panose1 w:val="020005030400000200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default"/>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82768"/>
      <w:docPartObj>
        <w:docPartGallery w:val="Page Numbers (Bottom of Page)"/>
        <w:docPartUnique/>
      </w:docPartObj>
    </w:sdtPr>
    <w:sdtEndPr>
      <w:rPr>
        <w:noProof/>
      </w:rPr>
    </w:sdtEndPr>
    <w:sdtContent>
      <w:p w14:paraId="1D907E25" w14:textId="77777777" w:rsidR="00363A85" w:rsidRPr="00363A85" w:rsidRDefault="00363A85">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0EDF729E" w14:textId="10FD7C84" w:rsidR="007B7A16" w:rsidRPr="007B7A16" w:rsidRDefault="00363A85" w:rsidP="007B7A16">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1312" behindDoc="0" locked="0" layoutInCell="1" allowOverlap="1" wp14:anchorId="0423E025" wp14:editId="7C528F68">
                  <wp:simplePos x="0" y="0"/>
                  <wp:positionH relativeFrom="page">
                    <wp:align>left</wp:align>
                  </wp:positionH>
                  <wp:positionV relativeFrom="paragraph">
                    <wp:posOffset>-2943225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98B67B" id="Group 3" o:spid="_x0000_s1026" style="position:absolute;margin-left:0;margin-top:-231.75pt;width:280.7pt;height:280.65pt;z-index:251661312;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007B7A16" w:rsidRPr="007B7A16">
          <w:t xml:space="preserve"> </w:t>
        </w:r>
        <w:r w:rsidR="007B7A16" w:rsidRPr="007B7A16">
          <w:rPr>
            <w:rFonts w:asciiTheme="minorHAnsi" w:hAnsiTheme="minorHAnsi" w:cstheme="minorHAnsi"/>
            <w:color w:val="70787B"/>
            <w:sz w:val="15"/>
            <w:szCs w:val="15"/>
          </w:rPr>
          <w:t xml:space="preserve">Griffith Global Mobility Student </w:t>
        </w:r>
      </w:p>
      <w:p w14:paraId="43C91732" w14:textId="3A474386" w:rsidR="00363A85" w:rsidRDefault="007B7A16" w:rsidP="007B7A16">
        <w:pPr>
          <w:spacing w:after="0" w:line="240" w:lineRule="auto"/>
          <w:jc w:val="right"/>
          <w:rPr>
            <w:rFonts w:asciiTheme="minorHAnsi" w:hAnsiTheme="minorHAnsi" w:cstheme="minorHAnsi"/>
            <w:color w:val="70787B"/>
            <w:sz w:val="15"/>
            <w:szCs w:val="15"/>
          </w:rPr>
        </w:pPr>
        <w:r w:rsidRPr="007B7A16">
          <w:rPr>
            <w:rFonts w:asciiTheme="minorHAnsi" w:hAnsiTheme="minorHAnsi" w:cstheme="minorHAnsi"/>
            <w:color w:val="70787B"/>
            <w:sz w:val="15"/>
            <w:szCs w:val="15"/>
          </w:rPr>
          <w:t>Funding Policy</w:t>
        </w:r>
        <w:r w:rsidR="00363A85"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October 2022</w:t>
        </w:r>
        <w:r w:rsidR="00363A85" w:rsidRPr="000209B9">
          <w:rPr>
            <w:rFonts w:asciiTheme="minorHAnsi" w:hAnsiTheme="minorHAnsi" w:cstheme="minorHAnsi"/>
            <w:color w:val="70787B"/>
            <w:sz w:val="15"/>
            <w:szCs w:val="15"/>
          </w:rPr>
          <w:t xml:space="preserve"> </w:t>
        </w:r>
      </w:p>
      <w:p w14:paraId="148BAFEF" w14:textId="03F46475" w:rsidR="00363A85" w:rsidRPr="000209B9" w:rsidRDefault="00363A85"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6715FE">
          <w:rPr>
            <w:rFonts w:asciiTheme="minorHAnsi" w:hAnsiTheme="minorHAnsi" w:cstheme="minorHAnsi"/>
            <w:color w:val="70787B"/>
            <w:sz w:val="15"/>
            <w:szCs w:val="15"/>
          </w:rPr>
          <w:t>202</w:t>
        </w:r>
        <w:r w:rsidR="002B33EF">
          <w:rPr>
            <w:rFonts w:asciiTheme="minorHAnsi" w:hAnsiTheme="minorHAnsi" w:cstheme="minorHAnsi"/>
            <w:color w:val="70787B"/>
            <w:sz w:val="15"/>
            <w:szCs w:val="15"/>
          </w:rPr>
          <w:t>3</w:t>
        </w:r>
        <w:r w:rsidR="006715FE">
          <w:rPr>
            <w:rFonts w:asciiTheme="minorHAnsi" w:hAnsiTheme="minorHAnsi" w:cstheme="minorHAnsi"/>
            <w:color w:val="70787B"/>
            <w:sz w:val="15"/>
            <w:szCs w:val="15"/>
          </w:rPr>
          <w:t>/0000</w:t>
        </w:r>
        <w:r w:rsidR="002B33EF">
          <w:rPr>
            <w:rFonts w:asciiTheme="minorHAnsi" w:hAnsiTheme="minorHAnsi" w:cstheme="minorHAnsi"/>
            <w:color w:val="70787B"/>
            <w:sz w:val="15"/>
            <w:szCs w:val="15"/>
          </w:rPr>
          <w:t>453</w:t>
        </w:r>
      </w:p>
      <w:p w14:paraId="72E352E7" w14:textId="4DE92456" w:rsidR="00363A85" w:rsidRDefault="00363A85"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6A635B99" w14:textId="77777777" w:rsidR="007B7A16" w:rsidRPr="007B7A16" w:rsidRDefault="007B7A16" w:rsidP="007B7A16">
        <w:pPr>
          <w:spacing w:after="0" w:line="240" w:lineRule="auto"/>
          <w:jc w:val="right"/>
          <w:rPr>
            <w:rFonts w:asciiTheme="minorHAnsi" w:hAnsiTheme="minorHAnsi" w:cstheme="minorHAnsi"/>
            <w:color w:val="70787B"/>
            <w:sz w:val="15"/>
            <w:szCs w:val="15"/>
          </w:rPr>
        </w:pPr>
        <w:r w:rsidRPr="007B7A16">
          <w:rPr>
            <w:rFonts w:asciiTheme="minorHAnsi" w:hAnsiTheme="minorHAnsi" w:cstheme="minorHAnsi"/>
            <w:color w:val="70787B"/>
            <w:sz w:val="15"/>
            <w:szCs w:val="15"/>
          </w:rPr>
          <w:t xml:space="preserve">Griffith Global Mobility Student </w:t>
        </w:r>
      </w:p>
      <w:p w14:paraId="27D8B772" w14:textId="11670941" w:rsidR="00EC76B1" w:rsidRDefault="007B7A16" w:rsidP="007B7A16">
        <w:pPr>
          <w:spacing w:after="0" w:line="240" w:lineRule="auto"/>
          <w:jc w:val="right"/>
          <w:rPr>
            <w:rFonts w:asciiTheme="minorHAnsi" w:hAnsiTheme="minorHAnsi" w:cstheme="minorHAnsi"/>
            <w:color w:val="70787B"/>
            <w:sz w:val="15"/>
            <w:szCs w:val="15"/>
          </w:rPr>
        </w:pPr>
        <w:r w:rsidRPr="007B7A16">
          <w:rPr>
            <w:rFonts w:asciiTheme="minorHAnsi" w:hAnsiTheme="minorHAnsi" w:cstheme="minorHAnsi"/>
            <w:color w:val="70787B"/>
            <w:sz w:val="15"/>
            <w:szCs w:val="15"/>
          </w:rPr>
          <w:t>Funding Policy</w:t>
        </w:r>
        <w:r w:rsidRPr="000209B9">
          <w:rPr>
            <w:rFonts w:asciiTheme="minorHAnsi" w:hAnsiTheme="minorHAnsi" w:cstheme="minorHAnsi"/>
            <w:color w:val="70787B"/>
            <w:sz w:val="15"/>
            <w:szCs w:val="15"/>
          </w:rPr>
          <w:t xml:space="preserve"> </w:t>
        </w:r>
        <w:r w:rsidR="00EC76B1" w:rsidRPr="000209B9">
          <w:rPr>
            <w:rFonts w:asciiTheme="minorHAnsi" w:hAnsiTheme="minorHAnsi" w:cstheme="minorHAnsi"/>
            <w:color w:val="70787B"/>
            <w:sz w:val="15"/>
            <w:szCs w:val="15"/>
          </w:rPr>
          <w:t xml:space="preserve">| </w:t>
        </w:r>
        <w:r>
          <w:rPr>
            <w:rFonts w:asciiTheme="minorHAnsi" w:hAnsiTheme="minorHAnsi" w:cstheme="minorHAnsi"/>
            <w:color w:val="70787B"/>
            <w:sz w:val="15"/>
            <w:szCs w:val="15"/>
          </w:rPr>
          <w:t>October</w:t>
        </w:r>
        <w:r w:rsidR="0075665E">
          <w:rPr>
            <w:rFonts w:asciiTheme="minorHAnsi" w:hAnsiTheme="minorHAnsi" w:cstheme="minorHAnsi"/>
            <w:color w:val="70787B"/>
            <w:sz w:val="15"/>
            <w:szCs w:val="15"/>
          </w:rPr>
          <w:t xml:space="preserve"> </w:t>
        </w:r>
        <w:r w:rsidR="00EC76B1" w:rsidRPr="000209B9">
          <w:rPr>
            <w:rFonts w:asciiTheme="minorHAnsi" w:hAnsiTheme="minorHAnsi" w:cstheme="minorHAnsi"/>
            <w:color w:val="70787B"/>
            <w:sz w:val="15"/>
            <w:szCs w:val="15"/>
          </w:rPr>
          <w:t>20</w:t>
        </w:r>
        <w:r w:rsidR="0075665E">
          <w:rPr>
            <w:rFonts w:asciiTheme="minorHAnsi" w:hAnsiTheme="minorHAnsi" w:cstheme="minorHAnsi"/>
            <w:color w:val="70787B"/>
            <w:sz w:val="15"/>
            <w:szCs w:val="15"/>
          </w:rPr>
          <w:t>22</w:t>
        </w:r>
        <w:r w:rsidR="00EC76B1" w:rsidRPr="000209B9">
          <w:rPr>
            <w:rFonts w:asciiTheme="minorHAnsi" w:hAnsiTheme="minorHAnsi" w:cstheme="minorHAnsi"/>
            <w:color w:val="70787B"/>
            <w:sz w:val="15"/>
            <w:szCs w:val="15"/>
          </w:rPr>
          <w:t xml:space="preserve"> </w:t>
        </w:r>
      </w:p>
      <w:p w14:paraId="40026289" w14:textId="15EA1ABB" w:rsidR="00EC76B1" w:rsidRPr="000209B9" w:rsidRDefault="00EC76B1"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6715FE">
          <w:rPr>
            <w:rFonts w:asciiTheme="minorHAnsi" w:hAnsiTheme="minorHAnsi" w:cstheme="minorHAnsi"/>
            <w:color w:val="70787B"/>
            <w:sz w:val="15"/>
            <w:szCs w:val="15"/>
          </w:rPr>
          <w:t>202</w:t>
        </w:r>
        <w:r w:rsidR="002B33EF">
          <w:rPr>
            <w:rFonts w:asciiTheme="minorHAnsi" w:hAnsiTheme="minorHAnsi" w:cstheme="minorHAnsi"/>
            <w:color w:val="70787B"/>
            <w:sz w:val="15"/>
            <w:szCs w:val="15"/>
          </w:rPr>
          <w:t>3</w:t>
        </w:r>
        <w:r w:rsidR="006715FE">
          <w:rPr>
            <w:rFonts w:asciiTheme="minorHAnsi" w:hAnsiTheme="minorHAnsi" w:cstheme="minorHAnsi"/>
            <w:color w:val="70787B"/>
            <w:sz w:val="15"/>
            <w:szCs w:val="15"/>
          </w:rPr>
          <w:t>/0000</w:t>
        </w:r>
        <w:r w:rsidR="002B33EF">
          <w:rPr>
            <w:rFonts w:asciiTheme="minorHAnsi" w:hAnsiTheme="minorHAnsi" w:cstheme="minorHAnsi"/>
            <w:color w:val="70787B"/>
            <w:sz w:val="15"/>
            <w:szCs w:val="15"/>
          </w:rPr>
          <w:t>453</w:t>
        </w:r>
      </w:p>
      <w:p w14:paraId="368AFE9B" w14:textId="77777777" w:rsidR="00EC76B1" w:rsidRDefault="00EC76B1"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D032" w14:textId="77777777" w:rsidR="00190FD3" w:rsidRDefault="00190FD3" w:rsidP="00F45E9C">
      <w:r>
        <w:separator/>
      </w:r>
    </w:p>
  </w:footnote>
  <w:footnote w:type="continuationSeparator" w:id="0">
    <w:p w14:paraId="6AA75B00" w14:textId="77777777" w:rsidR="00190FD3" w:rsidRDefault="00190FD3" w:rsidP="00F45E9C">
      <w:r>
        <w:continuationSeparator/>
      </w:r>
    </w:p>
  </w:footnote>
  <w:footnote w:type="continuationNotice" w:id="1">
    <w:p w14:paraId="0889476F" w14:textId="77777777" w:rsidR="00190FD3" w:rsidRDefault="00190F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254A43A4" w:rsidR="00F45E9C" w:rsidRPr="00577FA9" w:rsidRDefault="00D87683" w:rsidP="00D87683">
    <w:pPr>
      <w:pStyle w:val="Header"/>
      <w:ind w:right="50"/>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7216"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577FA9">
      <w:rPr>
        <w:rFonts w:ascii="Arial" w:hAnsi="Arial" w:cs="Arial"/>
        <w:b/>
        <w:bCs/>
        <w:noProof/>
        <w:color w:val="70787B"/>
        <w:sz w:val="52"/>
        <w:szCs w:val="52"/>
      </w:rPr>
      <mc:AlternateContent>
        <mc:Choice Requires="wps">
          <w:drawing>
            <wp:anchor distT="0" distB="0" distL="114300" distR="114300" simplePos="0" relativeHeight="251656192"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FDA5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03.2pt;margin-top:-61.55pt;width:360.9pt;height:179.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" fillcolor="#ec1d24" stroked="f" strokeweight="1pt"/>
          </w:pict>
        </mc:Fallback>
      </mc:AlternateContent>
    </w:r>
    <w:r w:rsidR="00CC69B4" w:rsidRPr="00577FA9">
      <w:rPr>
        <w:rFonts w:ascii="Arial" w:hAnsi="Arial"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5ECCE558" w:rsidR="00D87683" w:rsidRPr="00577FA9" w:rsidRDefault="00D87683" w:rsidP="00D87683">
    <w:pPr>
      <w:pStyle w:val="Header"/>
      <w:ind w:right="-348"/>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9264" behindDoc="1" locked="0" layoutInCell="1" allowOverlap="1" wp14:anchorId="0790D813" wp14:editId="75874B37">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Pr>
        <w:rFonts w:ascii="Arial" w:hAnsi="Arial" w:cs="Arial"/>
        <w:b/>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0711364C"/>
    <w:multiLevelType w:val="hybridMultilevel"/>
    <w:tmpl w:val="DA7416B4"/>
    <w:lvl w:ilvl="0" w:tplc="EFCE4A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C4A6A"/>
    <w:multiLevelType w:val="multilevel"/>
    <w:tmpl w:val="27D43FE0"/>
    <w:lvl w:ilvl="0">
      <w:start w:val="3"/>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A641C7"/>
    <w:multiLevelType w:val="hybridMultilevel"/>
    <w:tmpl w:val="6258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3445F"/>
    <w:multiLevelType w:val="hybridMultilevel"/>
    <w:tmpl w:val="7FF8B320"/>
    <w:lvl w:ilvl="0" w:tplc="D24C5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83675C"/>
    <w:multiLevelType w:val="multilevel"/>
    <w:tmpl w:val="E6ACD6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895DA4"/>
    <w:multiLevelType w:val="hybridMultilevel"/>
    <w:tmpl w:val="7FF8B320"/>
    <w:lvl w:ilvl="0" w:tplc="D24C5C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1C3BA1"/>
    <w:multiLevelType w:val="multilevel"/>
    <w:tmpl w:val="AA7C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A7AE8"/>
    <w:multiLevelType w:val="hybridMultilevel"/>
    <w:tmpl w:val="8D12515A"/>
    <w:lvl w:ilvl="0" w:tplc="4C8C23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97D292F"/>
    <w:multiLevelType w:val="hybridMultilevel"/>
    <w:tmpl w:val="DF06708A"/>
    <w:lvl w:ilvl="0" w:tplc="0054D5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9F3558D"/>
    <w:multiLevelType w:val="hybridMultilevel"/>
    <w:tmpl w:val="AE0ECC6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C217BA6"/>
    <w:multiLevelType w:val="hybridMultilevel"/>
    <w:tmpl w:val="B88C73B0"/>
    <w:lvl w:ilvl="0" w:tplc="10A02592">
      <w:start w:val="1"/>
      <w:numFmt w:val="bullet"/>
      <w:pStyle w:val="BulletPoints"/>
      <w:lvlText w:val=""/>
      <w:lvlJc w:val="left"/>
      <w:pPr>
        <w:ind w:left="1080" w:hanging="360"/>
      </w:pPr>
      <w:rPr>
        <w:rFonts w:ascii="Symbol" w:hAnsi="Symbol" w:hint="default"/>
        <w:color w:val="E309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777CEB"/>
    <w:multiLevelType w:val="hybridMultilevel"/>
    <w:tmpl w:val="AE0ECC6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458A14BF"/>
    <w:multiLevelType w:val="multilevel"/>
    <w:tmpl w:val="D056FE76"/>
    <w:lvl w:ilvl="0">
      <w:start w:val="3"/>
      <w:numFmt w:val="decimal"/>
      <w:lvlText w:val="%1."/>
      <w:lvlJc w:val="left"/>
      <w:pPr>
        <w:ind w:left="720" w:hanging="360"/>
      </w:pPr>
      <w:rPr>
        <w:rFonts w:hint="default"/>
        <w:b/>
        <w:bCs/>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bullet"/>
      <w:lvlText w:val=""/>
      <w:lvlJc w:val="left"/>
      <w:pPr>
        <w:ind w:left="1620" w:hanging="720"/>
      </w:pPr>
      <w:rPr>
        <w:rFonts w:ascii="Symbol" w:hAnsi="Symbol"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9" w15:restartNumberingAfterBreak="0">
    <w:nsid w:val="484E0E9F"/>
    <w:multiLevelType w:val="hybridMultilevel"/>
    <w:tmpl w:val="6BE6BD4E"/>
    <w:lvl w:ilvl="0" w:tplc="F08EF8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6F0F77"/>
    <w:multiLevelType w:val="multilevel"/>
    <w:tmpl w:val="3E5EF9B2"/>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tentative="1">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39"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9570C01"/>
    <w:multiLevelType w:val="multilevel"/>
    <w:tmpl w:val="71CE487C"/>
    <w:lvl w:ilvl="0">
      <w:start w:val="1"/>
      <w:numFmt w:val="decimal"/>
      <w:lvlText w:val="%1."/>
      <w:lvlJc w:val="left"/>
      <w:pPr>
        <w:ind w:left="720" w:hanging="360"/>
      </w:pPr>
      <w:rPr>
        <w:b/>
        <w:bCs/>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2"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784A5F"/>
    <w:multiLevelType w:val="hybridMultilevel"/>
    <w:tmpl w:val="B9CEB3D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A171A41"/>
    <w:multiLevelType w:val="multilevel"/>
    <w:tmpl w:val="D056FE76"/>
    <w:lvl w:ilvl="0">
      <w:start w:val="3"/>
      <w:numFmt w:val="decimal"/>
      <w:lvlText w:val="%1."/>
      <w:lvlJc w:val="left"/>
      <w:pPr>
        <w:ind w:left="720" w:hanging="360"/>
      </w:pPr>
      <w:rPr>
        <w:rFonts w:hint="default"/>
        <w:b/>
        <w:bCs/>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bullet"/>
      <w:lvlText w:val=""/>
      <w:lvlJc w:val="left"/>
      <w:pPr>
        <w:ind w:left="1620" w:hanging="720"/>
      </w:pPr>
      <w:rPr>
        <w:rFonts w:ascii="Symbol" w:hAnsi="Symbol"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7"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0354444">
    <w:abstractNumId w:val="9"/>
  </w:num>
  <w:num w:numId="2" w16cid:durableId="3747737">
    <w:abstractNumId w:val="4"/>
  </w:num>
  <w:num w:numId="3" w16cid:durableId="1391465424">
    <w:abstractNumId w:val="25"/>
  </w:num>
  <w:num w:numId="4" w16cid:durableId="985283152">
    <w:abstractNumId w:val="47"/>
  </w:num>
  <w:num w:numId="5" w16cid:durableId="805851363">
    <w:abstractNumId w:val="32"/>
  </w:num>
  <w:num w:numId="6" w16cid:durableId="274676377">
    <w:abstractNumId w:val="30"/>
  </w:num>
  <w:num w:numId="7" w16cid:durableId="284582412">
    <w:abstractNumId w:val="35"/>
  </w:num>
  <w:num w:numId="8" w16cid:durableId="64105373">
    <w:abstractNumId w:val="6"/>
  </w:num>
  <w:num w:numId="9" w16cid:durableId="1598558584">
    <w:abstractNumId w:val="14"/>
  </w:num>
  <w:num w:numId="10" w16cid:durableId="856846938">
    <w:abstractNumId w:val="40"/>
  </w:num>
  <w:num w:numId="11" w16cid:durableId="239406196">
    <w:abstractNumId w:val="21"/>
  </w:num>
  <w:num w:numId="12" w16cid:durableId="249392428">
    <w:abstractNumId w:val="37"/>
  </w:num>
  <w:num w:numId="13" w16cid:durableId="6636007">
    <w:abstractNumId w:val="5"/>
  </w:num>
  <w:num w:numId="14" w16cid:durableId="838886124">
    <w:abstractNumId w:val="38"/>
  </w:num>
  <w:num w:numId="15" w16cid:durableId="1230187540">
    <w:abstractNumId w:val="3"/>
  </w:num>
  <w:num w:numId="16" w16cid:durableId="1201934571">
    <w:abstractNumId w:val="15"/>
  </w:num>
  <w:num w:numId="17" w16cid:durableId="42215009">
    <w:abstractNumId w:val="0"/>
  </w:num>
  <w:num w:numId="18" w16cid:durableId="1942566851">
    <w:abstractNumId w:val="31"/>
  </w:num>
  <w:num w:numId="19" w16cid:durableId="1569606290">
    <w:abstractNumId w:val="33"/>
  </w:num>
  <w:num w:numId="20" w16cid:durableId="82074310">
    <w:abstractNumId w:val="22"/>
  </w:num>
  <w:num w:numId="21" w16cid:durableId="416026716">
    <w:abstractNumId w:val="20"/>
  </w:num>
  <w:num w:numId="22" w16cid:durableId="2075006718">
    <w:abstractNumId w:val="17"/>
  </w:num>
  <w:num w:numId="23" w16cid:durableId="153304681">
    <w:abstractNumId w:val="34"/>
  </w:num>
  <w:num w:numId="24" w16cid:durableId="1757051934">
    <w:abstractNumId w:val="44"/>
  </w:num>
  <w:num w:numId="25" w16cid:durableId="2007202290">
    <w:abstractNumId w:val="26"/>
  </w:num>
  <w:num w:numId="26" w16cid:durableId="2134783382">
    <w:abstractNumId w:val="10"/>
  </w:num>
  <w:num w:numId="27" w16cid:durableId="1746801698">
    <w:abstractNumId w:val="16"/>
  </w:num>
  <w:num w:numId="28" w16cid:durableId="168763285">
    <w:abstractNumId w:val="39"/>
  </w:num>
  <w:num w:numId="29" w16cid:durableId="1125347946">
    <w:abstractNumId w:val="11"/>
  </w:num>
  <w:num w:numId="30" w16cid:durableId="941572906">
    <w:abstractNumId w:val="41"/>
  </w:num>
  <w:num w:numId="31" w16cid:durableId="512186017">
    <w:abstractNumId w:val="45"/>
  </w:num>
  <w:num w:numId="32" w16cid:durableId="852037547">
    <w:abstractNumId w:val="42"/>
  </w:num>
  <w:num w:numId="33" w16cid:durableId="1075517522">
    <w:abstractNumId w:val="36"/>
  </w:num>
  <w:num w:numId="34" w16cid:durableId="976570192">
    <w:abstractNumId w:val="28"/>
  </w:num>
  <w:num w:numId="35" w16cid:durableId="1226792096">
    <w:abstractNumId w:val="46"/>
  </w:num>
  <w:num w:numId="36" w16cid:durableId="878128987">
    <w:abstractNumId w:val="2"/>
  </w:num>
  <w:num w:numId="37" w16cid:durableId="898052887">
    <w:abstractNumId w:val="18"/>
  </w:num>
  <w:num w:numId="38" w16cid:durableId="192770554">
    <w:abstractNumId w:val="29"/>
  </w:num>
  <w:num w:numId="39" w16cid:durableId="1232546060">
    <w:abstractNumId w:val="7"/>
  </w:num>
  <w:num w:numId="40" w16cid:durableId="450978741">
    <w:abstractNumId w:val="8"/>
  </w:num>
  <w:num w:numId="41" w16cid:durableId="126747489">
    <w:abstractNumId w:val="19"/>
  </w:num>
  <w:num w:numId="42" w16cid:durableId="790514856">
    <w:abstractNumId w:val="1"/>
  </w:num>
  <w:num w:numId="43" w16cid:durableId="143666695">
    <w:abstractNumId w:val="23"/>
  </w:num>
  <w:num w:numId="44" w16cid:durableId="1906792991">
    <w:abstractNumId w:val="24"/>
  </w:num>
  <w:num w:numId="45" w16cid:durableId="1416518000">
    <w:abstractNumId w:val="27"/>
  </w:num>
  <w:num w:numId="46" w16cid:durableId="192234493">
    <w:abstractNumId w:val="43"/>
  </w:num>
  <w:num w:numId="47" w16cid:durableId="782386420">
    <w:abstractNumId w:val="12"/>
  </w:num>
  <w:num w:numId="48" w16cid:durableId="11207561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02B9A"/>
    <w:rsid w:val="0001254D"/>
    <w:rsid w:val="00013F6F"/>
    <w:rsid w:val="00015EB9"/>
    <w:rsid w:val="0002034B"/>
    <w:rsid w:val="000209B9"/>
    <w:rsid w:val="000214B8"/>
    <w:rsid w:val="00023997"/>
    <w:rsid w:val="00023A77"/>
    <w:rsid w:val="000372F6"/>
    <w:rsid w:val="00037E6F"/>
    <w:rsid w:val="000408E3"/>
    <w:rsid w:val="00040BB8"/>
    <w:rsid w:val="00040DCD"/>
    <w:rsid w:val="00041B5B"/>
    <w:rsid w:val="00042E2C"/>
    <w:rsid w:val="000458C9"/>
    <w:rsid w:val="00045D5F"/>
    <w:rsid w:val="00050910"/>
    <w:rsid w:val="00051573"/>
    <w:rsid w:val="00052E7B"/>
    <w:rsid w:val="00053A5F"/>
    <w:rsid w:val="000562C1"/>
    <w:rsid w:val="000576DF"/>
    <w:rsid w:val="00063370"/>
    <w:rsid w:val="000674C0"/>
    <w:rsid w:val="00067670"/>
    <w:rsid w:val="00071436"/>
    <w:rsid w:val="00072ED9"/>
    <w:rsid w:val="00073DB5"/>
    <w:rsid w:val="000761CB"/>
    <w:rsid w:val="00081FC0"/>
    <w:rsid w:val="000904CE"/>
    <w:rsid w:val="000909DB"/>
    <w:rsid w:val="00091793"/>
    <w:rsid w:val="0009474D"/>
    <w:rsid w:val="000A3648"/>
    <w:rsid w:val="000A42D2"/>
    <w:rsid w:val="000A63B9"/>
    <w:rsid w:val="000B3767"/>
    <w:rsid w:val="000B5E72"/>
    <w:rsid w:val="000B61E5"/>
    <w:rsid w:val="000B7D0C"/>
    <w:rsid w:val="000C682F"/>
    <w:rsid w:val="000D0889"/>
    <w:rsid w:val="000D5843"/>
    <w:rsid w:val="000D7562"/>
    <w:rsid w:val="000E2A8A"/>
    <w:rsid w:val="000E46E9"/>
    <w:rsid w:val="000E4CBE"/>
    <w:rsid w:val="000E5D52"/>
    <w:rsid w:val="000E5D83"/>
    <w:rsid w:val="000E6F22"/>
    <w:rsid w:val="000F0714"/>
    <w:rsid w:val="000F0ADB"/>
    <w:rsid w:val="000F0B20"/>
    <w:rsid w:val="000F116F"/>
    <w:rsid w:val="000F3E90"/>
    <w:rsid w:val="00102763"/>
    <w:rsid w:val="00102D19"/>
    <w:rsid w:val="001040E4"/>
    <w:rsid w:val="00105063"/>
    <w:rsid w:val="0010768E"/>
    <w:rsid w:val="00122CF0"/>
    <w:rsid w:val="00124999"/>
    <w:rsid w:val="001254E2"/>
    <w:rsid w:val="00126102"/>
    <w:rsid w:val="0013141E"/>
    <w:rsid w:val="00140E32"/>
    <w:rsid w:val="00141909"/>
    <w:rsid w:val="00147A35"/>
    <w:rsid w:val="00147B11"/>
    <w:rsid w:val="00152D7D"/>
    <w:rsid w:val="0015375B"/>
    <w:rsid w:val="001537D5"/>
    <w:rsid w:val="00155342"/>
    <w:rsid w:val="00160980"/>
    <w:rsid w:val="00162972"/>
    <w:rsid w:val="00167432"/>
    <w:rsid w:val="001735D3"/>
    <w:rsid w:val="0017412E"/>
    <w:rsid w:val="00180673"/>
    <w:rsid w:val="001808DF"/>
    <w:rsid w:val="00180A28"/>
    <w:rsid w:val="00181BF5"/>
    <w:rsid w:val="0019066F"/>
    <w:rsid w:val="00190FD3"/>
    <w:rsid w:val="00191CD3"/>
    <w:rsid w:val="00192ACD"/>
    <w:rsid w:val="001957E9"/>
    <w:rsid w:val="00196740"/>
    <w:rsid w:val="001A0DF5"/>
    <w:rsid w:val="001A138A"/>
    <w:rsid w:val="001A1ABF"/>
    <w:rsid w:val="001A1FEC"/>
    <w:rsid w:val="001A2CEC"/>
    <w:rsid w:val="001A6327"/>
    <w:rsid w:val="001A64B4"/>
    <w:rsid w:val="001A6B5E"/>
    <w:rsid w:val="001B0656"/>
    <w:rsid w:val="001B7B9C"/>
    <w:rsid w:val="001C7B71"/>
    <w:rsid w:val="001D0C8A"/>
    <w:rsid w:val="001D0DB6"/>
    <w:rsid w:val="001D2660"/>
    <w:rsid w:val="001D4D63"/>
    <w:rsid w:val="001E6438"/>
    <w:rsid w:val="002015FA"/>
    <w:rsid w:val="0020343F"/>
    <w:rsid w:val="002043F8"/>
    <w:rsid w:val="00207931"/>
    <w:rsid w:val="00214F33"/>
    <w:rsid w:val="00216684"/>
    <w:rsid w:val="00220F62"/>
    <w:rsid w:val="002241DB"/>
    <w:rsid w:val="00224B0B"/>
    <w:rsid w:val="00227B7A"/>
    <w:rsid w:val="00231E7F"/>
    <w:rsid w:val="00240DA1"/>
    <w:rsid w:val="002423FE"/>
    <w:rsid w:val="00245246"/>
    <w:rsid w:val="00246CB4"/>
    <w:rsid w:val="00257E43"/>
    <w:rsid w:val="002622BC"/>
    <w:rsid w:val="00266D64"/>
    <w:rsid w:val="00274B9C"/>
    <w:rsid w:val="0027526D"/>
    <w:rsid w:val="00292052"/>
    <w:rsid w:val="00293496"/>
    <w:rsid w:val="0029675B"/>
    <w:rsid w:val="002A1DE8"/>
    <w:rsid w:val="002A78A0"/>
    <w:rsid w:val="002B02ED"/>
    <w:rsid w:val="002B100C"/>
    <w:rsid w:val="002B33EF"/>
    <w:rsid w:val="002B5AE6"/>
    <w:rsid w:val="002C1049"/>
    <w:rsid w:val="002C4450"/>
    <w:rsid w:val="002C5BC5"/>
    <w:rsid w:val="002D64A4"/>
    <w:rsid w:val="002E1C61"/>
    <w:rsid w:val="002E4FA8"/>
    <w:rsid w:val="002F13EA"/>
    <w:rsid w:val="002F5132"/>
    <w:rsid w:val="002F52A9"/>
    <w:rsid w:val="0030010D"/>
    <w:rsid w:val="003045F8"/>
    <w:rsid w:val="003063D1"/>
    <w:rsid w:val="00307767"/>
    <w:rsid w:val="00322FF9"/>
    <w:rsid w:val="00326EEF"/>
    <w:rsid w:val="00330853"/>
    <w:rsid w:val="00331A76"/>
    <w:rsid w:val="00332215"/>
    <w:rsid w:val="00332EC1"/>
    <w:rsid w:val="00333B53"/>
    <w:rsid w:val="00342529"/>
    <w:rsid w:val="003504C4"/>
    <w:rsid w:val="00350CB0"/>
    <w:rsid w:val="00350DE3"/>
    <w:rsid w:val="00352033"/>
    <w:rsid w:val="00353E8C"/>
    <w:rsid w:val="00354C0B"/>
    <w:rsid w:val="00354D29"/>
    <w:rsid w:val="00363A85"/>
    <w:rsid w:val="003664F0"/>
    <w:rsid w:val="003669E8"/>
    <w:rsid w:val="00370E3F"/>
    <w:rsid w:val="003757C4"/>
    <w:rsid w:val="0037658D"/>
    <w:rsid w:val="00376FB2"/>
    <w:rsid w:val="00382C76"/>
    <w:rsid w:val="00382F39"/>
    <w:rsid w:val="003873FF"/>
    <w:rsid w:val="003A06EC"/>
    <w:rsid w:val="003A3F05"/>
    <w:rsid w:val="003B0C9A"/>
    <w:rsid w:val="003B16C5"/>
    <w:rsid w:val="003B1D32"/>
    <w:rsid w:val="003C20B4"/>
    <w:rsid w:val="003C4CA3"/>
    <w:rsid w:val="003D0FE4"/>
    <w:rsid w:val="003D418D"/>
    <w:rsid w:val="003D51F2"/>
    <w:rsid w:val="003D5267"/>
    <w:rsid w:val="003D5B12"/>
    <w:rsid w:val="003D7B3E"/>
    <w:rsid w:val="003E0B6D"/>
    <w:rsid w:val="003E1E69"/>
    <w:rsid w:val="003E3A29"/>
    <w:rsid w:val="003E514B"/>
    <w:rsid w:val="003E7724"/>
    <w:rsid w:val="003F2781"/>
    <w:rsid w:val="003F56EA"/>
    <w:rsid w:val="003F5883"/>
    <w:rsid w:val="00403AC8"/>
    <w:rsid w:val="004127D7"/>
    <w:rsid w:val="00413A8A"/>
    <w:rsid w:val="004144E6"/>
    <w:rsid w:val="00414981"/>
    <w:rsid w:val="00414B79"/>
    <w:rsid w:val="00417A0A"/>
    <w:rsid w:val="004211DC"/>
    <w:rsid w:val="00423383"/>
    <w:rsid w:val="0042444E"/>
    <w:rsid w:val="00424E22"/>
    <w:rsid w:val="004333B4"/>
    <w:rsid w:val="00434579"/>
    <w:rsid w:val="00435683"/>
    <w:rsid w:val="00436E0E"/>
    <w:rsid w:val="0044072A"/>
    <w:rsid w:val="00441014"/>
    <w:rsid w:val="004415B7"/>
    <w:rsid w:val="0044167B"/>
    <w:rsid w:val="004430BB"/>
    <w:rsid w:val="0044422F"/>
    <w:rsid w:val="00452F4C"/>
    <w:rsid w:val="0045517E"/>
    <w:rsid w:val="00457151"/>
    <w:rsid w:val="00457F39"/>
    <w:rsid w:val="0046123C"/>
    <w:rsid w:val="00461DB0"/>
    <w:rsid w:val="00463053"/>
    <w:rsid w:val="00464423"/>
    <w:rsid w:val="00470D9B"/>
    <w:rsid w:val="00470DC3"/>
    <w:rsid w:val="004723ED"/>
    <w:rsid w:val="00473800"/>
    <w:rsid w:val="00481A2C"/>
    <w:rsid w:val="0048268F"/>
    <w:rsid w:val="004826D3"/>
    <w:rsid w:val="004856CE"/>
    <w:rsid w:val="004A0E5A"/>
    <w:rsid w:val="004A6E71"/>
    <w:rsid w:val="004B25E1"/>
    <w:rsid w:val="004B38E1"/>
    <w:rsid w:val="004B5878"/>
    <w:rsid w:val="004B7F44"/>
    <w:rsid w:val="004C1B1C"/>
    <w:rsid w:val="004C49E3"/>
    <w:rsid w:val="004D0EE6"/>
    <w:rsid w:val="004D2BE0"/>
    <w:rsid w:val="004D4432"/>
    <w:rsid w:val="004D47D9"/>
    <w:rsid w:val="004D7998"/>
    <w:rsid w:val="004E1DD6"/>
    <w:rsid w:val="004E2BE1"/>
    <w:rsid w:val="004E3F49"/>
    <w:rsid w:val="004E54ED"/>
    <w:rsid w:val="004F0517"/>
    <w:rsid w:val="004F3E9A"/>
    <w:rsid w:val="00500023"/>
    <w:rsid w:val="0050415F"/>
    <w:rsid w:val="005104A1"/>
    <w:rsid w:val="00511137"/>
    <w:rsid w:val="00523799"/>
    <w:rsid w:val="00525C75"/>
    <w:rsid w:val="005321E8"/>
    <w:rsid w:val="00533E8D"/>
    <w:rsid w:val="00541F5A"/>
    <w:rsid w:val="0054556E"/>
    <w:rsid w:val="005459B2"/>
    <w:rsid w:val="00545FF8"/>
    <w:rsid w:val="00547ADF"/>
    <w:rsid w:val="00553B87"/>
    <w:rsid w:val="00555973"/>
    <w:rsid w:val="005559F0"/>
    <w:rsid w:val="0055651E"/>
    <w:rsid w:val="00556AD2"/>
    <w:rsid w:val="00557063"/>
    <w:rsid w:val="00557E43"/>
    <w:rsid w:val="00560079"/>
    <w:rsid w:val="005625B2"/>
    <w:rsid w:val="005645AE"/>
    <w:rsid w:val="00564685"/>
    <w:rsid w:val="005649EC"/>
    <w:rsid w:val="00564E2F"/>
    <w:rsid w:val="00564FBA"/>
    <w:rsid w:val="005703AB"/>
    <w:rsid w:val="005738ED"/>
    <w:rsid w:val="00573A3D"/>
    <w:rsid w:val="005758D8"/>
    <w:rsid w:val="00577FA9"/>
    <w:rsid w:val="005835C7"/>
    <w:rsid w:val="0058394E"/>
    <w:rsid w:val="0058544B"/>
    <w:rsid w:val="005859FB"/>
    <w:rsid w:val="00590C60"/>
    <w:rsid w:val="005939AA"/>
    <w:rsid w:val="005A03C1"/>
    <w:rsid w:val="005A09EF"/>
    <w:rsid w:val="005A612B"/>
    <w:rsid w:val="005A73CF"/>
    <w:rsid w:val="005B5914"/>
    <w:rsid w:val="005B5C34"/>
    <w:rsid w:val="005C15C5"/>
    <w:rsid w:val="005C2B66"/>
    <w:rsid w:val="005C3DBA"/>
    <w:rsid w:val="005C4F43"/>
    <w:rsid w:val="005D6896"/>
    <w:rsid w:val="005E174D"/>
    <w:rsid w:val="005E2BCC"/>
    <w:rsid w:val="005E4006"/>
    <w:rsid w:val="00611E7C"/>
    <w:rsid w:val="00613452"/>
    <w:rsid w:val="00620C28"/>
    <w:rsid w:val="00622493"/>
    <w:rsid w:val="006246E5"/>
    <w:rsid w:val="0063672B"/>
    <w:rsid w:val="00636AB6"/>
    <w:rsid w:val="00636C16"/>
    <w:rsid w:val="006410AD"/>
    <w:rsid w:val="006464C6"/>
    <w:rsid w:val="00647006"/>
    <w:rsid w:val="00647D7F"/>
    <w:rsid w:val="00650F00"/>
    <w:rsid w:val="0065542A"/>
    <w:rsid w:val="006616B3"/>
    <w:rsid w:val="0066267E"/>
    <w:rsid w:val="006626D7"/>
    <w:rsid w:val="00667F87"/>
    <w:rsid w:val="00670239"/>
    <w:rsid w:val="006715FE"/>
    <w:rsid w:val="006724AD"/>
    <w:rsid w:val="00674AC7"/>
    <w:rsid w:val="00676E5C"/>
    <w:rsid w:val="00683E5F"/>
    <w:rsid w:val="00686AED"/>
    <w:rsid w:val="00695461"/>
    <w:rsid w:val="00695DF3"/>
    <w:rsid w:val="00696054"/>
    <w:rsid w:val="00697007"/>
    <w:rsid w:val="006A10A1"/>
    <w:rsid w:val="006A4F70"/>
    <w:rsid w:val="006A546D"/>
    <w:rsid w:val="006B4C91"/>
    <w:rsid w:val="006B5D3A"/>
    <w:rsid w:val="006C182A"/>
    <w:rsid w:val="006C2418"/>
    <w:rsid w:val="006C6FC6"/>
    <w:rsid w:val="006D1A97"/>
    <w:rsid w:val="006D43BF"/>
    <w:rsid w:val="006D48BE"/>
    <w:rsid w:val="006D5203"/>
    <w:rsid w:val="006D6AC8"/>
    <w:rsid w:val="006D7D62"/>
    <w:rsid w:val="006E0A1B"/>
    <w:rsid w:val="00701F3E"/>
    <w:rsid w:val="00702795"/>
    <w:rsid w:val="00702F46"/>
    <w:rsid w:val="00704A2C"/>
    <w:rsid w:val="007075AE"/>
    <w:rsid w:val="00707E82"/>
    <w:rsid w:val="0071121B"/>
    <w:rsid w:val="007130F8"/>
    <w:rsid w:val="0071388E"/>
    <w:rsid w:val="007172A8"/>
    <w:rsid w:val="007176E3"/>
    <w:rsid w:val="00722585"/>
    <w:rsid w:val="0072491E"/>
    <w:rsid w:val="00731652"/>
    <w:rsid w:val="00734393"/>
    <w:rsid w:val="00742899"/>
    <w:rsid w:val="00742C6D"/>
    <w:rsid w:val="00743584"/>
    <w:rsid w:val="00750EF7"/>
    <w:rsid w:val="007527C8"/>
    <w:rsid w:val="0075505C"/>
    <w:rsid w:val="0075665E"/>
    <w:rsid w:val="00757166"/>
    <w:rsid w:val="0075730D"/>
    <w:rsid w:val="00761065"/>
    <w:rsid w:val="0076122F"/>
    <w:rsid w:val="00767800"/>
    <w:rsid w:val="007706AB"/>
    <w:rsid w:val="00771F35"/>
    <w:rsid w:val="00773B30"/>
    <w:rsid w:val="0077585F"/>
    <w:rsid w:val="0077631B"/>
    <w:rsid w:val="00776C5D"/>
    <w:rsid w:val="007837D8"/>
    <w:rsid w:val="00784315"/>
    <w:rsid w:val="00784E67"/>
    <w:rsid w:val="00785423"/>
    <w:rsid w:val="00786514"/>
    <w:rsid w:val="007866AE"/>
    <w:rsid w:val="007866BC"/>
    <w:rsid w:val="0078767D"/>
    <w:rsid w:val="00790780"/>
    <w:rsid w:val="00792F1A"/>
    <w:rsid w:val="0079386C"/>
    <w:rsid w:val="00797551"/>
    <w:rsid w:val="00797AF1"/>
    <w:rsid w:val="007A3046"/>
    <w:rsid w:val="007A578C"/>
    <w:rsid w:val="007B1AF3"/>
    <w:rsid w:val="007B23FB"/>
    <w:rsid w:val="007B4257"/>
    <w:rsid w:val="007B685A"/>
    <w:rsid w:val="007B717D"/>
    <w:rsid w:val="007B7A16"/>
    <w:rsid w:val="007C00D0"/>
    <w:rsid w:val="007C0592"/>
    <w:rsid w:val="007C3F69"/>
    <w:rsid w:val="007C409A"/>
    <w:rsid w:val="007C744D"/>
    <w:rsid w:val="007D2C38"/>
    <w:rsid w:val="007D53C3"/>
    <w:rsid w:val="007D5907"/>
    <w:rsid w:val="007E0B3E"/>
    <w:rsid w:val="007E4A65"/>
    <w:rsid w:val="007E648A"/>
    <w:rsid w:val="007E7482"/>
    <w:rsid w:val="007F1C81"/>
    <w:rsid w:val="007F1DD0"/>
    <w:rsid w:val="00800EC6"/>
    <w:rsid w:val="00806CE5"/>
    <w:rsid w:val="00807345"/>
    <w:rsid w:val="008075B2"/>
    <w:rsid w:val="00812A72"/>
    <w:rsid w:val="00813D87"/>
    <w:rsid w:val="008202BA"/>
    <w:rsid w:val="00822C7A"/>
    <w:rsid w:val="00823301"/>
    <w:rsid w:val="00825110"/>
    <w:rsid w:val="00826784"/>
    <w:rsid w:val="008267C5"/>
    <w:rsid w:val="00826943"/>
    <w:rsid w:val="00830E02"/>
    <w:rsid w:val="00831703"/>
    <w:rsid w:val="00834839"/>
    <w:rsid w:val="00843997"/>
    <w:rsid w:val="0084695A"/>
    <w:rsid w:val="008542C4"/>
    <w:rsid w:val="00854ED8"/>
    <w:rsid w:val="00855D24"/>
    <w:rsid w:val="0086273D"/>
    <w:rsid w:val="00863385"/>
    <w:rsid w:val="008659A5"/>
    <w:rsid w:val="00866E02"/>
    <w:rsid w:val="00871013"/>
    <w:rsid w:val="00874084"/>
    <w:rsid w:val="00874E4A"/>
    <w:rsid w:val="0087676C"/>
    <w:rsid w:val="00881382"/>
    <w:rsid w:val="00882EC5"/>
    <w:rsid w:val="00884227"/>
    <w:rsid w:val="0088588C"/>
    <w:rsid w:val="0088633C"/>
    <w:rsid w:val="00886D55"/>
    <w:rsid w:val="008945F3"/>
    <w:rsid w:val="008A4E09"/>
    <w:rsid w:val="008A5FCC"/>
    <w:rsid w:val="008B48A8"/>
    <w:rsid w:val="008B4B8E"/>
    <w:rsid w:val="008B625E"/>
    <w:rsid w:val="008B73EE"/>
    <w:rsid w:val="008B7F46"/>
    <w:rsid w:val="008C27FB"/>
    <w:rsid w:val="008C329C"/>
    <w:rsid w:val="008C56C6"/>
    <w:rsid w:val="008D14C7"/>
    <w:rsid w:val="008E4C9F"/>
    <w:rsid w:val="008E5D69"/>
    <w:rsid w:val="008E7228"/>
    <w:rsid w:val="008F42AC"/>
    <w:rsid w:val="008F5D03"/>
    <w:rsid w:val="008F6F46"/>
    <w:rsid w:val="00902125"/>
    <w:rsid w:val="009038B3"/>
    <w:rsid w:val="00906599"/>
    <w:rsid w:val="00911012"/>
    <w:rsid w:val="0091111B"/>
    <w:rsid w:val="00911B41"/>
    <w:rsid w:val="0091205A"/>
    <w:rsid w:val="00912993"/>
    <w:rsid w:val="009203CD"/>
    <w:rsid w:val="009216E0"/>
    <w:rsid w:val="009221A4"/>
    <w:rsid w:val="00923BA0"/>
    <w:rsid w:val="009252DB"/>
    <w:rsid w:val="0092637C"/>
    <w:rsid w:val="00926581"/>
    <w:rsid w:val="00931A5D"/>
    <w:rsid w:val="00933D23"/>
    <w:rsid w:val="0094212D"/>
    <w:rsid w:val="009459B4"/>
    <w:rsid w:val="00945B70"/>
    <w:rsid w:val="00946B2D"/>
    <w:rsid w:val="009505E1"/>
    <w:rsid w:val="0095265D"/>
    <w:rsid w:val="009536D6"/>
    <w:rsid w:val="00954F24"/>
    <w:rsid w:val="00960E56"/>
    <w:rsid w:val="0096474B"/>
    <w:rsid w:val="009670D0"/>
    <w:rsid w:val="009729BB"/>
    <w:rsid w:val="0097437D"/>
    <w:rsid w:val="00974E55"/>
    <w:rsid w:val="00976F7F"/>
    <w:rsid w:val="00980F8E"/>
    <w:rsid w:val="00983C8A"/>
    <w:rsid w:val="0098690D"/>
    <w:rsid w:val="0098747B"/>
    <w:rsid w:val="00990C3D"/>
    <w:rsid w:val="0099187B"/>
    <w:rsid w:val="00995BA3"/>
    <w:rsid w:val="0099689E"/>
    <w:rsid w:val="00997795"/>
    <w:rsid w:val="00997D62"/>
    <w:rsid w:val="009A2C78"/>
    <w:rsid w:val="009B185F"/>
    <w:rsid w:val="009B3179"/>
    <w:rsid w:val="009B51F2"/>
    <w:rsid w:val="009B695F"/>
    <w:rsid w:val="009B7685"/>
    <w:rsid w:val="009C2109"/>
    <w:rsid w:val="009C3D6A"/>
    <w:rsid w:val="009E2F2F"/>
    <w:rsid w:val="009E3A93"/>
    <w:rsid w:val="009E459E"/>
    <w:rsid w:val="009E5D12"/>
    <w:rsid w:val="009F15CB"/>
    <w:rsid w:val="009F313A"/>
    <w:rsid w:val="009F6603"/>
    <w:rsid w:val="009F66F7"/>
    <w:rsid w:val="00A0043E"/>
    <w:rsid w:val="00A0346A"/>
    <w:rsid w:val="00A04082"/>
    <w:rsid w:val="00A04C92"/>
    <w:rsid w:val="00A1097B"/>
    <w:rsid w:val="00A117FA"/>
    <w:rsid w:val="00A127BD"/>
    <w:rsid w:val="00A1311D"/>
    <w:rsid w:val="00A13A95"/>
    <w:rsid w:val="00A17E7A"/>
    <w:rsid w:val="00A24E55"/>
    <w:rsid w:val="00A25AA1"/>
    <w:rsid w:val="00A34D40"/>
    <w:rsid w:val="00A3535F"/>
    <w:rsid w:val="00A36CBA"/>
    <w:rsid w:val="00A3700B"/>
    <w:rsid w:val="00A40D57"/>
    <w:rsid w:val="00A421DB"/>
    <w:rsid w:val="00A4615B"/>
    <w:rsid w:val="00A50C42"/>
    <w:rsid w:val="00A50ED4"/>
    <w:rsid w:val="00A60321"/>
    <w:rsid w:val="00A6329C"/>
    <w:rsid w:val="00A63331"/>
    <w:rsid w:val="00A63D77"/>
    <w:rsid w:val="00A64338"/>
    <w:rsid w:val="00A65908"/>
    <w:rsid w:val="00A7737E"/>
    <w:rsid w:val="00A7785F"/>
    <w:rsid w:val="00A82546"/>
    <w:rsid w:val="00A84CEC"/>
    <w:rsid w:val="00A8677D"/>
    <w:rsid w:val="00A90C25"/>
    <w:rsid w:val="00A92261"/>
    <w:rsid w:val="00A95F56"/>
    <w:rsid w:val="00A961AC"/>
    <w:rsid w:val="00AA227D"/>
    <w:rsid w:val="00AA4460"/>
    <w:rsid w:val="00AB30DD"/>
    <w:rsid w:val="00AB5659"/>
    <w:rsid w:val="00AB79FC"/>
    <w:rsid w:val="00AC25B5"/>
    <w:rsid w:val="00AC38F3"/>
    <w:rsid w:val="00AD1099"/>
    <w:rsid w:val="00AD12FC"/>
    <w:rsid w:val="00AE4E88"/>
    <w:rsid w:val="00AE4EA8"/>
    <w:rsid w:val="00AF2086"/>
    <w:rsid w:val="00AF3B1E"/>
    <w:rsid w:val="00AF3BF5"/>
    <w:rsid w:val="00AF4034"/>
    <w:rsid w:val="00AF5BF6"/>
    <w:rsid w:val="00AF6497"/>
    <w:rsid w:val="00B03A41"/>
    <w:rsid w:val="00B03CAC"/>
    <w:rsid w:val="00B04BAA"/>
    <w:rsid w:val="00B07B73"/>
    <w:rsid w:val="00B12E6A"/>
    <w:rsid w:val="00B214F9"/>
    <w:rsid w:val="00B23529"/>
    <w:rsid w:val="00B25419"/>
    <w:rsid w:val="00B25A19"/>
    <w:rsid w:val="00B268D5"/>
    <w:rsid w:val="00B306C2"/>
    <w:rsid w:val="00B31EED"/>
    <w:rsid w:val="00B324F9"/>
    <w:rsid w:val="00B328C4"/>
    <w:rsid w:val="00B32B87"/>
    <w:rsid w:val="00B34AA7"/>
    <w:rsid w:val="00B40D35"/>
    <w:rsid w:val="00B4330B"/>
    <w:rsid w:val="00B43C60"/>
    <w:rsid w:val="00B45D49"/>
    <w:rsid w:val="00B47438"/>
    <w:rsid w:val="00B53615"/>
    <w:rsid w:val="00B54F14"/>
    <w:rsid w:val="00B565C2"/>
    <w:rsid w:val="00B67268"/>
    <w:rsid w:val="00B847D5"/>
    <w:rsid w:val="00B90033"/>
    <w:rsid w:val="00B954C5"/>
    <w:rsid w:val="00BA0110"/>
    <w:rsid w:val="00BA1AFA"/>
    <w:rsid w:val="00BA5B5E"/>
    <w:rsid w:val="00BA729F"/>
    <w:rsid w:val="00BA7F01"/>
    <w:rsid w:val="00BB05FE"/>
    <w:rsid w:val="00BB1FE3"/>
    <w:rsid w:val="00BB332B"/>
    <w:rsid w:val="00BB407A"/>
    <w:rsid w:val="00BB4461"/>
    <w:rsid w:val="00BB58B0"/>
    <w:rsid w:val="00BB61A6"/>
    <w:rsid w:val="00BB66B5"/>
    <w:rsid w:val="00BB7DF5"/>
    <w:rsid w:val="00BC2E4B"/>
    <w:rsid w:val="00BC3ED3"/>
    <w:rsid w:val="00BC55CF"/>
    <w:rsid w:val="00BC679A"/>
    <w:rsid w:val="00BD083F"/>
    <w:rsid w:val="00BD1612"/>
    <w:rsid w:val="00BE0B4D"/>
    <w:rsid w:val="00BE4284"/>
    <w:rsid w:val="00BE5FBB"/>
    <w:rsid w:val="00BF01F5"/>
    <w:rsid w:val="00BF0854"/>
    <w:rsid w:val="00BF4C05"/>
    <w:rsid w:val="00C03559"/>
    <w:rsid w:val="00C07B00"/>
    <w:rsid w:val="00C1644A"/>
    <w:rsid w:val="00C16500"/>
    <w:rsid w:val="00C311BE"/>
    <w:rsid w:val="00C31ECA"/>
    <w:rsid w:val="00C32920"/>
    <w:rsid w:val="00C33CC5"/>
    <w:rsid w:val="00C40554"/>
    <w:rsid w:val="00C407AB"/>
    <w:rsid w:val="00C41BDD"/>
    <w:rsid w:val="00C43588"/>
    <w:rsid w:val="00C44A1B"/>
    <w:rsid w:val="00C47426"/>
    <w:rsid w:val="00C5266F"/>
    <w:rsid w:val="00C5755D"/>
    <w:rsid w:val="00C57562"/>
    <w:rsid w:val="00C60E43"/>
    <w:rsid w:val="00C61357"/>
    <w:rsid w:val="00C64897"/>
    <w:rsid w:val="00C655EF"/>
    <w:rsid w:val="00C670EB"/>
    <w:rsid w:val="00C67F15"/>
    <w:rsid w:val="00C70346"/>
    <w:rsid w:val="00C74FCB"/>
    <w:rsid w:val="00C80F2E"/>
    <w:rsid w:val="00C84872"/>
    <w:rsid w:val="00C87FBA"/>
    <w:rsid w:val="00C91165"/>
    <w:rsid w:val="00C932DC"/>
    <w:rsid w:val="00C95625"/>
    <w:rsid w:val="00C96814"/>
    <w:rsid w:val="00CA6426"/>
    <w:rsid w:val="00CA74F9"/>
    <w:rsid w:val="00CB00E0"/>
    <w:rsid w:val="00CB102C"/>
    <w:rsid w:val="00CB1C21"/>
    <w:rsid w:val="00CB44B3"/>
    <w:rsid w:val="00CB5A81"/>
    <w:rsid w:val="00CB5FB1"/>
    <w:rsid w:val="00CC43B2"/>
    <w:rsid w:val="00CC67C7"/>
    <w:rsid w:val="00CC69B4"/>
    <w:rsid w:val="00CC77A0"/>
    <w:rsid w:val="00CC7A33"/>
    <w:rsid w:val="00CD4DCE"/>
    <w:rsid w:val="00CD6D22"/>
    <w:rsid w:val="00CD760C"/>
    <w:rsid w:val="00CE0A50"/>
    <w:rsid w:val="00CE1E7E"/>
    <w:rsid w:val="00CE4484"/>
    <w:rsid w:val="00CF07CD"/>
    <w:rsid w:val="00CF1F93"/>
    <w:rsid w:val="00CF2EBA"/>
    <w:rsid w:val="00CF3257"/>
    <w:rsid w:val="00CF5978"/>
    <w:rsid w:val="00D013E1"/>
    <w:rsid w:val="00D01F27"/>
    <w:rsid w:val="00D0256D"/>
    <w:rsid w:val="00D03D39"/>
    <w:rsid w:val="00D03E4B"/>
    <w:rsid w:val="00D10BBD"/>
    <w:rsid w:val="00D171EB"/>
    <w:rsid w:val="00D20DE3"/>
    <w:rsid w:val="00D20EFC"/>
    <w:rsid w:val="00D247BB"/>
    <w:rsid w:val="00D2553C"/>
    <w:rsid w:val="00D270AD"/>
    <w:rsid w:val="00D31975"/>
    <w:rsid w:val="00D31AB0"/>
    <w:rsid w:val="00D33E0C"/>
    <w:rsid w:val="00D34819"/>
    <w:rsid w:val="00D35A2C"/>
    <w:rsid w:val="00D43E71"/>
    <w:rsid w:val="00D44766"/>
    <w:rsid w:val="00D5114B"/>
    <w:rsid w:val="00D569BE"/>
    <w:rsid w:val="00D61A25"/>
    <w:rsid w:val="00D62AFE"/>
    <w:rsid w:val="00D6321E"/>
    <w:rsid w:val="00D66192"/>
    <w:rsid w:val="00D6694E"/>
    <w:rsid w:val="00D66C61"/>
    <w:rsid w:val="00D66ECF"/>
    <w:rsid w:val="00D67F1F"/>
    <w:rsid w:val="00D725A0"/>
    <w:rsid w:val="00D73592"/>
    <w:rsid w:val="00D7448A"/>
    <w:rsid w:val="00D758F0"/>
    <w:rsid w:val="00D81E9B"/>
    <w:rsid w:val="00D855AA"/>
    <w:rsid w:val="00D86597"/>
    <w:rsid w:val="00D87683"/>
    <w:rsid w:val="00D87A3F"/>
    <w:rsid w:val="00D94F19"/>
    <w:rsid w:val="00D95767"/>
    <w:rsid w:val="00DA348D"/>
    <w:rsid w:val="00DA3B45"/>
    <w:rsid w:val="00DA3C93"/>
    <w:rsid w:val="00DB04E8"/>
    <w:rsid w:val="00DB1F9F"/>
    <w:rsid w:val="00DB46CC"/>
    <w:rsid w:val="00DC0105"/>
    <w:rsid w:val="00DC62E2"/>
    <w:rsid w:val="00DD228C"/>
    <w:rsid w:val="00DD2AC3"/>
    <w:rsid w:val="00DD513C"/>
    <w:rsid w:val="00DD566E"/>
    <w:rsid w:val="00DD6C8C"/>
    <w:rsid w:val="00DD7190"/>
    <w:rsid w:val="00DD72B2"/>
    <w:rsid w:val="00DE207C"/>
    <w:rsid w:val="00DE3105"/>
    <w:rsid w:val="00DE745A"/>
    <w:rsid w:val="00DF173D"/>
    <w:rsid w:val="00DF1B75"/>
    <w:rsid w:val="00DF2436"/>
    <w:rsid w:val="00DF42E0"/>
    <w:rsid w:val="00E00AD2"/>
    <w:rsid w:val="00E02A2F"/>
    <w:rsid w:val="00E036DA"/>
    <w:rsid w:val="00E05665"/>
    <w:rsid w:val="00E149BA"/>
    <w:rsid w:val="00E14ADF"/>
    <w:rsid w:val="00E16227"/>
    <w:rsid w:val="00E166AD"/>
    <w:rsid w:val="00E168E5"/>
    <w:rsid w:val="00E16CAD"/>
    <w:rsid w:val="00E17726"/>
    <w:rsid w:val="00E21235"/>
    <w:rsid w:val="00E225C6"/>
    <w:rsid w:val="00E316CF"/>
    <w:rsid w:val="00E37DA4"/>
    <w:rsid w:val="00E40567"/>
    <w:rsid w:val="00E406BB"/>
    <w:rsid w:val="00E53F73"/>
    <w:rsid w:val="00E5631A"/>
    <w:rsid w:val="00E609DC"/>
    <w:rsid w:val="00E61154"/>
    <w:rsid w:val="00E62911"/>
    <w:rsid w:val="00E6630D"/>
    <w:rsid w:val="00E84631"/>
    <w:rsid w:val="00E84FFA"/>
    <w:rsid w:val="00E86FBC"/>
    <w:rsid w:val="00E942A7"/>
    <w:rsid w:val="00EA00C0"/>
    <w:rsid w:val="00EA268C"/>
    <w:rsid w:val="00EA59F9"/>
    <w:rsid w:val="00EA6372"/>
    <w:rsid w:val="00EA6390"/>
    <w:rsid w:val="00EA6454"/>
    <w:rsid w:val="00EA7AF7"/>
    <w:rsid w:val="00EB0CC5"/>
    <w:rsid w:val="00EB2624"/>
    <w:rsid w:val="00EB67EB"/>
    <w:rsid w:val="00EB789F"/>
    <w:rsid w:val="00EC0BCC"/>
    <w:rsid w:val="00EC50D3"/>
    <w:rsid w:val="00EC5756"/>
    <w:rsid w:val="00EC5987"/>
    <w:rsid w:val="00EC7008"/>
    <w:rsid w:val="00EC76B1"/>
    <w:rsid w:val="00ED0B06"/>
    <w:rsid w:val="00ED12B6"/>
    <w:rsid w:val="00ED6FDA"/>
    <w:rsid w:val="00EE02E1"/>
    <w:rsid w:val="00EE3725"/>
    <w:rsid w:val="00EE415F"/>
    <w:rsid w:val="00EE421A"/>
    <w:rsid w:val="00EE4303"/>
    <w:rsid w:val="00EE646E"/>
    <w:rsid w:val="00EF083E"/>
    <w:rsid w:val="00EF0FC1"/>
    <w:rsid w:val="00EF2D1C"/>
    <w:rsid w:val="00EF4F3F"/>
    <w:rsid w:val="00F00EB6"/>
    <w:rsid w:val="00F014A2"/>
    <w:rsid w:val="00F02DBB"/>
    <w:rsid w:val="00F035C0"/>
    <w:rsid w:val="00F06B1A"/>
    <w:rsid w:val="00F12C0D"/>
    <w:rsid w:val="00F13E06"/>
    <w:rsid w:val="00F140A2"/>
    <w:rsid w:val="00F2545F"/>
    <w:rsid w:val="00F3151F"/>
    <w:rsid w:val="00F34350"/>
    <w:rsid w:val="00F41226"/>
    <w:rsid w:val="00F43593"/>
    <w:rsid w:val="00F45E9C"/>
    <w:rsid w:val="00F53069"/>
    <w:rsid w:val="00F5679E"/>
    <w:rsid w:val="00F60C98"/>
    <w:rsid w:val="00F65E11"/>
    <w:rsid w:val="00F673C0"/>
    <w:rsid w:val="00F801FF"/>
    <w:rsid w:val="00F814A4"/>
    <w:rsid w:val="00F86292"/>
    <w:rsid w:val="00F9047E"/>
    <w:rsid w:val="00F92412"/>
    <w:rsid w:val="00F92F84"/>
    <w:rsid w:val="00F97A5A"/>
    <w:rsid w:val="00FA08C9"/>
    <w:rsid w:val="00FA1219"/>
    <w:rsid w:val="00FA1473"/>
    <w:rsid w:val="00FA618F"/>
    <w:rsid w:val="00FA64E1"/>
    <w:rsid w:val="00FA7ABF"/>
    <w:rsid w:val="00FB03D6"/>
    <w:rsid w:val="00FB0914"/>
    <w:rsid w:val="00FB353A"/>
    <w:rsid w:val="00FB60AE"/>
    <w:rsid w:val="00FB6309"/>
    <w:rsid w:val="00FB7F8C"/>
    <w:rsid w:val="00FC11A6"/>
    <w:rsid w:val="00FC25DD"/>
    <w:rsid w:val="00FC4968"/>
    <w:rsid w:val="00FC4EBB"/>
    <w:rsid w:val="00FC5552"/>
    <w:rsid w:val="00FC5643"/>
    <w:rsid w:val="00FC59EC"/>
    <w:rsid w:val="00FD1B17"/>
    <w:rsid w:val="00FD4F36"/>
    <w:rsid w:val="00FD5A49"/>
    <w:rsid w:val="00FE0943"/>
    <w:rsid w:val="00FE28CF"/>
    <w:rsid w:val="00FE2F9B"/>
    <w:rsid w:val="00FE505D"/>
    <w:rsid w:val="00FE695D"/>
    <w:rsid w:val="00FF59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NormalWeb">
    <w:name w:val="Normal (Web)"/>
    <w:basedOn w:val="Normal"/>
    <w:uiPriority w:val="99"/>
    <w:semiHidden/>
    <w:unhideWhenUsed/>
    <w:rsid w:val="00015EB9"/>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015EB9"/>
  </w:style>
  <w:style w:type="paragraph" w:customStyle="1" w:styleId="Default">
    <w:name w:val="Default"/>
    <w:rsid w:val="002423FE"/>
    <w:pPr>
      <w:autoSpaceDE w:val="0"/>
      <w:autoSpaceDN w:val="0"/>
      <w:adjustRightInd w:val="0"/>
    </w:pPr>
    <w:rPr>
      <w:rFonts w:ascii="Arial" w:hAnsi="Arial" w:cs="Arial"/>
      <w:color w:val="000000"/>
    </w:rPr>
  </w:style>
  <w:style w:type="paragraph" w:styleId="EndnoteText">
    <w:name w:val="endnote text"/>
    <w:basedOn w:val="Normal"/>
    <w:link w:val="EndnoteTextChar"/>
    <w:uiPriority w:val="99"/>
    <w:semiHidden/>
    <w:unhideWhenUsed/>
    <w:rsid w:val="000F116F"/>
    <w:pPr>
      <w:spacing w:after="0" w:line="240" w:lineRule="auto"/>
    </w:pPr>
    <w:rPr>
      <w:szCs w:val="20"/>
    </w:rPr>
  </w:style>
  <w:style w:type="character" w:customStyle="1" w:styleId="EndnoteTextChar">
    <w:name w:val="Endnote Text Char"/>
    <w:basedOn w:val="DefaultParagraphFont"/>
    <w:link w:val="EndnoteText"/>
    <w:uiPriority w:val="99"/>
    <w:semiHidden/>
    <w:rsid w:val="000F116F"/>
    <w:rPr>
      <w:rFonts w:ascii="Foundry Sterling Book" w:hAnsi="Foundry Sterling Book"/>
      <w:sz w:val="20"/>
      <w:szCs w:val="20"/>
      <w:lang w:eastAsia="en-AU"/>
    </w:rPr>
  </w:style>
  <w:style w:type="character" w:styleId="EndnoteReference">
    <w:name w:val="endnote reference"/>
    <w:basedOn w:val="DefaultParagraphFont"/>
    <w:uiPriority w:val="99"/>
    <w:semiHidden/>
    <w:unhideWhenUsed/>
    <w:rsid w:val="000F116F"/>
    <w:rPr>
      <w:vertAlign w:val="superscript"/>
    </w:rPr>
  </w:style>
  <w:style w:type="character" w:customStyle="1" w:styleId="apple-converted-space">
    <w:name w:val="apple-converted-space"/>
    <w:rsid w:val="006410AD"/>
  </w:style>
  <w:style w:type="paragraph" w:styleId="BodyText">
    <w:name w:val="Body Text"/>
    <w:basedOn w:val="Normal"/>
    <w:link w:val="BodyTextChar"/>
    <w:semiHidden/>
    <w:unhideWhenUsed/>
    <w:rsid w:val="00CF5978"/>
    <w:pPr>
      <w:spacing w:after="0" w:line="240" w:lineRule="auto"/>
      <w:jc w:val="both"/>
    </w:pPr>
    <w:rPr>
      <w:rFonts w:ascii="Arial" w:eastAsia="Times New Roman" w:hAnsi="Arial" w:cs="Arial"/>
      <w:sz w:val="22"/>
      <w:szCs w:val="24"/>
    </w:rPr>
  </w:style>
  <w:style w:type="character" w:customStyle="1" w:styleId="BodyTextChar">
    <w:name w:val="Body Text Char"/>
    <w:basedOn w:val="DefaultParagraphFont"/>
    <w:link w:val="BodyText"/>
    <w:semiHidden/>
    <w:rsid w:val="00CF5978"/>
    <w:rPr>
      <w:rFonts w:ascii="Arial" w:eastAsia="Times New Roman" w:hAnsi="Arial" w:cs="Arial"/>
      <w:sz w:val="22"/>
      <w:lang w:eastAsia="en-AU"/>
    </w:rPr>
  </w:style>
  <w:style w:type="character" w:styleId="CommentReference">
    <w:name w:val="annotation reference"/>
    <w:basedOn w:val="DefaultParagraphFont"/>
    <w:uiPriority w:val="99"/>
    <w:semiHidden/>
    <w:unhideWhenUsed/>
    <w:rsid w:val="00002B9A"/>
    <w:rPr>
      <w:sz w:val="16"/>
      <w:szCs w:val="16"/>
    </w:rPr>
  </w:style>
  <w:style w:type="paragraph" w:styleId="CommentText">
    <w:name w:val="annotation text"/>
    <w:basedOn w:val="Normal"/>
    <w:link w:val="CommentTextChar"/>
    <w:uiPriority w:val="99"/>
    <w:semiHidden/>
    <w:unhideWhenUsed/>
    <w:rsid w:val="00002B9A"/>
    <w:pPr>
      <w:spacing w:line="240" w:lineRule="auto"/>
    </w:pPr>
    <w:rPr>
      <w:szCs w:val="20"/>
    </w:rPr>
  </w:style>
  <w:style w:type="character" w:customStyle="1" w:styleId="CommentTextChar">
    <w:name w:val="Comment Text Char"/>
    <w:basedOn w:val="DefaultParagraphFont"/>
    <w:link w:val="CommentText"/>
    <w:uiPriority w:val="99"/>
    <w:semiHidden/>
    <w:rsid w:val="00002B9A"/>
    <w:rPr>
      <w:rFonts w:ascii="Foundry Sterling Book" w:hAnsi="Foundry Sterling Book"/>
      <w:sz w:val="20"/>
      <w:szCs w:val="20"/>
      <w:lang w:eastAsia="en-AU"/>
    </w:rPr>
  </w:style>
  <w:style w:type="paragraph" w:styleId="CommentSubject">
    <w:name w:val="annotation subject"/>
    <w:basedOn w:val="CommentText"/>
    <w:next w:val="CommentText"/>
    <w:link w:val="CommentSubjectChar"/>
    <w:uiPriority w:val="99"/>
    <w:semiHidden/>
    <w:unhideWhenUsed/>
    <w:rsid w:val="00002B9A"/>
    <w:rPr>
      <w:b/>
      <w:bCs/>
    </w:rPr>
  </w:style>
  <w:style w:type="character" w:customStyle="1" w:styleId="CommentSubjectChar">
    <w:name w:val="Comment Subject Char"/>
    <w:basedOn w:val="CommentTextChar"/>
    <w:link w:val="CommentSubject"/>
    <w:uiPriority w:val="99"/>
    <w:semiHidden/>
    <w:rsid w:val="00002B9A"/>
    <w:rPr>
      <w:rFonts w:ascii="Foundry Sterling Book" w:hAnsi="Foundry Sterling Book"/>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02252468">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05932430">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492842002">
      <w:bodyDiv w:val="1"/>
      <w:marLeft w:val="0"/>
      <w:marRight w:val="0"/>
      <w:marTop w:val="0"/>
      <w:marBottom w:val="0"/>
      <w:divBdr>
        <w:top w:val="none" w:sz="0" w:space="0" w:color="auto"/>
        <w:left w:val="none" w:sz="0" w:space="0" w:color="auto"/>
        <w:bottom w:val="none" w:sz="0" w:space="0" w:color="auto"/>
        <w:right w:val="none" w:sz="0" w:space="0" w:color="auto"/>
      </w:divBdr>
    </w:div>
    <w:div w:id="572393980">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0755684">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946279471">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12370850">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iffith.edu.au/go-global" TargetMode="External"/><Relationship Id="rId18" Type="http://schemas.openxmlformats.org/officeDocument/2006/relationships/hyperlink" Target="http://www.comlaw.gov.au/Series/F2013L01680"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au/Details/C2020A00117" TargetMode="External"/><Relationship Id="rId34" Type="http://schemas.openxmlformats.org/officeDocument/2006/relationships/hyperlink" Target="https://sharepointpubstor.blob.core.windows.net/policylibrary-prod/Griffith%20Global%20Mobility%20Student%20Funding%20Procedur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omlaw.gov.au/Series/C2004A01234" TargetMode="External"/><Relationship Id="rId25" Type="http://schemas.openxmlformats.org/officeDocument/2006/relationships/hyperlink" Target="https://www.studyassist.gov.au/help-loans/commonwealth-supported-places-csps" TargetMode="External"/><Relationship Id="rId33" Type="http://schemas.openxmlformats.org/officeDocument/2006/relationships/hyperlink" Target="https://sharepointpubstor.blob.core.windows.net/policylibrary-prod/Enrolment%20Policy.pdf" TargetMode="External"/><Relationship Id="rId38" Type="http://schemas.openxmlformats.org/officeDocument/2006/relationships/hyperlink" Target="https://www.griffith.edu.au/go-global" TargetMode="External"/><Relationship Id="rId2" Type="http://schemas.openxmlformats.org/officeDocument/2006/relationships/customXml" Target="../customXml/item2.xml"/><Relationship Id="rId16" Type="http://schemas.openxmlformats.org/officeDocument/2006/relationships/hyperlink" Target="https://www.studyassist.gov.au/need-more-information/legislation-and-guidelines" TargetMode="External"/><Relationship Id="rId20" Type="http://schemas.openxmlformats.org/officeDocument/2006/relationships/hyperlink" Target="https://www.dfat.gov.au/international-relations/themes/preventing-sexual-exploitation-abuse-and-harassment/Pages/default" TargetMode="External"/><Relationship Id="rId29" Type="http://schemas.openxmlformats.org/officeDocument/2006/relationships/hyperlink" Target="https://www.legislation.gov.au/Details/C2019C001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oaic.gov.au/privacy/australian-privacy-principles" TargetMode="External"/><Relationship Id="rId32" Type="http://schemas.openxmlformats.org/officeDocument/2006/relationships/hyperlink" Target="https://sharepointpubstor.blob.core.windows.net/policylibrary-prod/Griffith%20Global%20Mobility%20Policy.pdf" TargetMode="External"/><Relationship Id="rId37" Type="http://schemas.openxmlformats.org/officeDocument/2006/relationships/hyperlink" Target="https://www.griffith.edu.au/students/student-review-appeal/review-and-appeal-intro"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rants.gov.au/" TargetMode="External"/><Relationship Id="rId23" Type="http://schemas.openxmlformats.org/officeDocument/2006/relationships/hyperlink" Target="https://www.oaic.gov.au/privacy/the-privacy-act" TargetMode="External"/><Relationship Id="rId28" Type="http://schemas.openxmlformats.org/officeDocument/2006/relationships/hyperlink" Target="https://www.legislation.gov.au/Details/C2020A00117" TargetMode="External"/><Relationship Id="rId36" Type="http://schemas.openxmlformats.org/officeDocument/2006/relationships/hyperlink" Target="https://sharepointpubstor.blob.core.windows.net/policylibrary-prod/Fees%20and%20Charges%20Schedules.pdf" TargetMode="External"/><Relationship Id="rId10" Type="http://schemas.openxmlformats.org/officeDocument/2006/relationships/endnotes" Target="endnotes.xml"/><Relationship Id="rId19" Type="http://schemas.openxmlformats.org/officeDocument/2006/relationships/hyperlink" Target="https://www.dfat.gov.au/international-relations/themes/child-protection/Pages/child-protection" TargetMode="External"/><Relationship Id="rId31" Type="http://schemas.openxmlformats.org/officeDocument/2006/relationships/hyperlink" Target="https://www.oaic.gov.au/privacy/australian-privacy-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assist.gov.au/help-loans/os-help-and-overseas-study" TargetMode="External"/><Relationship Id="rId22" Type="http://schemas.openxmlformats.org/officeDocument/2006/relationships/hyperlink" Target="https://www.legislation.gov.au/Details/C2019C00133" TargetMode="External"/><Relationship Id="rId27" Type="http://schemas.openxmlformats.org/officeDocument/2006/relationships/footer" Target="footer2.xml"/><Relationship Id="rId30" Type="http://schemas.openxmlformats.org/officeDocument/2006/relationships/hyperlink" Target="https://www.oaic.gov.au/privacy/the-privacy-act" TargetMode="External"/><Relationship Id="rId35" Type="http://schemas.openxmlformats.org/officeDocument/2006/relationships/hyperlink" Target="https://sharepointpubstor.blob.core.windows.net/policylibrary-prod/Fees%20and%20Charges%20Proced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519</Value>
      <Value>552</Value>
      <Value>91</Value>
      <Value>88</Value>
      <Value>70</Value>
      <Value>69</Value>
    </TaxCatchAll>
    <SharedWithUsers xmlns="b40c662e-0380-4817-843d-2c7e10d40c39">
      <UserInfo>
        <DisplayName>Chelsea Finlayson</DisplayName>
        <AccountId>199</AccountId>
        <AccountType/>
      </UserInfo>
    </SharedWithUsers>
    <PublishOn xmlns="2f261a70-825f-4a37-b7b5-f6ecc2f4c5fa">2023-01-03T01:18:47+00:00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Griffith International</TermName>
          <TermId xmlns="http://schemas.microsoft.com/office/infopath/2007/PartnerControls">f5ba5381-44f0-4ff7-a9c4-f405bd38467c</TermId>
        </TermInfo>
      </Terms>
    </l92b321e1c6d4932b3b7fc50f551e57a>
    <policysummary xmlns="2f261a70-825f-4a37-b7b5-f6ecc2f4c5fa">This policy governs the administration of funding to support student participation in Global Mobility programs.</policysummary>
    <PolicyCategoryPath xmlns="2f261a70-825f-4a37-b7b5-f6ecc2f4c5fa">Academic:Student Services</PolicyCategoryPath>
    <PolicyCategory0 xmlns="2f261a70-825f-4a37-b7b5-f6ecc2f4c5fa">Student Services</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2024-03-26T14:00:00+00:00</LastPublished>
    <doccomments xmlns="2f261a70-825f-4a37-b7b5-f6ecc2f4c5fa">12/10/22: Approved at EG alongside Griffith Global Mobility Student Funding Procedure and Griffith Global Mobility OS-HELP Loan Procedure.
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20/03/2024 - Standing COO editorial update - Update to Policy Advisor - Isis Kowaliauskas is the new Manager, International Partnerships replacing Shelly Maller.
27/03/2024 - Standing COO approval (editorial updates) - Related Documents - removal of rescinded Fees and Charges Policy replace with new Fees and Charges Procedure and Schedule.</doccomments>
    <datedeclared xmlns="2f261a70-825f-4a37-b7b5-f6ecc2f4c5fa">2022-10-11T14:00:00+00:00</datedeclared>
    <PrivatePolicy xmlns="2f261a70-825f-4a37-b7b5-f6ecc2f4c5fa">false</PrivatePolicy>
    <policyadvisor xmlns="2f261a70-825f-4a37-b7b5-f6ecc2f4c5fa">
      <UserInfo>
        <DisplayName>Isis Kowaliauskas</DisplayName>
        <AccountId>1285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7AD6-2D24-452C-BA2D-4C1DD94A6C30}">
  <ds:schemaRefs>
    <ds:schemaRef ds:uri="http://purl.org/dc/dcmitype/"/>
    <ds:schemaRef ds:uri="2f261a70-825f-4a37-b7b5-f6ecc2f4c5fa"/>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40c662e-0380-4817-843d-2c7e10d40c39"/>
    <ds:schemaRef ds:uri="http://www.w3.org/XML/1998/namespace"/>
  </ds:schemaRefs>
</ds:datastoreItem>
</file>

<file path=customXml/itemProps2.xml><?xml version="1.0" encoding="utf-8"?>
<ds:datastoreItem xmlns:ds="http://schemas.openxmlformats.org/officeDocument/2006/customXml" ds:itemID="{28592704-5436-4E4E-8C16-A01599418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statement template.dotx</Template>
  <TotalTime>3</TotalTime>
  <Pages>4</Pages>
  <Words>1345</Words>
  <Characters>11020</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12341</CharactersWithSpaces>
  <SharedDoc>false</SharedDoc>
  <HLinks>
    <vt:vector size="12" baseType="variant">
      <vt:variant>
        <vt:i4>524382</vt:i4>
      </vt:variant>
      <vt:variant>
        <vt:i4>18</vt:i4>
      </vt:variant>
      <vt:variant>
        <vt:i4>0</vt:i4>
      </vt:variant>
      <vt:variant>
        <vt:i4>5</vt:i4>
      </vt:variant>
      <vt:variant>
        <vt:lpwstr>https://policies.griffith.edu.au/pages/glossary.aspx?Letter=A</vt:lpwstr>
      </vt:variant>
      <vt:variant>
        <vt:lpwstr/>
      </vt:variant>
      <vt:variant>
        <vt:i4>1966161</vt:i4>
      </vt:variant>
      <vt:variant>
        <vt:i4>15</vt:i4>
      </vt:variant>
      <vt:variant>
        <vt:i4>0</vt:i4>
      </vt:variant>
      <vt:variant>
        <vt:i4>5</vt:i4>
      </vt:variant>
      <vt:variant>
        <vt:lpwstr>http://policies.griffith.edu.au/pdf/Approving Authorities for University Policies.pdf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Griffith Global Mobility Student Funding Policy</dc:title>
  <dc:subject/>
  <dc:creator>Rebecca Voisey</dc:creator>
  <cp:keywords/>
  <dc:description/>
  <cp:lastModifiedBy>Donna Kalaentzis</cp:lastModifiedBy>
  <cp:revision>7</cp:revision>
  <cp:lastPrinted>2019-10-02T04:35:00Z</cp:lastPrinted>
  <dcterms:created xsi:type="dcterms:W3CDTF">2023-01-03T01:18:00Z</dcterms:created>
  <dcterms:modified xsi:type="dcterms:W3CDTF">2024-03-27T04:28:00Z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26000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TriggerFlowInfo">
    <vt:lpwstr/>
  </property>
  <property fmtid="{D5CDD505-2E9C-101B-9397-08002B2CF9AE}" pid="11" name="ComplianceAssetId">
    <vt:lpwstr/>
  </property>
  <property fmtid="{D5CDD505-2E9C-101B-9397-08002B2CF9AE}" pid="12" name="_ExtendedDescription">
    <vt:lpwstr/>
  </property>
  <property fmtid="{D5CDD505-2E9C-101B-9397-08002B2CF9AE}" pid="13" name="MediaServiceImageTags">
    <vt:lpwstr/>
  </property>
  <property fmtid="{D5CDD505-2E9C-101B-9397-08002B2CF9AE}" pid="14" name="MSIP_Label_adaa4be3-f650-4692-881a-64ae220cbceb_Enabled">
    <vt:lpwstr>true</vt:lpwstr>
  </property>
  <property fmtid="{D5CDD505-2E9C-101B-9397-08002B2CF9AE}" pid="15" name="MSIP_Label_adaa4be3-f650-4692-881a-64ae220cbceb_SetDate">
    <vt:lpwstr>2022-12-20T04:53:01Z</vt:lpwstr>
  </property>
  <property fmtid="{D5CDD505-2E9C-101B-9397-08002B2CF9AE}" pid="16" name="MSIP_Label_adaa4be3-f650-4692-881a-64ae220cbceb_Method">
    <vt:lpwstr>Standard</vt:lpwstr>
  </property>
  <property fmtid="{D5CDD505-2E9C-101B-9397-08002B2CF9AE}" pid="17" name="MSIP_Label_adaa4be3-f650-4692-881a-64ae220cbceb_Name">
    <vt:lpwstr>OFFICIAL  Internal (External sharing)</vt:lpwstr>
  </property>
  <property fmtid="{D5CDD505-2E9C-101B-9397-08002B2CF9AE}" pid="18" name="MSIP_Label_adaa4be3-f650-4692-881a-64ae220cbceb_SiteId">
    <vt:lpwstr>5a7cc8ab-a4dc-4f9b-bf60-66714049ad62</vt:lpwstr>
  </property>
  <property fmtid="{D5CDD505-2E9C-101B-9397-08002B2CF9AE}" pid="19" name="MSIP_Label_adaa4be3-f650-4692-881a-64ae220cbceb_ActionId">
    <vt:lpwstr>a624e6a7-d229-425f-b6c6-00c18107c5ee</vt:lpwstr>
  </property>
  <property fmtid="{D5CDD505-2E9C-101B-9397-08002B2CF9AE}" pid="20" name="MSIP_Label_adaa4be3-f650-4692-881a-64ae220cbceb_ContentBits">
    <vt:lpwstr>0</vt:lpwstr>
  </property>
  <property fmtid="{D5CDD505-2E9C-101B-9397-08002B2CF9AE}" pid="21" name="policysection">
    <vt:lpwstr/>
  </property>
  <property fmtid="{D5CDD505-2E9C-101B-9397-08002B2CF9AE}" pid="22" name="appauthority">
    <vt:lpwstr>88;#Academic Committee|7e8af15c-aa65-4b9b-bab9-4850413bd480</vt:lpwstr>
  </property>
  <property fmtid="{D5CDD505-2E9C-101B-9397-08002B2CF9AE}" pid="23" name="policycategory">
    <vt:lpwstr>69;#Policy|9279309a-7669-47c5-bf96-cc165d8b3ede</vt:lpwstr>
  </property>
  <property fmtid="{D5CDD505-2E9C-101B-9397-08002B2CF9AE}" pid="24" name="officearea">
    <vt:lpwstr>552;#Griffith International|f5ba5381-44f0-4ff7-a9c4-f405bd38467c</vt:lpwstr>
  </property>
  <property fmtid="{D5CDD505-2E9C-101B-9397-08002B2CF9AE}" pid="25" name="Managed_Testing_Field">
    <vt:lpwstr/>
  </property>
  <property fmtid="{D5CDD505-2E9C-101B-9397-08002B2CF9AE}" pid="26" name="policy-category">
    <vt:lpwstr>519;#Academic|19fb9ccf-3758-4715-9546-fdd966adec75</vt:lpwstr>
  </property>
  <property fmtid="{D5CDD505-2E9C-101B-9397-08002B2CF9AE}" pid="27" name="glossaryterms">
    <vt:lpwstr/>
  </property>
  <property fmtid="{D5CDD505-2E9C-101B-9397-08002B2CF9AE}" pid="28" name="policyaudience">
    <vt:lpwstr>70;#Student|ee8ed24e-bfab-45f3-a2fa-94abe1e7357a</vt:lpwstr>
  </property>
  <property fmtid="{D5CDD505-2E9C-101B-9397-08002B2CF9AE}" pid="29" name="policyreview">
    <vt:lpwstr>91;#2024|4006b601-77d0-4e08-aa8b-4003839fc9be</vt:lpwstr>
  </property>
</Properties>
</file>