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2E097078" w:rsidR="00F471E2" w:rsidRPr="000033CD" w:rsidRDefault="00257D46" w:rsidP="008D030A">
      <w:pPr>
        <w:pStyle w:val="ContentsHeading1"/>
        <w:pBdr>
          <w:bottom w:val="none" w:sz="0" w:space="0" w:color="auto"/>
        </w:pBdr>
        <w:rPr>
          <w:rFonts w:ascii="Arial" w:hAnsi="Arial" w:cs="Arial"/>
          <w:color w:val="808080" w:themeColor="background1" w:themeShade="80"/>
          <w:sz w:val="52"/>
          <w:szCs w:val="52"/>
        </w:rPr>
      </w:pPr>
      <w:bookmarkStart w:id="0" w:name="_Ref20321537"/>
      <w:r w:rsidRPr="000033CD">
        <w:rPr>
          <w:rFonts w:ascii="Arial" w:hAnsi="Arial" w:cs="Arial"/>
          <w:color w:val="808080" w:themeColor="background1" w:themeShade="80"/>
          <w:sz w:val="52"/>
          <w:szCs w:val="52"/>
        </w:rPr>
        <w:t xml:space="preserve">Equivalence to a Doctoral Qualification: HDR Supervisor Registration  </w:t>
      </w:r>
    </w:p>
    <w:bookmarkStart w:id="1" w:name="_Ref20411738"/>
    <w:bookmarkStart w:id="2" w:name="_Ref20411785"/>
    <w:p w14:paraId="757C4A4A" w14:textId="6E5891A1" w:rsidR="00997DEA" w:rsidRPr="000033CD" w:rsidRDefault="00997DEA" w:rsidP="00E3370E">
      <w:pPr>
        <w:spacing w:after="0"/>
        <w:rPr>
          <w:rFonts w:ascii="Arial" w:hAnsi="Arial" w:cs="Arial"/>
          <w:b/>
          <w:bCs/>
          <w:color w:val="808080" w:themeColor="background1" w:themeShade="80"/>
          <w:sz w:val="24"/>
          <w:szCs w:val="24"/>
          <w:shd w:val="clear" w:color="auto" w:fill="FFFFFF"/>
        </w:rPr>
      </w:pPr>
      <w:r w:rsidRPr="000033CD">
        <w:rPr>
          <w:rFonts w:ascii="Arial" w:hAnsi="Arial" w:cs="Arial"/>
          <w:b/>
          <w:bCs/>
          <w:color w:val="808080" w:themeColor="background1" w:themeShade="80"/>
          <w:sz w:val="24"/>
          <w:szCs w:val="24"/>
          <w:shd w:val="clear" w:color="auto" w:fill="FFFFFF"/>
        </w:rPr>
        <w:fldChar w:fldCharType="begin"/>
      </w:r>
      <w:r w:rsidRPr="000033CD">
        <w:rPr>
          <w:rFonts w:ascii="Arial" w:hAnsi="Arial" w:cs="Arial"/>
          <w:b/>
          <w:bCs/>
          <w:color w:val="808080" w:themeColor="background1" w:themeShade="80"/>
          <w:sz w:val="24"/>
          <w:szCs w:val="24"/>
          <w:shd w:val="clear" w:color="auto" w:fill="FFFFFF"/>
        </w:rPr>
        <w:instrText xml:space="preserve"> REF _Ref20480964 \h  \* MERGEFORMAT </w:instrText>
      </w:r>
      <w:r w:rsidRPr="000033CD">
        <w:rPr>
          <w:rFonts w:ascii="Arial" w:hAnsi="Arial" w:cs="Arial"/>
          <w:b/>
          <w:bCs/>
          <w:color w:val="808080" w:themeColor="background1" w:themeShade="80"/>
          <w:sz w:val="24"/>
          <w:szCs w:val="24"/>
          <w:shd w:val="clear" w:color="auto" w:fill="FFFFFF"/>
        </w:rPr>
      </w:r>
      <w:r w:rsidRPr="000033CD">
        <w:rPr>
          <w:rFonts w:ascii="Arial" w:hAnsi="Arial" w:cs="Arial"/>
          <w:b/>
          <w:bCs/>
          <w:color w:val="808080" w:themeColor="background1" w:themeShade="80"/>
          <w:sz w:val="24"/>
          <w:szCs w:val="24"/>
          <w:shd w:val="clear" w:color="auto" w:fill="FFFFFF"/>
        </w:rPr>
        <w:fldChar w:fldCharType="separate"/>
      </w:r>
      <w:r w:rsidR="00CD4C02" w:rsidRPr="000033CD">
        <w:rPr>
          <w:rFonts w:ascii="Arial" w:hAnsi="Arial" w:cs="Arial"/>
          <w:b/>
          <w:bCs/>
          <w:color w:val="808080" w:themeColor="background1" w:themeShade="80"/>
          <w:sz w:val="24"/>
          <w:szCs w:val="24"/>
          <w:shd w:val="clear" w:color="auto" w:fill="FFFFFF"/>
        </w:rPr>
        <w:t>1.0 Purpose</w:t>
      </w:r>
      <w:r w:rsidRPr="000033CD">
        <w:rPr>
          <w:rFonts w:ascii="Arial" w:hAnsi="Arial" w:cs="Arial"/>
          <w:b/>
          <w:bCs/>
          <w:color w:val="808080" w:themeColor="background1" w:themeShade="80"/>
          <w:sz w:val="24"/>
          <w:szCs w:val="24"/>
          <w:shd w:val="clear" w:color="auto" w:fill="FFFFFF"/>
        </w:rPr>
        <w:fldChar w:fldCharType="end"/>
      </w:r>
    </w:p>
    <w:p w14:paraId="1370E53A" w14:textId="2520FEDA" w:rsidR="00997DEA" w:rsidRPr="000033CD" w:rsidRDefault="00997DEA" w:rsidP="00E3370E">
      <w:pPr>
        <w:spacing w:after="0"/>
        <w:rPr>
          <w:rFonts w:ascii="Arial" w:hAnsi="Arial" w:cs="Arial"/>
          <w:b/>
          <w:bCs/>
          <w:color w:val="808080" w:themeColor="background1" w:themeShade="80"/>
          <w:sz w:val="24"/>
          <w:szCs w:val="24"/>
          <w:shd w:val="clear" w:color="auto" w:fill="FFFFFF"/>
        </w:rPr>
      </w:pPr>
      <w:r w:rsidRPr="000033CD">
        <w:rPr>
          <w:rFonts w:ascii="Arial" w:hAnsi="Arial" w:cs="Arial"/>
          <w:b/>
          <w:bCs/>
          <w:color w:val="808080" w:themeColor="background1" w:themeShade="80"/>
          <w:sz w:val="24"/>
          <w:szCs w:val="24"/>
          <w:shd w:val="clear" w:color="auto" w:fill="FFFFFF"/>
        </w:rPr>
        <w:fldChar w:fldCharType="begin"/>
      </w:r>
      <w:r w:rsidRPr="000033CD">
        <w:rPr>
          <w:rFonts w:ascii="Arial" w:hAnsi="Arial" w:cs="Arial"/>
          <w:b/>
          <w:bCs/>
          <w:color w:val="808080" w:themeColor="background1" w:themeShade="80"/>
          <w:sz w:val="24"/>
          <w:szCs w:val="24"/>
          <w:shd w:val="clear" w:color="auto" w:fill="FFFFFF"/>
        </w:rPr>
        <w:instrText xml:space="preserve"> REF _Ref20480989 \h  \* MERGEFORMAT </w:instrText>
      </w:r>
      <w:r w:rsidRPr="000033CD">
        <w:rPr>
          <w:rFonts w:ascii="Arial" w:hAnsi="Arial" w:cs="Arial"/>
          <w:b/>
          <w:bCs/>
          <w:color w:val="808080" w:themeColor="background1" w:themeShade="80"/>
          <w:sz w:val="24"/>
          <w:szCs w:val="24"/>
          <w:shd w:val="clear" w:color="auto" w:fill="FFFFFF"/>
        </w:rPr>
      </w:r>
      <w:r w:rsidRPr="000033CD">
        <w:rPr>
          <w:rFonts w:ascii="Arial" w:hAnsi="Arial" w:cs="Arial"/>
          <w:b/>
          <w:bCs/>
          <w:color w:val="808080" w:themeColor="background1" w:themeShade="80"/>
          <w:sz w:val="24"/>
          <w:szCs w:val="24"/>
          <w:shd w:val="clear" w:color="auto" w:fill="FFFFFF"/>
        </w:rPr>
        <w:fldChar w:fldCharType="separate"/>
      </w:r>
      <w:r w:rsidR="00CD4C02" w:rsidRPr="000033CD">
        <w:rPr>
          <w:rFonts w:ascii="Arial" w:hAnsi="Arial" w:cs="Arial"/>
          <w:b/>
          <w:bCs/>
          <w:color w:val="808080" w:themeColor="background1" w:themeShade="80"/>
          <w:sz w:val="24"/>
          <w:szCs w:val="24"/>
        </w:rPr>
        <w:t>2.0 Scope</w:t>
      </w:r>
      <w:r w:rsidRPr="000033CD">
        <w:rPr>
          <w:rFonts w:ascii="Arial" w:hAnsi="Arial" w:cs="Arial"/>
          <w:b/>
          <w:bCs/>
          <w:color w:val="808080" w:themeColor="background1" w:themeShade="80"/>
          <w:sz w:val="24"/>
          <w:szCs w:val="24"/>
          <w:shd w:val="clear" w:color="auto" w:fill="FFFFFF"/>
        </w:rPr>
        <w:fldChar w:fldCharType="end"/>
      </w:r>
    </w:p>
    <w:p w14:paraId="0B87FB10" w14:textId="4080F912" w:rsidR="009D480A" w:rsidRPr="000033CD" w:rsidRDefault="00997DEA" w:rsidP="00E3370E">
      <w:pPr>
        <w:spacing w:after="0"/>
        <w:rPr>
          <w:rFonts w:ascii="Arial" w:hAnsi="Arial" w:cs="Arial"/>
          <w:b/>
          <w:bCs/>
          <w:color w:val="808080" w:themeColor="background1" w:themeShade="80"/>
          <w:sz w:val="24"/>
          <w:szCs w:val="24"/>
          <w:shd w:val="clear" w:color="auto" w:fill="FFFFFF"/>
        </w:rPr>
      </w:pPr>
      <w:r w:rsidRPr="000033CD">
        <w:rPr>
          <w:rFonts w:ascii="Arial" w:hAnsi="Arial" w:cs="Arial"/>
          <w:b/>
          <w:bCs/>
          <w:color w:val="808080" w:themeColor="background1" w:themeShade="80"/>
          <w:sz w:val="24"/>
          <w:szCs w:val="24"/>
          <w:shd w:val="clear" w:color="auto" w:fill="FFFFFF"/>
        </w:rPr>
        <w:fldChar w:fldCharType="begin"/>
      </w:r>
      <w:r w:rsidRPr="000033CD">
        <w:rPr>
          <w:rFonts w:ascii="Arial" w:hAnsi="Arial" w:cs="Arial"/>
          <w:b/>
          <w:bCs/>
          <w:color w:val="808080" w:themeColor="background1" w:themeShade="80"/>
          <w:sz w:val="24"/>
          <w:szCs w:val="24"/>
          <w:shd w:val="clear" w:color="auto" w:fill="FFFFFF"/>
        </w:rPr>
        <w:instrText xml:space="preserve"> REF _Ref20481014 \h  \* MERGEFORMAT </w:instrText>
      </w:r>
      <w:r w:rsidRPr="000033CD">
        <w:rPr>
          <w:rFonts w:ascii="Arial" w:hAnsi="Arial" w:cs="Arial"/>
          <w:b/>
          <w:bCs/>
          <w:color w:val="808080" w:themeColor="background1" w:themeShade="80"/>
          <w:sz w:val="24"/>
          <w:szCs w:val="24"/>
          <w:shd w:val="clear" w:color="auto" w:fill="FFFFFF"/>
        </w:rPr>
      </w:r>
      <w:r w:rsidRPr="000033CD">
        <w:rPr>
          <w:rFonts w:ascii="Arial" w:hAnsi="Arial" w:cs="Arial"/>
          <w:b/>
          <w:bCs/>
          <w:color w:val="808080" w:themeColor="background1" w:themeShade="80"/>
          <w:sz w:val="24"/>
          <w:szCs w:val="24"/>
          <w:shd w:val="clear" w:color="auto" w:fill="FFFFFF"/>
        </w:rPr>
        <w:fldChar w:fldCharType="separate"/>
      </w:r>
      <w:r w:rsidR="00CD4C02" w:rsidRPr="000033CD">
        <w:rPr>
          <w:rFonts w:ascii="Arial" w:hAnsi="Arial" w:cs="Arial"/>
          <w:b/>
          <w:bCs/>
          <w:color w:val="808080" w:themeColor="background1" w:themeShade="80"/>
          <w:sz w:val="24"/>
          <w:szCs w:val="24"/>
        </w:rPr>
        <w:t xml:space="preserve">3.0 </w:t>
      </w:r>
      <w:r w:rsidR="002C2751" w:rsidRPr="000033CD">
        <w:rPr>
          <w:rFonts w:ascii="Arial" w:hAnsi="Arial" w:cs="Arial"/>
          <w:b/>
          <w:bCs/>
          <w:color w:val="808080" w:themeColor="background1" w:themeShade="80"/>
          <w:sz w:val="24"/>
          <w:szCs w:val="24"/>
        </w:rPr>
        <w:t>Guidelines</w:t>
      </w:r>
      <w:r w:rsidRPr="000033CD">
        <w:rPr>
          <w:rFonts w:ascii="Arial" w:hAnsi="Arial" w:cs="Arial"/>
          <w:b/>
          <w:bCs/>
          <w:color w:val="808080" w:themeColor="background1" w:themeShade="80"/>
          <w:sz w:val="24"/>
          <w:szCs w:val="24"/>
          <w:shd w:val="clear" w:color="auto" w:fill="FFFFFF"/>
        </w:rPr>
        <w:fldChar w:fldCharType="end"/>
      </w:r>
    </w:p>
    <w:p w14:paraId="2E800012" w14:textId="1BD2C619" w:rsidR="00BC55CF" w:rsidRPr="000033CD" w:rsidRDefault="00BC55CF" w:rsidP="00E235C1">
      <w:pPr>
        <w:pStyle w:val="Heading2"/>
        <w:ind w:left="426" w:hanging="426"/>
        <w:rPr>
          <w:rFonts w:ascii="Arial" w:hAnsi="Arial" w:cs="Arial"/>
          <w:color w:val="808080" w:themeColor="background1" w:themeShade="80"/>
          <w:shd w:val="clear" w:color="auto" w:fill="FFFFFF"/>
        </w:rPr>
      </w:pPr>
      <w:bookmarkStart w:id="3" w:name="_Ref20480964"/>
      <w:r w:rsidRPr="000033CD">
        <w:rPr>
          <w:rFonts w:ascii="Arial" w:hAnsi="Arial" w:cs="Arial"/>
          <w:color w:val="808080" w:themeColor="background1" w:themeShade="80"/>
          <w:shd w:val="clear" w:color="auto" w:fill="FFFFFF"/>
        </w:rPr>
        <w:t>1.0 Purpose</w:t>
      </w:r>
      <w:bookmarkEnd w:id="0"/>
      <w:bookmarkEnd w:id="1"/>
      <w:bookmarkEnd w:id="2"/>
      <w:bookmarkEnd w:id="3"/>
    </w:p>
    <w:p w14:paraId="43B5782A" w14:textId="592D5EE9" w:rsidR="008D1E3C" w:rsidRPr="000033CD" w:rsidRDefault="00B529D1" w:rsidP="00305C35">
      <w:pPr>
        <w:spacing w:after="120"/>
        <w:rPr>
          <w:rFonts w:ascii="Arial" w:hAnsi="Arial" w:cs="Arial"/>
          <w:color w:val="000000"/>
          <w:spacing w:val="2"/>
          <w:szCs w:val="20"/>
          <w:shd w:val="clear" w:color="auto" w:fill="FFFFFF"/>
        </w:rPr>
      </w:pPr>
      <w:bookmarkStart w:id="4" w:name="_Ref20318879"/>
      <w:bookmarkStart w:id="5" w:name="_Ref20411801"/>
      <w:r w:rsidRPr="000033CD">
        <w:rPr>
          <w:rFonts w:ascii="Arial" w:hAnsi="Arial" w:cs="Arial"/>
          <w:color w:val="000000"/>
          <w:spacing w:val="2"/>
          <w:szCs w:val="20"/>
          <w:shd w:val="clear" w:color="auto" w:fill="FFFFFF"/>
        </w:rPr>
        <w:t xml:space="preserve">These guidelines support the </w:t>
      </w:r>
      <w:r w:rsidR="0068252F" w:rsidRPr="000033CD">
        <w:rPr>
          <w:rFonts w:ascii="Arial" w:hAnsi="Arial" w:cs="Arial"/>
          <w:i/>
          <w:iCs/>
          <w:color w:val="000000"/>
          <w:spacing w:val="2"/>
          <w:szCs w:val="20"/>
          <w:shd w:val="clear" w:color="auto" w:fill="FFFFFF"/>
        </w:rPr>
        <w:t>HDR</w:t>
      </w:r>
      <w:r w:rsidRPr="000033CD">
        <w:rPr>
          <w:rFonts w:ascii="Arial" w:hAnsi="Arial" w:cs="Arial"/>
          <w:i/>
          <w:iCs/>
          <w:color w:val="000000"/>
          <w:spacing w:val="2"/>
          <w:szCs w:val="20"/>
          <w:shd w:val="clear" w:color="auto" w:fill="FFFFFF"/>
        </w:rPr>
        <w:t xml:space="preserve"> Supervision Procedure</w:t>
      </w:r>
      <w:r w:rsidRPr="000033CD">
        <w:rPr>
          <w:rFonts w:ascii="Arial" w:hAnsi="Arial" w:cs="Arial"/>
          <w:color w:val="000000"/>
          <w:spacing w:val="2"/>
          <w:szCs w:val="20"/>
          <w:shd w:val="clear" w:color="auto" w:fill="FFFFFF"/>
        </w:rPr>
        <w:t xml:space="preserve"> and provide the framework by which the University assesses comparability of research experience with a doctoral qualification in an application for higher degree by research (HDR) supervisor </w:t>
      </w:r>
      <w:r w:rsidR="001D434B" w:rsidRPr="000033CD">
        <w:rPr>
          <w:rFonts w:ascii="Arial" w:hAnsi="Arial" w:cs="Arial"/>
          <w:color w:val="000000"/>
          <w:spacing w:val="2"/>
          <w:szCs w:val="20"/>
          <w:shd w:val="clear" w:color="auto" w:fill="FFFFFF"/>
        </w:rPr>
        <w:t>registration</w:t>
      </w:r>
      <w:r w:rsidR="0030522B" w:rsidRPr="000033CD">
        <w:rPr>
          <w:rFonts w:ascii="Arial" w:hAnsi="Arial" w:cs="Arial"/>
          <w:color w:val="000000"/>
          <w:spacing w:val="2"/>
          <w:szCs w:val="20"/>
          <w:shd w:val="clear" w:color="auto" w:fill="FFFFFF"/>
        </w:rPr>
        <w:t>.</w:t>
      </w:r>
    </w:p>
    <w:p w14:paraId="65297E40" w14:textId="46355ACA" w:rsidR="00F97A5A" w:rsidRPr="000033CD" w:rsidRDefault="007706AB" w:rsidP="00E235C1">
      <w:pPr>
        <w:pStyle w:val="Heading2"/>
        <w:ind w:left="426" w:hanging="426"/>
        <w:rPr>
          <w:rFonts w:ascii="Arial" w:hAnsi="Arial" w:cs="Arial"/>
          <w:color w:val="808080" w:themeColor="background1" w:themeShade="80"/>
        </w:rPr>
      </w:pPr>
      <w:bookmarkStart w:id="6" w:name="_Ref20480989"/>
      <w:r w:rsidRPr="000033CD">
        <w:rPr>
          <w:rFonts w:ascii="Arial" w:hAnsi="Arial" w:cs="Arial"/>
          <w:color w:val="808080" w:themeColor="background1" w:themeShade="80"/>
        </w:rPr>
        <w:t xml:space="preserve">2.0 </w:t>
      </w:r>
      <w:r w:rsidR="00F97A5A" w:rsidRPr="000033CD">
        <w:rPr>
          <w:rFonts w:ascii="Arial" w:hAnsi="Arial" w:cs="Arial"/>
          <w:color w:val="808080" w:themeColor="background1" w:themeShade="80"/>
        </w:rPr>
        <w:t>Scope</w:t>
      </w:r>
      <w:bookmarkEnd w:id="4"/>
      <w:bookmarkEnd w:id="5"/>
      <w:bookmarkEnd w:id="6"/>
    </w:p>
    <w:p w14:paraId="75D52381" w14:textId="4485CE61" w:rsidR="0008357F" w:rsidRPr="000033CD" w:rsidRDefault="001D434B" w:rsidP="00EE5CD8">
      <w:pPr>
        <w:spacing w:after="120"/>
        <w:rPr>
          <w:rFonts w:ascii="Arial" w:hAnsi="Arial" w:cs="Arial"/>
          <w:color w:val="000000"/>
          <w:spacing w:val="2"/>
          <w:szCs w:val="20"/>
          <w:shd w:val="clear" w:color="auto" w:fill="FFFFFF"/>
        </w:rPr>
      </w:pPr>
      <w:bookmarkStart w:id="7" w:name="_Ref20318910"/>
      <w:bookmarkStart w:id="8" w:name="_Ref20411814"/>
      <w:r w:rsidRPr="000033CD">
        <w:rPr>
          <w:rFonts w:ascii="Arial" w:hAnsi="Arial" w:cs="Arial"/>
          <w:color w:val="000000"/>
          <w:spacing w:val="2"/>
          <w:szCs w:val="20"/>
          <w:shd w:val="clear" w:color="auto" w:fill="FFFFFF"/>
        </w:rPr>
        <w:t>These guidelines apply to all academic staff</w:t>
      </w:r>
      <w:r w:rsidR="0030522B" w:rsidRPr="000033CD">
        <w:rPr>
          <w:rFonts w:ascii="Arial" w:hAnsi="Arial" w:cs="Arial"/>
          <w:color w:val="000000"/>
          <w:spacing w:val="2"/>
          <w:szCs w:val="20"/>
          <w:shd w:val="clear" w:color="auto" w:fill="FFFFFF"/>
        </w:rPr>
        <w:t xml:space="preserve"> or </w:t>
      </w:r>
      <w:r w:rsidR="00380681" w:rsidRPr="000033CD">
        <w:rPr>
          <w:rFonts w:ascii="Arial" w:hAnsi="Arial" w:cs="Arial"/>
          <w:color w:val="000000"/>
          <w:spacing w:val="2"/>
          <w:szCs w:val="20"/>
          <w:shd w:val="clear" w:color="auto" w:fill="FFFFFF"/>
        </w:rPr>
        <w:t>affiliate members of the University</w:t>
      </w:r>
      <w:r w:rsidRPr="000033CD">
        <w:rPr>
          <w:rFonts w:ascii="Arial" w:hAnsi="Arial" w:cs="Arial"/>
          <w:color w:val="000000"/>
          <w:spacing w:val="2"/>
          <w:szCs w:val="20"/>
          <w:shd w:val="clear" w:color="auto" w:fill="FFFFFF"/>
        </w:rPr>
        <w:t xml:space="preserve"> </w:t>
      </w:r>
      <w:r w:rsidR="0030522B" w:rsidRPr="000033CD">
        <w:rPr>
          <w:rFonts w:ascii="Arial" w:hAnsi="Arial" w:cs="Arial"/>
          <w:color w:val="000000"/>
          <w:spacing w:val="2"/>
          <w:szCs w:val="20"/>
          <w:shd w:val="clear" w:color="auto" w:fill="FFFFFF"/>
        </w:rPr>
        <w:t xml:space="preserve">with, or applying for, </w:t>
      </w:r>
      <w:r w:rsidR="000033CD">
        <w:rPr>
          <w:rFonts w:ascii="Arial" w:hAnsi="Arial" w:cs="Arial"/>
          <w:color w:val="000000"/>
          <w:spacing w:val="2"/>
          <w:szCs w:val="20"/>
          <w:shd w:val="clear" w:color="auto" w:fill="FFFFFF"/>
        </w:rPr>
        <w:t>a</w:t>
      </w:r>
      <w:r w:rsidR="0030522B" w:rsidRPr="000033CD">
        <w:rPr>
          <w:rFonts w:ascii="Arial" w:hAnsi="Arial" w:cs="Arial"/>
          <w:color w:val="000000"/>
          <w:spacing w:val="2"/>
          <w:szCs w:val="20"/>
          <w:shd w:val="clear" w:color="auto" w:fill="FFFFFF"/>
        </w:rPr>
        <w:t xml:space="preserve">ccredited or </w:t>
      </w:r>
      <w:r w:rsidR="00F129C0" w:rsidRPr="000033CD">
        <w:rPr>
          <w:rFonts w:ascii="Arial" w:hAnsi="Arial" w:cs="Arial"/>
          <w:color w:val="000000"/>
          <w:spacing w:val="2"/>
          <w:szCs w:val="20"/>
          <w:shd w:val="clear" w:color="auto" w:fill="FFFFFF"/>
        </w:rPr>
        <w:t>t</w:t>
      </w:r>
      <w:r w:rsidR="0030522B" w:rsidRPr="000033CD">
        <w:rPr>
          <w:rFonts w:ascii="Arial" w:hAnsi="Arial" w:cs="Arial"/>
          <w:color w:val="000000"/>
          <w:spacing w:val="2"/>
          <w:szCs w:val="20"/>
          <w:shd w:val="clear" w:color="auto" w:fill="FFFFFF"/>
        </w:rPr>
        <w:t xml:space="preserve">ransitional HDR supervisor registration, where the applicant does not possess a doctoral qualification. </w:t>
      </w:r>
    </w:p>
    <w:p w14:paraId="16734CDB" w14:textId="470BE186" w:rsidR="00C91165" w:rsidRPr="000033CD" w:rsidRDefault="007706AB" w:rsidP="00E235C1">
      <w:pPr>
        <w:pStyle w:val="Heading2"/>
        <w:ind w:left="426" w:hanging="426"/>
        <w:rPr>
          <w:rFonts w:ascii="Arial" w:hAnsi="Arial" w:cs="Arial"/>
          <w:color w:val="808080" w:themeColor="background1" w:themeShade="80"/>
        </w:rPr>
      </w:pPr>
      <w:bookmarkStart w:id="9" w:name="_Ref20481014"/>
      <w:r w:rsidRPr="000033CD">
        <w:rPr>
          <w:rFonts w:ascii="Arial" w:hAnsi="Arial" w:cs="Arial"/>
          <w:color w:val="808080" w:themeColor="background1" w:themeShade="80"/>
        </w:rPr>
        <w:t xml:space="preserve">3.0 </w:t>
      </w:r>
      <w:bookmarkEnd w:id="7"/>
      <w:bookmarkEnd w:id="8"/>
      <w:bookmarkEnd w:id="9"/>
      <w:r w:rsidR="002C2751" w:rsidRPr="000033CD">
        <w:rPr>
          <w:rFonts w:ascii="Arial" w:hAnsi="Arial" w:cs="Arial"/>
          <w:color w:val="808080" w:themeColor="background1" w:themeShade="80"/>
        </w:rPr>
        <w:t>Guideline</w:t>
      </w:r>
      <w:r w:rsidR="000033CD">
        <w:rPr>
          <w:rFonts w:ascii="Arial" w:hAnsi="Arial" w:cs="Arial"/>
          <w:color w:val="808080" w:themeColor="background1" w:themeShade="80"/>
        </w:rPr>
        <w:t>s</w:t>
      </w:r>
    </w:p>
    <w:p w14:paraId="00D95965" w14:textId="17B4F296" w:rsidR="005D4948" w:rsidRPr="000033CD" w:rsidRDefault="001D434B" w:rsidP="5B51C60E">
      <w:pPr>
        <w:pStyle w:val="ListNumber"/>
        <w:spacing w:line="276" w:lineRule="auto"/>
        <w:rPr>
          <w:rFonts w:ascii="Arial" w:hAnsi="Arial" w:cs="Arial"/>
          <w:sz w:val="20"/>
          <w:lang w:eastAsia="en-AU"/>
        </w:rPr>
      </w:pPr>
      <w:r w:rsidRPr="000033CD">
        <w:rPr>
          <w:rFonts w:ascii="Arial" w:hAnsi="Arial" w:cs="Arial"/>
          <w:sz w:val="20"/>
          <w:lang w:eastAsia="en-AU"/>
        </w:rPr>
        <w:t>The guideline</w:t>
      </w:r>
      <w:r w:rsidR="005D4948" w:rsidRPr="000033CD">
        <w:rPr>
          <w:rFonts w:ascii="Arial" w:hAnsi="Arial" w:cs="Arial"/>
          <w:sz w:val="20"/>
          <w:lang w:eastAsia="en-AU"/>
        </w:rPr>
        <w:t>s</w:t>
      </w:r>
      <w:r w:rsidRPr="000033CD">
        <w:rPr>
          <w:rFonts w:ascii="Arial" w:hAnsi="Arial" w:cs="Arial"/>
          <w:sz w:val="20"/>
          <w:lang w:eastAsia="en-AU"/>
        </w:rPr>
        <w:t xml:space="preserve"> provided in Table 1 are to be applied in the context of the discipline and program learning outcomes for AQF (Australian Qualifications Framework) Level 10 qualifications. They are not exhaustive and should be interpreted as a guide. Academic Groups may require additional evidence or standards as appropriate for different disciplines.</w:t>
      </w:r>
    </w:p>
    <w:p w14:paraId="5B0CC6F1" w14:textId="77777777" w:rsidR="0030522B" w:rsidRPr="000033CD" w:rsidRDefault="005D4948" w:rsidP="0030522B">
      <w:pPr>
        <w:pStyle w:val="ListNumber"/>
        <w:spacing w:line="276" w:lineRule="auto"/>
        <w:rPr>
          <w:rFonts w:ascii="Arial" w:hAnsi="Arial" w:cs="Arial"/>
          <w:sz w:val="20"/>
          <w:lang w:eastAsia="en-AU"/>
        </w:rPr>
      </w:pPr>
      <w:r w:rsidRPr="000033CD">
        <w:rPr>
          <w:rFonts w:ascii="Arial" w:hAnsi="Arial" w:cs="Arial"/>
          <w:sz w:val="20"/>
          <w:lang w:eastAsia="en-AU"/>
        </w:rPr>
        <w:t xml:space="preserve">There may be special circumstances not covered by these guidelines. In such cases, an academically defensible case must be made, with appropriate evidence as to how the skills, knowledge and experience of the academic staff member are equivalent to a doctoral degree. </w:t>
      </w:r>
    </w:p>
    <w:p w14:paraId="6BD4DC12" w14:textId="382769A6" w:rsidR="005D4948" w:rsidRPr="000033CD" w:rsidRDefault="00715058" w:rsidP="0030522B">
      <w:pPr>
        <w:pStyle w:val="ListNumber"/>
        <w:spacing w:line="276" w:lineRule="auto"/>
        <w:rPr>
          <w:rFonts w:ascii="Arial" w:hAnsi="Arial" w:cs="Arial"/>
          <w:sz w:val="20"/>
          <w:lang w:eastAsia="en-AU"/>
        </w:rPr>
      </w:pPr>
      <w:r w:rsidRPr="000033CD">
        <w:rPr>
          <w:rFonts w:ascii="Arial" w:hAnsi="Arial" w:cs="Arial"/>
          <w:b/>
          <w:bCs/>
          <w:sz w:val="20"/>
        </w:rPr>
        <w:t>TABLE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2"/>
        <w:gridCol w:w="1469"/>
        <w:gridCol w:w="1465"/>
        <w:gridCol w:w="6093"/>
      </w:tblGrid>
      <w:tr w:rsidR="0030522B" w:rsidRPr="000033CD" w14:paraId="131A594E" w14:textId="2CAF56A4" w:rsidTr="00E42A7C">
        <w:trPr>
          <w:trHeight w:val="454"/>
        </w:trPr>
        <w:tc>
          <w:tcPr>
            <w:tcW w:w="575" w:type="pct"/>
            <w:shd w:val="clear" w:color="auto" w:fill="595959" w:themeFill="text1" w:themeFillTint="A6"/>
          </w:tcPr>
          <w:p w14:paraId="600B96A6" w14:textId="139723EB" w:rsidR="00715058" w:rsidRPr="000033CD" w:rsidRDefault="00715058" w:rsidP="00715058">
            <w:pPr>
              <w:spacing w:before="80" w:after="80" w:line="360" w:lineRule="auto"/>
              <w:rPr>
                <w:rFonts w:ascii="Arial" w:hAnsi="Arial" w:cs="Arial"/>
                <w:b/>
                <w:bCs/>
                <w:color w:val="FFFFFF" w:themeColor="background1"/>
                <w:szCs w:val="20"/>
              </w:rPr>
            </w:pPr>
            <w:r w:rsidRPr="000033CD">
              <w:rPr>
                <w:rFonts w:ascii="Arial" w:hAnsi="Arial" w:cs="Arial"/>
                <w:b/>
                <w:bCs/>
                <w:color w:val="FFFFFF" w:themeColor="background1"/>
                <w:szCs w:val="20"/>
              </w:rPr>
              <w:t xml:space="preserve">AQF Level </w:t>
            </w:r>
          </w:p>
        </w:tc>
        <w:tc>
          <w:tcPr>
            <w:tcW w:w="720" w:type="pct"/>
            <w:shd w:val="clear" w:color="auto" w:fill="595959" w:themeFill="text1" w:themeFillTint="A6"/>
          </w:tcPr>
          <w:p w14:paraId="379F3EBD" w14:textId="2C94F69F" w:rsidR="00715058" w:rsidRPr="000033CD" w:rsidRDefault="00715058" w:rsidP="00715058">
            <w:pPr>
              <w:spacing w:before="80" w:after="80" w:line="360" w:lineRule="auto"/>
              <w:rPr>
                <w:rFonts w:ascii="Arial" w:hAnsi="Arial" w:cs="Arial"/>
                <w:b/>
                <w:bCs/>
                <w:color w:val="FFFFFF" w:themeColor="background1"/>
                <w:sz w:val="18"/>
                <w:szCs w:val="18"/>
              </w:rPr>
            </w:pPr>
            <w:r w:rsidRPr="000033CD">
              <w:rPr>
                <w:rFonts w:ascii="Arial" w:hAnsi="Arial" w:cs="Arial"/>
                <w:b/>
                <w:bCs/>
                <w:color w:val="FFFFFF" w:themeColor="background1"/>
                <w:sz w:val="18"/>
                <w:szCs w:val="18"/>
              </w:rPr>
              <w:t>Registration level</w:t>
            </w:r>
          </w:p>
        </w:tc>
        <w:tc>
          <w:tcPr>
            <w:tcW w:w="718" w:type="pct"/>
            <w:shd w:val="clear" w:color="auto" w:fill="595959" w:themeFill="text1" w:themeFillTint="A6"/>
          </w:tcPr>
          <w:p w14:paraId="7336A9BB" w14:textId="1CEBFC5F" w:rsidR="00715058" w:rsidRPr="000033CD" w:rsidRDefault="00715058" w:rsidP="00715058">
            <w:pPr>
              <w:spacing w:before="80" w:after="80" w:line="360" w:lineRule="auto"/>
              <w:rPr>
                <w:rFonts w:ascii="Arial" w:hAnsi="Arial" w:cs="Arial"/>
                <w:b/>
                <w:bCs/>
                <w:color w:val="FFFFFF" w:themeColor="background1"/>
                <w:szCs w:val="20"/>
              </w:rPr>
            </w:pPr>
            <w:r w:rsidRPr="000033CD">
              <w:rPr>
                <w:rFonts w:ascii="Arial" w:hAnsi="Arial" w:cs="Arial"/>
                <w:b/>
                <w:bCs/>
                <w:color w:val="FFFFFF" w:themeColor="background1"/>
                <w:szCs w:val="20"/>
              </w:rPr>
              <w:t>Equivalence requirement</w:t>
            </w:r>
          </w:p>
        </w:tc>
        <w:tc>
          <w:tcPr>
            <w:tcW w:w="2987" w:type="pct"/>
            <w:shd w:val="clear" w:color="auto" w:fill="595959" w:themeFill="text1" w:themeFillTint="A6"/>
          </w:tcPr>
          <w:p w14:paraId="5D9B9011" w14:textId="697EDC57" w:rsidR="00715058" w:rsidRPr="000033CD" w:rsidRDefault="00715058" w:rsidP="00715058">
            <w:pPr>
              <w:spacing w:before="80" w:after="80" w:line="360" w:lineRule="auto"/>
              <w:rPr>
                <w:rFonts w:ascii="Arial" w:hAnsi="Arial" w:cs="Arial"/>
                <w:b/>
                <w:bCs/>
                <w:color w:val="FFFFFF" w:themeColor="background1"/>
                <w:szCs w:val="20"/>
              </w:rPr>
            </w:pPr>
            <w:r w:rsidRPr="000033CD">
              <w:rPr>
                <w:rFonts w:ascii="Arial" w:hAnsi="Arial" w:cs="Arial"/>
                <w:b/>
                <w:bCs/>
                <w:color w:val="FFFFFF" w:themeColor="background1"/>
                <w:szCs w:val="20"/>
              </w:rPr>
              <w:t>Guidelines on Equivalence</w:t>
            </w:r>
          </w:p>
        </w:tc>
      </w:tr>
      <w:tr w:rsidR="0030522B" w:rsidRPr="000033CD" w14:paraId="71A4F1BA" w14:textId="33F2C8BF" w:rsidTr="00E42A7C">
        <w:tc>
          <w:tcPr>
            <w:tcW w:w="575" w:type="pct"/>
          </w:tcPr>
          <w:p w14:paraId="4D9428CE" w14:textId="77777777" w:rsidR="00715058" w:rsidRPr="000033CD" w:rsidRDefault="00715058" w:rsidP="00411B2D">
            <w:pPr>
              <w:spacing w:before="120" w:after="120"/>
              <w:rPr>
                <w:rFonts w:ascii="Arial" w:hAnsi="Arial" w:cs="Arial"/>
                <w:sz w:val="18"/>
                <w:szCs w:val="18"/>
              </w:rPr>
            </w:pPr>
            <w:r w:rsidRPr="000033CD">
              <w:rPr>
                <w:rFonts w:ascii="Arial" w:hAnsi="Arial" w:cs="Arial"/>
                <w:sz w:val="18"/>
                <w:szCs w:val="18"/>
              </w:rPr>
              <w:t xml:space="preserve">Level 9 </w:t>
            </w:r>
            <w:proofErr w:type="spellStart"/>
            <w:proofErr w:type="gramStart"/>
            <w:r w:rsidRPr="000033CD">
              <w:rPr>
                <w:rFonts w:ascii="Arial" w:hAnsi="Arial" w:cs="Arial"/>
                <w:sz w:val="18"/>
                <w:szCs w:val="18"/>
              </w:rPr>
              <w:t>Masters</w:t>
            </w:r>
            <w:proofErr w:type="spellEnd"/>
            <w:r w:rsidRPr="000033CD">
              <w:rPr>
                <w:rFonts w:ascii="Arial" w:hAnsi="Arial" w:cs="Arial"/>
                <w:sz w:val="18"/>
                <w:szCs w:val="18"/>
              </w:rPr>
              <w:t xml:space="preserve"> Degree</w:t>
            </w:r>
            <w:proofErr w:type="gramEnd"/>
            <w:r w:rsidRPr="000033CD">
              <w:rPr>
                <w:rFonts w:ascii="Arial" w:hAnsi="Arial" w:cs="Arial"/>
                <w:sz w:val="18"/>
                <w:szCs w:val="18"/>
              </w:rPr>
              <w:t xml:space="preserve"> (Research) </w:t>
            </w:r>
          </w:p>
          <w:p w14:paraId="06C549E1" w14:textId="77777777" w:rsidR="00715058" w:rsidRPr="000033CD" w:rsidRDefault="00715058" w:rsidP="00411B2D">
            <w:pPr>
              <w:spacing w:before="120" w:after="120"/>
              <w:rPr>
                <w:rFonts w:ascii="Arial" w:hAnsi="Arial" w:cs="Arial"/>
                <w:sz w:val="18"/>
                <w:szCs w:val="18"/>
              </w:rPr>
            </w:pPr>
            <w:r w:rsidRPr="000033CD">
              <w:rPr>
                <w:rFonts w:ascii="Arial" w:hAnsi="Arial" w:cs="Arial"/>
                <w:sz w:val="18"/>
                <w:szCs w:val="18"/>
              </w:rPr>
              <w:t>OR</w:t>
            </w:r>
          </w:p>
          <w:p w14:paraId="74E0CE3D" w14:textId="03823FDB" w:rsidR="00715058" w:rsidRPr="000033CD" w:rsidRDefault="00715058" w:rsidP="00411B2D">
            <w:pPr>
              <w:spacing w:before="120" w:after="120"/>
              <w:rPr>
                <w:rFonts w:ascii="Arial" w:hAnsi="Arial" w:cs="Arial"/>
                <w:szCs w:val="20"/>
              </w:rPr>
            </w:pPr>
            <w:r w:rsidRPr="000033CD">
              <w:rPr>
                <w:rFonts w:ascii="Arial" w:hAnsi="Arial" w:cs="Arial"/>
                <w:sz w:val="18"/>
                <w:szCs w:val="18"/>
              </w:rPr>
              <w:t>Level 10 (Doctoral Degree</w:t>
            </w:r>
            <w:r w:rsidRPr="000033CD">
              <w:rPr>
                <w:rFonts w:ascii="Arial" w:hAnsi="Arial" w:cs="Arial"/>
                <w:szCs w:val="20"/>
              </w:rPr>
              <w:t>)</w:t>
            </w:r>
          </w:p>
        </w:tc>
        <w:tc>
          <w:tcPr>
            <w:tcW w:w="720" w:type="pct"/>
          </w:tcPr>
          <w:p w14:paraId="27DBFF71" w14:textId="77777777" w:rsidR="00715058" w:rsidRPr="000033CD" w:rsidRDefault="00715058" w:rsidP="00411B2D">
            <w:pPr>
              <w:spacing w:before="120" w:after="120"/>
              <w:rPr>
                <w:rFonts w:ascii="Arial" w:hAnsi="Arial" w:cs="Arial"/>
                <w:sz w:val="18"/>
                <w:szCs w:val="18"/>
              </w:rPr>
            </w:pPr>
            <w:r w:rsidRPr="000033CD">
              <w:rPr>
                <w:rFonts w:ascii="Arial" w:hAnsi="Arial" w:cs="Arial"/>
                <w:sz w:val="18"/>
                <w:szCs w:val="18"/>
              </w:rPr>
              <w:t xml:space="preserve">Accredited </w:t>
            </w:r>
          </w:p>
          <w:p w14:paraId="44821EB4" w14:textId="77777777" w:rsidR="00715058" w:rsidRPr="000033CD" w:rsidRDefault="00715058" w:rsidP="00411B2D">
            <w:pPr>
              <w:spacing w:before="120" w:after="120"/>
              <w:rPr>
                <w:rFonts w:ascii="Arial" w:hAnsi="Arial" w:cs="Arial"/>
                <w:sz w:val="18"/>
                <w:szCs w:val="18"/>
              </w:rPr>
            </w:pPr>
            <w:r w:rsidRPr="000033CD">
              <w:rPr>
                <w:rFonts w:ascii="Arial" w:hAnsi="Arial" w:cs="Arial"/>
                <w:sz w:val="18"/>
                <w:szCs w:val="18"/>
              </w:rPr>
              <w:t>OR</w:t>
            </w:r>
          </w:p>
          <w:p w14:paraId="6F54F03F" w14:textId="1D69999C" w:rsidR="00715058" w:rsidRPr="000033CD" w:rsidRDefault="00715058" w:rsidP="00411B2D">
            <w:pPr>
              <w:spacing w:before="120" w:after="120"/>
              <w:rPr>
                <w:rFonts w:ascii="Arial" w:hAnsi="Arial" w:cs="Arial"/>
                <w:szCs w:val="20"/>
              </w:rPr>
            </w:pPr>
            <w:r w:rsidRPr="000033CD">
              <w:rPr>
                <w:rFonts w:ascii="Arial" w:hAnsi="Arial" w:cs="Arial"/>
                <w:sz w:val="18"/>
                <w:szCs w:val="18"/>
              </w:rPr>
              <w:t>Transitional</w:t>
            </w:r>
          </w:p>
        </w:tc>
        <w:tc>
          <w:tcPr>
            <w:tcW w:w="718" w:type="pct"/>
          </w:tcPr>
          <w:p w14:paraId="289184EB" w14:textId="7F819141" w:rsidR="00715058" w:rsidRPr="000033CD" w:rsidRDefault="00715058" w:rsidP="00411B2D">
            <w:pPr>
              <w:spacing w:before="120" w:after="120"/>
              <w:rPr>
                <w:rFonts w:ascii="Arial" w:hAnsi="Arial" w:cs="Arial"/>
                <w:sz w:val="18"/>
                <w:szCs w:val="18"/>
              </w:rPr>
            </w:pPr>
            <w:r w:rsidRPr="000033CD">
              <w:rPr>
                <w:rFonts w:ascii="Arial" w:hAnsi="Arial" w:cs="Arial"/>
                <w:sz w:val="18"/>
                <w:szCs w:val="18"/>
              </w:rPr>
              <w:t>Research experience equivalent to a doctoral degree</w:t>
            </w:r>
          </w:p>
        </w:tc>
        <w:tc>
          <w:tcPr>
            <w:tcW w:w="2987" w:type="pct"/>
          </w:tcPr>
          <w:p w14:paraId="4CA4CA7A" w14:textId="77777777" w:rsidR="00715058" w:rsidRPr="000033CD" w:rsidRDefault="00715058" w:rsidP="00411B2D">
            <w:pPr>
              <w:spacing w:before="120" w:after="120"/>
              <w:rPr>
                <w:rFonts w:ascii="Arial" w:hAnsi="Arial" w:cs="Arial"/>
                <w:sz w:val="18"/>
                <w:szCs w:val="18"/>
              </w:rPr>
            </w:pPr>
            <w:r w:rsidRPr="000033CD">
              <w:rPr>
                <w:rFonts w:ascii="Arial" w:hAnsi="Arial" w:cs="Arial"/>
                <w:sz w:val="18"/>
                <w:szCs w:val="18"/>
              </w:rPr>
              <w:t>An AQF Level 9 qualification</w:t>
            </w:r>
          </w:p>
          <w:p w14:paraId="11FF9701" w14:textId="77777777" w:rsidR="00715058" w:rsidRPr="000033CD" w:rsidRDefault="00715058" w:rsidP="00411B2D">
            <w:pPr>
              <w:spacing w:before="120" w:after="120"/>
              <w:rPr>
                <w:rFonts w:ascii="Arial" w:hAnsi="Arial" w:cs="Arial"/>
                <w:sz w:val="18"/>
                <w:szCs w:val="18"/>
              </w:rPr>
            </w:pPr>
            <w:r w:rsidRPr="000033CD">
              <w:rPr>
                <w:rFonts w:ascii="Arial" w:hAnsi="Arial" w:cs="Arial"/>
                <w:sz w:val="18"/>
                <w:szCs w:val="18"/>
              </w:rPr>
              <w:t>AND</w:t>
            </w:r>
          </w:p>
          <w:p w14:paraId="3D4D8966" w14:textId="15B951DE" w:rsidR="00715058" w:rsidRPr="000033CD" w:rsidRDefault="00715058" w:rsidP="00411B2D">
            <w:pPr>
              <w:spacing w:before="120" w:after="120"/>
              <w:rPr>
                <w:rFonts w:ascii="Arial" w:hAnsi="Arial" w:cs="Arial"/>
                <w:sz w:val="18"/>
                <w:szCs w:val="18"/>
              </w:rPr>
            </w:pPr>
            <w:r w:rsidRPr="000033CD">
              <w:rPr>
                <w:rFonts w:ascii="Arial" w:hAnsi="Arial" w:cs="Arial"/>
                <w:sz w:val="18"/>
                <w:szCs w:val="18"/>
              </w:rPr>
              <w:t xml:space="preserve">Current research experience in a relevant discipline demonstrating an original contribution to knowledge. Supporting evidence may include peer-reviewed research outputs (including non-traditional research outputs), completion of work towards a doctoral degree, research related award and/or prizes and expert commentary. </w:t>
            </w:r>
          </w:p>
          <w:p w14:paraId="040C28CC" w14:textId="7A7C82F8" w:rsidR="00715058" w:rsidRPr="000033CD" w:rsidRDefault="00715058" w:rsidP="00411B2D">
            <w:pPr>
              <w:spacing w:before="120" w:after="120"/>
              <w:rPr>
                <w:rFonts w:ascii="Arial" w:hAnsi="Arial" w:cs="Arial"/>
                <w:szCs w:val="20"/>
              </w:rPr>
            </w:pPr>
            <w:r w:rsidRPr="000033CD">
              <w:rPr>
                <w:rFonts w:ascii="Arial" w:hAnsi="Arial" w:cs="Arial"/>
                <w:sz w:val="18"/>
                <w:szCs w:val="18"/>
              </w:rPr>
              <w:t xml:space="preserve">Evidence of research experience must be sufficient to allow consideration of the nature, </w:t>
            </w:r>
            <w:proofErr w:type="gramStart"/>
            <w:r w:rsidRPr="000033CD">
              <w:rPr>
                <w:rFonts w:ascii="Arial" w:hAnsi="Arial" w:cs="Arial"/>
                <w:sz w:val="18"/>
                <w:szCs w:val="18"/>
              </w:rPr>
              <w:t>amount</w:t>
            </w:r>
            <w:proofErr w:type="gramEnd"/>
            <w:r w:rsidRPr="000033CD">
              <w:rPr>
                <w:rFonts w:ascii="Arial" w:hAnsi="Arial" w:cs="Arial"/>
                <w:sz w:val="18"/>
                <w:szCs w:val="18"/>
              </w:rPr>
              <w:t xml:space="preserve"> and duration of research previously undertaken, including the extent of independent research, against the usual requirements for the award of a doctoral degree.</w:t>
            </w:r>
            <w:r w:rsidRPr="000033CD">
              <w:rPr>
                <w:rFonts w:ascii="Arial" w:hAnsi="Arial" w:cs="Arial"/>
                <w:szCs w:val="20"/>
              </w:rPr>
              <w:t xml:space="preserve"> </w:t>
            </w:r>
          </w:p>
        </w:tc>
      </w:tr>
    </w:tbl>
    <w:p w14:paraId="57188A35" w14:textId="0186692D" w:rsidR="007D65B8" w:rsidRPr="000033CD" w:rsidRDefault="007D65B8" w:rsidP="00BA6219">
      <w:pPr>
        <w:rPr>
          <w:rFonts w:ascii="Arial" w:hAnsi="Arial" w:cs="Arial"/>
        </w:rPr>
        <w:sectPr w:rsidR="007D65B8" w:rsidRPr="000033CD" w:rsidSect="000033CD">
          <w:headerReference w:type="default" r:id="rId11"/>
          <w:footerReference w:type="default" r:id="rId12"/>
          <w:headerReference w:type="first" r:id="rId13"/>
          <w:footerReference w:type="first" r:id="rId14"/>
          <w:type w:val="nextColumn"/>
          <w:pgSz w:w="11901" w:h="16820" w:code="9"/>
          <w:pgMar w:top="1985" w:right="851" w:bottom="851" w:left="85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848"/>
        <w:gridCol w:w="7351"/>
      </w:tblGrid>
      <w:tr w:rsidR="0095399A" w:rsidRPr="000033CD" w14:paraId="63123D9A" w14:textId="77777777" w:rsidTr="62F6A482">
        <w:tc>
          <w:tcPr>
            <w:tcW w:w="1396" w:type="pct"/>
            <w:tcBorders>
              <w:top w:val="nil"/>
              <w:left w:val="nil"/>
              <w:bottom w:val="single" w:sz="8" w:space="0" w:color="E30918"/>
              <w:right w:val="nil"/>
            </w:tcBorders>
            <w:shd w:val="clear" w:color="auto" w:fill="auto"/>
          </w:tcPr>
          <w:p w14:paraId="63A19D69" w14:textId="77777777" w:rsidR="0095399A" w:rsidRPr="000033CD" w:rsidRDefault="0095399A" w:rsidP="00411B2D">
            <w:pPr>
              <w:spacing w:before="120" w:after="120"/>
              <w:rPr>
                <w:rFonts w:ascii="Arial" w:hAnsi="Arial" w:cs="Arial"/>
                <w:b/>
                <w:bCs/>
                <w:color w:val="E30918"/>
                <w:sz w:val="22"/>
              </w:rPr>
            </w:pPr>
            <w:r w:rsidRPr="000033CD">
              <w:rPr>
                <w:rFonts w:ascii="Arial" w:hAnsi="Arial" w:cs="Arial"/>
                <w:b/>
                <w:bCs/>
                <w:caps/>
                <w:color w:val="000000" w:themeColor="text1"/>
                <w:sz w:val="22"/>
              </w:rPr>
              <w:lastRenderedPageBreak/>
              <w:t>INFORMATION</w:t>
            </w:r>
          </w:p>
        </w:tc>
        <w:tc>
          <w:tcPr>
            <w:tcW w:w="3604" w:type="pct"/>
            <w:tcBorders>
              <w:top w:val="nil"/>
              <w:left w:val="nil"/>
              <w:bottom w:val="single" w:sz="8" w:space="0" w:color="E30918"/>
              <w:right w:val="nil"/>
            </w:tcBorders>
            <w:shd w:val="clear" w:color="auto" w:fill="auto"/>
          </w:tcPr>
          <w:p w14:paraId="4A20B024" w14:textId="77777777" w:rsidR="0095399A" w:rsidRPr="000033CD" w:rsidRDefault="0095399A" w:rsidP="00411B2D">
            <w:pPr>
              <w:spacing w:before="120" w:after="120"/>
              <w:jc w:val="right"/>
              <w:rPr>
                <w:rFonts w:ascii="Arial" w:hAnsi="Arial" w:cs="Arial"/>
              </w:rPr>
            </w:pPr>
            <w:r w:rsidRPr="000033CD">
              <w:rPr>
                <w:rFonts w:ascii="Arial" w:hAnsi="Arial" w:cs="Arial"/>
              </w:rPr>
              <w:t>Printable version (PDF) Downloadable version (Word)</w:t>
            </w:r>
          </w:p>
        </w:tc>
      </w:tr>
      <w:tr w:rsidR="0095399A" w:rsidRPr="000033CD" w14:paraId="304E25EF" w14:textId="77777777" w:rsidTr="62F6A482">
        <w:tc>
          <w:tcPr>
            <w:tcW w:w="1396" w:type="pct"/>
            <w:tcBorders>
              <w:top w:val="single" w:sz="8" w:space="0" w:color="E30918"/>
              <w:left w:val="nil"/>
              <w:bottom w:val="nil"/>
              <w:right w:val="nil"/>
            </w:tcBorders>
            <w:shd w:val="clear" w:color="auto" w:fill="E6E7E8"/>
          </w:tcPr>
          <w:p w14:paraId="4DD225B2" w14:textId="77777777" w:rsidR="0095399A" w:rsidRPr="000033CD" w:rsidRDefault="0095399A" w:rsidP="00411B2D">
            <w:pPr>
              <w:spacing w:before="120" w:after="120"/>
              <w:rPr>
                <w:rFonts w:ascii="Arial" w:hAnsi="Arial" w:cs="Arial"/>
                <w:szCs w:val="20"/>
              </w:rPr>
            </w:pPr>
            <w:r w:rsidRPr="000033CD">
              <w:rPr>
                <w:rFonts w:ascii="Arial" w:hAnsi="Arial" w:cs="Arial"/>
                <w:szCs w:val="20"/>
              </w:rPr>
              <w:t>Title</w:t>
            </w:r>
          </w:p>
        </w:tc>
        <w:tc>
          <w:tcPr>
            <w:tcW w:w="3604" w:type="pct"/>
            <w:tcBorders>
              <w:top w:val="single" w:sz="8" w:space="0" w:color="E30918"/>
              <w:left w:val="nil"/>
              <w:bottom w:val="nil"/>
              <w:right w:val="nil"/>
            </w:tcBorders>
            <w:shd w:val="clear" w:color="auto" w:fill="E6E7E8"/>
          </w:tcPr>
          <w:p w14:paraId="11FCF4F5" w14:textId="1DB0DBC9" w:rsidR="0095399A" w:rsidRPr="000033CD" w:rsidRDefault="00E42A7C" w:rsidP="00411B2D">
            <w:pPr>
              <w:spacing w:before="120" w:after="120"/>
              <w:rPr>
                <w:rFonts w:ascii="Arial" w:hAnsi="Arial" w:cs="Arial"/>
                <w:szCs w:val="20"/>
              </w:rPr>
            </w:pPr>
            <w:r w:rsidRPr="000033CD">
              <w:rPr>
                <w:rFonts w:ascii="Arial" w:hAnsi="Arial" w:cs="Arial"/>
                <w:szCs w:val="20"/>
              </w:rPr>
              <w:t>Equivalence to a Doctoral Qualification: HDR Supervisor Registration</w:t>
            </w:r>
          </w:p>
        </w:tc>
      </w:tr>
      <w:tr w:rsidR="0095399A" w:rsidRPr="000033CD" w14:paraId="7EB2AB77" w14:textId="77777777" w:rsidTr="62F6A482">
        <w:tc>
          <w:tcPr>
            <w:tcW w:w="1396" w:type="pct"/>
            <w:tcBorders>
              <w:top w:val="nil"/>
              <w:left w:val="nil"/>
              <w:bottom w:val="nil"/>
              <w:right w:val="nil"/>
            </w:tcBorders>
            <w:shd w:val="clear" w:color="auto" w:fill="auto"/>
          </w:tcPr>
          <w:p w14:paraId="41120DE0" w14:textId="77777777" w:rsidR="0095399A" w:rsidRPr="000033CD" w:rsidRDefault="0095399A" w:rsidP="00411B2D">
            <w:pPr>
              <w:spacing w:before="120" w:after="120"/>
              <w:rPr>
                <w:rFonts w:ascii="Arial" w:hAnsi="Arial" w:cs="Arial"/>
                <w:szCs w:val="20"/>
              </w:rPr>
            </w:pPr>
            <w:r w:rsidRPr="000033CD">
              <w:rPr>
                <w:rFonts w:ascii="Arial" w:hAnsi="Arial" w:cs="Arial"/>
                <w:szCs w:val="20"/>
              </w:rPr>
              <w:t>Document number</w:t>
            </w:r>
          </w:p>
        </w:tc>
        <w:tc>
          <w:tcPr>
            <w:tcW w:w="3604" w:type="pct"/>
            <w:tcBorders>
              <w:top w:val="nil"/>
              <w:left w:val="nil"/>
              <w:bottom w:val="nil"/>
              <w:right w:val="nil"/>
            </w:tcBorders>
            <w:shd w:val="clear" w:color="auto" w:fill="auto"/>
          </w:tcPr>
          <w:p w14:paraId="6CAB3239" w14:textId="55D3BDAD" w:rsidR="0095399A" w:rsidRPr="000033CD" w:rsidRDefault="009E19AD" w:rsidP="62F6A482">
            <w:pPr>
              <w:spacing w:before="120" w:after="120"/>
              <w:rPr>
                <w:rFonts w:ascii="Arial" w:hAnsi="Arial" w:cs="Arial"/>
              </w:rPr>
            </w:pPr>
            <w:r w:rsidRPr="000033CD">
              <w:rPr>
                <w:rFonts w:ascii="Arial" w:hAnsi="Arial" w:cs="Arial"/>
              </w:rPr>
              <w:t>2023/0000</w:t>
            </w:r>
            <w:r w:rsidR="55AC2527" w:rsidRPr="000033CD">
              <w:rPr>
                <w:rFonts w:ascii="Arial" w:hAnsi="Arial" w:cs="Arial"/>
              </w:rPr>
              <w:t>450</w:t>
            </w:r>
          </w:p>
        </w:tc>
      </w:tr>
      <w:tr w:rsidR="0095399A" w:rsidRPr="000033CD" w14:paraId="43C59C5D" w14:textId="77777777" w:rsidTr="62F6A482">
        <w:tc>
          <w:tcPr>
            <w:tcW w:w="1396" w:type="pct"/>
            <w:tcBorders>
              <w:top w:val="nil"/>
              <w:left w:val="nil"/>
              <w:bottom w:val="nil"/>
              <w:right w:val="nil"/>
            </w:tcBorders>
            <w:shd w:val="clear" w:color="auto" w:fill="E6E7E8"/>
          </w:tcPr>
          <w:p w14:paraId="2768F0B0" w14:textId="77777777" w:rsidR="0095399A" w:rsidRPr="000033CD" w:rsidRDefault="0095399A" w:rsidP="00411B2D">
            <w:pPr>
              <w:spacing w:before="120" w:after="120"/>
              <w:rPr>
                <w:rFonts w:ascii="Arial" w:hAnsi="Arial" w:cs="Arial"/>
                <w:szCs w:val="20"/>
              </w:rPr>
            </w:pPr>
            <w:r w:rsidRPr="000033CD">
              <w:rPr>
                <w:rFonts w:ascii="Arial" w:hAnsi="Arial" w:cs="Arial"/>
                <w:szCs w:val="20"/>
              </w:rPr>
              <w:t>Purpose</w:t>
            </w:r>
          </w:p>
        </w:tc>
        <w:tc>
          <w:tcPr>
            <w:tcW w:w="3604" w:type="pct"/>
            <w:tcBorders>
              <w:top w:val="nil"/>
              <w:left w:val="nil"/>
              <w:bottom w:val="nil"/>
              <w:right w:val="nil"/>
            </w:tcBorders>
            <w:shd w:val="clear" w:color="auto" w:fill="E6E7E8"/>
          </w:tcPr>
          <w:p w14:paraId="7FE65E89" w14:textId="1DA4C64D" w:rsidR="0095399A" w:rsidRPr="000033CD" w:rsidRDefault="00E42A7C" w:rsidP="00411B2D">
            <w:pPr>
              <w:spacing w:before="120" w:after="120"/>
              <w:rPr>
                <w:rFonts w:ascii="Arial" w:hAnsi="Arial" w:cs="Arial"/>
                <w:szCs w:val="20"/>
              </w:rPr>
            </w:pPr>
            <w:r w:rsidRPr="000033CD">
              <w:rPr>
                <w:rFonts w:ascii="Arial" w:hAnsi="Arial" w:cs="Arial"/>
                <w:szCs w:val="20"/>
              </w:rPr>
              <w:t>These guidelines support the Higher Degree by Research Supervision Procedure and provide the framework by which the University assesses comparability of research experience with a doctoral qualification in an application for higher degree by research (HDR) supervisor registration.</w:t>
            </w:r>
          </w:p>
        </w:tc>
      </w:tr>
      <w:tr w:rsidR="0095399A" w:rsidRPr="000033CD" w14:paraId="222189D1" w14:textId="77777777" w:rsidTr="62F6A482">
        <w:tc>
          <w:tcPr>
            <w:tcW w:w="1396" w:type="pct"/>
            <w:tcBorders>
              <w:top w:val="nil"/>
              <w:left w:val="nil"/>
              <w:bottom w:val="nil"/>
              <w:right w:val="nil"/>
            </w:tcBorders>
            <w:shd w:val="clear" w:color="auto" w:fill="auto"/>
          </w:tcPr>
          <w:p w14:paraId="0F0C7986" w14:textId="77777777" w:rsidR="0095399A" w:rsidRPr="000033CD" w:rsidRDefault="0095399A" w:rsidP="00411B2D">
            <w:pPr>
              <w:spacing w:before="120" w:after="120"/>
              <w:rPr>
                <w:rFonts w:ascii="Arial" w:hAnsi="Arial" w:cs="Arial"/>
                <w:szCs w:val="20"/>
              </w:rPr>
            </w:pPr>
            <w:r w:rsidRPr="000033CD">
              <w:rPr>
                <w:rFonts w:ascii="Arial" w:hAnsi="Arial" w:cs="Arial"/>
                <w:szCs w:val="20"/>
              </w:rPr>
              <w:t>Audience</w:t>
            </w:r>
          </w:p>
        </w:tc>
        <w:tc>
          <w:tcPr>
            <w:tcW w:w="3604" w:type="pct"/>
            <w:tcBorders>
              <w:top w:val="nil"/>
              <w:left w:val="nil"/>
              <w:bottom w:val="nil"/>
              <w:right w:val="nil"/>
            </w:tcBorders>
            <w:shd w:val="clear" w:color="auto" w:fill="auto"/>
          </w:tcPr>
          <w:p w14:paraId="6C9EC612" w14:textId="24AE16ED" w:rsidR="0095399A" w:rsidRPr="000033CD" w:rsidRDefault="00E42A7C" w:rsidP="00411B2D">
            <w:pPr>
              <w:spacing w:before="120" w:after="120"/>
              <w:rPr>
                <w:rFonts w:ascii="Arial" w:hAnsi="Arial" w:cs="Arial"/>
                <w:szCs w:val="20"/>
              </w:rPr>
            </w:pPr>
            <w:r w:rsidRPr="000033CD">
              <w:rPr>
                <w:rFonts w:ascii="Arial" w:hAnsi="Arial" w:cs="Arial"/>
                <w:szCs w:val="20"/>
              </w:rPr>
              <w:t>Staff</w:t>
            </w:r>
          </w:p>
        </w:tc>
      </w:tr>
      <w:tr w:rsidR="0095399A" w:rsidRPr="000033CD" w14:paraId="28125B28" w14:textId="77777777" w:rsidTr="62F6A482">
        <w:tc>
          <w:tcPr>
            <w:tcW w:w="1396" w:type="pct"/>
            <w:tcBorders>
              <w:top w:val="nil"/>
              <w:left w:val="nil"/>
              <w:bottom w:val="nil"/>
              <w:right w:val="nil"/>
            </w:tcBorders>
            <w:shd w:val="clear" w:color="auto" w:fill="E6E7E8"/>
          </w:tcPr>
          <w:p w14:paraId="7BB0D257" w14:textId="77777777" w:rsidR="0095399A" w:rsidRPr="000033CD" w:rsidRDefault="0095399A" w:rsidP="00411B2D">
            <w:pPr>
              <w:spacing w:before="120" w:after="120"/>
              <w:rPr>
                <w:rFonts w:ascii="Arial" w:hAnsi="Arial" w:cs="Arial"/>
                <w:szCs w:val="20"/>
              </w:rPr>
            </w:pPr>
            <w:r w:rsidRPr="000033CD">
              <w:rPr>
                <w:rFonts w:ascii="Arial" w:hAnsi="Arial" w:cs="Arial"/>
                <w:szCs w:val="20"/>
              </w:rPr>
              <w:t>Category</w:t>
            </w:r>
          </w:p>
        </w:tc>
        <w:tc>
          <w:tcPr>
            <w:tcW w:w="3604" w:type="pct"/>
            <w:tcBorders>
              <w:top w:val="nil"/>
              <w:left w:val="nil"/>
              <w:bottom w:val="nil"/>
              <w:right w:val="nil"/>
            </w:tcBorders>
            <w:shd w:val="clear" w:color="auto" w:fill="E6E7E8"/>
          </w:tcPr>
          <w:p w14:paraId="49825562" w14:textId="622569E8" w:rsidR="0095399A" w:rsidRPr="000033CD" w:rsidRDefault="0095399A" w:rsidP="00411B2D">
            <w:pPr>
              <w:spacing w:before="120" w:after="120"/>
              <w:rPr>
                <w:rFonts w:ascii="Arial" w:hAnsi="Arial" w:cs="Arial"/>
                <w:szCs w:val="20"/>
              </w:rPr>
            </w:pPr>
            <w:r w:rsidRPr="000033CD">
              <w:rPr>
                <w:rFonts w:ascii="Arial" w:hAnsi="Arial" w:cs="Arial"/>
                <w:szCs w:val="20"/>
              </w:rPr>
              <w:t>Academic</w:t>
            </w:r>
          </w:p>
        </w:tc>
      </w:tr>
      <w:tr w:rsidR="0095399A" w:rsidRPr="000033CD" w14:paraId="6804AE71" w14:textId="77777777" w:rsidTr="62F6A482">
        <w:tc>
          <w:tcPr>
            <w:tcW w:w="1396" w:type="pct"/>
            <w:tcBorders>
              <w:top w:val="nil"/>
              <w:left w:val="nil"/>
              <w:bottom w:val="nil"/>
              <w:right w:val="nil"/>
            </w:tcBorders>
            <w:shd w:val="clear" w:color="auto" w:fill="auto"/>
          </w:tcPr>
          <w:p w14:paraId="633FDD1A" w14:textId="77777777" w:rsidR="0095399A" w:rsidRPr="000033CD" w:rsidRDefault="0095399A" w:rsidP="00411B2D">
            <w:pPr>
              <w:spacing w:before="120" w:after="120"/>
              <w:rPr>
                <w:rFonts w:ascii="Arial" w:hAnsi="Arial" w:cs="Arial"/>
                <w:szCs w:val="20"/>
              </w:rPr>
            </w:pPr>
            <w:r w:rsidRPr="000033CD">
              <w:rPr>
                <w:rFonts w:ascii="Arial" w:hAnsi="Arial" w:cs="Arial"/>
                <w:szCs w:val="20"/>
              </w:rPr>
              <w:t>Subcategory</w:t>
            </w:r>
          </w:p>
        </w:tc>
        <w:tc>
          <w:tcPr>
            <w:tcW w:w="3604" w:type="pct"/>
            <w:tcBorders>
              <w:top w:val="nil"/>
              <w:left w:val="nil"/>
              <w:bottom w:val="nil"/>
              <w:right w:val="nil"/>
            </w:tcBorders>
            <w:shd w:val="clear" w:color="auto" w:fill="auto"/>
          </w:tcPr>
          <w:p w14:paraId="24122AE7" w14:textId="3BED42C0" w:rsidR="0095399A" w:rsidRPr="000033CD" w:rsidRDefault="00FD7D81" w:rsidP="00E42A7C">
            <w:pPr>
              <w:spacing w:before="120" w:after="120"/>
              <w:rPr>
                <w:rFonts w:ascii="Arial" w:hAnsi="Arial" w:cs="Arial"/>
                <w:szCs w:val="20"/>
              </w:rPr>
            </w:pPr>
            <w:r w:rsidRPr="000033CD">
              <w:rPr>
                <w:rFonts w:ascii="Arial" w:hAnsi="Arial" w:cs="Arial"/>
                <w:szCs w:val="20"/>
              </w:rPr>
              <w:t>Research</w:t>
            </w:r>
          </w:p>
        </w:tc>
      </w:tr>
      <w:tr w:rsidR="0095399A" w:rsidRPr="000033CD" w14:paraId="50471DC5" w14:textId="77777777" w:rsidTr="62F6A482">
        <w:tc>
          <w:tcPr>
            <w:tcW w:w="1396" w:type="pct"/>
            <w:tcBorders>
              <w:top w:val="nil"/>
              <w:left w:val="nil"/>
              <w:bottom w:val="nil"/>
              <w:right w:val="nil"/>
            </w:tcBorders>
            <w:shd w:val="clear" w:color="auto" w:fill="E6E7E8"/>
          </w:tcPr>
          <w:p w14:paraId="16A50CAE" w14:textId="0C1E972E" w:rsidR="0095399A" w:rsidRPr="000033CD" w:rsidRDefault="00FD7D81" w:rsidP="00DE7DE7">
            <w:pPr>
              <w:spacing w:before="120" w:after="120"/>
              <w:rPr>
                <w:rFonts w:ascii="Arial" w:hAnsi="Arial" w:cs="Arial"/>
                <w:szCs w:val="20"/>
              </w:rPr>
            </w:pPr>
            <w:r w:rsidRPr="000033CD">
              <w:rPr>
                <w:rFonts w:ascii="Arial" w:hAnsi="Arial" w:cs="Arial"/>
                <w:szCs w:val="20"/>
              </w:rPr>
              <w:t>Approval date</w:t>
            </w:r>
          </w:p>
        </w:tc>
        <w:tc>
          <w:tcPr>
            <w:tcW w:w="3604" w:type="pct"/>
            <w:tcBorders>
              <w:top w:val="nil"/>
              <w:left w:val="nil"/>
              <w:bottom w:val="nil"/>
              <w:right w:val="nil"/>
            </w:tcBorders>
            <w:shd w:val="clear" w:color="auto" w:fill="E6E7E8"/>
          </w:tcPr>
          <w:p w14:paraId="54E42AB4" w14:textId="16165115" w:rsidR="00D636CD" w:rsidRPr="000033CD" w:rsidRDefault="00D636CD" w:rsidP="00DE7DE7">
            <w:pPr>
              <w:spacing w:before="120" w:after="120"/>
              <w:rPr>
                <w:rFonts w:ascii="Arial" w:hAnsi="Arial" w:cs="Arial"/>
                <w:szCs w:val="20"/>
              </w:rPr>
            </w:pPr>
            <w:r w:rsidRPr="000033CD">
              <w:rPr>
                <w:rFonts w:ascii="Arial" w:hAnsi="Arial" w:cs="Arial"/>
                <w:szCs w:val="20"/>
              </w:rPr>
              <w:t>June 2023</w:t>
            </w:r>
          </w:p>
        </w:tc>
      </w:tr>
      <w:tr w:rsidR="009E774A" w:rsidRPr="000033CD" w14:paraId="4468CA77" w14:textId="77777777" w:rsidTr="62F6A482">
        <w:tc>
          <w:tcPr>
            <w:tcW w:w="1396" w:type="pct"/>
            <w:tcBorders>
              <w:top w:val="nil"/>
              <w:left w:val="nil"/>
              <w:bottom w:val="nil"/>
              <w:right w:val="nil"/>
            </w:tcBorders>
            <w:shd w:val="clear" w:color="auto" w:fill="E6E7E8"/>
          </w:tcPr>
          <w:p w14:paraId="4E112510" w14:textId="3CC545DB" w:rsidR="009E774A" w:rsidRPr="000033CD" w:rsidRDefault="009E774A" w:rsidP="00DE7DE7">
            <w:pPr>
              <w:spacing w:before="120" w:after="120"/>
              <w:rPr>
                <w:rFonts w:ascii="Arial" w:hAnsi="Arial" w:cs="Arial"/>
                <w:szCs w:val="20"/>
              </w:rPr>
            </w:pPr>
            <w:r w:rsidRPr="000033CD">
              <w:rPr>
                <w:rFonts w:ascii="Arial" w:hAnsi="Arial" w:cs="Arial"/>
                <w:szCs w:val="20"/>
              </w:rPr>
              <w:t>Effective date</w:t>
            </w:r>
          </w:p>
        </w:tc>
        <w:tc>
          <w:tcPr>
            <w:tcW w:w="3604" w:type="pct"/>
            <w:tcBorders>
              <w:top w:val="nil"/>
              <w:left w:val="nil"/>
              <w:bottom w:val="nil"/>
              <w:right w:val="nil"/>
            </w:tcBorders>
            <w:shd w:val="clear" w:color="auto" w:fill="E6E7E8"/>
          </w:tcPr>
          <w:p w14:paraId="02C7C1F7" w14:textId="129214AE" w:rsidR="009E774A" w:rsidRPr="000033CD" w:rsidRDefault="009E774A" w:rsidP="00DE7DE7">
            <w:pPr>
              <w:spacing w:before="120" w:after="120"/>
              <w:rPr>
                <w:rFonts w:ascii="Arial" w:hAnsi="Arial" w:cs="Arial"/>
                <w:szCs w:val="20"/>
              </w:rPr>
            </w:pPr>
            <w:r w:rsidRPr="000033CD">
              <w:rPr>
                <w:rFonts w:ascii="Arial" w:hAnsi="Arial" w:cs="Arial"/>
                <w:szCs w:val="20"/>
              </w:rPr>
              <w:t>1 July 2023</w:t>
            </w:r>
          </w:p>
        </w:tc>
      </w:tr>
      <w:tr w:rsidR="0095399A" w:rsidRPr="000033CD" w14:paraId="2BC374DF" w14:textId="77777777" w:rsidTr="62F6A482">
        <w:tc>
          <w:tcPr>
            <w:tcW w:w="1396" w:type="pct"/>
            <w:tcBorders>
              <w:top w:val="nil"/>
              <w:left w:val="nil"/>
              <w:bottom w:val="nil"/>
              <w:right w:val="nil"/>
            </w:tcBorders>
            <w:shd w:val="clear" w:color="auto" w:fill="auto"/>
          </w:tcPr>
          <w:p w14:paraId="534DFB5D" w14:textId="77777777" w:rsidR="0095399A" w:rsidRPr="000033CD" w:rsidRDefault="0095399A" w:rsidP="00411B2D">
            <w:pPr>
              <w:spacing w:before="120" w:after="120"/>
              <w:rPr>
                <w:rFonts w:ascii="Arial" w:hAnsi="Arial" w:cs="Arial"/>
                <w:szCs w:val="20"/>
              </w:rPr>
            </w:pPr>
            <w:r w:rsidRPr="000033CD">
              <w:rPr>
                <w:rFonts w:ascii="Arial" w:hAnsi="Arial" w:cs="Arial"/>
                <w:szCs w:val="20"/>
              </w:rPr>
              <w:t>Review date</w:t>
            </w:r>
          </w:p>
        </w:tc>
        <w:tc>
          <w:tcPr>
            <w:tcW w:w="3604" w:type="pct"/>
            <w:tcBorders>
              <w:top w:val="nil"/>
              <w:left w:val="nil"/>
              <w:bottom w:val="nil"/>
              <w:right w:val="nil"/>
            </w:tcBorders>
            <w:shd w:val="clear" w:color="auto" w:fill="auto"/>
          </w:tcPr>
          <w:p w14:paraId="71B0EEBB" w14:textId="65CDE704" w:rsidR="0095399A" w:rsidRPr="000033CD" w:rsidRDefault="00D636CD" w:rsidP="00411B2D">
            <w:pPr>
              <w:spacing w:before="120" w:after="120"/>
              <w:rPr>
                <w:rFonts w:ascii="Arial" w:hAnsi="Arial" w:cs="Arial"/>
                <w:szCs w:val="20"/>
              </w:rPr>
            </w:pPr>
            <w:r w:rsidRPr="000033CD">
              <w:rPr>
                <w:rFonts w:ascii="Arial" w:hAnsi="Arial" w:cs="Arial"/>
                <w:szCs w:val="20"/>
              </w:rPr>
              <w:t>2027</w:t>
            </w:r>
          </w:p>
        </w:tc>
      </w:tr>
      <w:tr w:rsidR="0095399A" w:rsidRPr="000033CD" w14:paraId="7B757065" w14:textId="77777777" w:rsidTr="62F6A482">
        <w:tc>
          <w:tcPr>
            <w:tcW w:w="1396" w:type="pct"/>
            <w:tcBorders>
              <w:top w:val="nil"/>
              <w:left w:val="nil"/>
              <w:bottom w:val="nil"/>
              <w:right w:val="nil"/>
            </w:tcBorders>
            <w:shd w:val="clear" w:color="auto" w:fill="E6E7E8"/>
          </w:tcPr>
          <w:p w14:paraId="04674916" w14:textId="77777777" w:rsidR="0095399A" w:rsidRPr="000033CD" w:rsidRDefault="0095399A" w:rsidP="00411B2D">
            <w:pPr>
              <w:spacing w:before="120" w:after="120"/>
              <w:rPr>
                <w:rFonts w:ascii="Arial" w:hAnsi="Arial" w:cs="Arial"/>
                <w:szCs w:val="20"/>
              </w:rPr>
            </w:pPr>
            <w:r w:rsidRPr="000033CD">
              <w:rPr>
                <w:rFonts w:ascii="Arial" w:hAnsi="Arial" w:cs="Arial"/>
                <w:szCs w:val="20"/>
              </w:rPr>
              <w:t>Policy advisor</w:t>
            </w:r>
          </w:p>
        </w:tc>
        <w:tc>
          <w:tcPr>
            <w:tcW w:w="3604" w:type="pct"/>
            <w:tcBorders>
              <w:top w:val="nil"/>
              <w:left w:val="nil"/>
              <w:bottom w:val="nil"/>
              <w:right w:val="nil"/>
            </w:tcBorders>
            <w:shd w:val="clear" w:color="auto" w:fill="E6E7E8"/>
          </w:tcPr>
          <w:p w14:paraId="096B7BB4" w14:textId="2828AFD1" w:rsidR="0095399A" w:rsidRPr="000033CD" w:rsidRDefault="00CD5A5A" w:rsidP="00411B2D">
            <w:pPr>
              <w:spacing w:before="120" w:after="120"/>
              <w:rPr>
                <w:rFonts w:ascii="Arial" w:hAnsi="Arial" w:cs="Arial"/>
                <w:szCs w:val="20"/>
              </w:rPr>
            </w:pPr>
            <w:r w:rsidRPr="000033CD">
              <w:rPr>
                <w:rFonts w:ascii="Arial" w:hAnsi="Arial" w:cs="Arial"/>
                <w:szCs w:val="20"/>
              </w:rPr>
              <w:t>Senior Policy and Analytics Officer, Griffith Graduate Research School</w:t>
            </w:r>
          </w:p>
        </w:tc>
      </w:tr>
      <w:tr w:rsidR="0095399A" w:rsidRPr="000033CD" w14:paraId="16E54E7F" w14:textId="77777777" w:rsidTr="62F6A482">
        <w:tc>
          <w:tcPr>
            <w:tcW w:w="1396" w:type="pct"/>
            <w:tcBorders>
              <w:top w:val="nil"/>
              <w:left w:val="nil"/>
              <w:bottom w:val="nil"/>
              <w:right w:val="nil"/>
            </w:tcBorders>
            <w:shd w:val="clear" w:color="auto" w:fill="auto"/>
          </w:tcPr>
          <w:p w14:paraId="6365C1E2" w14:textId="77777777" w:rsidR="0095399A" w:rsidRPr="000033CD" w:rsidRDefault="0095399A" w:rsidP="00411B2D">
            <w:pPr>
              <w:spacing w:before="120" w:after="120"/>
              <w:rPr>
                <w:rFonts w:ascii="Arial" w:hAnsi="Arial" w:cs="Arial"/>
                <w:szCs w:val="20"/>
              </w:rPr>
            </w:pPr>
            <w:r w:rsidRPr="000033CD">
              <w:rPr>
                <w:rFonts w:ascii="Arial" w:hAnsi="Arial" w:cs="Arial"/>
                <w:szCs w:val="20"/>
              </w:rPr>
              <w:t>Approving authority</w:t>
            </w:r>
          </w:p>
        </w:tc>
        <w:tc>
          <w:tcPr>
            <w:tcW w:w="3604" w:type="pct"/>
            <w:tcBorders>
              <w:top w:val="nil"/>
              <w:left w:val="nil"/>
              <w:bottom w:val="nil"/>
              <w:right w:val="nil"/>
            </w:tcBorders>
            <w:shd w:val="clear" w:color="auto" w:fill="auto"/>
          </w:tcPr>
          <w:p w14:paraId="51CBEA38" w14:textId="0B379DEB" w:rsidR="00157E80" w:rsidRPr="000033CD" w:rsidRDefault="689B53BD" w:rsidP="00411B2D">
            <w:pPr>
              <w:spacing w:before="120" w:after="120"/>
              <w:rPr>
                <w:rFonts w:ascii="Arial" w:hAnsi="Arial" w:cs="Arial"/>
              </w:rPr>
            </w:pPr>
            <w:r w:rsidRPr="000033CD">
              <w:rPr>
                <w:rFonts w:ascii="Arial" w:hAnsi="Arial" w:cs="Arial"/>
              </w:rPr>
              <w:t>Deputy Vice Chancellor</w:t>
            </w:r>
            <w:r w:rsidR="00E42A7C" w:rsidRPr="000033CD">
              <w:rPr>
                <w:rFonts w:ascii="Arial" w:hAnsi="Arial" w:cs="Arial"/>
              </w:rPr>
              <w:t xml:space="preserve"> </w:t>
            </w:r>
            <w:r w:rsidR="6001E975" w:rsidRPr="000033CD">
              <w:rPr>
                <w:rFonts w:ascii="Arial" w:hAnsi="Arial" w:cs="Arial"/>
              </w:rPr>
              <w:t>(</w:t>
            </w:r>
            <w:r w:rsidR="00E42A7C" w:rsidRPr="000033CD">
              <w:rPr>
                <w:rFonts w:ascii="Arial" w:hAnsi="Arial" w:cs="Arial"/>
              </w:rPr>
              <w:t>Research</w:t>
            </w:r>
            <w:r w:rsidR="5094071A" w:rsidRPr="000033CD">
              <w:rPr>
                <w:rFonts w:ascii="Arial" w:hAnsi="Arial" w:cs="Arial"/>
              </w:rPr>
              <w:t>)</w:t>
            </w:r>
          </w:p>
        </w:tc>
      </w:tr>
    </w:tbl>
    <w:p w14:paraId="59A619DC" w14:textId="7FE997F9" w:rsidR="000372F6" w:rsidRPr="000033CD" w:rsidRDefault="000372F6" w:rsidP="00B34AA7">
      <w:pPr>
        <w:rPr>
          <w:rFonts w:ascii="Arial" w:hAnsi="Arial" w:cs="Arial"/>
          <w:color w:val="000000" w:themeColor="text1"/>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48"/>
        <w:gridCol w:w="7351"/>
      </w:tblGrid>
      <w:tr w:rsidR="005E494F" w:rsidRPr="000033CD" w14:paraId="7BCABB05" w14:textId="77777777" w:rsidTr="26C2DE23">
        <w:tc>
          <w:tcPr>
            <w:tcW w:w="5000" w:type="pct"/>
            <w:gridSpan w:val="2"/>
            <w:tcBorders>
              <w:bottom w:val="single" w:sz="8" w:space="0" w:color="E30918"/>
            </w:tcBorders>
            <w:shd w:val="clear" w:color="auto" w:fill="auto"/>
          </w:tcPr>
          <w:p w14:paraId="7B22A96D" w14:textId="77777777" w:rsidR="005E494F" w:rsidRPr="000033CD" w:rsidRDefault="005E494F" w:rsidP="00411B2D">
            <w:pPr>
              <w:spacing w:before="120" w:after="120"/>
              <w:rPr>
                <w:rFonts w:ascii="Arial" w:hAnsi="Arial" w:cs="Arial"/>
                <w:b/>
                <w:bCs/>
                <w:sz w:val="24"/>
                <w:szCs w:val="24"/>
              </w:rPr>
            </w:pPr>
            <w:r w:rsidRPr="000033CD">
              <w:rPr>
                <w:rFonts w:ascii="Arial" w:hAnsi="Arial" w:cs="Arial"/>
                <w:b/>
                <w:bCs/>
                <w:caps/>
                <w:color w:val="000000" w:themeColor="text1"/>
                <w:sz w:val="24"/>
                <w:szCs w:val="24"/>
              </w:rPr>
              <w:t>RELATED POLICY DOCUMENTS AND supporting documents</w:t>
            </w:r>
          </w:p>
        </w:tc>
      </w:tr>
      <w:tr w:rsidR="005E494F" w:rsidRPr="000033CD" w14:paraId="1C7EADDE" w14:textId="77777777" w:rsidTr="26C2DE23">
        <w:tc>
          <w:tcPr>
            <w:tcW w:w="1396" w:type="pct"/>
            <w:tcBorders>
              <w:top w:val="single" w:sz="8" w:space="0" w:color="E30918"/>
            </w:tcBorders>
            <w:shd w:val="clear" w:color="auto" w:fill="E6E7E8"/>
          </w:tcPr>
          <w:p w14:paraId="2B75BBE8" w14:textId="77777777" w:rsidR="005E494F" w:rsidRPr="000033CD" w:rsidRDefault="005E494F" w:rsidP="00411B2D">
            <w:pPr>
              <w:spacing w:before="120" w:after="120"/>
              <w:rPr>
                <w:rFonts w:ascii="Arial" w:hAnsi="Arial" w:cs="Arial"/>
                <w:szCs w:val="20"/>
              </w:rPr>
            </w:pPr>
            <w:r w:rsidRPr="000033CD">
              <w:rPr>
                <w:rFonts w:ascii="Arial" w:hAnsi="Arial" w:cs="Arial"/>
                <w:szCs w:val="20"/>
              </w:rPr>
              <w:t xml:space="preserve">Legislation </w:t>
            </w:r>
          </w:p>
        </w:tc>
        <w:tc>
          <w:tcPr>
            <w:tcW w:w="3604" w:type="pct"/>
            <w:tcBorders>
              <w:top w:val="single" w:sz="8" w:space="0" w:color="E30918"/>
            </w:tcBorders>
            <w:shd w:val="clear" w:color="auto" w:fill="E6E7E8"/>
          </w:tcPr>
          <w:p w14:paraId="5EB68E51" w14:textId="6BC3A9B1" w:rsidR="005E494F" w:rsidRPr="000033CD" w:rsidRDefault="005E494F" w:rsidP="00411B2D">
            <w:pPr>
              <w:spacing w:before="120" w:after="120"/>
              <w:rPr>
                <w:rFonts w:ascii="Arial" w:hAnsi="Arial" w:cs="Arial"/>
              </w:rPr>
            </w:pPr>
            <w:r w:rsidRPr="000033CD">
              <w:rPr>
                <w:rFonts w:ascii="Arial" w:hAnsi="Arial" w:cs="Arial"/>
              </w:rPr>
              <w:t xml:space="preserve">N/A </w:t>
            </w:r>
          </w:p>
        </w:tc>
      </w:tr>
      <w:tr w:rsidR="005E494F" w:rsidRPr="000033CD" w14:paraId="6B9273E8" w14:textId="77777777" w:rsidTr="26C2DE23">
        <w:tc>
          <w:tcPr>
            <w:tcW w:w="1396" w:type="pct"/>
            <w:shd w:val="clear" w:color="auto" w:fill="auto"/>
          </w:tcPr>
          <w:p w14:paraId="42E0DB77" w14:textId="77777777" w:rsidR="005E494F" w:rsidRPr="000033CD" w:rsidRDefault="005E494F" w:rsidP="00411B2D">
            <w:pPr>
              <w:spacing w:before="120" w:after="120"/>
              <w:rPr>
                <w:rFonts w:ascii="Arial" w:hAnsi="Arial" w:cs="Arial"/>
                <w:szCs w:val="20"/>
              </w:rPr>
            </w:pPr>
            <w:r w:rsidRPr="000033CD">
              <w:rPr>
                <w:rFonts w:ascii="Arial" w:hAnsi="Arial" w:cs="Arial"/>
                <w:szCs w:val="20"/>
              </w:rPr>
              <w:t>Policy</w:t>
            </w:r>
          </w:p>
        </w:tc>
        <w:tc>
          <w:tcPr>
            <w:tcW w:w="3604" w:type="pct"/>
            <w:shd w:val="clear" w:color="auto" w:fill="auto"/>
          </w:tcPr>
          <w:p w14:paraId="47503873" w14:textId="79D8BF81" w:rsidR="005E494F" w:rsidRPr="000033CD" w:rsidRDefault="000033CD" w:rsidP="26C2DE23">
            <w:pPr>
              <w:spacing w:before="120" w:after="120"/>
              <w:rPr>
                <w:rFonts w:ascii="Arial" w:hAnsi="Arial" w:cs="Arial"/>
              </w:rPr>
            </w:pPr>
            <w:hyperlink r:id="rId15" w:history="1">
              <w:r w:rsidR="00E42A7C" w:rsidRPr="000033CD">
                <w:rPr>
                  <w:rStyle w:val="Hyperlink"/>
                  <w:rFonts w:ascii="Arial" w:hAnsi="Arial" w:cs="Arial"/>
                  <w:u w:val="none"/>
                </w:rPr>
                <w:t xml:space="preserve">Higher Degree </w:t>
              </w:r>
              <w:r w:rsidR="00A72058" w:rsidRPr="000033CD">
                <w:rPr>
                  <w:rStyle w:val="Hyperlink"/>
                  <w:rFonts w:ascii="Arial" w:hAnsi="Arial" w:cs="Arial"/>
                  <w:u w:val="none"/>
                </w:rPr>
                <w:t xml:space="preserve">by </w:t>
              </w:r>
              <w:r w:rsidR="00E42A7C" w:rsidRPr="000033CD">
                <w:rPr>
                  <w:rStyle w:val="Hyperlink"/>
                  <w:rFonts w:ascii="Arial" w:hAnsi="Arial" w:cs="Arial"/>
                  <w:u w:val="none"/>
                </w:rPr>
                <w:t>Research Policy</w:t>
              </w:r>
            </w:hyperlink>
            <w:r w:rsidR="00E42A7C" w:rsidRPr="000033CD">
              <w:rPr>
                <w:rFonts w:ascii="Arial" w:hAnsi="Arial" w:cs="Arial"/>
              </w:rPr>
              <w:t xml:space="preserve"> </w:t>
            </w:r>
            <w:r w:rsidR="005E494F" w:rsidRPr="000033CD">
              <w:rPr>
                <w:rFonts w:ascii="Arial" w:hAnsi="Arial" w:cs="Arial"/>
              </w:rPr>
              <w:t xml:space="preserve"> </w:t>
            </w:r>
          </w:p>
        </w:tc>
      </w:tr>
      <w:tr w:rsidR="005E494F" w:rsidRPr="000033CD" w14:paraId="2BF6E089" w14:textId="77777777" w:rsidTr="26C2DE23">
        <w:tc>
          <w:tcPr>
            <w:tcW w:w="1396" w:type="pct"/>
            <w:shd w:val="clear" w:color="auto" w:fill="E6E7E8"/>
          </w:tcPr>
          <w:p w14:paraId="6C758D34" w14:textId="4CA056BE" w:rsidR="005E494F" w:rsidRPr="000033CD" w:rsidRDefault="005E494F" w:rsidP="00411B2D">
            <w:pPr>
              <w:spacing w:before="120" w:after="120"/>
              <w:rPr>
                <w:rFonts w:ascii="Arial" w:hAnsi="Arial" w:cs="Arial"/>
                <w:szCs w:val="20"/>
              </w:rPr>
            </w:pPr>
            <w:r w:rsidRPr="000033CD">
              <w:rPr>
                <w:rFonts w:ascii="Arial" w:hAnsi="Arial" w:cs="Arial"/>
                <w:szCs w:val="20"/>
              </w:rPr>
              <w:t>Procedure</w:t>
            </w:r>
          </w:p>
        </w:tc>
        <w:tc>
          <w:tcPr>
            <w:tcW w:w="3604" w:type="pct"/>
            <w:shd w:val="clear" w:color="auto" w:fill="E6E7E8"/>
          </w:tcPr>
          <w:p w14:paraId="74B702E4" w14:textId="2057BE95" w:rsidR="005E494F" w:rsidRPr="000033CD" w:rsidRDefault="000033CD" w:rsidP="26C2DE23">
            <w:pPr>
              <w:spacing w:before="120" w:after="120"/>
              <w:rPr>
                <w:rFonts w:ascii="Arial" w:hAnsi="Arial" w:cs="Arial"/>
                <w:highlight w:val="yellow"/>
              </w:rPr>
            </w:pPr>
            <w:hyperlink r:id="rId16" w:history="1">
              <w:r w:rsidR="00D636CD" w:rsidRPr="000033CD">
                <w:rPr>
                  <w:rStyle w:val="Hyperlink"/>
                  <w:rFonts w:ascii="Arial" w:hAnsi="Arial" w:cs="Arial"/>
                  <w:u w:val="none"/>
                </w:rPr>
                <w:t>H</w:t>
              </w:r>
              <w:r w:rsidR="009E774A" w:rsidRPr="000033CD">
                <w:rPr>
                  <w:rStyle w:val="Hyperlink"/>
                  <w:rFonts w:ascii="Arial" w:hAnsi="Arial" w:cs="Arial"/>
                  <w:u w:val="none"/>
                </w:rPr>
                <w:t>igher Degree by Research (H</w:t>
              </w:r>
              <w:r w:rsidR="00D636CD" w:rsidRPr="000033CD">
                <w:rPr>
                  <w:rStyle w:val="Hyperlink"/>
                  <w:rFonts w:ascii="Arial" w:hAnsi="Arial" w:cs="Arial"/>
                  <w:u w:val="none"/>
                </w:rPr>
                <w:t>DR</w:t>
              </w:r>
              <w:r w:rsidR="009E774A" w:rsidRPr="000033CD">
                <w:rPr>
                  <w:rStyle w:val="Hyperlink"/>
                  <w:rFonts w:ascii="Arial" w:hAnsi="Arial" w:cs="Arial"/>
                  <w:u w:val="none"/>
                </w:rPr>
                <w:t>)</w:t>
              </w:r>
              <w:r w:rsidR="00E42A7C" w:rsidRPr="000033CD">
                <w:rPr>
                  <w:rStyle w:val="Hyperlink"/>
                  <w:rFonts w:ascii="Arial" w:hAnsi="Arial" w:cs="Arial"/>
                  <w:u w:val="none"/>
                </w:rPr>
                <w:t xml:space="preserve"> Supervision Procedure </w:t>
              </w:r>
            </w:hyperlink>
            <w:r w:rsidR="00E42A7C" w:rsidRPr="000033CD">
              <w:rPr>
                <w:rFonts w:ascii="Arial" w:hAnsi="Arial" w:cs="Arial"/>
              </w:rPr>
              <w:t xml:space="preserve"> </w:t>
            </w:r>
          </w:p>
        </w:tc>
      </w:tr>
      <w:tr w:rsidR="005E494F" w:rsidRPr="000033CD" w14:paraId="62E9927B" w14:textId="77777777" w:rsidTr="26C2DE23">
        <w:tc>
          <w:tcPr>
            <w:tcW w:w="1396" w:type="pct"/>
            <w:shd w:val="clear" w:color="auto" w:fill="auto"/>
          </w:tcPr>
          <w:p w14:paraId="3910BD6A" w14:textId="3E2CA757" w:rsidR="005E494F" w:rsidRPr="000033CD" w:rsidRDefault="005E494F" w:rsidP="00411B2D">
            <w:pPr>
              <w:spacing w:before="120" w:after="120"/>
              <w:rPr>
                <w:rFonts w:ascii="Arial" w:hAnsi="Arial" w:cs="Arial"/>
                <w:szCs w:val="20"/>
              </w:rPr>
            </w:pPr>
            <w:r w:rsidRPr="000033CD">
              <w:rPr>
                <w:rFonts w:ascii="Arial" w:hAnsi="Arial" w:cs="Arial"/>
                <w:szCs w:val="20"/>
              </w:rPr>
              <w:t>Local protocol</w:t>
            </w:r>
          </w:p>
        </w:tc>
        <w:tc>
          <w:tcPr>
            <w:tcW w:w="3604" w:type="pct"/>
            <w:shd w:val="clear" w:color="auto" w:fill="auto"/>
          </w:tcPr>
          <w:p w14:paraId="523F5696" w14:textId="7B5D6148" w:rsidR="005E494F" w:rsidRPr="000033CD" w:rsidRDefault="005E494F" w:rsidP="00411B2D">
            <w:pPr>
              <w:spacing w:before="120" w:after="120"/>
              <w:rPr>
                <w:rFonts w:ascii="Arial" w:hAnsi="Arial" w:cs="Arial"/>
                <w:szCs w:val="20"/>
              </w:rPr>
            </w:pPr>
            <w:r w:rsidRPr="000033CD">
              <w:rPr>
                <w:rFonts w:ascii="Arial" w:hAnsi="Arial" w:cs="Arial"/>
                <w:szCs w:val="20"/>
              </w:rPr>
              <w:t xml:space="preserve">N/A </w:t>
            </w:r>
          </w:p>
        </w:tc>
      </w:tr>
      <w:tr w:rsidR="005E494F" w:rsidRPr="000033CD" w14:paraId="5DB71FAA" w14:textId="77777777" w:rsidTr="26C2DE23">
        <w:tc>
          <w:tcPr>
            <w:tcW w:w="1396" w:type="pct"/>
            <w:shd w:val="clear" w:color="auto" w:fill="E6E7E8"/>
          </w:tcPr>
          <w:p w14:paraId="35A5584B" w14:textId="521C9929" w:rsidR="005E494F" w:rsidRPr="000033CD" w:rsidRDefault="005E494F" w:rsidP="00411B2D">
            <w:pPr>
              <w:spacing w:before="120" w:after="120"/>
              <w:rPr>
                <w:rFonts w:ascii="Arial" w:hAnsi="Arial" w:cs="Arial"/>
                <w:szCs w:val="20"/>
              </w:rPr>
            </w:pPr>
            <w:r w:rsidRPr="000033CD">
              <w:rPr>
                <w:rFonts w:ascii="Arial" w:hAnsi="Arial" w:cs="Arial"/>
                <w:szCs w:val="20"/>
              </w:rPr>
              <w:t>Form</w:t>
            </w:r>
          </w:p>
        </w:tc>
        <w:tc>
          <w:tcPr>
            <w:tcW w:w="3604" w:type="pct"/>
            <w:shd w:val="clear" w:color="auto" w:fill="E6E7E8"/>
          </w:tcPr>
          <w:p w14:paraId="23390665" w14:textId="330F4ECA" w:rsidR="005E494F" w:rsidRPr="000033CD" w:rsidRDefault="00D320DA" w:rsidP="26C2DE23">
            <w:pPr>
              <w:spacing w:before="120" w:after="120"/>
              <w:rPr>
                <w:rFonts w:ascii="Arial" w:hAnsi="Arial" w:cs="Arial"/>
              </w:rPr>
            </w:pPr>
            <w:r w:rsidRPr="000033CD">
              <w:rPr>
                <w:rFonts w:ascii="Arial" w:hAnsi="Arial" w:cs="Arial"/>
              </w:rPr>
              <w:t>N/A</w:t>
            </w:r>
          </w:p>
        </w:tc>
      </w:tr>
    </w:tbl>
    <w:p w14:paraId="0C131802" w14:textId="77777777" w:rsidR="001372DE" w:rsidRPr="000033CD" w:rsidRDefault="001372DE" w:rsidP="00DA3C93">
      <w:pPr>
        <w:tabs>
          <w:tab w:val="left" w:pos="8550"/>
        </w:tabs>
        <w:rPr>
          <w:rFonts w:ascii="Arial" w:hAnsi="Arial" w:cs="Arial"/>
          <w:szCs w:val="20"/>
        </w:rPr>
      </w:pPr>
    </w:p>
    <w:p w14:paraId="680A8379" w14:textId="23C10F61" w:rsidR="00DA3C93" w:rsidRPr="000033CD" w:rsidRDefault="00DA3C93" w:rsidP="00DA3C93">
      <w:pPr>
        <w:tabs>
          <w:tab w:val="left" w:pos="8550"/>
        </w:tabs>
        <w:rPr>
          <w:rFonts w:ascii="Arial" w:hAnsi="Arial" w:cs="Arial"/>
          <w:szCs w:val="20"/>
        </w:rPr>
      </w:pPr>
    </w:p>
    <w:sectPr w:rsidR="00DA3C93" w:rsidRPr="000033CD" w:rsidSect="000033CD">
      <w:type w:val="nextColumn"/>
      <w:pgSz w:w="11901" w:h="16840"/>
      <w:pgMar w:top="1985" w:right="851" w:bottom="851" w:left="85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5162" w14:textId="77777777" w:rsidR="00E15CD4" w:rsidRDefault="00E15CD4" w:rsidP="00F45E9C">
      <w:r>
        <w:separator/>
      </w:r>
    </w:p>
  </w:endnote>
  <w:endnote w:type="continuationSeparator" w:id="0">
    <w:p w14:paraId="3D95C279" w14:textId="77777777" w:rsidR="00E15CD4" w:rsidRDefault="00E15CD4" w:rsidP="00F45E9C">
      <w:r>
        <w:continuationSeparator/>
      </w:r>
    </w:p>
  </w:endnote>
  <w:endnote w:type="continuationNotice" w:id="1">
    <w:p w14:paraId="38191DCC" w14:textId="77777777" w:rsidR="00E15CD4" w:rsidRDefault="00E15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alibri"/>
    <w:panose1 w:val="020005030400000200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18430872"/>
      <w:docPartObj>
        <w:docPartGallery w:val="Page Numbers (Bottom of Page)"/>
        <w:docPartUnique/>
      </w:docPartObj>
    </w:sdtPr>
    <w:sdtEndPr>
      <w:rPr>
        <w:noProof/>
      </w:rPr>
    </w:sdtEndPr>
    <w:sdtContent>
      <w:p w14:paraId="293D2683" w14:textId="77777777" w:rsidR="007E4818" w:rsidRDefault="007E481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3C43FFB" w14:textId="3DECFCEC" w:rsidR="007E4818" w:rsidRDefault="0098067A" w:rsidP="007E4818">
        <w:pPr>
          <w:spacing w:after="0" w:line="240" w:lineRule="auto"/>
          <w:jc w:val="right"/>
          <w:rPr>
            <w:rFonts w:asciiTheme="minorHAnsi" w:hAnsiTheme="minorHAnsi" w:cstheme="minorHAnsi"/>
            <w:color w:val="70787B"/>
            <w:sz w:val="15"/>
            <w:szCs w:val="15"/>
          </w:rPr>
        </w:pPr>
        <w:r w:rsidRPr="0098067A">
          <w:rPr>
            <w:rFonts w:asciiTheme="minorHAnsi" w:hAnsiTheme="minorHAnsi" w:cstheme="minorHAnsi"/>
            <w:color w:val="70787B"/>
            <w:sz w:val="15"/>
            <w:szCs w:val="15"/>
          </w:rPr>
          <w:t xml:space="preserve">Equivalence to a Doctoral Qualification: HDR Supervisor Registration </w:t>
        </w:r>
        <w:r>
          <w:rPr>
            <w:rFonts w:asciiTheme="minorHAnsi" w:hAnsiTheme="minorHAnsi" w:cstheme="minorHAnsi"/>
            <w:color w:val="70787B"/>
            <w:sz w:val="15"/>
            <w:szCs w:val="15"/>
          </w:rPr>
          <w:t>July 2023</w:t>
        </w:r>
        <w:r w:rsidR="007E4818" w:rsidRPr="00ED55E6">
          <w:rPr>
            <w:rFonts w:asciiTheme="minorHAnsi" w:hAnsiTheme="minorHAnsi" w:cstheme="minorHAnsi"/>
            <w:color w:val="70787B"/>
            <w:sz w:val="15"/>
            <w:szCs w:val="15"/>
          </w:rPr>
          <w:t xml:space="preserve"> </w:t>
        </w:r>
      </w:p>
      <w:p w14:paraId="4AD776CB" w14:textId="25075630" w:rsidR="007E4818" w:rsidRPr="000209B9" w:rsidRDefault="007E4818" w:rsidP="007E481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9E19AD" w:rsidRPr="009E19AD">
          <w:rPr>
            <w:rFonts w:asciiTheme="minorHAnsi" w:hAnsiTheme="minorHAnsi" w:cstheme="minorHAnsi"/>
            <w:color w:val="70787B"/>
            <w:sz w:val="15"/>
            <w:szCs w:val="15"/>
          </w:rPr>
          <w:t>2023/0000</w:t>
        </w:r>
        <w:r w:rsidR="00411B2D">
          <w:rPr>
            <w:rFonts w:asciiTheme="minorHAnsi" w:hAnsiTheme="minorHAnsi" w:cstheme="minorHAnsi"/>
            <w:color w:val="70787B"/>
            <w:sz w:val="15"/>
            <w:szCs w:val="15"/>
          </w:rPr>
          <w:t>450</w:t>
        </w:r>
      </w:p>
      <w:p w14:paraId="529C11E0" w14:textId="27DC3822" w:rsidR="007E4818" w:rsidRPr="007E4818" w:rsidRDefault="007E4818" w:rsidP="007E4818">
        <w:pPr>
          <w:spacing w:after="0" w:line="240" w:lineRule="auto"/>
          <w:jc w:val="right"/>
          <w:rPr>
            <w:rFonts w:asciiTheme="minorHAnsi" w:eastAsia="Times New Roman" w:hAnsiTheme="minorHAnsi" w:cstheme="minorHAnsi"/>
            <w:sz w:val="15"/>
            <w:szCs w:val="15"/>
            <w:lang w:eastAsia="en-GB"/>
          </w:rPr>
        </w:pPr>
        <w:r w:rsidRPr="00ED55E6">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E78D" w14:textId="77777777" w:rsidR="006E010A" w:rsidRDefault="006E010A">
    <w:pPr>
      <w:pStyle w:val="Footer"/>
      <w:jc w:val="right"/>
      <w:rPr>
        <w:rFonts w:asciiTheme="majorHAnsi" w:hAnsiTheme="majorHAnsi" w:cstheme="majorHAnsi"/>
        <w:noProof/>
      </w:rPr>
    </w:pPr>
    <w:r w:rsidRPr="006E010A">
      <w:rPr>
        <w:rFonts w:asciiTheme="majorHAnsi" w:hAnsiTheme="majorHAnsi" w:cstheme="majorHAnsi"/>
      </w:rPr>
      <w:fldChar w:fldCharType="begin"/>
    </w:r>
    <w:r w:rsidRPr="006E010A">
      <w:rPr>
        <w:rFonts w:asciiTheme="majorHAnsi" w:hAnsiTheme="majorHAnsi" w:cstheme="majorHAnsi"/>
      </w:rPr>
      <w:instrText xml:space="preserve"> PAGE   \* MERGEFORMAT </w:instrText>
    </w:r>
    <w:r w:rsidRPr="006E010A">
      <w:rPr>
        <w:rFonts w:asciiTheme="majorHAnsi" w:hAnsiTheme="majorHAnsi" w:cstheme="majorHAnsi"/>
      </w:rPr>
      <w:fldChar w:fldCharType="separate"/>
    </w:r>
    <w:r w:rsidRPr="006E010A">
      <w:rPr>
        <w:rFonts w:asciiTheme="majorHAnsi" w:hAnsiTheme="majorHAnsi" w:cstheme="majorHAnsi"/>
        <w:noProof/>
      </w:rPr>
      <w:t>2</w:t>
    </w:r>
    <w:r w:rsidRPr="006E010A">
      <w:rPr>
        <w:rFonts w:asciiTheme="majorHAnsi" w:hAnsiTheme="majorHAnsi" w:cstheme="majorHAnsi"/>
        <w:noProof/>
      </w:rPr>
      <w:fldChar w:fldCharType="end"/>
    </w:r>
  </w:p>
  <w:p w14:paraId="129F8DA3" w14:textId="3B1B4BAB" w:rsidR="006E010A" w:rsidRDefault="006E010A" w:rsidP="006E010A">
    <w:pPr>
      <w:spacing w:after="0" w:line="240" w:lineRule="auto"/>
      <w:jc w:val="right"/>
      <w:rPr>
        <w:rFonts w:asciiTheme="minorHAnsi" w:hAnsiTheme="minorHAnsi" w:cstheme="minorHAnsi"/>
        <w:color w:val="70787B"/>
        <w:sz w:val="15"/>
        <w:szCs w:val="15"/>
      </w:rPr>
    </w:pPr>
    <w:r w:rsidRPr="00ED55E6">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6D26C669" wp14:editId="039691D9">
              <wp:simplePos x="0" y="0"/>
              <wp:positionH relativeFrom="page">
                <wp:posOffset>706</wp:posOffset>
              </wp:positionH>
              <wp:positionV relativeFrom="paragraph">
                <wp:posOffset>-2894965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DB7A03" id="Group 8" o:spid="_x0000_s1026" style="position:absolute;margin-left:.05pt;margin-top:-227.95pt;width:280.7pt;height:280.65pt;z-index:251658243;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MJyBnt8AAAAJAQAADwAAAGRycy9kb3du&#10;cmV2LnhtbEyPQUvDQBCF74L/YRnBW7uJdovGbEop6qkItoJ4m2anSWh2NmS3Sfrv3Z70+PiG977J&#10;V5NtxUC9bxxrSOcJCOLSmYYrDV/7t9kTCB+QDbaOScOFPKyK25scM+NG/qRhFyoRS9hnqKEOocuk&#10;9GVNFv3cdcSRHV1vMcTYV9L0OMZy28qHJFlKiw3HhRo72tRUnnZnq+F9xHH9mL4O29Nxc/nZq4/v&#10;bUpa399N6xcQgabwdwxX/agORXQ6uDMbL9prFkHDbKHUM4jI1TJVIA4RJGoBssjl/w+KXwAAAP//&#10;AwBQSwECLQAUAAYACAAAACEAtoM4kv4AAADhAQAAEwAAAAAAAAAAAAAAAAAAAAAAW0NvbnRlbnRf&#10;VHlwZXNdLnhtbFBLAQItABQABgAIAAAAIQA4/SH/1gAAAJQBAAALAAAAAAAAAAAAAAAAAC8BAABf&#10;cmVscy8ucmVsc1BLAQItABQABgAIAAAAIQDjx3aAgwMAADsLAAAOAAAAAAAAAAAAAAAAAC4CAABk&#10;cnMvZTJvRG9jLnhtbFBLAQItABQABgAIAAAAIQAwnIGe3wAAAAkBAAAPAAAAAAAAAAAAAAAAAN0F&#10;AABkcnMvZG93bnJldi54bWxQSwUGAAAAAAQABADzAAAA6QY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E42A7C">
      <w:rPr>
        <w:rFonts w:asciiTheme="minorHAnsi" w:hAnsiTheme="minorHAnsi" w:cstheme="minorHAnsi"/>
        <w:color w:val="70787B"/>
        <w:sz w:val="15"/>
        <w:szCs w:val="15"/>
      </w:rPr>
      <w:t>Equivalence to a Doctoral Qualification: HDR Supervisor Registration</w:t>
    </w:r>
    <w:r w:rsidRPr="00ED55E6">
      <w:rPr>
        <w:rFonts w:asciiTheme="minorHAnsi" w:hAnsiTheme="minorHAnsi" w:cstheme="minorHAnsi"/>
        <w:color w:val="70787B"/>
        <w:sz w:val="15"/>
        <w:szCs w:val="15"/>
      </w:rPr>
      <w:t xml:space="preserve"> | </w:t>
    </w:r>
    <w:r w:rsidR="00D636CD">
      <w:rPr>
        <w:rFonts w:asciiTheme="minorHAnsi" w:hAnsiTheme="minorHAnsi" w:cstheme="minorHAnsi"/>
        <w:color w:val="70787B"/>
        <w:sz w:val="15"/>
        <w:szCs w:val="15"/>
      </w:rPr>
      <w:t>Ju</w:t>
    </w:r>
    <w:r w:rsidR="00E70C56">
      <w:rPr>
        <w:rFonts w:asciiTheme="minorHAnsi" w:hAnsiTheme="minorHAnsi" w:cstheme="minorHAnsi"/>
        <w:color w:val="70787B"/>
        <w:sz w:val="15"/>
        <w:szCs w:val="15"/>
      </w:rPr>
      <w:t>ly</w:t>
    </w:r>
    <w:r w:rsidR="00D636CD">
      <w:rPr>
        <w:rFonts w:asciiTheme="minorHAnsi" w:hAnsiTheme="minorHAnsi" w:cstheme="minorHAnsi"/>
        <w:color w:val="70787B"/>
        <w:sz w:val="15"/>
        <w:szCs w:val="15"/>
      </w:rPr>
      <w:t xml:space="preserve"> 2023</w:t>
    </w:r>
  </w:p>
  <w:p w14:paraId="0E095ECA" w14:textId="50099D53" w:rsidR="006E010A" w:rsidRPr="000209B9" w:rsidRDefault="006E010A" w:rsidP="006E010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9E19AD" w:rsidRPr="009E19AD">
      <w:rPr>
        <w:rFonts w:asciiTheme="minorHAnsi" w:hAnsiTheme="minorHAnsi" w:cstheme="minorHAnsi"/>
        <w:color w:val="70787B"/>
        <w:sz w:val="15"/>
        <w:szCs w:val="15"/>
      </w:rPr>
      <w:t>2023/0000</w:t>
    </w:r>
    <w:r w:rsidR="00411B2D">
      <w:rPr>
        <w:rFonts w:asciiTheme="minorHAnsi" w:hAnsiTheme="minorHAnsi" w:cstheme="minorHAnsi"/>
        <w:color w:val="70787B"/>
        <w:sz w:val="15"/>
        <w:szCs w:val="15"/>
      </w:rPr>
      <w:t>450</w:t>
    </w:r>
  </w:p>
  <w:p w14:paraId="0FFFE459" w14:textId="0F586448" w:rsidR="006E010A" w:rsidRPr="006E010A" w:rsidRDefault="006E010A" w:rsidP="006E010A">
    <w:pPr>
      <w:spacing w:after="0" w:line="240" w:lineRule="auto"/>
      <w:jc w:val="right"/>
      <w:rPr>
        <w:rFonts w:asciiTheme="minorHAnsi" w:eastAsia="Times New Roman" w:hAnsiTheme="minorHAnsi" w:cstheme="minorHAnsi"/>
        <w:sz w:val="15"/>
        <w:szCs w:val="15"/>
        <w:lang w:eastAsia="en-GB"/>
      </w:rPr>
    </w:pPr>
    <w:r w:rsidRPr="00ED55E6">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DBA9" w14:textId="77777777" w:rsidR="00E15CD4" w:rsidRDefault="00E15CD4" w:rsidP="00F45E9C">
      <w:r>
        <w:separator/>
      </w:r>
    </w:p>
  </w:footnote>
  <w:footnote w:type="continuationSeparator" w:id="0">
    <w:p w14:paraId="001FCC8F" w14:textId="77777777" w:rsidR="00E15CD4" w:rsidRDefault="00E15CD4" w:rsidP="00F45E9C">
      <w:r>
        <w:continuationSeparator/>
      </w:r>
    </w:p>
  </w:footnote>
  <w:footnote w:type="continuationNotice" w:id="1">
    <w:p w14:paraId="4FF359A3" w14:textId="77777777" w:rsidR="00E15CD4" w:rsidRDefault="00E15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39DAA84A" w:rsidR="00F45E9C" w:rsidRPr="0008357F" w:rsidRDefault="007A132E" w:rsidP="007A132E">
    <w:pPr>
      <w:pStyle w:val="Header"/>
      <w:ind w:right="-348"/>
      <w:jc w:val="right"/>
      <w:rPr>
        <w:rFonts w:ascii="Arial" w:hAnsi="Arial" w:cs="Arial"/>
        <w:b/>
        <w:bCs/>
        <w:color w:val="000000" w:themeColor="text1"/>
        <w:sz w:val="52"/>
        <w:szCs w:val="52"/>
      </w:rPr>
    </w:pPr>
    <w:r w:rsidRPr="002C2751">
      <w:rPr>
        <w:rFonts w:ascii="Arial" w:hAnsi="Arial" w:cs="Arial"/>
        <w:b/>
        <w:bCs/>
        <w:noProof/>
        <w:color w:val="808080" w:themeColor="background1" w:themeShade="80"/>
        <w:sz w:val="52"/>
        <w:szCs w:val="52"/>
      </w:rPr>
      <w:drawing>
        <wp:anchor distT="0" distB="0" distL="114300" distR="114300" simplePos="0" relativeHeight="251658240" behindDoc="1" locked="0" layoutInCell="1" allowOverlap="1" wp14:anchorId="6427B65B" wp14:editId="5B71639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08357F">
      <w:rPr>
        <w:rFonts w:ascii="Arial" w:hAnsi="Arial" w:cs="Arial"/>
        <w:b/>
        <w:bCs/>
        <w:color w:val="000000" w:themeColor="text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0972" w14:textId="258B408F" w:rsidR="00974CCB" w:rsidRDefault="006E010A" w:rsidP="006E010A">
    <w:pPr>
      <w:pStyle w:val="Header"/>
      <w:jc w:val="right"/>
    </w:pPr>
    <w:r w:rsidRPr="006E010A">
      <w:rPr>
        <w:noProof/>
      </w:rPr>
      <w:drawing>
        <wp:anchor distT="0" distB="0" distL="114300" distR="114300" simplePos="0" relativeHeight="251658241" behindDoc="1" locked="0" layoutInCell="1" allowOverlap="1" wp14:anchorId="11697A08" wp14:editId="2779D8CF">
          <wp:simplePos x="0" y="0"/>
          <wp:positionH relativeFrom="margin">
            <wp:align>left</wp:align>
          </wp:positionH>
          <wp:positionV relativeFrom="paragraph">
            <wp:posOffset>3175</wp:posOffset>
          </wp:positionV>
          <wp:extent cx="1550670" cy="593090"/>
          <wp:effectExtent l="0" t="0" r="0" b="0"/>
          <wp:wrapTight wrapText="bothSides">
            <wp:wrapPolygon edited="0">
              <wp:start x="1592" y="0"/>
              <wp:lineTo x="0" y="3469"/>
              <wp:lineTo x="0" y="14570"/>
              <wp:lineTo x="7165" y="20814"/>
              <wp:lineTo x="21229" y="20814"/>
              <wp:lineTo x="21229" y="0"/>
              <wp:lineTo x="16717" y="0"/>
              <wp:lineTo x="15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808080" w:themeColor="background1" w:themeShade="80"/>
        <w:sz w:val="52"/>
        <w:szCs w:val="52"/>
      </w:rPr>
      <w:t>Guidelines</w:t>
    </w:r>
    <w:r w:rsidRPr="006E010A">
      <w:t xml:space="preserve"> </w:t>
    </w:r>
    <w:r w:rsidRPr="006E010A">
      <w:rPr>
        <w:noProof/>
      </w:rPr>
      <mc:AlternateContent>
        <mc:Choice Requires="wps">
          <w:drawing>
            <wp:anchor distT="0" distB="0" distL="114300" distR="114300" simplePos="0" relativeHeight="251658242" behindDoc="1" locked="0" layoutInCell="1" allowOverlap="1" wp14:anchorId="0EADAA9B" wp14:editId="339EF039">
              <wp:simplePos x="0" y="0"/>
              <wp:positionH relativeFrom="column">
                <wp:posOffset>3051810</wp:posOffset>
              </wp:positionH>
              <wp:positionV relativeFrom="paragraph">
                <wp:posOffset>-610235</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F8B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0.3pt;margin-top:-48.05pt;width:397.5pt;height:197.75pt;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nCjwIAAJEFAAAOAAAAZHJzL2Uyb0RvYy54bWysVE1v2zAMvQ/YfxB0X+0YydYGdYqgRYcB&#10;XRus3XpWZCkWIIuapHzt14+SbLddix2GXQSKpB4fKZLnF4dOk51wXoGp6eSkpEQYDo0ym5p+f7j+&#10;cEqJD8w0TIMRNT0KTy8W79+d7+1cVNCCboQjCGL8fG9r2oZg50XheSs65k/ACoNGCa5jAa9uUzSO&#10;7RG900VVlh+LPbjGOuDCe9ReZSNdJHwpBQ93UnoRiK4pcgvpdOlcx7NYnLP5xjHbKt7TYP/AomPK&#10;YNAR6ooFRrZOvYLqFHfgQYYTDl0BUiouUg6YzaT8I5v7llmRcsHieDuWyf8/WH67u7crh2XYWz/3&#10;KMYsDtJ1RGplf+CfpryQKTmksh3HsolDIByVs3J6Ws2wuhxt1WwymVazWNgiA0VA63z4LKAjUahp&#10;cIqZjY65sTnb3fiQ3Qe3qPagVXOttE6X2A/iUjuyY/iT601mpbfdV2iy7mxWluk/MWxqn+ieSLxA&#10;0ibiGYjIOWjUFE/ZJykctYh+2nwTkqgGs6wS2RE5B2WcCxMyGd+yRmR1pPI2lwQYkSXGH7F7gJdJ&#10;DtiZZe8fn4rU1+Pj8m/E8uPxRYoMJoyPO2XAvQWgMas+cvYfipRLE6u0hua4csRBnipv+bXC771h&#10;PqyYwzHClsDVEO7wkBr2NYVeoqQF9+stffTH7kYrJXscy5r6n1vmBCX6i8G+P5tMp3GO02U6+1Th&#10;xT23rJ9bzLa7BOyXCS4hy5MY/YMeROmge8QNsoxR0cQMx9g15cENl8uQ1wXuIC6Wy+SGs2tZuDH3&#10;lg8DElv34fDInB16HMfjFoYRftXm2Tf+h4HlNoBUaQae6trXG+c+NXG/o+JieX5PXk+bdPEbAAD/&#10;/wMAUEsDBBQABgAIAAAAIQBoAhTo4gAAAAwBAAAPAAAAZHJzL2Rvd25yZXYueG1sTI9BTsMwEEX3&#10;SNzBmkpsUOskKqFJ41QICQkJFpD0AE48jaPGdhq7bbg90xUsZ+br/TfFbjYDu+Dke2cFxKsIGNrW&#10;qd52Avb123IDzAdplRycRQE/6GFX3t8VMlfuar/xUoWOEcT6XArQIYw5577VaKRfuREt3Q5uMjLQ&#10;OHVcTfJKcDPwJIpSbmRvqUHLEV81tsfqbKjkFH/Wj/o9S+O0Oqj663j6aPZCPCzmly2wgHP4C8NN&#10;n9ShJKfGna3ybBCw3kQpRQUsiQLslkien2jVCEiybA28LPj/J8pfAAAA//8DAFBLAQItABQABgAI&#10;AAAAIQC2gziS/gAAAOEBAAATAAAAAAAAAAAAAAAAAAAAAABbQ29udGVudF9UeXBlc10ueG1sUEsB&#10;Ai0AFAAGAAgAAAAhADj9If/WAAAAlAEAAAsAAAAAAAAAAAAAAAAALwEAAF9yZWxzLy5yZWxzUEsB&#10;Ai0AFAAGAAgAAAAhAByeycKPAgAAkQUAAA4AAAAAAAAAAAAAAAAALgIAAGRycy9lMm9Eb2MueG1s&#10;UEsBAi0AFAAGAAgAAAAhAGgCFOjiAAAADAEAAA8AAAAAAAAAAAAAAAAA6QQAAGRycy9kb3ducmV2&#10;LnhtbFBLBQYAAAAABAAEAPMAAAD4BQAAAAA=&#10;" fillcolor="#f2f2f2 [3052]" stroked="f" strokeweight="1p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A80387"/>
    <w:multiLevelType w:val="hybridMultilevel"/>
    <w:tmpl w:val="AF060732"/>
    <w:lvl w:ilvl="0" w:tplc="0C090019">
      <w:start w:val="1"/>
      <w:numFmt w:val="lowerLetter"/>
      <w:lvlText w:val="%1."/>
      <w:lvlJc w:val="left"/>
      <w:pPr>
        <w:ind w:left="2282" w:hanging="360"/>
      </w:pPr>
      <w:rPr>
        <w:rFonts w:hint="default"/>
      </w:rPr>
    </w:lvl>
    <w:lvl w:ilvl="1" w:tplc="0C090019" w:tentative="1">
      <w:start w:val="1"/>
      <w:numFmt w:val="lowerLetter"/>
      <w:lvlText w:val="%2."/>
      <w:lvlJc w:val="left"/>
      <w:pPr>
        <w:ind w:left="3002" w:hanging="360"/>
      </w:pPr>
    </w:lvl>
    <w:lvl w:ilvl="2" w:tplc="0C09001B" w:tentative="1">
      <w:start w:val="1"/>
      <w:numFmt w:val="lowerRoman"/>
      <w:lvlText w:val="%3."/>
      <w:lvlJc w:val="right"/>
      <w:pPr>
        <w:ind w:left="3722" w:hanging="180"/>
      </w:pPr>
    </w:lvl>
    <w:lvl w:ilvl="3" w:tplc="0C09000F" w:tentative="1">
      <w:start w:val="1"/>
      <w:numFmt w:val="decimal"/>
      <w:lvlText w:val="%4."/>
      <w:lvlJc w:val="left"/>
      <w:pPr>
        <w:ind w:left="4442" w:hanging="360"/>
      </w:pPr>
    </w:lvl>
    <w:lvl w:ilvl="4" w:tplc="0C090019" w:tentative="1">
      <w:start w:val="1"/>
      <w:numFmt w:val="lowerLetter"/>
      <w:lvlText w:val="%5."/>
      <w:lvlJc w:val="left"/>
      <w:pPr>
        <w:ind w:left="5162" w:hanging="360"/>
      </w:pPr>
    </w:lvl>
    <w:lvl w:ilvl="5" w:tplc="0C09001B" w:tentative="1">
      <w:start w:val="1"/>
      <w:numFmt w:val="lowerRoman"/>
      <w:lvlText w:val="%6."/>
      <w:lvlJc w:val="right"/>
      <w:pPr>
        <w:ind w:left="5882" w:hanging="180"/>
      </w:pPr>
    </w:lvl>
    <w:lvl w:ilvl="6" w:tplc="0C09000F" w:tentative="1">
      <w:start w:val="1"/>
      <w:numFmt w:val="decimal"/>
      <w:lvlText w:val="%7."/>
      <w:lvlJc w:val="left"/>
      <w:pPr>
        <w:ind w:left="6602" w:hanging="360"/>
      </w:pPr>
    </w:lvl>
    <w:lvl w:ilvl="7" w:tplc="0C090019" w:tentative="1">
      <w:start w:val="1"/>
      <w:numFmt w:val="lowerLetter"/>
      <w:lvlText w:val="%8."/>
      <w:lvlJc w:val="left"/>
      <w:pPr>
        <w:ind w:left="7322" w:hanging="360"/>
      </w:pPr>
    </w:lvl>
    <w:lvl w:ilvl="8" w:tplc="0C09001B" w:tentative="1">
      <w:start w:val="1"/>
      <w:numFmt w:val="lowerRoman"/>
      <w:lvlText w:val="%9."/>
      <w:lvlJc w:val="right"/>
      <w:pPr>
        <w:ind w:left="8042" w:hanging="180"/>
      </w:pPr>
    </w:lvl>
  </w:abstractNum>
  <w:abstractNum w:abstractNumId="4"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8313CC"/>
    <w:multiLevelType w:val="hybridMultilevel"/>
    <w:tmpl w:val="5F20A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3"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DBB3BA9"/>
    <w:multiLevelType w:val="hybridMultilevel"/>
    <w:tmpl w:val="9E9C31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E1D01A7"/>
    <w:multiLevelType w:val="hybridMultilevel"/>
    <w:tmpl w:val="12B886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37B2556"/>
    <w:multiLevelType w:val="hybridMultilevel"/>
    <w:tmpl w:val="7AB866D6"/>
    <w:lvl w:ilvl="0" w:tplc="BEA4178E">
      <w:start w:val="1"/>
      <w:numFmt w:val="bullet"/>
      <w:lvlText w:val=""/>
      <w:lvlJc w:val="left"/>
      <w:pPr>
        <w:ind w:left="3012" w:hanging="360"/>
      </w:pPr>
      <w:rPr>
        <w:rFonts w:ascii="Wingdings" w:hAnsi="Wingdings" w:hint="default"/>
        <w:color w:val="E30918"/>
      </w:rPr>
    </w:lvl>
    <w:lvl w:ilvl="1" w:tplc="0C090003" w:tentative="1">
      <w:start w:val="1"/>
      <w:numFmt w:val="bullet"/>
      <w:lvlText w:val="o"/>
      <w:lvlJc w:val="left"/>
      <w:pPr>
        <w:ind w:left="3732" w:hanging="360"/>
      </w:pPr>
      <w:rPr>
        <w:rFonts w:ascii="Courier New" w:hAnsi="Courier New" w:cs="Courier New" w:hint="default"/>
      </w:rPr>
    </w:lvl>
    <w:lvl w:ilvl="2" w:tplc="0C090005" w:tentative="1">
      <w:start w:val="1"/>
      <w:numFmt w:val="bullet"/>
      <w:lvlText w:val=""/>
      <w:lvlJc w:val="left"/>
      <w:pPr>
        <w:ind w:left="4452" w:hanging="360"/>
      </w:pPr>
      <w:rPr>
        <w:rFonts w:ascii="Wingdings" w:hAnsi="Wingdings" w:hint="default"/>
      </w:rPr>
    </w:lvl>
    <w:lvl w:ilvl="3" w:tplc="0C090001" w:tentative="1">
      <w:start w:val="1"/>
      <w:numFmt w:val="bullet"/>
      <w:lvlText w:val=""/>
      <w:lvlJc w:val="left"/>
      <w:pPr>
        <w:ind w:left="5172" w:hanging="360"/>
      </w:pPr>
      <w:rPr>
        <w:rFonts w:ascii="Symbol" w:hAnsi="Symbol" w:hint="default"/>
      </w:rPr>
    </w:lvl>
    <w:lvl w:ilvl="4" w:tplc="0C090003" w:tentative="1">
      <w:start w:val="1"/>
      <w:numFmt w:val="bullet"/>
      <w:lvlText w:val="o"/>
      <w:lvlJc w:val="left"/>
      <w:pPr>
        <w:ind w:left="5892" w:hanging="360"/>
      </w:pPr>
      <w:rPr>
        <w:rFonts w:ascii="Courier New" w:hAnsi="Courier New" w:cs="Courier New" w:hint="default"/>
      </w:rPr>
    </w:lvl>
    <w:lvl w:ilvl="5" w:tplc="0C090005" w:tentative="1">
      <w:start w:val="1"/>
      <w:numFmt w:val="bullet"/>
      <w:lvlText w:val=""/>
      <w:lvlJc w:val="left"/>
      <w:pPr>
        <w:ind w:left="6612" w:hanging="360"/>
      </w:pPr>
      <w:rPr>
        <w:rFonts w:ascii="Wingdings" w:hAnsi="Wingdings" w:hint="default"/>
      </w:rPr>
    </w:lvl>
    <w:lvl w:ilvl="6" w:tplc="0C090001" w:tentative="1">
      <w:start w:val="1"/>
      <w:numFmt w:val="bullet"/>
      <w:lvlText w:val=""/>
      <w:lvlJc w:val="left"/>
      <w:pPr>
        <w:ind w:left="7332" w:hanging="360"/>
      </w:pPr>
      <w:rPr>
        <w:rFonts w:ascii="Symbol" w:hAnsi="Symbol" w:hint="default"/>
      </w:rPr>
    </w:lvl>
    <w:lvl w:ilvl="7" w:tplc="0C090003" w:tentative="1">
      <w:start w:val="1"/>
      <w:numFmt w:val="bullet"/>
      <w:lvlText w:val="o"/>
      <w:lvlJc w:val="left"/>
      <w:pPr>
        <w:ind w:left="8052" w:hanging="360"/>
      </w:pPr>
      <w:rPr>
        <w:rFonts w:ascii="Courier New" w:hAnsi="Courier New" w:cs="Courier New" w:hint="default"/>
      </w:rPr>
    </w:lvl>
    <w:lvl w:ilvl="8" w:tplc="0C090005" w:tentative="1">
      <w:start w:val="1"/>
      <w:numFmt w:val="bullet"/>
      <w:lvlText w:val=""/>
      <w:lvlJc w:val="left"/>
      <w:pPr>
        <w:ind w:left="8772" w:hanging="360"/>
      </w:pPr>
      <w:rPr>
        <w:rFonts w:ascii="Wingdings" w:hAnsi="Wingdings" w:hint="default"/>
      </w:rPr>
    </w:lvl>
  </w:abstractNum>
  <w:abstractNum w:abstractNumId="26" w15:restartNumberingAfterBreak="0">
    <w:nsid w:val="649B60C2"/>
    <w:multiLevelType w:val="hybridMultilevel"/>
    <w:tmpl w:val="64847F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5"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92859876">
    <w:abstractNumId w:val="8"/>
  </w:num>
  <w:num w:numId="2" w16cid:durableId="1477604624">
    <w:abstractNumId w:val="4"/>
  </w:num>
  <w:num w:numId="3" w16cid:durableId="469443873">
    <w:abstractNumId w:val="17"/>
  </w:num>
  <w:num w:numId="4" w16cid:durableId="1689679195">
    <w:abstractNumId w:val="35"/>
  </w:num>
  <w:num w:numId="5" w16cid:durableId="857505455">
    <w:abstractNumId w:val="22"/>
  </w:num>
  <w:num w:numId="6" w16cid:durableId="761534703">
    <w:abstractNumId w:val="19"/>
  </w:num>
  <w:num w:numId="7" w16cid:durableId="2046174120">
    <w:abstractNumId w:val="23"/>
  </w:num>
  <w:num w:numId="8" w16cid:durableId="936250227">
    <w:abstractNumId w:val="7"/>
  </w:num>
  <w:num w:numId="9" w16cid:durableId="320818757">
    <w:abstractNumId w:val="13"/>
  </w:num>
  <w:num w:numId="10" w16cid:durableId="879980015">
    <w:abstractNumId w:val="27"/>
  </w:num>
  <w:num w:numId="11" w16cid:durableId="972174101">
    <w:abstractNumId w:val="16"/>
  </w:num>
  <w:num w:numId="12" w16cid:durableId="1660769638">
    <w:abstractNumId w:val="24"/>
  </w:num>
  <w:num w:numId="13" w16cid:durableId="1421757944">
    <w:abstractNumId w:val="5"/>
  </w:num>
  <w:num w:numId="14" w16cid:durableId="895318553">
    <w:abstractNumId w:val="25"/>
  </w:num>
  <w:num w:numId="15" w16cid:durableId="147327045">
    <w:abstractNumId w:val="3"/>
  </w:num>
  <w:num w:numId="16" w16cid:durableId="1427191585">
    <w:abstractNumId w:val="31"/>
  </w:num>
  <w:num w:numId="17" w16cid:durableId="704984442">
    <w:abstractNumId w:val="32"/>
  </w:num>
  <w:num w:numId="18" w16cid:durableId="2080591867">
    <w:abstractNumId w:val="18"/>
  </w:num>
  <w:num w:numId="19" w16cid:durableId="707069568">
    <w:abstractNumId w:val="29"/>
  </w:num>
  <w:num w:numId="20" w16cid:durableId="1167481900">
    <w:abstractNumId w:val="36"/>
  </w:num>
  <w:num w:numId="21" w16cid:durableId="91781833">
    <w:abstractNumId w:val="0"/>
  </w:num>
  <w:num w:numId="22" w16cid:durableId="2012247837">
    <w:abstractNumId w:val="11"/>
  </w:num>
  <w:num w:numId="23" w16cid:durableId="1533150162">
    <w:abstractNumId w:val="1"/>
  </w:num>
  <w:num w:numId="24" w16cid:durableId="1972175123">
    <w:abstractNumId w:val="34"/>
  </w:num>
  <w:num w:numId="25" w16cid:durableId="388042323">
    <w:abstractNumId w:val="12"/>
  </w:num>
  <w:num w:numId="26" w16cid:durableId="15010472">
    <w:abstractNumId w:val="15"/>
  </w:num>
  <w:num w:numId="27" w16cid:durableId="1898200107">
    <w:abstractNumId w:val="2"/>
  </w:num>
  <w:num w:numId="28" w16cid:durableId="1119761943">
    <w:abstractNumId w:val="14"/>
  </w:num>
  <w:num w:numId="29" w16cid:durableId="1633515442">
    <w:abstractNumId w:val="6"/>
  </w:num>
  <w:num w:numId="30" w16cid:durableId="1449004695">
    <w:abstractNumId w:val="33"/>
  </w:num>
  <w:num w:numId="31" w16cid:durableId="557209067">
    <w:abstractNumId w:val="9"/>
  </w:num>
  <w:num w:numId="32" w16cid:durableId="1436633874">
    <w:abstractNumId w:val="10"/>
  </w:num>
  <w:num w:numId="33" w16cid:durableId="882984332">
    <w:abstractNumId w:val="26"/>
  </w:num>
  <w:num w:numId="34" w16cid:durableId="191069467">
    <w:abstractNumId w:val="21"/>
  </w:num>
  <w:num w:numId="35" w16cid:durableId="2070110772">
    <w:abstractNumId w:val="20"/>
  </w:num>
  <w:num w:numId="36" w16cid:durableId="13463239">
    <w:abstractNumId w:val="28"/>
  </w:num>
  <w:num w:numId="37" w16cid:durableId="12935556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33CD"/>
    <w:rsid w:val="0001254D"/>
    <w:rsid w:val="00012F47"/>
    <w:rsid w:val="00017648"/>
    <w:rsid w:val="00021C01"/>
    <w:rsid w:val="0002258D"/>
    <w:rsid w:val="000372F6"/>
    <w:rsid w:val="00037E6F"/>
    <w:rsid w:val="000408E3"/>
    <w:rsid w:val="00040BB8"/>
    <w:rsid w:val="00041B5B"/>
    <w:rsid w:val="00042B29"/>
    <w:rsid w:val="00042FBA"/>
    <w:rsid w:val="00045D5F"/>
    <w:rsid w:val="00047170"/>
    <w:rsid w:val="00050910"/>
    <w:rsid w:val="00051573"/>
    <w:rsid w:val="00052E7B"/>
    <w:rsid w:val="00052F81"/>
    <w:rsid w:val="00053A5F"/>
    <w:rsid w:val="000576DF"/>
    <w:rsid w:val="000674C0"/>
    <w:rsid w:val="0008357F"/>
    <w:rsid w:val="000849AD"/>
    <w:rsid w:val="00087697"/>
    <w:rsid w:val="0009125F"/>
    <w:rsid w:val="000A52A2"/>
    <w:rsid w:val="000B3767"/>
    <w:rsid w:val="000B3A87"/>
    <w:rsid w:val="000B43C9"/>
    <w:rsid w:val="000B7D0C"/>
    <w:rsid w:val="000C2C05"/>
    <w:rsid w:val="000D5843"/>
    <w:rsid w:val="000E2A8A"/>
    <w:rsid w:val="000E4CBE"/>
    <w:rsid w:val="000E5D52"/>
    <w:rsid w:val="000E5D83"/>
    <w:rsid w:val="000E6B26"/>
    <w:rsid w:val="000F2AAE"/>
    <w:rsid w:val="00102763"/>
    <w:rsid w:val="00102D19"/>
    <w:rsid w:val="00104000"/>
    <w:rsid w:val="00105063"/>
    <w:rsid w:val="0010768E"/>
    <w:rsid w:val="00122CF0"/>
    <w:rsid w:val="001254E2"/>
    <w:rsid w:val="0013141E"/>
    <w:rsid w:val="001372DE"/>
    <w:rsid w:val="00147A35"/>
    <w:rsid w:val="00147B11"/>
    <w:rsid w:val="00152D7D"/>
    <w:rsid w:val="001537D5"/>
    <w:rsid w:val="00157E80"/>
    <w:rsid w:val="00162972"/>
    <w:rsid w:val="00167117"/>
    <w:rsid w:val="001735D3"/>
    <w:rsid w:val="0017412E"/>
    <w:rsid w:val="00180673"/>
    <w:rsid w:val="00180A28"/>
    <w:rsid w:val="00181BF5"/>
    <w:rsid w:val="00183F3D"/>
    <w:rsid w:val="0019216B"/>
    <w:rsid w:val="00192ACD"/>
    <w:rsid w:val="001A138A"/>
    <w:rsid w:val="001A1ABF"/>
    <w:rsid w:val="001D0DB6"/>
    <w:rsid w:val="001D2660"/>
    <w:rsid w:val="001D434B"/>
    <w:rsid w:val="001E0D71"/>
    <w:rsid w:val="001E6438"/>
    <w:rsid w:val="001F5E2B"/>
    <w:rsid w:val="002015FA"/>
    <w:rsid w:val="002043F8"/>
    <w:rsid w:val="002301BB"/>
    <w:rsid w:val="00231CF0"/>
    <w:rsid w:val="00233068"/>
    <w:rsid w:val="0024475D"/>
    <w:rsid w:val="00246CB4"/>
    <w:rsid w:val="00257D46"/>
    <w:rsid w:val="00272168"/>
    <w:rsid w:val="00272A33"/>
    <w:rsid w:val="0027526D"/>
    <w:rsid w:val="002848DA"/>
    <w:rsid w:val="002A1DE8"/>
    <w:rsid w:val="002A78A0"/>
    <w:rsid w:val="002B02ED"/>
    <w:rsid w:val="002B100C"/>
    <w:rsid w:val="002B432B"/>
    <w:rsid w:val="002B5AE6"/>
    <w:rsid w:val="002C2751"/>
    <w:rsid w:val="002C4450"/>
    <w:rsid w:val="002E14B8"/>
    <w:rsid w:val="002E4FA8"/>
    <w:rsid w:val="002F13EA"/>
    <w:rsid w:val="002F5132"/>
    <w:rsid w:val="002F52A9"/>
    <w:rsid w:val="002F6138"/>
    <w:rsid w:val="003045F8"/>
    <w:rsid w:val="0030522B"/>
    <w:rsid w:val="00305299"/>
    <w:rsid w:val="00305C35"/>
    <w:rsid w:val="00322FF9"/>
    <w:rsid w:val="00332215"/>
    <w:rsid w:val="00332EC1"/>
    <w:rsid w:val="00333B53"/>
    <w:rsid w:val="00350CB0"/>
    <w:rsid w:val="00362FBE"/>
    <w:rsid w:val="00374C25"/>
    <w:rsid w:val="0037658D"/>
    <w:rsid w:val="00376FB2"/>
    <w:rsid w:val="00380681"/>
    <w:rsid w:val="00382F39"/>
    <w:rsid w:val="0038519F"/>
    <w:rsid w:val="003873FF"/>
    <w:rsid w:val="0039351C"/>
    <w:rsid w:val="00394AC0"/>
    <w:rsid w:val="003B0C9A"/>
    <w:rsid w:val="003B1D32"/>
    <w:rsid w:val="003C1BDB"/>
    <w:rsid w:val="003C20B4"/>
    <w:rsid w:val="003C3C4F"/>
    <w:rsid w:val="003C4CA3"/>
    <w:rsid w:val="003D0FE4"/>
    <w:rsid w:val="003D418D"/>
    <w:rsid w:val="003D51F2"/>
    <w:rsid w:val="003D5267"/>
    <w:rsid w:val="003E0B6D"/>
    <w:rsid w:val="003E1E69"/>
    <w:rsid w:val="003E514B"/>
    <w:rsid w:val="003F32AF"/>
    <w:rsid w:val="00411B2D"/>
    <w:rsid w:val="004127D7"/>
    <w:rsid w:val="004144E6"/>
    <w:rsid w:val="004251EE"/>
    <w:rsid w:val="00441014"/>
    <w:rsid w:val="004430BB"/>
    <w:rsid w:val="00443ADF"/>
    <w:rsid w:val="00452F4C"/>
    <w:rsid w:val="00470DC3"/>
    <w:rsid w:val="004723ED"/>
    <w:rsid w:val="00473800"/>
    <w:rsid w:val="00473C2D"/>
    <w:rsid w:val="004B38E1"/>
    <w:rsid w:val="004B67EB"/>
    <w:rsid w:val="004B767C"/>
    <w:rsid w:val="004C49E3"/>
    <w:rsid w:val="004C77E1"/>
    <w:rsid w:val="004D2859"/>
    <w:rsid w:val="004D2BE0"/>
    <w:rsid w:val="004D7998"/>
    <w:rsid w:val="004E17AF"/>
    <w:rsid w:val="004E2E48"/>
    <w:rsid w:val="004E50B9"/>
    <w:rsid w:val="004F01DA"/>
    <w:rsid w:val="004F3E9A"/>
    <w:rsid w:val="00503A3B"/>
    <w:rsid w:val="0050415F"/>
    <w:rsid w:val="00504E01"/>
    <w:rsid w:val="005104A1"/>
    <w:rsid w:val="00511137"/>
    <w:rsid w:val="00525C75"/>
    <w:rsid w:val="005411C6"/>
    <w:rsid w:val="00541F5A"/>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A03C1"/>
    <w:rsid w:val="005A09EF"/>
    <w:rsid w:val="005A612B"/>
    <w:rsid w:val="005A7A34"/>
    <w:rsid w:val="005B3CB1"/>
    <w:rsid w:val="005B5914"/>
    <w:rsid w:val="005B5C34"/>
    <w:rsid w:val="005C507C"/>
    <w:rsid w:val="005D4948"/>
    <w:rsid w:val="005E02E4"/>
    <w:rsid w:val="005E4006"/>
    <w:rsid w:val="005E494F"/>
    <w:rsid w:val="005F18FA"/>
    <w:rsid w:val="006114E1"/>
    <w:rsid w:val="00634387"/>
    <w:rsid w:val="0064557D"/>
    <w:rsid w:val="006464BB"/>
    <w:rsid w:val="00647006"/>
    <w:rsid w:val="00650F00"/>
    <w:rsid w:val="00651CE8"/>
    <w:rsid w:val="0065542A"/>
    <w:rsid w:val="00661D55"/>
    <w:rsid w:val="006626D7"/>
    <w:rsid w:val="00662A4D"/>
    <w:rsid w:val="006640BF"/>
    <w:rsid w:val="006664D5"/>
    <w:rsid w:val="00667F87"/>
    <w:rsid w:val="00674AC7"/>
    <w:rsid w:val="0068252F"/>
    <w:rsid w:val="00686AED"/>
    <w:rsid w:val="0069439E"/>
    <w:rsid w:val="00696054"/>
    <w:rsid w:val="006A2939"/>
    <w:rsid w:val="006A4F70"/>
    <w:rsid w:val="006B1105"/>
    <w:rsid w:val="006B31ED"/>
    <w:rsid w:val="006C182A"/>
    <w:rsid w:val="006C2418"/>
    <w:rsid w:val="006D1A97"/>
    <w:rsid w:val="006D2A66"/>
    <w:rsid w:val="006D4D5D"/>
    <w:rsid w:val="006E010A"/>
    <w:rsid w:val="006F246A"/>
    <w:rsid w:val="00701F3E"/>
    <w:rsid w:val="00702795"/>
    <w:rsid w:val="00704A2C"/>
    <w:rsid w:val="00707E82"/>
    <w:rsid w:val="0071121B"/>
    <w:rsid w:val="00715058"/>
    <w:rsid w:val="0072491E"/>
    <w:rsid w:val="007403B3"/>
    <w:rsid w:val="00742899"/>
    <w:rsid w:val="0075505C"/>
    <w:rsid w:val="0075730D"/>
    <w:rsid w:val="00763588"/>
    <w:rsid w:val="007706AB"/>
    <w:rsid w:val="00771F35"/>
    <w:rsid w:val="00773B30"/>
    <w:rsid w:val="00776C5D"/>
    <w:rsid w:val="0078241D"/>
    <w:rsid w:val="00784315"/>
    <w:rsid w:val="007866BC"/>
    <w:rsid w:val="0078767D"/>
    <w:rsid w:val="00792AD8"/>
    <w:rsid w:val="0079386C"/>
    <w:rsid w:val="007A132E"/>
    <w:rsid w:val="007A3046"/>
    <w:rsid w:val="007A36D7"/>
    <w:rsid w:val="007A578C"/>
    <w:rsid w:val="007B0365"/>
    <w:rsid w:val="007B100E"/>
    <w:rsid w:val="007B685A"/>
    <w:rsid w:val="007C00D0"/>
    <w:rsid w:val="007C14CB"/>
    <w:rsid w:val="007C68AC"/>
    <w:rsid w:val="007D2C38"/>
    <w:rsid w:val="007D2CF5"/>
    <w:rsid w:val="007D65B8"/>
    <w:rsid w:val="007E4818"/>
    <w:rsid w:val="007E6130"/>
    <w:rsid w:val="007F1C81"/>
    <w:rsid w:val="008013F7"/>
    <w:rsid w:val="00807345"/>
    <w:rsid w:val="008075B2"/>
    <w:rsid w:val="00813D87"/>
    <w:rsid w:val="00823301"/>
    <w:rsid w:val="0082414E"/>
    <w:rsid w:val="00825110"/>
    <w:rsid w:val="008267C5"/>
    <w:rsid w:val="00831703"/>
    <w:rsid w:val="008342CC"/>
    <w:rsid w:val="00834839"/>
    <w:rsid w:val="00843997"/>
    <w:rsid w:val="0084695A"/>
    <w:rsid w:val="00846F2C"/>
    <w:rsid w:val="008542C4"/>
    <w:rsid w:val="00854ED8"/>
    <w:rsid w:val="0086273D"/>
    <w:rsid w:val="00863385"/>
    <w:rsid w:val="00863681"/>
    <w:rsid w:val="00871013"/>
    <w:rsid w:val="008752F2"/>
    <w:rsid w:val="008805DD"/>
    <w:rsid w:val="0088405A"/>
    <w:rsid w:val="0089398C"/>
    <w:rsid w:val="008A54D4"/>
    <w:rsid w:val="008A70C7"/>
    <w:rsid w:val="008D030A"/>
    <w:rsid w:val="008D1E3C"/>
    <w:rsid w:val="008D47BA"/>
    <w:rsid w:val="008E1D32"/>
    <w:rsid w:val="008E4171"/>
    <w:rsid w:val="008E4C9F"/>
    <w:rsid w:val="008E5D69"/>
    <w:rsid w:val="008F5D03"/>
    <w:rsid w:val="00911012"/>
    <w:rsid w:val="00911B41"/>
    <w:rsid w:val="0091205A"/>
    <w:rsid w:val="00921567"/>
    <w:rsid w:val="00921F5F"/>
    <w:rsid w:val="009252DB"/>
    <w:rsid w:val="00925E0C"/>
    <w:rsid w:val="0092637C"/>
    <w:rsid w:val="00926581"/>
    <w:rsid w:val="00933D23"/>
    <w:rsid w:val="009459B4"/>
    <w:rsid w:val="00945B70"/>
    <w:rsid w:val="00946B2D"/>
    <w:rsid w:val="00947F35"/>
    <w:rsid w:val="00950014"/>
    <w:rsid w:val="0095399A"/>
    <w:rsid w:val="00954F24"/>
    <w:rsid w:val="0097437D"/>
    <w:rsid w:val="00974CCB"/>
    <w:rsid w:val="00974E55"/>
    <w:rsid w:val="0098067A"/>
    <w:rsid w:val="00980F8E"/>
    <w:rsid w:val="0098690D"/>
    <w:rsid w:val="0098747B"/>
    <w:rsid w:val="00987959"/>
    <w:rsid w:val="0099187B"/>
    <w:rsid w:val="00997D62"/>
    <w:rsid w:val="00997DEA"/>
    <w:rsid w:val="009A6028"/>
    <w:rsid w:val="009B3179"/>
    <w:rsid w:val="009B503B"/>
    <w:rsid w:val="009B7685"/>
    <w:rsid w:val="009C1955"/>
    <w:rsid w:val="009C3D6A"/>
    <w:rsid w:val="009D480A"/>
    <w:rsid w:val="009E19AD"/>
    <w:rsid w:val="009E2F2F"/>
    <w:rsid w:val="009E7471"/>
    <w:rsid w:val="009E774A"/>
    <w:rsid w:val="009F15CB"/>
    <w:rsid w:val="009F1BD8"/>
    <w:rsid w:val="009F313A"/>
    <w:rsid w:val="00A04082"/>
    <w:rsid w:val="00A127BD"/>
    <w:rsid w:val="00A13233"/>
    <w:rsid w:val="00A24E55"/>
    <w:rsid w:val="00A25AA1"/>
    <w:rsid w:val="00A36943"/>
    <w:rsid w:val="00A50ED4"/>
    <w:rsid w:val="00A60321"/>
    <w:rsid w:val="00A63331"/>
    <w:rsid w:val="00A64338"/>
    <w:rsid w:val="00A65908"/>
    <w:rsid w:val="00A6772B"/>
    <w:rsid w:val="00A67DAE"/>
    <w:rsid w:val="00A70E6F"/>
    <w:rsid w:val="00A71AD8"/>
    <w:rsid w:val="00A72058"/>
    <w:rsid w:val="00A7405F"/>
    <w:rsid w:val="00A7785F"/>
    <w:rsid w:val="00A804BA"/>
    <w:rsid w:val="00A8131C"/>
    <w:rsid w:val="00A8142C"/>
    <w:rsid w:val="00A82A75"/>
    <w:rsid w:val="00A84CEC"/>
    <w:rsid w:val="00A8677D"/>
    <w:rsid w:val="00A95F56"/>
    <w:rsid w:val="00A961AC"/>
    <w:rsid w:val="00AA227D"/>
    <w:rsid w:val="00AA4460"/>
    <w:rsid w:val="00AB30DD"/>
    <w:rsid w:val="00AC25B5"/>
    <w:rsid w:val="00AD6696"/>
    <w:rsid w:val="00AE4EA8"/>
    <w:rsid w:val="00AE51FB"/>
    <w:rsid w:val="00AF3B1E"/>
    <w:rsid w:val="00AF4034"/>
    <w:rsid w:val="00AF5BF6"/>
    <w:rsid w:val="00B02B70"/>
    <w:rsid w:val="00B03A41"/>
    <w:rsid w:val="00B04BAA"/>
    <w:rsid w:val="00B0604E"/>
    <w:rsid w:val="00B264BF"/>
    <w:rsid w:val="00B26C9A"/>
    <w:rsid w:val="00B34AA7"/>
    <w:rsid w:val="00B43C60"/>
    <w:rsid w:val="00B51DF8"/>
    <w:rsid w:val="00B529D1"/>
    <w:rsid w:val="00B53615"/>
    <w:rsid w:val="00B54CE9"/>
    <w:rsid w:val="00B56FD6"/>
    <w:rsid w:val="00B90033"/>
    <w:rsid w:val="00B954C5"/>
    <w:rsid w:val="00BA0D7E"/>
    <w:rsid w:val="00BA5B5E"/>
    <w:rsid w:val="00BA6219"/>
    <w:rsid w:val="00BA70D7"/>
    <w:rsid w:val="00BA7F01"/>
    <w:rsid w:val="00BB0B98"/>
    <w:rsid w:val="00BB332B"/>
    <w:rsid w:val="00BB3D5F"/>
    <w:rsid w:val="00BB407A"/>
    <w:rsid w:val="00BB66B5"/>
    <w:rsid w:val="00BC3ED3"/>
    <w:rsid w:val="00BC44CB"/>
    <w:rsid w:val="00BC55CF"/>
    <w:rsid w:val="00BD107C"/>
    <w:rsid w:val="00BE4382"/>
    <w:rsid w:val="00BE5645"/>
    <w:rsid w:val="00BF3090"/>
    <w:rsid w:val="00BF47F7"/>
    <w:rsid w:val="00C16500"/>
    <w:rsid w:val="00C17803"/>
    <w:rsid w:val="00C31ECA"/>
    <w:rsid w:val="00C33CC5"/>
    <w:rsid w:val="00C40554"/>
    <w:rsid w:val="00C43588"/>
    <w:rsid w:val="00C5755D"/>
    <w:rsid w:val="00C61357"/>
    <w:rsid w:val="00C655EF"/>
    <w:rsid w:val="00C74FCB"/>
    <w:rsid w:val="00C80B51"/>
    <w:rsid w:val="00C80F2E"/>
    <w:rsid w:val="00C91165"/>
    <w:rsid w:val="00C97251"/>
    <w:rsid w:val="00CC43B2"/>
    <w:rsid w:val="00CC69B4"/>
    <w:rsid w:val="00CD4C02"/>
    <w:rsid w:val="00CD4DCE"/>
    <w:rsid w:val="00CD5A5A"/>
    <w:rsid w:val="00CD6D22"/>
    <w:rsid w:val="00CE0A50"/>
    <w:rsid w:val="00CE4484"/>
    <w:rsid w:val="00CF2EBA"/>
    <w:rsid w:val="00CF7F1B"/>
    <w:rsid w:val="00D14EF0"/>
    <w:rsid w:val="00D1605A"/>
    <w:rsid w:val="00D20DE3"/>
    <w:rsid w:val="00D22A18"/>
    <w:rsid w:val="00D31975"/>
    <w:rsid w:val="00D320DA"/>
    <w:rsid w:val="00D33E0C"/>
    <w:rsid w:val="00D35A2C"/>
    <w:rsid w:val="00D44766"/>
    <w:rsid w:val="00D5114B"/>
    <w:rsid w:val="00D636CD"/>
    <w:rsid w:val="00D66192"/>
    <w:rsid w:val="00D66ECF"/>
    <w:rsid w:val="00D67F1F"/>
    <w:rsid w:val="00D77C9B"/>
    <w:rsid w:val="00D8453B"/>
    <w:rsid w:val="00D855AA"/>
    <w:rsid w:val="00D86597"/>
    <w:rsid w:val="00D94F19"/>
    <w:rsid w:val="00D95767"/>
    <w:rsid w:val="00DA348D"/>
    <w:rsid w:val="00DA3C93"/>
    <w:rsid w:val="00DB46CC"/>
    <w:rsid w:val="00DB6DD9"/>
    <w:rsid w:val="00DC4670"/>
    <w:rsid w:val="00DC6ABB"/>
    <w:rsid w:val="00DD657E"/>
    <w:rsid w:val="00DD6A23"/>
    <w:rsid w:val="00DD7190"/>
    <w:rsid w:val="00DD72B2"/>
    <w:rsid w:val="00DE207C"/>
    <w:rsid w:val="00DE745A"/>
    <w:rsid w:val="00DE7DE7"/>
    <w:rsid w:val="00DF173D"/>
    <w:rsid w:val="00E00AD2"/>
    <w:rsid w:val="00E02A2F"/>
    <w:rsid w:val="00E136B5"/>
    <w:rsid w:val="00E14ADF"/>
    <w:rsid w:val="00E15CD4"/>
    <w:rsid w:val="00E17726"/>
    <w:rsid w:val="00E21616"/>
    <w:rsid w:val="00E225C6"/>
    <w:rsid w:val="00E235C1"/>
    <w:rsid w:val="00E3370E"/>
    <w:rsid w:val="00E33EAB"/>
    <w:rsid w:val="00E40567"/>
    <w:rsid w:val="00E406BB"/>
    <w:rsid w:val="00E42A7C"/>
    <w:rsid w:val="00E4546F"/>
    <w:rsid w:val="00E5631A"/>
    <w:rsid w:val="00E5772B"/>
    <w:rsid w:val="00E61154"/>
    <w:rsid w:val="00E70C56"/>
    <w:rsid w:val="00E870F4"/>
    <w:rsid w:val="00EA28DF"/>
    <w:rsid w:val="00EA6390"/>
    <w:rsid w:val="00EA6454"/>
    <w:rsid w:val="00EA794F"/>
    <w:rsid w:val="00EB04C1"/>
    <w:rsid w:val="00EB0F8E"/>
    <w:rsid w:val="00EB67EB"/>
    <w:rsid w:val="00EB789F"/>
    <w:rsid w:val="00EC0BCC"/>
    <w:rsid w:val="00ED12B6"/>
    <w:rsid w:val="00ED55E6"/>
    <w:rsid w:val="00EE02E1"/>
    <w:rsid w:val="00EE421A"/>
    <w:rsid w:val="00EE5CD8"/>
    <w:rsid w:val="00EF083E"/>
    <w:rsid w:val="00EF0FC1"/>
    <w:rsid w:val="00EF2D1C"/>
    <w:rsid w:val="00EF391B"/>
    <w:rsid w:val="00F014A2"/>
    <w:rsid w:val="00F02DBB"/>
    <w:rsid w:val="00F035C0"/>
    <w:rsid w:val="00F03F94"/>
    <w:rsid w:val="00F129C0"/>
    <w:rsid w:val="00F25529"/>
    <w:rsid w:val="00F3151F"/>
    <w:rsid w:val="00F41226"/>
    <w:rsid w:val="00F44AEB"/>
    <w:rsid w:val="00F45E9C"/>
    <w:rsid w:val="00F471E2"/>
    <w:rsid w:val="00F65E11"/>
    <w:rsid w:val="00F673C0"/>
    <w:rsid w:val="00F80A3C"/>
    <w:rsid w:val="00F86E95"/>
    <w:rsid w:val="00F92F84"/>
    <w:rsid w:val="00F97A5A"/>
    <w:rsid w:val="00FA1219"/>
    <w:rsid w:val="00FA64E1"/>
    <w:rsid w:val="00FB01BB"/>
    <w:rsid w:val="00FB0914"/>
    <w:rsid w:val="00FB353A"/>
    <w:rsid w:val="00FB3DEB"/>
    <w:rsid w:val="00FB60AE"/>
    <w:rsid w:val="00FB6309"/>
    <w:rsid w:val="00FC25DD"/>
    <w:rsid w:val="00FC4EBB"/>
    <w:rsid w:val="00FD4F36"/>
    <w:rsid w:val="00FD540F"/>
    <w:rsid w:val="00FD7D81"/>
    <w:rsid w:val="00FE0943"/>
    <w:rsid w:val="00FE28CF"/>
    <w:rsid w:val="00FE505D"/>
    <w:rsid w:val="00FF5957"/>
    <w:rsid w:val="00FF5AB3"/>
    <w:rsid w:val="26C2DE23"/>
    <w:rsid w:val="4FEED304"/>
    <w:rsid w:val="5094071A"/>
    <w:rsid w:val="55AC2527"/>
    <w:rsid w:val="5B51C60E"/>
    <w:rsid w:val="6001E975"/>
    <w:rsid w:val="62F6A482"/>
    <w:rsid w:val="689B53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204491B8-D76F-4EEC-A89F-325D1F61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Emoji" w:hAnsi="Segoe UI Emoji"/>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9B503B"/>
    <w:rPr>
      <w:sz w:val="16"/>
      <w:szCs w:val="16"/>
    </w:rPr>
  </w:style>
  <w:style w:type="paragraph" w:styleId="CommentText">
    <w:name w:val="annotation text"/>
    <w:basedOn w:val="Normal"/>
    <w:link w:val="CommentTextChar"/>
    <w:uiPriority w:val="99"/>
    <w:semiHidden/>
    <w:unhideWhenUsed/>
    <w:rsid w:val="009B503B"/>
    <w:pPr>
      <w:spacing w:line="240" w:lineRule="auto"/>
    </w:pPr>
    <w:rPr>
      <w:szCs w:val="20"/>
    </w:rPr>
  </w:style>
  <w:style w:type="character" w:customStyle="1" w:styleId="CommentTextChar">
    <w:name w:val="Comment Text Char"/>
    <w:basedOn w:val="DefaultParagraphFont"/>
    <w:link w:val="CommentText"/>
    <w:uiPriority w:val="99"/>
    <w:semiHidden/>
    <w:rsid w:val="009B503B"/>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9B503B"/>
    <w:rPr>
      <w:b/>
      <w:bCs/>
    </w:rPr>
  </w:style>
  <w:style w:type="character" w:customStyle="1" w:styleId="CommentSubjectChar">
    <w:name w:val="Comment Subject Char"/>
    <w:basedOn w:val="CommentTextChar"/>
    <w:link w:val="CommentSubject"/>
    <w:uiPriority w:val="99"/>
    <w:semiHidden/>
    <w:rsid w:val="009B503B"/>
    <w:rPr>
      <w:rFonts w:ascii="FoundrySterling-Book" w:hAnsi="FoundrySterling-Book"/>
      <w:b/>
      <w:bCs/>
      <w:sz w:val="20"/>
      <w:szCs w:val="20"/>
      <w:lang w:eastAsia="en-AU"/>
    </w:rPr>
  </w:style>
  <w:style w:type="paragraph" w:styleId="Revision">
    <w:name w:val="Revision"/>
    <w:hidden/>
    <w:uiPriority w:val="99"/>
    <w:semiHidden/>
    <w:rsid w:val="009B503B"/>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Higher%20Degree%20by%20Research%20(HDR)%20Supervision%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harepointpubstor.blob.core.windows.net/policylibrary-prod/Higher%20Degree%20by%20Research%20Policy.pdf"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557</Value>
      <Value>519</Value>
      <Value>543</Value>
      <Value>162</Value>
      <Value>77</Value>
    </TaxCatchAll>
    <PublishOn xmlns="2f261a70-825f-4a37-b7b5-f6ecc2f4c5fa">2023-06-30T04:22:34+00:00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These guidelines support the Higher Degree by Research Supervision Procedure and provide the framework by which the University assesses comparability of research experience with a doctoral qualification in an application for higher degree by research (HDR) supervisor registration.</policysummary>
    <PolicyCategoryPath xmlns="2f261a70-825f-4a37-b7b5-f6ecc2f4c5fa">Academic</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2023-06-29T14:00:00+00:00</LastPublished>
    <doccomments xmlns="2f261a70-825f-4a37-b7b5-f6ecc2f4c5fa">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22/04/2024 - Standing COO Admin Update approval - Related Policy Documents and Supporting Documents - "Higher Degree by Research (HDR) Supervision Procedure" had no link - link now active.</doccomments>
    <datedeclared xmlns="2f261a70-825f-4a37-b7b5-f6ecc2f4c5fa">2023-06-29T14:00:00+00:00</datedeclared>
    <PrivatePolicy xmlns="2f261a70-825f-4a37-b7b5-f6ecc2f4c5fa">false</PrivatePolicy>
    <policyadvisor xmlns="2f261a70-825f-4a37-b7b5-f6ecc2f4c5fa">
      <UserInfo>
        <DisplayName>Megan Hoffmann</DisplayName>
        <AccountId>258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E48FD148-7615-4E90-9082-FFEE6F48A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AF0C2-A9C0-4F2F-825C-2A8AEE3AF8F0}">
  <ds:schemaRefs>
    <ds:schemaRef ds:uri="http://schemas.openxmlformats.org/officeDocument/2006/bibliography"/>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purl.org/dc/elements/1.1/"/>
    <ds:schemaRef ds:uri="2f261a70-825f-4a37-b7b5-f6ecc2f4c5fa"/>
    <ds:schemaRef ds:uri="http://www.w3.org/XML/1998/namespace"/>
    <ds:schemaRef ds:uri="b40c662e-0380-4817-843d-2c7e10d40c39"/>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6</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Equivalence to a Doctoral Qualification_HDR Supervisor Registration Guideline</dc:title>
  <dc:subject/>
  <dc:creator>soeadmin</dc:creator>
  <cp:keywords/>
  <dc:description/>
  <cp:lastModifiedBy>Donna Kalaentzis</cp:lastModifiedBy>
  <cp:revision>4</cp:revision>
  <cp:lastPrinted>2019-10-02T21:35:00Z</cp:lastPrinted>
  <dcterms:created xsi:type="dcterms:W3CDTF">2024-04-22T05:28:00Z</dcterms:created>
  <dcterms:modified xsi:type="dcterms:W3CDTF">2024-04-22T05:34:00Z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dd588fc7-1f5e-4f5d-a518-7c561fd9fc42</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2200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2022-11-29T00:29:44Z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1a2ecc68-ddb1-4103-a6b9-29714fbe5edd</vt:lpwstr>
  </property>
  <property fmtid="{D5CDD505-2E9C-101B-9397-08002B2CF9AE}" pid="16" name="MSIP_Label_adaa4be3-f650-4692-881a-64ae220cbceb_ContentBits">
    <vt:lpwstr>0</vt:lpwstr>
  </property>
  <property fmtid="{D5CDD505-2E9C-101B-9397-08002B2CF9AE}" pid="17" name="policysection">
    <vt:lpwstr/>
  </property>
  <property fmtid="{D5CDD505-2E9C-101B-9397-08002B2CF9AE}" pid="18" name="appauthority">
    <vt:lpwstr>543;#DVC (Research)|43b40559-8059-4e74-80b6-439260334b1b</vt:lpwstr>
  </property>
  <property fmtid="{D5CDD505-2E9C-101B-9397-08002B2CF9AE}" pid="19" name="policycategory">
    <vt:lpwstr/>
  </property>
  <property fmtid="{D5CDD505-2E9C-101B-9397-08002B2CF9AE}" pid="20" name="officearea">
    <vt:lpwstr>162;#GGRS|9998683f-6a66-407c-9d64-f95cccd304fa</vt:lpwstr>
  </property>
  <property fmtid="{D5CDD505-2E9C-101B-9397-08002B2CF9AE}" pid="21" name="Managed_Testing_Field">
    <vt:lpwstr/>
  </property>
  <property fmtid="{D5CDD505-2E9C-101B-9397-08002B2CF9AE}" pid="22" name="policy-category">
    <vt:lpwstr>519;#Academic|19fb9ccf-3758-4715-9546-fdd966adec75</vt:lpwstr>
  </property>
  <property fmtid="{D5CDD505-2E9C-101B-9397-08002B2CF9AE}" pid="23" name="glossaryterms">
    <vt:lpwstr/>
  </property>
  <property fmtid="{D5CDD505-2E9C-101B-9397-08002B2CF9AE}" pid="24" name="policyreview">
    <vt:lpwstr>557;#2027|5367102b-b974-48bc-a774-1b6e75626f42</vt:lpwstr>
  </property>
  <property fmtid="{D5CDD505-2E9C-101B-9397-08002B2CF9AE}" pid="25" name="policyaudience">
    <vt:lpwstr>77;#Staff|45ee306d-49ae-43fa-a3ef-02f70754fd2d</vt:lpwstr>
  </property>
</Properties>
</file>