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6BD4374B" w:rsidR="00ED6047" w:rsidRPr="00673B09" w:rsidRDefault="00C27FA6" w:rsidP="00A144B2">
      <w:pPr>
        <w:pStyle w:val="Heading1"/>
        <w:spacing w:before="0" w:after="240"/>
        <w:rPr>
          <w:rFonts w:ascii="Griffith Sans Text" w:hAnsi="Griffith Sans Text"/>
          <w:sz w:val="52"/>
          <w:szCs w:val="32"/>
        </w:rPr>
      </w:pPr>
      <w:r w:rsidRPr="00C27FA6">
        <w:rPr>
          <w:rFonts w:ascii="Griffith Sans Text" w:hAnsi="Griffith Sans Text"/>
          <w:sz w:val="52"/>
          <w:szCs w:val="32"/>
        </w:rPr>
        <w:t>Environmental Sustainability</w:t>
      </w:r>
    </w:p>
    <w:p w14:paraId="48DFACD2" w14:textId="126ABAD6" w:rsidR="00DD6067" w:rsidRPr="008508DF" w:rsidRDefault="00DD6067" w:rsidP="00AC0FEF">
      <w:pPr>
        <w:spacing w:after="0"/>
        <w:ind w:left="284"/>
        <w:rPr>
          <w:rFonts w:cs="Arial"/>
          <w:b/>
          <w:bCs/>
        </w:rPr>
      </w:pPr>
    </w:p>
    <w:p w14:paraId="4B56D564" w14:textId="33010313" w:rsidR="00A144B2" w:rsidRPr="00673B09" w:rsidRDefault="00347C6D" w:rsidP="007D1588">
      <w:pPr>
        <w:pStyle w:val="Heading2"/>
        <w:spacing w:before="0" w:after="0"/>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347C6D" w:rsidP="007D1588">
      <w:pPr>
        <w:pStyle w:val="Heading2"/>
        <w:spacing w:before="0" w:after="0"/>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2EE6FC80" w:rsidR="00732202" w:rsidRPr="00673B09" w:rsidRDefault="00732202" w:rsidP="000A41FB">
      <w:pPr>
        <w:pStyle w:val="Heading2"/>
        <w:spacing w:before="0" w:after="0"/>
        <w:ind w:left="142" w:hanging="142"/>
        <w:rPr>
          <w:rFonts w:ascii="Griffith Sans Text" w:hAnsi="Griffith Sans Text"/>
          <w:b w:val="0"/>
          <w:bCs w:val="0"/>
          <w:sz w:val="24"/>
          <w:szCs w:val="18"/>
        </w:rPr>
      </w:pPr>
      <w:r w:rsidRPr="00673B09">
        <w:rPr>
          <w:rFonts w:ascii="Griffith Sans Text" w:hAnsi="Griffith Sans Text"/>
          <w:b w:val="0"/>
          <w:bCs w:val="0"/>
          <w:sz w:val="24"/>
          <w:szCs w:val="18"/>
        </w:rPr>
        <w:t>3.0 Policy</w:t>
      </w:r>
      <w:r w:rsidR="000A41FB">
        <w:rPr>
          <w:rFonts w:ascii="Griffith Sans Text" w:hAnsi="Griffith Sans Text"/>
          <w:b w:val="0"/>
          <w:bCs w:val="0"/>
          <w:sz w:val="24"/>
          <w:szCs w:val="18"/>
        </w:rPr>
        <w:t xml:space="preserve"> statement</w:t>
      </w:r>
      <w:r w:rsidR="000A41FB">
        <w:rPr>
          <w:rFonts w:ascii="Griffith Sans Text" w:hAnsi="Griffith Sans Text"/>
          <w:b w:val="0"/>
          <w:bCs w:val="0"/>
          <w:sz w:val="24"/>
          <w:szCs w:val="18"/>
        </w:rPr>
        <w:br/>
      </w:r>
      <w:r w:rsidR="007A20AA" w:rsidRPr="007A20AA">
        <w:rPr>
          <w:rFonts w:ascii="Griffith Sans Text" w:hAnsi="Griffith Sans Text"/>
          <w:b w:val="0"/>
          <w:bCs w:val="0"/>
          <w:sz w:val="24"/>
          <w:szCs w:val="18"/>
        </w:rPr>
        <w:t xml:space="preserve">3.1 Environmental Management and Compliance | 3.2 Environmental Sustainability Implementation | </w:t>
      </w:r>
      <w:r w:rsidR="00347C6D">
        <w:rPr>
          <w:rFonts w:ascii="Griffith Sans Text" w:hAnsi="Griffith Sans Text"/>
          <w:b w:val="0"/>
          <w:bCs w:val="0"/>
          <w:sz w:val="24"/>
          <w:szCs w:val="18"/>
        </w:rPr>
        <w:br/>
      </w:r>
      <w:r w:rsidR="007A20AA" w:rsidRPr="007A20AA">
        <w:rPr>
          <w:rFonts w:ascii="Griffith Sans Text" w:hAnsi="Griffith Sans Text"/>
          <w:b w:val="0"/>
          <w:bCs w:val="0"/>
          <w:sz w:val="24"/>
          <w:szCs w:val="18"/>
        </w:rPr>
        <w:t>3.3 Monitoring and reporting</w:t>
      </w:r>
    </w:p>
    <w:p w14:paraId="007778A3" w14:textId="09E30F0F" w:rsidR="0073220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4.0 Roles, responsibilities and delegations</w:t>
      </w:r>
    </w:p>
    <w:p w14:paraId="574A747E" w14:textId="4CFB58BF" w:rsidR="00A144B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347C6D" w:rsidP="007D1588">
      <w:pPr>
        <w:pStyle w:val="Heading2"/>
        <w:spacing w:before="0" w:after="0"/>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A97B4BF" w14:textId="77777777" w:rsidR="00C27FA6" w:rsidRPr="00C27FA6" w:rsidRDefault="00C27FA6" w:rsidP="00C27FA6">
      <w:pPr>
        <w:rPr>
          <w:rFonts w:cs="Arial"/>
        </w:rPr>
      </w:pPr>
      <w:r w:rsidRPr="00C27FA6">
        <w:rPr>
          <w:rFonts w:cs="Arial"/>
        </w:rPr>
        <w:t>This policy expresses Griffith University’s commitment to mitigating the impact of our operations on the climate and the natural environment by:</w:t>
      </w:r>
    </w:p>
    <w:p w14:paraId="08FDF9A1" w14:textId="6997A316" w:rsidR="00C27FA6" w:rsidRPr="00C27FA6" w:rsidRDefault="00C27FA6" w:rsidP="00C27FA6">
      <w:pPr>
        <w:pStyle w:val="ListParagraph"/>
        <w:numPr>
          <w:ilvl w:val="0"/>
          <w:numId w:val="37"/>
        </w:numPr>
        <w:rPr>
          <w:rFonts w:cs="Arial"/>
        </w:rPr>
      </w:pPr>
      <w:r w:rsidRPr="00C27FA6">
        <w:rPr>
          <w:rFonts w:cs="Arial"/>
        </w:rPr>
        <w:t xml:space="preserve">adopting economic, social, and environmentally responsible practices that align with the principles of the </w:t>
      </w:r>
      <w:hyperlink r:id="rId10" w:history="1">
        <w:r w:rsidRPr="00E9357A">
          <w:rPr>
            <w:rStyle w:val="Hyperlink"/>
            <w:rFonts w:cs="Arial"/>
          </w:rPr>
          <w:t>United Nations Sustainable Development Goals</w:t>
        </w:r>
      </w:hyperlink>
      <w:r w:rsidRPr="00C27FA6">
        <w:rPr>
          <w:rFonts w:cs="Arial"/>
        </w:rPr>
        <w:t xml:space="preserve">, </w:t>
      </w:r>
    </w:p>
    <w:p w14:paraId="125E3ABB" w14:textId="5F3B9AB1" w:rsidR="00C27FA6" w:rsidRPr="00C27FA6" w:rsidRDefault="00C27FA6" w:rsidP="00C27FA6">
      <w:pPr>
        <w:pStyle w:val="ListParagraph"/>
        <w:numPr>
          <w:ilvl w:val="0"/>
          <w:numId w:val="37"/>
        </w:numPr>
        <w:rPr>
          <w:rFonts w:cs="Arial"/>
        </w:rPr>
      </w:pPr>
      <w:r w:rsidRPr="00C27FA6">
        <w:rPr>
          <w:rFonts w:cs="Arial"/>
        </w:rPr>
        <w:t>complying with all relevant legislation informed by contemporary best practice, First Peoples knowledges and practices, and latest scientific knowledge to prevent and minimise harm to the natural environment, and</w:t>
      </w:r>
    </w:p>
    <w:p w14:paraId="43FFD5F9" w14:textId="79252BDF" w:rsidR="00C27FA6" w:rsidRPr="00C27FA6" w:rsidRDefault="00C27FA6" w:rsidP="00C27FA6">
      <w:pPr>
        <w:pStyle w:val="ListParagraph"/>
        <w:numPr>
          <w:ilvl w:val="1"/>
          <w:numId w:val="37"/>
        </w:numPr>
        <w:rPr>
          <w:rFonts w:cs="Arial"/>
        </w:rPr>
      </w:pPr>
      <w:r w:rsidRPr="00C27FA6">
        <w:rPr>
          <w:rFonts w:cs="Arial"/>
        </w:rPr>
        <w:t>developing action plans to:</w:t>
      </w:r>
    </w:p>
    <w:p w14:paraId="48C09A95" w14:textId="07CC8627" w:rsidR="00C27FA6" w:rsidRPr="00C27FA6" w:rsidRDefault="00C27FA6" w:rsidP="00C27FA6">
      <w:pPr>
        <w:pStyle w:val="ListParagraph"/>
        <w:numPr>
          <w:ilvl w:val="1"/>
          <w:numId w:val="37"/>
        </w:numPr>
        <w:rPr>
          <w:rFonts w:cs="Arial"/>
        </w:rPr>
      </w:pPr>
      <w:r w:rsidRPr="00C27FA6">
        <w:rPr>
          <w:rFonts w:cs="Arial"/>
        </w:rPr>
        <w:t>achieve net zero by 2029 within the defined emissions boundary,</w:t>
      </w:r>
    </w:p>
    <w:p w14:paraId="1FF719E7" w14:textId="4AF01623" w:rsidR="00C27FA6" w:rsidRPr="00C27FA6" w:rsidRDefault="00C27FA6" w:rsidP="00C27FA6">
      <w:pPr>
        <w:pStyle w:val="ListParagraph"/>
        <w:numPr>
          <w:ilvl w:val="1"/>
          <w:numId w:val="37"/>
        </w:numPr>
        <w:rPr>
          <w:rFonts w:cs="Arial"/>
        </w:rPr>
      </w:pPr>
      <w:r w:rsidRPr="00C27FA6">
        <w:rPr>
          <w:rFonts w:cs="Arial"/>
        </w:rPr>
        <w:t>avoid and reduce waste on campus,</w:t>
      </w:r>
    </w:p>
    <w:p w14:paraId="65A9693D" w14:textId="22AAA440" w:rsidR="00C27FA6" w:rsidRPr="00C27FA6" w:rsidRDefault="00C27FA6" w:rsidP="00C27FA6">
      <w:pPr>
        <w:pStyle w:val="ListParagraph"/>
        <w:numPr>
          <w:ilvl w:val="1"/>
          <w:numId w:val="37"/>
        </w:numPr>
        <w:rPr>
          <w:rFonts w:cs="Arial"/>
        </w:rPr>
      </w:pPr>
      <w:r w:rsidRPr="00C27FA6">
        <w:rPr>
          <w:rFonts w:cs="Arial"/>
        </w:rPr>
        <w:t>protect and enhance biodiversity, including offsetting unavoidable impacts, and</w:t>
      </w:r>
    </w:p>
    <w:p w14:paraId="5841146F" w14:textId="51718A0D" w:rsidR="00820F73" w:rsidRPr="00C27FA6" w:rsidRDefault="00C27FA6" w:rsidP="00C27FA6">
      <w:pPr>
        <w:pStyle w:val="ListParagraph"/>
        <w:numPr>
          <w:ilvl w:val="1"/>
          <w:numId w:val="37"/>
        </w:numPr>
        <w:rPr>
          <w:rFonts w:cs="Arial"/>
        </w:rPr>
      </w:pPr>
      <w:r w:rsidRPr="00C27FA6">
        <w:rPr>
          <w:rFonts w:cs="Arial"/>
        </w:rPr>
        <w:t>prevent pollution of waterways and improve catchment health.</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32381DE0" w14:textId="52E9B0BD" w:rsidR="00A144B2" w:rsidRPr="00AC0FEF" w:rsidRDefault="00C453E8" w:rsidP="00AC0FEF">
      <w:pPr>
        <w:rPr>
          <w:rFonts w:eastAsia="Calibri" w:cs="Arial"/>
        </w:rPr>
      </w:pPr>
      <w:r w:rsidRPr="00C453E8">
        <w:rPr>
          <w:rFonts w:cs="Arial"/>
        </w:rPr>
        <w:t>All staff and students conducting university activities, and suppliers, visitors and contractors when on-campus are responsible for ensuring compliance with their environmental obligations under this policy.</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68B78632" w14:textId="615BD89D" w:rsidR="00493EC2" w:rsidRDefault="00C453E8" w:rsidP="00CA5904">
      <w:r w:rsidRPr="00C453E8">
        <w:t xml:space="preserve">The University acknowledges its role as stewards of the lands and waterways of its campuses. It will strive to continually improve its environmental sustainability practices towards alignment with the United Nations Sustainable Development Goals, contemporary best practice, First Peoples knowledges and practices, and latest scientific knowledge. Operating always within the broader context of the University’s compliance and risk management processes, the University will continue to adapt to the challenges of climate change considering the unique natural environments in which its campuses are situated. </w:t>
      </w:r>
      <w:r w:rsidR="00493EC2" w:rsidRPr="00AC0FEF">
        <w:t xml:space="preserve"> </w:t>
      </w:r>
    </w:p>
    <w:p w14:paraId="4F33FC76" w14:textId="6B6258E0" w:rsidR="0012692F" w:rsidRPr="001520D3" w:rsidRDefault="0012692F" w:rsidP="0012692F">
      <w:pPr>
        <w:pStyle w:val="Heading3"/>
        <w:ind w:left="567"/>
        <w:rPr>
          <w:rFonts w:ascii="Griffith Sans Text" w:hAnsi="Griffith Sans Text"/>
        </w:rPr>
      </w:pPr>
      <w:bookmarkStart w:id="3" w:name="_3.1_[Insert_sub-heading]"/>
      <w:bookmarkEnd w:id="3"/>
      <w:r w:rsidRPr="001520D3">
        <w:rPr>
          <w:rFonts w:ascii="Griffith Sans Text" w:hAnsi="Griffith Sans Text"/>
        </w:rPr>
        <w:t xml:space="preserve">3.1 </w:t>
      </w:r>
      <w:r w:rsidR="00D46FB0" w:rsidRPr="00D46FB0">
        <w:rPr>
          <w:rFonts w:ascii="Griffith Sans Text" w:hAnsi="Griffith Sans Text"/>
        </w:rPr>
        <w:t>Environmental Management and Compliance</w:t>
      </w:r>
    </w:p>
    <w:p w14:paraId="788C5FBE" w14:textId="77777777" w:rsidR="00196831" w:rsidRDefault="00196831" w:rsidP="00196831">
      <w:pPr>
        <w:pStyle w:val="NormalSubheading"/>
      </w:pPr>
      <w:r>
        <w:t xml:space="preserve">The University will manage legal, reputational, and environmental obligations and risks. It will take measures to prevent and minimise harm, and protect and enhance the natural environment, complying </w:t>
      </w:r>
      <w:r>
        <w:lastRenderedPageBreak/>
        <w:t>with relevant legislation and making decisions informed by contemporary best practices, while also protecting the University’s reputation and global standing.</w:t>
      </w:r>
    </w:p>
    <w:p w14:paraId="18692604" w14:textId="3C41FCC0" w:rsidR="0012692F" w:rsidRPr="004922AF" w:rsidRDefault="00196831" w:rsidP="00196831">
      <w:pPr>
        <w:pStyle w:val="NormalSubheading"/>
      </w:pPr>
      <w:r>
        <w:t>The University will develop and implement an Environmental Management System (aligned with the ISO:14001 principles) to support compliance with environmental obligations.</w:t>
      </w:r>
    </w:p>
    <w:p w14:paraId="14E4378E" w14:textId="548E34E6" w:rsidR="0012692F" w:rsidRPr="001520D3" w:rsidRDefault="0012692F" w:rsidP="0012692F">
      <w:pPr>
        <w:pStyle w:val="Heading3"/>
        <w:ind w:left="567"/>
        <w:rPr>
          <w:rFonts w:ascii="Griffith Sans Text" w:hAnsi="Griffith Sans Text"/>
        </w:rPr>
      </w:pPr>
      <w:bookmarkStart w:id="4" w:name="_3.2_[Insert_sub-heading]"/>
      <w:bookmarkEnd w:id="4"/>
      <w:r w:rsidRPr="001520D3">
        <w:rPr>
          <w:rFonts w:ascii="Griffith Sans Text" w:hAnsi="Griffith Sans Text"/>
        </w:rPr>
        <w:t xml:space="preserve">3.2 </w:t>
      </w:r>
      <w:r w:rsidR="00D46FB0" w:rsidRPr="00D46FB0">
        <w:rPr>
          <w:rFonts w:ascii="Griffith Sans Text" w:hAnsi="Griffith Sans Text"/>
        </w:rPr>
        <w:t>Environmental Sustainability Implementation</w:t>
      </w:r>
    </w:p>
    <w:p w14:paraId="266A6621" w14:textId="77777777" w:rsidR="00196831" w:rsidRPr="00196831" w:rsidRDefault="00196831" w:rsidP="00196831">
      <w:pPr>
        <w:ind w:left="567"/>
        <w:rPr>
          <w:rFonts w:cs="Arial"/>
        </w:rPr>
      </w:pPr>
      <w:r w:rsidRPr="00196831">
        <w:rPr>
          <w:rFonts w:cs="Arial"/>
        </w:rPr>
        <w:t>To deliver on Griffith University’s strategic environmental sustainability obligations and commitments, the University will develop and implement relevant action plans to:</w:t>
      </w:r>
    </w:p>
    <w:p w14:paraId="5ADCD22F" w14:textId="3528658E" w:rsidR="00196831" w:rsidRPr="00196831" w:rsidRDefault="00196831" w:rsidP="00196831">
      <w:pPr>
        <w:pStyle w:val="ListParagraph"/>
        <w:numPr>
          <w:ilvl w:val="0"/>
          <w:numId w:val="38"/>
        </w:numPr>
        <w:rPr>
          <w:rFonts w:cs="Arial"/>
        </w:rPr>
      </w:pPr>
      <w:r w:rsidRPr="00196831">
        <w:rPr>
          <w:rFonts w:cs="Arial"/>
        </w:rPr>
        <w:t>Achieve net zero emissions by 2029 (based on defined emissions scope), reduce overall energy consumption, and adapt to the impacts of climate change,</w:t>
      </w:r>
    </w:p>
    <w:p w14:paraId="647838E0" w14:textId="71A0320B" w:rsidR="00196831" w:rsidRPr="00196831" w:rsidRDefault="00196831" w:rsidP="00196831">
      <w:pPr>
        <w:pStyle w:val="ListParagraph"/>
        <w:numPr>
          <w:ilvl w:val="0"/>
          <w:numId w:val="38"/>
        </w:numPr>
        <w:rPr>
          <w:rFonts w:cs="Arial"/>
        </w:rPr>
      </w:pPr>
      <w:r w:rsidRPr="00196831">
        <w:rPr>
          <w:rFonts w:cs="Arial"/>
        </w:rPr>
        <w:t>Protect and enhance the biodiversity on campus, including offsetting unavoidable impacts, and support biodiversity conservation teaching, research and engagement,</w:t>
      </w:r>
    </w:p>
    <w:p w14:paraId="732AE77A" w14:textId="639F9E96" w:rsidR="00196831" w:rsidRPr="00196831" w:rsidRDefault="00196831" w:rsidP="00196831">
      <w:pPr>
        <w:pStyle w:val="ListParagraph"/>
        <w:numPr>
          <w:ilvl w:val="0"/>
          <w:numId w:val="38"/>
        </w:numPr>
        <w:rPr>
          <w:rFonts w:cs="Arial"/>
        </w:rPr>
      </w:pPr>
      <w:r w:rsidRPr="00196831">
        <w:rPr>
          <w:rFonts w:cs="Arial"/>
        </w:rPr>
        <w:t>Protect and enhance the catchments and marine environments in which the university operates, prevent polluted water entering the water system (including pollution caused by accidents and incidents at the university), maximise water reuse, provide free drinking water, and reduce environmental impacts through use of a best practice process to treat wastewater, and</w:t>
      </w:r>
    </w:p>
    <w:p w14:paraId="1233FCBC" w14:textId="2979A85E" w:rsidR="0012692F" w:rsidRPr="00196831" w:rsidRDefault="00196831" w:rsidP="00196831">
      <w:pPr>
        <w:pStyle w:val="ListParagraph"/>
        <w:numPr>
          <w:ilvl w:val="0"/>
          <w:numId w:val="38"/>
        </w:numPr>
        <w:rPr>
          <w:rFonts w:cs="Arial"/>
        </w:rPr>
      </w:pPr>
      <w:r w:rsidRPr="00196831">
        <w:rPr>
          <w:rFonts w:cs="Arial"/>
        </w:rPr>
        <w:t>Avoid and reduce waste generated on campus through implementing the principles of the waste hierarchy, circular economy and responsible consumption and production. This will include practices for waste disposal (including hazardous materials), measuring waste sent to landfill and recycled, reducing plastic waste on campus, and ethically sourcing food and supplies.</w:t>
      </w:r>
    </w:p>
    <w:p w14:paraId="356640F9" w14:textId="682A0C59" w:rsidR="00C453E8" w:rsidRPr="001520D3" w:rsidRDefault="00C453E8" w:rsidP="00C453E8">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sidR="00196831" w:rsidRPr="00196831">
        <w:rPr>
          <w:rFonts w:ascii="Griffith Sans Text" w:hAnsi="Griffith Sans Text"/>
        </w:rPr>
        <w:t>Monitoring and reporting</w:t>
      </w:r>
    </w:p>
    <w:p w14:paraId="60716D95" w14:textId="77777777" w:rsidR="00196831" w:rsidRPr="00196831" w:rsidRDefault="00196831" w:rsidP="00196831">
      <w:pPr>
        <w:ind w:left="567"/>
        <w:rPr>
          <w:rFonts w:cs="Arial"/>
        </w:rPr>
      </w:pPr>
      <w:r w:rsidRPr="00196831">
        <w:rPr>
          <w:rFonts w:cs="Arial"/>
        </w:rPr>
        <w:t>The University will ensure accountability and cooperation on environmental sustainability initiatives through:</w:t>
      </w:r>
    </w:p>
    <w:p w14:paraId="7A85E9BB" w14:textId="6C1E775A" w:rsidR="00196831" w:rsidRPr="00196831" w:rsidRDefault="00196831" w:rsidP="00196831">
      <w:pPr>
        <w:pStyle w:val="ListParagraph"/>
        <w:numPr>
          <w:ilvl w:val="0"/>
          <w:numId w:val="39"/>
        </w:numPr>
        <w:rPr>
          <w:rFonts w:cs="Arial"/>
        </w:rPr>
      </w:pPr>
      <w:r w:rsidRPr="00196831">
        <w:rPr>
          <w:rFonts w:cs="Arial"/>
        </w:rPr>
        <w:t xml:space="preserve">reporting in a manner accessible to all, including annual environmental performance reporting, </w:t>
      </w:r>
    </w:p>
    <w:p w14:paraId="7E64ADC1" w14:textId="0A78E146" w:rsidR="00196831" w:rsidRPr="00196831" w:rsidRDefault="00196831" w:rsidP="00196831">
      <w:pPr>
        <w:pStyle w:val="ListParagraph"/>
        <w:numPr>
          <w:ilvl w:val="0"/>
          <w:numId w:val="39"/>
        </w:numPr>
        <w:rPr>
          <w:rFonts w:cs="Arial"/>
        </w:rPr>
      </w:pPr>
      <w:r w:rsidRPr="00196831">
        <w:rPr>
          <w:rFonts w:cs="Arial"/>
        </w:rPr>
        <w:t xml:space="preserve">reviewing environmental practices and performance on at least a triennial basis to identify opportunities for improvement, </w:t>
      </w:r>
    </w:p>
    <w:p w14:paraId="776ACB02" w14:textId="3B17BF90" w:rsidR="00196831" w:rsidRPr="00196831" w:rsidRDefault="00196831" w:rsidP="00196831">
      <w:pPr>
        <w:pStyle w:val="ListParagraph"/>
        <w:numPr>
          <w:ilvl w:val="0"/>
          <w:numId w:val="39"/>
        </w:numPr>
        <w:rPr>
          <w:rFonts w:cs="Arial"/>
        </w:rPr>
      </w:pPr>
      <w:r w:rsidRPr="00196831">
        <w:rPr>
          <w:rFonts w:cs="Arial"/>
        </w:rPr>
        <w:t>promoting environmentally sustainable practices across academic, engagement, and operational activities, and</w:t>
      </w:r>
    </w:p>
    <w:p w14:paraId="2ED75A6A" w14:textId="02BE6944" w:rsidR="00C453E8" w:rsidRPr="00196831" w:rsidRDefault="00196831" w:rsidP="00196831">
      <w:pPr>
        <w:pStyle w:val="ListParagraph"/>
        <w:numPr>
          <w:ilvl w:val="0"/>
          <w:numId w:val="39"/>
        </w:numPr>
        <w:rPr>
          <w:rFonts w:cs="Arial"/>
        </w:rPr>
      </w:pPr>
      <w:r w:rsidRPr="00196831">
        <w:rPr>
          <w:rFonts w:cs="Arial"/>
        </w:rPr>
        <w:t>integrating environmental sustainability into investment, corporate planning, management, and decision-making processes.</w:t>
      </w:r>
    </w:p>
    <w:p w14:paraId="4AEC6073" w14:textId="5DB5F2E1" w:rsidR="00A144B2" w:rsidRPr="003205F8" w:rsidRDefault="00A144B2" w:rsidP="00804068">
      <w:pPr>
        <w:pStyle w:val="Heading2"/>
        <w:rPr>
          <w:rFonts w:ascii="Griffith Sans Text" w:hAnsi="Griffith Sans Text"/>
        </w:rPr>
      </w:pPr>
      <w:bookmarkStart w:id="5" w:name="_4.0_Roles,_responsibilities"/>
      <w:bookmarkEnd w:id="5"/>
      <w:r w:rsidRPr="003205F8">
        <w:rPr>
          <w:rFonts w:ascii="Griffith Sans Text" w:hAnsi="Griffith Sans Text"/>
        </w:rPr>
        <w:t>4.0 Roles, responsibilities and delegations</w:t>
      </w:r>
    </w:p>
    <w:tbl>
      <w:tblPr>
        <w:tblStyle w:val="TableGrid"/>
        <w:tblW w:w="4788" w:type="pct"/>
        <w:tblInd w:w="103" w:type="dxa"/>
        <w:tblLook w:val="04A0" w:firstRow="1" w:lastRow="0" w:firstColumn="1" w:lastColumn="0" w:noHBand="0" w:noVBand="1"/>
      </w:tblPr>
      <w:tblGrid>
        <w:gridCol w:w="2942"/>
        <w:gridCol w:w="7147"/>
      </w:tblGrid>
      <w:tr w:rsidR="00E341EF" w:rsidRPr="00BA6219" w14:paraId="4516BA2E" w14:textId="77777777" w:rsidTr="00E341EF">
        <w:trPr>
          <w:trHeight w:val="454"/>
        </w:trPr>
        <w:tc>
          <w:tcPr>
            <w:tcW w:w="1458" w:type="pct"/>
          </w:tcPr>
          <w:p w14:paraId="2A137921" w14:textId="77777777" w:rsidR="00E341EF" w:rsidRPr="00FC5552" w:rsidRDefault="00E341EF" w:rsidP="001602ED">
            <w:pPr>
              <w:rPr>
                <w:rFonts w:cs="Arial"/>
                <w:b/>
                <w:bCs/>
                <w:color w:val="000000" w:themeColor="text1"/>
                <w:sz w:val="24"/>
                <w:szCs w:val="24"/>
              </w:rPr>
            </w:pPr>
            <w:bookmarkStart w:id="6" w:name="_5.0_Definitions"/>
            <w:bookmarkEnd w:id="6"/>
            <w:r>
              <w:rPr>
                <w:rFonts w:cs="Arial"/>
                <w:b/>
                <w:bCs/>
                <w:color w:val="E30918"/>
                <w:sz w:val="24"/>
                <w:szCs w:val="24"/>
              </w:rPr>
              <w:t xml:space="preserve">ROLE </w:t>
            </w:r>
          </w:p>
        </w:tc>
        <w:tc>
          <w:tcPr>
            <w:tcW w:w="3542" w:type="pct"/>
          </w:tcPr>
          <w:p w14:paraId="481ABECE" w14:textId="77777777" w:rsidR="00E341EF" w:rsidRPr="00BA6219" w:rsidRDefault="00E341EF" w:rsidP="001602ED">
            <w:pPr>
              <w:rPr>
                <w:rFonts w:cs="Arial"/>
                <w:color w:val="000000" w:themeColor="text1"/>
                <w:szCs w:val="20"/>
              </w:rPr>
            </w:pPr>
            <w:r>
              <w:rPr>
                <w:rFonts w:cs="Arial"/>
                <w:b/>
                <w:bCs/>
                <w:color w:val="E30918"/>
                <w:sz w:val="24"/>
                <w:szCs w:val="24"/>
              </w:rPr>
              <w:t>RESPONSIBILITY</w:t>
            </w:r>
          </w:p>
        </w:tc>
      </w:tr>
      <w:tr w:rsidR="00E341EF" w14:paraId="734A50CF" w14:textId="77777777" w:rsidTr="00E341EF">
        <w:tc>
          <w:tcPr>
            <w:tcW w:w="1458" w:type="pct"/>
          </w:tcPr>
          <w:p w14:paraId="13F14C48" w14:textId="77777777" w:rsidR="00E341EF" w:rsidRPr="000209B9" w:rsidRDefault="00E341EF" w:rsidP="001602ED">
            <w:pPr>
              <w:rPr>
                <w:rFonts w:cs="Arial"/>
                <w:szCs w:val="20"/>
              </w:rPr>
            </w:pPr>
            <w:r>
              <w:rPr>
                <w:rFonts w:cs="Arial"/>
                <w:szCs w:val="20"/>
              </w:rPr>
              <w:t>Vice Chancellor</w:t>
            </w:r>
          </w:p>
        </w:tc>
        <w:tc>
          <w:tcPr>
            <w:tcW w:w="3542" w:type="pct"/>
          </w:tcPr>
          <w:p w14:paraId="2B082A45" w14:textId="77777777" w:rsidR="00E341EF" w:rsidRPr="000209B9" w:rsidRDefault="00E341EF" w:rsidP="001602ED">
            <w:pPr>
              <w:rPr>
                <w:rFonts w:cs="Arial"/>
                <w:szCs w:val="20"/>
              </w:rPr>
            </w:pPr>
            <w:r>
              <w:rPr>
                <w:rFonts w:cs="Arial"/>
                <w:szCs w:val="20"/>
              </w:rPr>
              <w:t>Approving Authority.</w:t>
            </w:r>
          </w:p>
        </w:tc>
      </w:tr>
      <w:tr w:rsidR="00E341EF" w14:paraId="6BBF1719" w14:textId="77777777" w:rsidTr="00E341EF">
        <w:tc>
          <w:tcPr>
            <w:tcW w:w="1458" w:type="pct"/>
          </w:tcPr>
          <w:p w14:paraId="050B1ACD" w14:textId="77777777" w:rsidR="00E341EF" w:rsidRDefault="00E341EF" w:rsidP="001602ED">
            <w:pPr>
              <w:rPr>
                <w:rFonts w:cs="Arial"/>
                <w:szCs w:val="20"/>
              </w:rPr>
            </w:pPr>
            <w:r>
              <w:rPr>
                <w:rFonts w:cs="Arial"/>
                <w:szCs w:val="20"/>
              </w:rPr>
              <w:t>Executive Group</w:t>
            </w:r>
          </w:p>
        </w:tc>
        <w:tc>
          <w:tcPr>
            <w:tcW w:w="3542" w:type="pct"/>
          </w:tcPr>
          <w:p w14:paraId="160FD8DB" w14:textId="77777777" w:rsidR="00E341EF" w:rsidRDefault="00E341EF" w:rsidP="001602ED">
            <w:pPr>
              <w:jc w:val="both"/>
              <w:rPr>
                <w:rFonts w:cs="Arial"/>
                <w:szCs w:val="20"/>
              </w:rPr>
            </w:pPr>
            <w:r>
              <w:rPr>
                <w:rFonts w:cs="Arial"/>
                <w:szCs w:val="20"/>
              </w:rPr>
              <w:t>University environmental sustainability leadership.</w:t>
            </w:r>
          </w:p>
          <w:p w14:paraId="78FF0DBD" w14:textId="77777777" w:rsidR="00E341EF" w:rsidRDefault="00E341EF" w:rsidP="001602ED">
            <w:pPr>
              <w:jc w:val="both"/>
              <w:rPr>
                <w:rFonts w:cs="Arial"/>
                <w:szCs w:val="20"/>
              </w:rPr>
            </w:pPr>
            <w:r w:rsidRPr="003A5152">
              <w:rPr>
                <w:rFonts w:cs="Arial"/>
                <w:szCs w:val="20"/>
              </w:rPr>
              <w:t>Integrat</w:t>
            </w:r>
            <w:r>
              <w:rPr>
                <w:rFonts w:cs="Arial"/>
                <w:szCs w:val="20"/>
              </w:rPr>
              <w:t>ing</w:t>
            </w:r>
            <w:r w:rsidRPr="003A5152">
              <w:rPr>
                <w:rFonts w:cs="Arial"/>
                <w:szCs w:val="20"/>
              </w:rPr>
              <w:t xml:space="preserve"> environmental sustainability into investment, corporate planning, management, and decision-making processes</w:t>
            </w:r>
            <w:r>
              <w:rPr>
                <w:rFonts w:cs="Arial"/>
                <w:szCs w:val="20"/>
              </w:rPr>
              <w:t>.</w:t>
            </w:r>
          </w:p>
        </w:tc>
      </w:tr>
      <w:tr w:rsidR="00E341EF" w14:paraId="6B03D490" w14:textId="77777777" w:rsidTr="00E341EF">
        <w:tc>
          <w:tcPr>
            <w:tcW w:w="1458" w:type="pct"/>
          </w:tcPr>
          <w:p w14:paraId="1CE61BA3" w14:textId="77777777" w:rsidR="00E341EF" w:rsidRDefault="00E341EF" w:rsidP="001602ED">
            <w:pPr>
              <w:rPr>
                <w:rFonts w:cs="Arial"/>
                <w:szCs w:val="20"/>
              </w:rPr>
            </w:pPr>
            <w:r>
              <w:rPr>
                <w:rFonts w:cs="Arial"/>
                <w:szCs w:val="20"/>
              </w:rPr>
              <w:lastRenderedPageBreak/>
              <w:t>Dean, SDG Performance</w:t>
            </w:r>
          </w:p>
        </w:tc>
        <w:tc>
          <w:tcPr>
            <w:tcW w:w="3542" w:type="pct"/>
          </w:tcPr>
          <w:p w14:paraId="42BEF1F0" w14:textId="77777777" w:rsidR="00E341EF" w:rsidRDefault="00E341EF" w:rsidP="001602ED">
            <w:pPr>
              <w:jc w:val="both"/>
              <w:rPr>
                <w:rFonts w:cs="Arial"/>
                <w:szCs w:val="20"/>
              </w:rPr>
            </w:pPr>
            <w:r>
              <w:rPr>
                <w:rFonts w:cs="Arial"/>
                <w:szCs w:val="20"/>
              </w:rPr>
              <w:t>Environmental Sustainability Policy Advisor.</w:t>
            </w:r>
          </w:p>
          <w:p w14:paraId="32546718" w14:textId="77777777" w:rsidR="00E341EF" w:rsidRDefault="00E341EF" w:rsidP="001602ED">
            <w:pPr>
              <w:jc w:val="both"/>
              <w:rPr>
                <w:rFonts w:cs="Arial"/>
              </w:rPr>
            </w:pPr>
            <w:r>
              <w:rPr>
                <w:rFonts w:cs="Arial"/>
              </w:rPr>
              <w:t>U</w:t>
            </w:r>
            <w:r w:rsidRPr="00A476E6">
              <w:rPr>
                <w:rFonts w:cs="Arial"/>
              </w:rPr>
              <w:t>niversity strategic leadership</w:t>
            </w:r>
            <w:r>
              <w:rPr>
                <w:rFonts w:cs="Arial"/>
              </w:rPr>
              <w:t xml:space="preserve"> on, and coordination of, environmental sustainability </w:t>
            </w:r>
            <w:r w:rsidRPr="00A476E6">
              <w:rPr>
                <w:rFonts w:cs="Arial"/>
              </w:rPr>
              <w:t>through staff, community and student engagement and education</w:t>
            </w:r>
            <w:r>
              <w:rPr>
                <w:rFonts w:cs="Arial"/>
              </w:rPr>
              <w:t xml:space="preserve">. </w:t>
            </w:r>
          </w:p>
        </w:tc>
      </w:tr>
      <w:tr w:rsidR="00E341EF" w14:paraId="37756ECE" w14:textId="77777777" w:rsidTr="00E341EF">
        <w:tc>
          <w:tcPr>
            <w:tcW w:w="1458" w:type="pct"/>
          </w:tcPr>
          <w:p w14:paraId="0CFE9825" w14:textId="77777777" w:rsidR="00E341EF" w:rsidRDefault="00E341EF" w:rsidP="001602ED">
            <w:pPr>
              <w:rPr>
                <w:rFonts w:cs="Arial"/>
                <w:szCs w:val="20"/>
              </w:rPr>
            </w:pPr>
            <w:r>
              <w:rPr>
                <w:rFonts w:cs="Arial"/>
                <w:szCs w:val="20"/>
              </w:rPr>
              <w:t>Manager, Environmental Sustainability</w:t>
            </w:r>
          </w:p>
        </w:tc>
        <w:tc>
          <w:tcPr>
            <w:tcW w:w="3542" w:type="pct"/>
          </w:tcPr>
          <w:p w14:paraId="1E1F726D" w14:textId="77777777" w:rsidR="00E341EF" w:rsidRDefault="00E341EF" w:rsidP="001602ED">
            <w:pPr>
              <w:jc w:val="both"/>
              <w:rPr>
                <w:rFonts w:cs="Arial"/>
                <w:szCs w:val="20"/>
              </w:rPr>
            </w:pPr>
            <w:r>
              <w:rPr>
                <w:rFonts w:cs="Arial"/>
                <w:szCs w:val="20"/>
              </w:rPr>
              <w:t>Development and implementation coordination of the Environmental Management System, roadmaps, plans and procedures under this policy.</w:t>
            </w:r>
          </w:p>
        </w:tc>
      </w:tr>
      <w:tr w:rsidR="00E341EF" w14:paraId="6293F22D" w14:textId="77777777" w:rsidTr="00E341EF">
        <w:tc>
          <w:tcPr>
            <w:tcW w:w="1458" w:type="pct"/>
          </w:tcPr>
          <w:p w14:paraId="2F2898F2" w14:textId="77777777" w:rsidR="00E341EF" w:rsidRDefault="00E341EF" w:rsidP="001602ED">
            <w:pPr>
              <w:rPr>
                <w:rFonts w:cs="Arial"/>
                <w:szCs w:val="20"/>
              </w:rPr>
            </w:pPr>
            <w:r>
              <w:rPr>
                <w:rFonts w:cs="Arial"/>
                <w:szCs w:val="20"/>
              </w:rPr>
              <w:t>Environmental Sustainability Committee</w:t>
            </w:r>
          </w:p>
        </w:tc>
        <w:tc>
          <w:tcPr>
            <w:tcW w:w="3542" w:type="pct"/>
          </w:tcPr>
          <w:p w14:paraId="43805A06" w14:textId="77777777" w:rsidR="00E341EF" w:rsidRDefault="00E341EF" w:rsidP="001602ED">
            <w:pPr>
              <w:rPr>
                <w:rFonts w:cs="Arial"/>
                <w:szCs w:val="20"/>
              </w:rPr>
            </w:pPr>
            <w:r>
              <w:rPr>
                <w:rFonts w:cs="Arial"/>
                <w:szCs w:val="20"/>
              </w:rPr>
              <w:t>Technical guidance to support policy implementation.</w:t>
            </w:r>
          </w:p>
          <w:p w14:paraId="2E0A776A" w14:textId="77777777" w:rsidR="00E341EF" w:rsidRDefault="00E341EF" w:rsidP="001602ED">
            <w:pPr>
              <w:rPr>
                <w:rFonts w:cs="Arial"/>
                <w:szCs w:val="20"/>
              </w:rPr>
            </w:pPr>
            <w:r>
              <w:rPr>
                <w:rFonts w:cs="Arial"/>
                <w:szCs w:val="20"/>
              </w:rPr>
              <w:t>Monitor and report on implementation performance.</w:t>
            </w:r>
          </w:p>
        </w:tc>
      </w:tr>
      <w:tr w:rsidR="00E341EF" w14:paraId="0317FA5A" w14:textId="77777777" w:rsidTr="00E341EF">
        <w:tc>
          <w:tcPr>
            <w:tcW w:w="1458" w:type="pct"/>
          </w:tcPr>
          <w:p w14:paraId="60BE8BED" w14:textId="77777777" w:rsidR="00E341EF" w:rsidRPr="00CD2343" w:rsidRDefault="00E341EF" w:rsidP="001602ED">
            <w:pPr>
              <w:rPr>
                <w:rFonts w:cs="Arial"/>
                <w:szCs w:val="20"/>
              </w:rPr>
            </w:pPr>
            <w:r w:rsidRPr="00CD2343">
              <w:rPr>
                <w:rFonts w:cs="Arial"/>
                <w:szCs w:val="20"/>
              </w:rPr>
              <w:t>Managers and Supervisors</w:t>
            </w:r>
          </w:p>
        </w:tc>
        <w:tc>
          <w:tcPr>
            <w:tcW w:w="3542" w:type="pct"/>
          </w:tcPr>
          <w:p w14:paraId="090AEC4D" w14:textId="77777777" w:rsidR="00E341EF" w:rsidRPr="00CD2343" w:rsidRDefault="00E341EF" w:rsidP="001602ED">
            <w:pPr>
              <w:jc w:val="both"/>
              <w:rPr>
                <w:rFonts w:cs="Arial"/>
                <w:szCs w:val="20"/>
              </w:rPr>
            </w:pPr>
            <w:r w:rsidRPr="00CD2343">
              <w:rPr>
                <w:rFonts w:cs="Arial"/>
                <w:szCs w:val="20"/>
              </w:rPr>
              <w:t>Responsibility for ensuring</w:t>
            </w:r>
            <w:r w:rsidRPr="00E168DC">
              <w:rPr>
                <w:rFonts w:cs="Arial"/>
                <w:szCs w:val="20"/>
              </w:rPr>
              <w:t xml:space="preserve"> environmental</w:t>
            </w:r>
            <w:r w:rsidRPr="00CD2343">
              <w:rPr>
                <w:rFonts w:cs="Arial"/>
                <w:szCs w:val="20"/>
              </w:rPr>
              <w:t xml:space="preserve"> compliance within their area of control. </w:t>
            </w:r>
          </w:p>
        </w:tc>
      </w:tr>
      <w:tr w:rsidR="00E341EF" w14:paraId="45E3CC48" w14:textId="77777777" w:rsidTr="00E341EF">
        <w:tc>
          <w:tcPr>
            <w:tcW w:w="1458" w:type="pct"/>
          </w:tcPr>
          <w:p w14:paraId="49EC00E6" w14:textId="77777777" w:rsidR="00E341EF" w:rsidRPr="000209B9" w:rsidRDefault="00E341EF" w:rsidP="001602ED">
            <w:pPr>
              <w:rPr>
                <w:rFonts w:cs="Arial"/>
                <w:szCs w:val="20"/>
              </w:rPr>
            </w:pPr>
            <w:r>
              <w:rPr>
                <w:rFonts w:cs="Arial"/>
                <w:szCs w:val="20"/>
              </w:rPr>
              <w:t>Staff and Contractors</w:t>
            </w:r>
          </w:p>
        </w:tc>
        <w:tc>
          <w:tcPr>
            <w:tcW w:w="3542" w:type="pct"/>
          </w:tcPr>
          <w:p w14:paraId="7DEB45DB" w14:textId="77777777" w:rsidR="00E341EF" w:rsidRPr="000209B9" w:rsidRDefault="00E341EF" w:rsidP="001602ED">
            <w:pPr>
              <w:jc w:val="both"/>
              <w:rPr>
                <w:rFonts w:cs="Arial"/>
                <w:szCs w:val="20"/>
              </w:rPr>
            </w:pPr>
            <w:r>
              <w:rPr>
                <w:rFonts w:cs="Arial"/>
                <w:szCs w:val="20"/>
              </w:rPr>
              <w:t>Awareness of this policy and ensuring compliance with University policy, procedures and the EMS when engaged in University activities.</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195711E4" w14:textId="77777777" w:rsidR="00E341EF" w:rsidRDefault="00E341EF" w:rsidP="00E341EF">
      <w:pPr>
        <w:jc w:val="both"/>
        <w:rPr>
          <w:rFonts w:cs="Arial"/>
          <w:szCs w:val="20"/>
        </w:rPr>
      </w:pPr>
      <w:r w:rsidRPr="000209B9">
        <w:rPr>
          <w:rFonts w:cs="Arial"/>
          <w:szCs w:val="20"/>
        </w:rPr>
        <w:t xml:space="preserve">For the purposes of this policy and related policy documents, the following definitions apply: </w:t>
      </w:r>
    </w:p>
    <w:p w14:paraId="3C561C50" w14:textId="77777777" w:rsidR="00E341EF" w:rsidRPr="00BF1F4C" w:rsidRDefault="00E341EF" w:rsidP="00E341EF">
      <w:pPr>
        <w:jc w:val="both"/>
        <w:rPr>
          <w:rFonts w:cs="Arial"/>
          <w:szCs w:val="20"/>
        </w:rPr>
      </w:pPr>
      <w:r>
        <w:rPr>
          <w:rFonts w:cs="Arial"/>
          <w:b/>
          <w:bCs/>
          <w:szCs w:val="20"/>
        </w:rPr>
        <w:t xml:space="preserve">Contemporary Best Practice </w:t>
      </w:r>
      <w:r>
        <w:rPr>
          <w:rFonts w:cs="Arial"/>
          <w:szCs w:val="20"/>
        </w:rPr>
        <w:t xml:space="preserve">for environmental management is defined in </w:t>
      </w:r>
      <w:r w:rsidRPr="00BF1F4C">
        <w:rPr>
          <w:rFonts w:cs="Arial"/>
          <w:szCs w:val="20"/>
        </w:rPr>
        <w:t xml:space="preserve">s. 21 of the </w:t>
      </w:r>
      <w:r>
        <w:rPr>
          <w:rFonts w:cs="Arial"/>
          <w:i/>
          <w:iCs/>
          <w:szCs w:val="20"/>
        </w:rPr>
        <w:t xml:space="preserve">Environmental Protection Act 1994 </w:t>
      </w:r>
      <w:r>
        <w:rPr>
          <w:rFonts w:cs="Arial"/>
          <w:szCs w:val="20"/>
        </w:rPr>
        <w:t xml:space="preserve">(Qld) and refers to </w:t>
      </w:r>
      <w:r w:rsidRPr="00BF1F4C">
        <w:rPr>
          <w:rFonts w:cs="Arial"/>
          <w:szCs w:val="20"/>
        </w:rPr>
        <w:t>techniques, methods, processes and activities that</w:t>
      </w:r>
      <w:r>
        <w:rPr>
          <w:rFonts w:cs="Arial"/>
          <w:szCs w:val="20"/>
        </w:rPr>
        <w:t xml:space="preserve"> </w:t>
      </w:r>
      <w:r w:rsidRPr="00BF1F4C">
        <w:rPr>
          <w:rFonts w:cs="Arial"/>
          <w:szCs w:val="20"/>
        </w:rPr>
        <w:t>achieve an ongoing minimisation of the activity’s environmental harm through cost effective and practical</w:t>
      </w:r>
      <w:r>
        <w:rPr>
          <w:rFonts w:cs="Arial"/>
          <w:szCs w:val="20"/>
        </w:rPr>
        <w:t xml:space="preserve"> </w:t>
      </w:r>
      <w:r w:rsidRPr="00BF1F4C">
        <w:rPr>
          <w:rFonts w:cs="Arial"/>
          <w:szCs w:val="20"/>
        </w:rPr>
        <w:t>measures</w:t>
      </w:r>
      <w:r>
        <w:rPr>
          <w:rFonts w:cs="Arial"/>
          <w:szCs w:val="20"/>
        </w:rPr>
        <w:t>.</w:t>
      </w:r>
    </w:p>
    <w:p w14:paraId="4E8903A6" w14:textId="77777777" w:rsidR="00E341EF" w:rsidRPr="00F06DA0" w:rsidRDefault="00E341EF" w:rsidP="00E341EF">
      <w:pPr>
        <w:jc w:val="both"/>
        <w:rPr>
          <w:rFonts w:cs="Arial"/>
          <w:szCs w:val="20"/>
        </w:rPr>
      </w:pPr>
      <w:r>
        <w:rPr>
          <w:rFonts w:cs="Arial"/>
          <w:b/>
          <w:bCs/>
          <w:szCs w:val="20"/>
        </w:rPr>
        <w:t>D</w:t>
      </w:r>
      <w:r w:rsidRPr="00F06DA0">
        <w:rPr>
          <w:rFonts w:cs="Arial"/>
          <w:b/>
          <w:bCs/>
          <w:szCs w:val="20"/>
        </w:rPr>
        <w:t xml:space="preserve">efined </w:t>
      </w:r>
      <w:r>
        <w:rPr>
          <w:rFonts w:cs="Arial"/>
          <w:b/>
          <w:bCs/>
          <w:szCs w:val="20"/>
        </w:rPr>
        <w:t>E</w:t>
      </w:r>
      <w:r w:rsidRPr="00F06DA0">
        <w:rPr>
          <w:rFonts w:cs="Arial"/>
          <w:b/>
          <w:bCs/>
          <w:szCs w:val="20"/>
        </w:rPr>
        <w:t xml:space="preserve">missions </w:t>
      </w:r>
      <w:r>
        <w:rPr>
          <w:rFonts w:cs="Arial"/>
          <w:b/>
          <w:bCs/>
          <w:szCs w:val="20"/>
        </w:rPr>
        <w:t>S</w:t>
      </w:r>
      <w:r w:rsidRPr="00F06DA0">
        <w:rPr>
          <w:rFonts w:cs="Arial"/>
          <w:b/>
          <w:bCs/>
          <w:szCs w:val="20"/>
        </w:rPr>
        <w:t>cope</w:t>
      </w:r>
      <w:r>
        <w:rPr>
          <w:rFonts w:cs="Arial"/>
          <w:szCs w:val="20"/>
        </w:rPr>
        <w:t xml:space="preserve"> is the scope of the University’s greenhouse gas emissions for carbon accounting purposes, which as of July 2023 included scope 1, 2 and partial scope 3 emissions.</w:t>
      </w:r>
    </w:p>
    <w:p w14:paraId="795DE84B" w14:textId="77777777" w:rsidR="00E341EF" w:rsidRPr="002A4D7F" w:rsidRDefault="00E341EF" w:rsidP="00E341EF">
      <w:pPr>
        <w:jc w:val="both"/>
        <w:rPr>
          <w:rFonts w:cs="Arial"/>
          <w:szCs w:val="20"/>
        </w:rPr>
      </w:pPr>
      <w:r>
        <w:rPr>
          <w:rFonts w:cs="Arial"/>
          <w:b/>
          <w:bCs/>
          <w:szCs w:val="20"/>
        </w:rPr>
        <w:t xml:space="preserve">Environmental Management System </w:t>
      </w:r>
      <w:r>
        <w:rPr>
          <w:rFonts w:cs="Arial"/>
          <w:szCs w:val="20"/>
        </w:rPr>
        <w:t xml:space="preserve">is </w:t>
      </w:r>
      <w:r w:rsidRPr="00237A2A">
        <w:rPr>
          <w:rFonts w:cs="Arial"/>
          <w:szCs w:val="20"/>
        </w:rPr>
        <w:t>processes and practices that enable an organi</w:t>
      </w:r>
      <w:r>
        <w:rPr>
          <w:rFonts w:cs="Arial"/>
          <w:szCs w:val="20"/>
        </w:rPr>
        <w:t>s</w:t>
      </w:r>
      <w:r w:rsidRPr="00237A2A">
        <w:rPr>
          <w:rFonts w:cs="Arial"/>
          <w:szCs w:val="20"/>
        </w:rPr>
        <w:t>ation to reduce its environmental impacts and increase its operating efficiency</w:t>
      </w:r>
      <w:r>
        <w:rPr>
          <w:rFonts w:cs="Arial"/>
          <w:szCs w:val="20"/>
        </w:rPr>
        <w:t>.  An Environmental Management System is defined under the International Organisation for Standardisation (ISO) 14001 framework.</w:t>
      </w:r>
    </w:p>
    <w:p w14:paraId="22A58227" w14:textId="77777777" w:rsidR="00E341EF" w:rsidRPr="00070E08" w:rsidRDefault="00E341EF" w:rsidP="00E341EF">
      <w:pPr>
        <w:jc w:val="both"/>
        <w:rPr>
          <w:rFonts w:cs="Arial"/>
          <w:szCs w:val="20"/>
        </w:rPr>
      </w:pPr>
      <w:r>
        <w:rPr>
          <w:rFonts w:cs="Arial"/>
          <w:b/>
          <w:bCs/>
          <w:szCs w:val="20"/>
        </w:rPr>
        <w:t>Environmental Sustainability</w:t>
      </w:r>
      <w:r>
        <w:rPr>
          <w:rFonts w:cs="Arial"/>
          <w:szCs w:val="20"/>
        </w:rPr>
        <w:t xml:space="preserve"> is undertaking practices, processes and action which protects and enhances the natural environment in a manner that meets the </w:t>
      </w:r>
      <w:r w:rsidRPr="00F55C43">
        <w:rPr>
          <w:rFonts w:cs="Arial"/>
          <w:szCs w:val="20"/>
        </w:rPr>
        <w:t>needs of the present</w:t>
      </w:r>
      <w:r>
        <w:rPr>
          <w:rFonts w:cs="Arial"/>
          <w:szCs w:val="20"/>
        </w:rPr>
        <w:t>,</w:t>
      </w:r>
      <w:r w:rsidRPr="00F55C43">
        <w:rPr>
          <w:rFonts w:cs="Arial"/>
          <w:szCs w:val="20"/>
        </w:rPr>
        <w:t xml:space="preserve"> without compromising the ability of future generations to meet their own needs.</w:t>
      </w:r>
    </w:p>
    <w:p w14:paraId="427EE437" w14:textId="77777777" w:rsidR="00E341EF" w:rsidRPr="00071915" w:rsidRDefault="00E341EF" w:rsidP="00E341EF">
      <w:pPr>
        <w:jc w:val="both"/>
        <w:rPr>
          <w:rFonts w:cs="Arial"/>
          <w:szCs w:val="20"/>
        </w:rPr>
      </w:pPr>
      <w:r>
        <w:rPr>
          <w:rFonts w:cs="Arial"/>
          <w:b/>
          <w:bCs/>
          <w:szCs w:val="20"/>
        </w:rPr>
        <w:t xml:space="preserve">Natural Environment </w:t>
      </w:r>
      <w:r w:rsidRPr="00071915">
        <w:rPr>
          <w:rFonts w:cs="Arial"/>
          <w:szCs w:val="20"/>
        </w:rPr>
        <w:t>comprises the atmosphere, land, water, oceans, and the diversity of living things</w:t>
      </w:r>
      <w:r>
        <w:rPr>
          <w:rFonts w:cs="Arial"/>
          <w:szCs w:val="20"/>
        </w:rPr>
        <w:t>.</w:t>
      </w:r>
    </w:p>
    <w:p w14:paraId="195D549B" w14:textId="1905E7DA" w:rsidR="003F7778" w:rsidRPr="00AC0FEF" w:rsidRDefault="00E341EF" w:rsidP="00E341EF">
      <w:r>
        <w:rPr>
          <w:rFonts w:cs="Arial"/>
          <w:b/>
          <w:bCs/>
          <w:szCs w:val="20"/>
        </w:rPr>
        <w:t xml:space="preserve">Net Zero Emissions </w:t>
      </w:r>
      <w:r w:rsidRPr="00E74D35">
        <w:rPr>
          <w:rFonts w:cs="Arial"/>
          <w:szCs w:val="20"/>
        </w:rPr>
        <w:t>means </w:t>
      </w:r>
      <w:r>
        <w:rPr>
          <w:rFonts w:cs="Arial"/>
          <w:szCs w:val="20"/>
        </w:rPr>
        <w:t>reducing</w:t>
      </w:r>
      <w:r w:rsidRPr="00E74D35">
        <w:rPr>
          <w:rFonts w:cs="Arial"/>
          <w:szCs w:val="20"/>
        </w:rPr>
        <w:t xml:space="preserve"> greenhouse gas emissions within the defined scope to as close to zero as possible, with any </w:t>
      </w:r>
      <w:r>
        <w:rPr>
          <w:rFonts w:cs="Arial"/>
          <w:szCs w:val="20"/>
        </w:rPr>
        <w:t>residual</w:t>
      </w:r>
      <w:r w:rsidRPr="00E74D35">
        <w:rPr>
          <w:rFonts w:cs="Arial"/>
          <w:szCs w:val="20"/>
        </w:rPr>
        <w:t xml:space="preserve"> emissions re-absorbed from the atmosphere.</w:t>
      </w:r>
    </w:p>
    <w:p w14:paraId="45403F2B" w14:textId="77777777" w:rsidR="00B42BD2" w:rsidRPr="00AC0FEF" w:rsidRDefault="00B42BD2" w:rsidP="00AC0FEF">
      <w:pPr>
        <w:rPr>
          <w:rFonts w:cs="Arial"/>
          <w:b/>
          <w:bCs/>
        </w:rPr>
      </w:pPr>
    </w:p>
    <w:p w14:paraId="2005D636" w14:textId="758185D9" w:rsidR="00B42BD2" w:rsidRPr="00AC0FEF" w:rsidRDefault="002F3C8B" w:rsidP="00AC0FEF">
      <w:pPr>
        <w:rPr>
          <w:rFonts w:cs="Arial"/>
          <w:b/>
          <w:bCs/>
        </w:rPr>
      </w:pPr>
      <w:r w:rsidRPr="00FA38B8">
        <w:rPr>
          <w:rFonts w:cs="Arial"/>
          <w:b/>
          <w:bCs/>
        </w:rPr>
        <w:t xml:space="preserve">For advice and support contact </w:t>
      </w:r>
      <w:hyperlink r:id="rId11" w:history="1">
        <w:r w:rsidR="00343D34" w:rsidRPr="00FA38B8">
          <w:rPr>
            <w:rStyle w:val="Hyperlink"/>
            <w:rFonts w:cs="Arial"/>
            <w:b/>
            <w:bCs/>
          </w:rPr>
          <w:t>policy@griffith.edu.au</w:t>
        </w:r>
      </w:hyperlink>
      <w:r w:rsidR="00343D34" w:rsidRPr="00FA38B8">
        <w:rPr>
          <w:rFonts w:cs="Arial"/>
          <w:b/>
          <w:bCs/>
        </w:rPr>
        <w:t xml:space="preserve"> f</w:t>
      </w:r>
      <w:r w:rsidRPr="00FA38B8">
        <w:rPr>
          <w:rFonts w:cs="Arial"/>
          <w:b/>
          <w:bCs/>
        </w:rPr>
        <w:t>or Governance and Operational policy documents</w:t>
      </w:r>
      <w:r w:rsidR="00FA38B8" w:rsidRPr="00FA38B8">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4961A3ED" w:rsidR="00811F90" w:rsidRPr="003205F8" w:rsidRDefault="00FC349F" w:rsidP="00786706">
      <w:pPr>
        <w:pStyle w:val="Heading2"/>
        <w:rPr>
          <w:rFonts w:ascii="Griffith Sans Text" w:hAnsi="Griffith Sans Text"/>
        </w:rPr>
      </w:pPr>
      <w:bookmarkStart w:id="7" w:name="_6.0_Information"/>
      <w:bookmarkEnd w:id="7"/>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rPr>
                <w:rFonts w:cs="Arial"/>
                <w:szCs w:val="28"/>
              </w:rPr>
            </w:pPr>
            <w:r w:rsidRPr="00AC0FEF">
              <w:rPr>
                <w:rFonts w:cs="Arial"/>
                <w:szCs w:val="28"/>
              </w:rPr>
              <w:t>Title</w:t>
            </w:r>
          </w:p>
        </w:tc>
        <w:tc>
          <w:tcPr>
            <w:tcW w:w="7147" w:type="dxa"/>
          </w:tcPr>
          <w:p w14:paraId="19EA923A" w14:textId="68CE9CBA" w:rsidR="00786706" w:rsidRPr="00AC0FEF" w:rsidRDefault="00E9357A" w:rsidP="00AC0FEF">
            <w:pPr>
              <w:rPr>
                <w:rFonts w:cs="Arial"/>
                <w:szCs w:val="28"/>
                <w:lang w:val="en-GB"/>
              </w:rPr>
            </w:pPr>
            <w:r w:rsidRPr="00E9357A">
              <w:rPr>
                <w:rFonts w:cs="Arial"/>
                <w:szCs w:val="28"/>
              </w:rPr>
              <w:t>Environmental Sustainability Policy</w:t>
            </w:r>
          </w:p>
        </w:tc>
      </w:tr>
      <w:tr w:rsidR="00786706" w14:paraId="66D4D4A1" w14:textId="77777777" w:rsidTr="006721EA">
        <w:tc>
          <w:tcPr>
            <w:tcW w:w="2943" w:type="dxa"/>
          </w:tcPr>
          <w:p w14:paraId="18280F52" w14:textId="5ED479A2" w:rsidR="00786706" w:rsidRPr="00AC0FEF" w:rsidRDefault="00786706" w:rsidP="00AC0FEF">
            <w:pPr>
              <w:rPr>
                <w:rFonts w:cs="Arial"/>
                <w:szCs w:val="28"/>
              </w:rPr>
            </w:pPr>
            <w:r w:rsidRPr="00AC0FEF">
              <w:rPr>
                <w:rFonts w:cs="Arial"/>
                <w:szCs w:val="28"/>
              </w:rPr>
              <w:t>Document number</w:t>
            </w:r>
          </w:p>
        </w:tc>
        <w:tc>
          <w:tcPr>
            <w:tcW w:w="7147" w:type="dxa"/>
          </w:tcPr>
          <w:p w14:paraId="53E0817F" w14:textId="3DFEF01C" w:rsidR="00786706" w:rsidRPr="00AC0FEF" w:rsidRDefault="00E9357A" w:rsidP="00AC0FEF">
            <w:pPr>
              <w:rPr>
                <w:rFonts w:cs="Arial"/>
                <w:szCs w:val="28"/>
                <w:lang w:val="en-GB"/>
              </w:rPr>
            </w:pPr>
            <w:r w:rsidRPr="003851EE">
              <w:rPr>
                <w:rFonts w:cs="Arial"/>
                <w:szCs w:val="20"/>
              </w:rPr>
              <w:t>2023/</w:t>
            </w:r>
            <w:r>
              <w:rPr>
                <w:rFonts w:cs="Arial"/>
                <w:szCs w:val="20"/>
              </w:rPr>
              <w:t>0001059</w:t>
            </w:r>
          </w:p>
        </w:tc>
      </w:tr>
      <w:tr w:rsidR="00786706" w14:paraId="66BCD115" w14:textId="77777777" w:rsidTr="006721EA">
        <w:tc>
          <w:tcPr>
            <w:tcW w:w="2943" w:type="dxa"/>
          </w:tcPr>
          <w:p w14:paraId="0DEE091F" w14:textId="5E2B7B69" w:rsidR="00786706" w:rsidRPr="00AC0FEF" w:rsidRDefault="00786706" w:rsidP="00AC0FEF">
            <w:pPr>
              <w:rPr>
                <w:rFonts w:cs="Arial"/>
                <w:szCs w:val="28"/>
              </w:rPr>
            </w:pPr>
            <w:r w:rsidRPr="00AC0FEF">
              <w:rPr>
                <w:rFonts w:cs="Arial"/>
                <w:szCs w:val="28"/>
              </w:rPr>
              <w:t>Purpose</w:t>
            </w:r>
          </w:p>
        </w:tc>
        <w:tc>
          <w:tcPr>
            <w:tcW w:w="7147" w:type="dxa"/>
          </w:tcPr>
          <w:p w14:paraId="6F9EE996" w14:textId="77777777" w:rsidR="00E9357A" w:rsidRPr="00C27FA6" w:rsidRDefault="00E9357A" w:rsidP="00E9357A">
            <w:pPr>
              <w:rPr>
                <w:rFonts w:cs="Arial"/>
              </w:rPr>
            </w:pPr>
            <w:r w:rsidRPr="00C27FA6">
              <w:rPr>
                <w:rFonts w:cs="Arial"/>
              </w:rPr>
              <w:t>This policy expresses Griffith University’s commitment to mitigating the impact of our operations on the climate and the natural environment by:</w:t>
            </w:r>
          </w:p>
          <w:p w14:paraId="3E740060" w14:textId="77777777" w:rsidR="00E9357A" w:rsidRPr="00C27FA6" w:rsidRDefault="00E9357A" w:rsidP="00E9357A">
            <w:pPr>
              <w:pStyle w:val="ListParagraph"/>
              <w:numPr>
                <w:ilvl w:val="0"/>
                <w:numId w:val="37"/>
              </w:numPr>
              <w:rPr>
                <w:rFonts w:cs="Arial"/>
              </w:rPr>
            </w:pPr>
            <w:r w:rsidRPr="00C27FA6">
              <w:rPr>
                <w:rFonts w:cs="Arial"/>
              </w:rPr>
              <w:t xml:space="preserve">adopting economic, social, and environmentally responsible practices that align with the principles of the </w:t>
            </w:r>
            <w:hyperlink r:id="rId12" w:history="1">
              <w:r w:rsidRPr="00E9357A">
                <w:rPr>
                  <w:rStyle w:val="Hyperlink"/>
                  <w:rFonts w:cs="Arial"/>
                </w:rPr>
                <w:t>United Nations Sustainable Development Goals</w:t>
              </w:r>
            </w:hyperlink>
            <w:r w:rsidRPr="00C27FA6">
              <w:rPr>
                <w:rFonts w:cs="Arial"/>
              </w:rPr>
              <w:t xml:space="preserve">, </w:t>
            </w:r>
          </w:p>
          <w:p w14:paraId="033F3779" w14:textId="77777777" w:rsidR="00E9357A" w:rsidRPr="00C27FA6" w:rsidRDefault="00E9357A" w:rsidP="00E9357A">
            <w:pPr>
              <w:pStyle w:val="ListParagraph"/>
              <w:numPr>
                <w:ilvl w:val="0"/>
                <w:numId w:val="37"/>
              </w:numPr>
              <w:rPr>
                <w:rFonts w:cs="Arial"/>
              </w:rPr>
            </w:pPr>
            <w:r w:rsidRPr="00C27FA6">
              <w:rPr>
                <w:rFonts w:cs="Arial"/>
              </w:rPr>
              <w:t>complying with all relevant legislation informed by contemporary best practice, First Peoples knowledges and practices, and latest scientific knowledge to prevent and minimise harm to the natural environment, and</w:t>
            </w:r>
          </w:p>
          <w:p w14:paraId="2B3FD335" w14:textId="77777777" w:rsidR="00E9357A" w:rsidRPr="00C27FA6" w:rsidRDefault="00E9357A" w:rsidP="00E9357A">
            <w:pPr>
              <w:pStyle w:val="ListParagraph"/>
              <w:numPr>
                <w:ilvl w:val="1"/>
                <w:numId w:val="37"/>
              </w:numPr>
              <w:rPr>
                <w:rFonts w:cs="Arial"/>
              </w:rPr>
            </w:pPr>
            <w:r w:rsidRPr="00C27FA6">
              <w:rPr>
                <w:rFonts w:cs="Arial"/>
              </w:rPr>
              <w:t>developing action plans to:</w:t>
            </w:r>
          </w:p>
          <w:p w14:paraId="4A965F37" w14:textId="77777777" w:rsidR="00E9357A" w:rsidRPr="00C27FA6" w:rsidRDefault="00E9357A" w:rsidP="00E9357A">
            <w:pPr>
              <w:pStyle w:val="ListParagraph"/>
              <w:numPr>
                <w:ilvl w:val="1"/>
                <w:numId w:val="37"/>
              </w:numPr>
              <w:rPr>
                <w:rFonts w:cs="Arial"/>
              </w:rPr>
            </w:pPr>
            <w:r w:rsidRPr="00C27FA6">
              <w:rPr>
                <w:rFonts w:cs="Arial"/>
              </w:rPr>
              <w:t>achieve net zero by 2029 within the defined emissions boundary,</w:t>
            </w:r>
          </w:p>
          <w:p w14:paraId="05CF8BFD" w14:textId="77777777" w:rsidR="00E9357A" w:rsidRPr="00C27FA6" w:rsidRDefault="00E9357A" w:rsidP="00E9357A">
            <w:pPr>
              <w:pStyle w:val="ListParagraph"/>
              <w:numPr>
                <w:ilvl w:val="1"/>
                <w:numId w:val="37"/>
              </w:numPr>
              <w:rPr>
                <w:rFonts w:cs="Arial"/>
              </w:rPr>
            </w:pPr>
            <w:r w:rsidRPr="00C27FA6">
              <w:rPr>
                <w:rFonts w:cs="Arial"/>
              </w:rPr>
              <w:t>avoid and reduce waste on campus,</w:t>
            </w:r>
          </w:p>
          <w:p w14:paraId="063A1592" w14:textId="77777777" w:rsidR="00E9357A" w:rsidRPr="00C27FA6" w:rsidRDefault="00E9357A" w:rsidP="00E9357A">
            <w:pPr>
              <w:pStyle w:val="ListParagraph"/>
              <w:numPr>
                <w:ilvl w:val="1"/>
                <w:numId w:val="37"/>
              </w:numPr>
              <w:rPr>
                <w:rFonts w:cs="Arial"/>
              </w:rPr>
            </w:pPr>
            <w:r w:rsidRPr="00C27FA6">
              <w:rPr>
                <w:rFonts w:cs="Arial"/>
              </w:rPr>
              <w:t>protect and enhance biodiversity, including offsetting unavoidable impacts, and</w:t>
            </w:r>
          </w:p>
          <w:p w14:paraId="7D5A3F67" w14:textId="77777777" w:rsidR="00E9357A" w:rsidRPr="00C27FA6" w:rsidRDefault="00E9357A" w:rsidP="00E9357A">
            <w:pPr>
              <w:pStyle w:val="ListParagraph"/>
              <w:numPr>
                <w:ilvl w:val="1"/>
                <w:numId w:val="37"/>
              </w:numPr>
              <w:rPr>
                <w:rFonts w:cs="Arial"/>
              </w:rPr>
            </w:pPr>
            <w:r w:rsidRPr="00C27FA6">
              <w:rPr>
                <w:rFonts w:cs="Arial"/>
              </w:rPr>
              <w:t>prevent pollution of waterways and improve catchment health.</w:t>
            </w:r>
          </w:p>
          <w:p w14:paraId="7FE09B90" w14:textId="2D82024C" w:rsidR="00786706" w:rsidRPr="00AC0FEF" w:rsidRDefault="00786706" w:rsidP="00AC0FEF">
            <w:pPr>
              <w:rPr>
                <w:rFonts w:cs="Arial"/>
                <w:szCs w:val="28"/>
                <w:lang w:val="en-GB"/>
              </w:rPr>
            </w:pPr>
          </w:p>
        </w:tc>
      </w:tr>
      <w:tr w:rsidR="00E9357A" w14:paraId="625A2530" w14:textId="77777777" w:rsidTr="006721EA">
        <w:tc>
          <w:tcPr>
            <w:tcW w:w="2943" w:type="dxa"/>
          </w:tcPr>
          <w:sdt>
            <w:sdtPr>
              <w:rPr>
                <w:rFonts w:cs="Arial"/>
                <w:szCs w:val="28"/>
              </w:rPr>
              <w:id w:val="-305943360"/>
              <w:placeholder>
                <w:docPart w:val="8CF85914A66A46C48DB740CA8699302E"/>
              </w:placeholder>
              <w15:color w:val="E51F30"/>
              <w:dropDownList>
                <w:listItem w:displayText="Staff" w:value="Staff"/>
                <w:listItem w:displayText="Students" w:value="Students"/>
                <w:listItem w:displayText="Public" w:value="Public"/>
              </w:dropDownList>
            </w:sdtPr>
            <w:sdtEndPr/>
            <w:sdtContent>
              <w:p w14:paraId="74ADF083" w14:textId="318E31CB" w:rsidR="00E9357A" w:rsidRPr="00AC0FEF" w:rsidRDefault="00E9357A" w:rsidP="00E9357A">
                <w:pPr>
                  <w:rPr>
                    <w:rFonts w:cs="Arial"/>
                    <w:szCs w:val="28"/>
                  </w:rPr>
                </w:pPr>
                <w:r>
                  <w:rPr>
                    <w:rFonts w:cs="Arial"/>
                    <w:szCs w:val="28"/>
                  </w:rPr>
                  <w:t>Staff</w:t>
                </w:r>
              </w:p>
            </w:sdtContent>
          </w:sdt>
        </w:tc>
        <w:tc>
          <w:tcPr>
            <w:tcW w:w="7147" w:type="dxa"/>
          </w:tcPr>
          <w:p w14:paraId="4FF0C248" w14:textId="3221F807" w:rsidR="00E9357A" w:rsidRPr="00AC0FEF" w:rsidRDefault="00E9357A" w:rsidP="00E9357A">
            <w:pPr>
              <w:rPr>
                <w:rFonts w:cs="Arial"/>
                <w:szCs w:val="28"/>
              </w:rPr>
            </w:pPr>
            <w:r w:rsidRPr="00E9357A">
              <w:rPr>
                <w:rFonts w:cs="Arial"/>
                <w:szCs w:val="28"/>
              </w:rPr>
              <w:t>Staff; Students; Visitors</w:t>
            </w:r>
          </w:p>
        </w:tc>
      </w:tr>
      <w:tr w:rsidR="00E9357A" w14:paraId="132A1D0D" w14:textId="77777777" w:rsidTr="006721EA">
        <w:tc>
          <w:tcPr>
            <w:tcW w:w="2943" w:type="dxa"/>
          </w:tcPr>
          <w:p w14:paraId="375184E5" w14:textId="4F1FD2B3" w:rsidR="00E9357A" w:rsidRPr="00AC0FEF" w:rsidRDefault="00E9357A" w:rsidP="00E9357A">
            <w:pPr>
              <w:rPr>
                <w:rFonts w:cs="Arial"/>
                <w:szCs w:val="28"/>
              </w:rPr>
            </w:pPr>
            <w:r w:rsidRPr="00AC0FEF">
              <w:rPr>
                <w:rFonts w:cs="Arial"/>
                <w:szCs w:val="28"/>
              </w:rPr>
              <w:t>Category</w:t>
            </w:r>
          </w:p>
        </w:tc>
        <w:tc>
          <w:tcPr>
            <w:tcW w:w="7147" w:type="dxa"/>
          </w:tcPr>
          <w:sdt>
            <w:sdtPr>
              <w:rPr>
                <w:rFonts w:cs="Arial"/>
                <w:szCs w:val="28"/>
              </w:rPr>
              <w:id w:val="683178401"/>
              <w:placeholder>
                <w:docPart w:val="A577BD52A18B44ACA9498356941050A1"/>
              </w:placeholder>
              <w15:color w:val="E51F30"/>
              <w:dropDownList>
                <w:listItem w:displayText="Academic" w:value="Academic"/>
                <w:listItem w:displayText="Governance" w:value="Governance"/>
                <w:listItem w:displayText="Operational" w:value="Operational"/>
              </w:dropDownList>
            </w:sdtPr>
            <w:sdtEndPr/>
            <w:sdtContent>
              <w:p w14:paraId="4D641298" w14:textId="1B31D839" w:rsidR="00E9357A" w:rsidRPr="00AC0FEF" w:rsidRDefault="00E9357A" w:rsidP="00E9357A">
                <w:pPr>
                  <w:rPr>
                    <w:rFonts w:cs="Arial"/>
                    <w:szCs w:val="28"/>
                  </w:rPr>
                </w:pPr>
                <w:r>
                  <w:rPr>
                    <w:rFonts w:cs="Arial"/>
                    <w:szCs w:val="28"/>
                  </w:rPr>
                  <w:t>Operational</w:t>
                </w:r>
              </w:p>
            </w:sdtContent>
          </w:sdt>
        </w:tc>
      </w:tr>
      <w:tr w:rsidR="00E9357A" w14:paraId="704234F9" w14:textId="77777777" w:rsidTr="006721EA">
        <w:tc>
          <w:tcPr>
            <w:tcW w:w="2943" w:type="dxa"/>
          </w:tcPr>
          <w:p w14:paraId="51A9284E" w14:textId="46B8CBB9" w:rsidR="00E9357A" w:rsidRPr="00AC0FEF" w:rsidRDefault="00E9357A" w:rsidP="00E9357A">
            <w:pPr>
              <w:rPr>
                <w:rFonts w:cs="Arial"/>
                <w:szCs w:val="28"/>
              </w:rPr>
            </w:pPr>
            <w:r w:rsidRPr="00AC0FEF">
              <w:rPr>
                <w:rFonts w:cs="Arial"/>
                <w:szCs w:val="28"/>
              </w:rPr>
              <w:t>Subcategory</w:t>
            </w:r>
          </w:p>
        </w:tc>
        <w:tc>
          <w:tcPr>
            <w:tcW w:w="7147" w:type="dxa"/>
          </w:tcPr>
          <w:p w14:paraId="617C1518" w14:textId="0F11C3DC" w:rsidR="00E9357A" w:rsidRPr="00AC0FEF" w:rsidRDefault="00E9357A" w:rsidP="00E9357A">
            <w:pPr>
              <w:rPr>
                <w:rFonts w:cs="Arial"/>
                <w:szCs w:val="28"/>
                <w:lang w:val="en-GB"/>
              </w:rPr>
            </w:pPr>
            <w:r>
              <w:rPr>
                <w:rFonts w:cs="Arial"/>
                <w:szCs w:val="28"/>
                <w:lang w:val="en-GB"/>
              </w:rPr>
              <w:t>Operational</w:t>
            </w:r>
          </w:p>
        </w:tc>
      </w:tr>
      <w:tr w:rsidR="00E9357A" w14:paraId="1DD394A7" w14:textId="77777777" w:rsidTr="006721EA">
        <w:tc>
          <w:tcPr>
            <w:tcW w:w="2943" w:type="dxa"/>
          </w:tcPr>
          <w:p w14:paraId="4CDE964B" w14:textId="68F552EF" w:rsidR="00E9357A" w:rsidRPr="00AC0FEF" w:rsidRDefault="00E9357A" w:rsidP="00E9357A">
            <w:pPr>
              <w:rPr>
                <w:rFonts w:cs="Arial"/>
                <w:szCs w:val="28"/>
              </w:rPr>
            </w:pPr>
            <w:r w:rsidRPr="00AC0FEF">
              <w:rPr>
                <w:rFonts w:cs="Arial"/>
                <w:szCs w:val="28"/>
              </w:rPr>
              <w:t>UN Sustainable Development Goals (SDGs)</w:t>
            </w:r>
          </w:p>
        </w:tc>
        <w:tc>
          <w:tcPr>
            <w:tcW w:w="7147" w:type="dxa"/>
          </w:tcPr>
          <w:p w14:paraId="68B0A012" w14:textId="77777777" w:rsidR="00E9357A" w:rsidRPr="00AC0FEF" w:rsidRDefault="00E9357A" w:rsidP="00E9357A">
            <w:pPr>
              <w:rPr>
                <w:rFonts w:cs="Arial"/>
                <w:szCs w:val="28"/>
              </w:rPr>
            </w:pPr>
            <w:r w:rsidRPr="00AC0FEF">
              <w:rPr>
                <w:rFonts w:cs="Arial"/>
                <w:szCs w:val="28"/>
              </w:rPr>
              <w:t>This document aligns with Sustainable Development Goal/s:</w:t>
            </w:r>
          </w:p>
          <w:sdt>
            <w:sdtPr>
              <w:rPr>
                <w:rFonts w:cs="Arial"/>
                <w:szCs w:val="28"/>
              </w:rPr>
              <w:id w:val="468869604"/>
              <w:placeholder>
                <w:docPart w:val="ED4680DE9BA0480891BFD63F59D1BA1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6DE11F50" w:rsidR="00E9357A" w:rsidRPr="00AC0FEF" w:rsidRDefault="00E9357A" w:rsidP="00E9357A">
                <w:pPr>
                  <w:rPr>
                    <w:rFonts w:cs="Arial"/>
                    <w:szCs w:val="28"/>
                  </w:rPr>
                </w:pPr>
                <w:r>
                  <w:rPr>
                    <w:rFonts w:cs="Arial"/>
                    <w:szCs w:val="28"/>
                  </w:rPr>
                  <w:t>11: Sustainable Cities and Communities</w:t>
                </w:r>
              </w:p>
            </w:sdtContent>
          </w:sdt>
        </w:tc>
      </w:tr>
      <w:tr w:rsidR="00E9357A" w14:paraId="72503509" w14:textId="77777777" w:rsidTr="006721EA">
        <w:tc>
          <w:tcPr>
            <w:tcW w:w="2943" w:type="dxa"/>
          </w:tcPr>
          <w:p w14:paraId="7967AC55" w14:textId="476A8E6E" w:rsidR="00E9357A" w:rsidRPr="00AC0FEF" w:rsidRDefault="00E9357A" w:rsidP="00E9357A">
            <w:pPr>
              <w:rPr>
                <w:rFonts w:cs="Arial"/>
                <w:szCs w:val="28"/>
              </w:rPr>
            </w:pPr>
            <w:r w:rsidRPr="00AC0FEF">
              <w:rPr>
                <w:rFonts w:cs="Arial"/>
                <w:szCs w:val="28"/>
              </w:rPr>
              <w:t>Approval date</w:t>
            </w:r>
          </w:p>
        </w:tc>
        <w:tc>
          <w:tcPr>
            <w:tcW w:w="7147" w:type="dxa"/>
          </w:tcPr>
          <w:p w14:paraId="194B217B" w14:textId="2DC27D29" w:rsidR="00E9357A" w:rsidRPr="00AC0FEF" w:rsidRDefault="00E9357A" w:rsidP="00E9357A">
            <w:pPr>
              <w:rPr>
                <w:rFonts w:cs="Arial"/>
                <w:szCs w:val="28"/>
              </w:rPr>
            </w:pPr>
            <w:r>
              <w:rPr>
                <w:rFonts w:cs="Arial"/>
                <w:szCs w:val="28"/>
              </w:rPr>
              <w:t>31 July 2023</w:t>
            </w:r>
          </w:p>
        </w:tc>
      </w:tr>
      <w:tr w:rsidR="00E9357A" w14:paraId="2AB5E63B" w14:textId="77777777" w:rsidTr="006721EA">
        <w:tc>
          <w:tcPr>
            <w:tcW w:w="2943" w:type="dxa"/>
          </w:tcPr>
          <w:p w14:paraId="64F617D1" w14:textId="7CF14029" w:rsidR="00E9357A" w:rsidRPr="00AC0FEF" w:rsidRDefault="00E9357A" w:rsidP="00E9357A">
            <w:pPr>
              <w:rPr>
                <w:rFonts w:cs="Arial"/>
                <w:szCs w:val="28"/>
              </w:rPr>
            </w:pPr>
            <w:r w:rsidRPr="00AC0FEF">
              <w:rPr>
                <w:rFonts w:cs="Arial"/>
                <w:szCs w:val="28"/>
              </w:rPr>
              <w:t>Effective date</w:t>
            </w:r>
          </w:p>
        </w:tc>
        <w:tc>
          <w:tcPr>
            <w:tcW w:w="7147" w:type="dxa"/>
          </w:tcPr>
          <w:p w14:paraId="4FFCA795" w14:textId="13F3C9B7" w:rsidR="00E9357A" w:rsidRPr="00AC0FEF" w:rsidRDefault="00E9357A" w:rsidP="00E9357A">
            <w:pPr>
              <w:rPr>
                <w:rFonts w:cs="Arial"/>
                <w:szCs w:val="28"/>
              </w:rPr>
            </w:pPr>
            <w:r>
              <w:rPr>
                <w:rFonts w:cs="Arial"/>
                <w:szCs w:val="28"/>
              </w:rPr>
              <w:t>31 July 2023</w:t>
            </w:r>
          </w:p>
        </w:tc>
      </w:tr>
      <w:tr w:rsidR="00E9357A" w14:paraId="6F3FFE23" w14:textId="77777777" w:rsidTr="006721EA">
        <w:tc>
          <w:tcPr>
            <w:tcW w:w="2943" w:type="dxa"/>
          </w:tcPr>
          <w:p w14:paraId="6FF0BF57" w14:textId="3ECF3A96" w:rsidR="00E9357A" w:rsidRPr="00AC0FEF" w:rsidRDefault="00E9357A" w:rsidP="00E9357A">
            <w:pPr>
              <w:rPr>
                <w:rFonts w:cs="Arial"/>
                <w:szCs w:val="28"/>
              </w:rPr>
            </w:pPr>
            <w:r w:rsidRPr="00AC0FEF">
              <w:rPr>
                <w:rFonts w:cs="Arial"/>
                <w:szCs w:val="28"/>
              </w:rPr>
              <w:lastRenderedPageBreak/>
              <w:t>Review date</w:t>
            </w:r>
          </w:p>
        </w:tc>
        <w:tc>
          <w:tcPr>
            <w:tcW w:w="7147" w:type="dxa"/>
          </w:tcPr>
          <w:p w14:paraId="01E953C9" w14:textId="4E64B8BC" w:rsidR="00E9357A" w:rsidRPr="00AC0FEF" w:rsidRDefault="00E9357A" w:rsidP="00E9357A">
            <w:pPr>
              <w:rPr>
                <w:rFonts w:cs="Arial"/>
                <w:szCs w:val="28"/>
              </w:rPr>
            </w:pPr>
            <w:r>
              <w:rPr>
                <w:rFonts w:cs="Arial"/>
                <w:szCs w:val="28"/>
              </w:rPr>
              <w:t>2028</w:t>
            </w:r>
          </w:p>
        </w:tc>
      </w:tr>
      <w:tr w:rsidR="00E9357A" w14:paraId="3BDD3607" w14:textId="77777777" w:rsidTr="006721EA">
        <w:tc>
          <w:tcPr>
            <w:tcW w:w="2943" w:type="dxa"/>
          </w:tcPr>
          <w:p w14:paraId="12FCF114" w14:textId="4AD0B255" w:rsidR="00E9357A" w:rsidRPr="00AC0FEF" w:rsidRDefault="00E9357A" w:rsidP="00E9357A">
            <w:pPr>
              <w:rPr>
                <w:rFonts w:cs="Arial"/>
                <w:szCs w:val="28"/>
              </w:rPr>
            </w:pPr>
            <w:r w:rsidRPr="00AC0FEF">
              <w:rPr>
                <w:rFonts w:cs="Arial"/>
                <w:szCs w:val="28"/>
              </w:rPr>
              <w:t>Policy advisor</w:t>
            </w:r>
          </w:p>
        </w:tc>
        <w:tc>
          <w:tcPr>
            <w:tcW w:w="7147" w:type="dxa"/>
          </w:tcPr>
          <w:p w14:paraId="0CB94D75" w14:textId="426D6381" w:rsidR="00E9357A" w:rsidRPr="00AC0FEF" w:rsidRDefault="00E9357A" w:rsidP="00E9357A">
            <w:pPr>
              <w:rPr>
                <w:rFonts w:cs="Arial"/>
                <w:szCs w:val="28"/>
              </w:rPr>
            </w:pPr>
            <w:r>
              <w:rPr>
                <w:rFonts w:cs="Arial"/>
                <w:szCs w:val="20"/>
              </w:rPr>
              <w:t>Dean, SDG Performance</w:t>
            </w:r>
          </w:p>
        </w:tc>
      </w:tr>
      <w:tr w:rsidR="00E9357A" w14:paraId="49179DFF" w14:textId="77777777" w:rsidTr="006721EA">
        <w:tc>
          <w:tcPr>
            <w:tcW w:w="2943" w:type="dxa"/>
          </w:tcPr>
          <w:p w14:paraId="1B0442C2" w14:textId="61E06347" w:rsidR="00E9357A" w:rsidRPr="00AC0FEF" w:rsidRDefault="00E9357A" w:rsidP="00E9357A">
            <w:pPr>
              <w:rPr>
                <w:rFonts w:cs="Arial"/>
                <w:szCs w:val="28"/>
              </w:rPr>
            </w:pPr>
            <w:r w:rsidRPr="00AC0FEF">
              <w:rPr>
                <w:rFonts w:cs="Arial"/>
                <w:szCs w:val="28"/>
              </w:rPr>
              <w:t>Approving authority</w:t>
            </w:r>
          </w:p>
        </w:tc>
        <w:tc>
          <w:tcPr>
            <w:tcW w:w="7147" w:type="dxa"/>
          </w:tcPr>
          <w:p w14:paraId="0D81D6BC" w14:textId="4A0711AB" w:rsidR="00E9357A" w:rsidRPr="00AC0FEF" w:rsidRDefault="00E9357A" w:rsidP="00E9357A">
            <w:pPr>
              <w:rPr>
                <w:rFonts w:cs="Arial"/>
                <w:szCs w:val="28"/>
              </w:rPr>
            </w:pPr>
            <w:r>
              <w:rPr>
                <w:rFonts w:cs="Arial"/>
                <w:szCs w:val="28"/>
              </w:rPr>
              <w:t>Vice Chancellor</w:t>
            </w:r>
          </w:p>
        </w:tc>
      </w:tr>
    </w:tbl>
    <w:p w14:paraId="07DD10BA" w14:textId="0FA127FA" w:rsidR="00811F90" w:rsidRDefault="00811F90" w:rsidP="008E2FFB">
      <w:pPr>
        <w:rPr>
          <w:rFonts w:cs="Arial"/>
          <w:sz w:val="20"/>
          <w:szCs w:val="20"/>
        </w:rPr>
      </w:pPr>
    </w:p>
    <w:p w14:paraId="605F990D" w14:textId="23E5A500" w:rsidR="00C22059" w:rsidRPr="003205F8" w:rsidRDefault="00FC349F" w:rsidP="00746A0E">
      <w:pPr>
        <w:pStyle w:val="Heading2"/>
        <w:rPr>
          <w:rFonts w:ascii="Griffith Sans Text" w:hAnsi="Griffith Sans Text"/>
        </w:rPr>
      </w:pPr>
      <w:bookmarkStart w:id="8" w:name="_7.0_Related_Policy"/>
      <w:bookmarkEnd w:id="8"/>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rPr>
                <w:rFonts w:cs="Arial"/>
              </w:rPr>
            </w:pPr>
            <w:r w:rsidRPr="00AC0FEF">
              <w:rPr>
                <w:rFonts w:cs="Arial"/>
              </w:rPr>
              <w:t>Legislation</w:t>
            </w:r>
          </w:p>
        </w:tc>
        <w:tc>
          <w:tcPr>
            <w:tcW w:w="7147" w:type="dxa"/>
          </w:tcPr>
          <w:p w14:paraId="023BC9F1" w14:textId="77777777" w:rsidR="00E9357A" w:rsidRPr="00551BAD" w:rsidRDefault="00347C6D" w:rsidP="00E9357A">
            <w:pPr>
              <w:spacing w:before="80" w:after="80"/>
              <w:rPr>
                <w:rStyle w:val="Hyperlink"/>
              </w:rPr>
            </w:pPr>
            <w:hyperlink r:id="rId13" w:history="1">
              <w:r w:rsidR="00E9357A" w:rsidRPr="00942321">
                <w:rPr>
                  <w:rStyle w:val="Hyperlink"/>
                  <w:rFonts w:cs="Arial"/>
                </w:rPr>
                <w:t>Biosecurity Act 2014 (Qld)</w:t>
              </w:r>
            </w:hyperlink>
          </w:p>
          <w:p w14:paraId="4ABEC1F2" w14:textId="77777777" w:rsidR="00E9357A" w:rsidRDefault="00347C6D" w:rsidP="00E9357A">
            <w:pPr>
              <w:spacing w:before="80" w:after="80"/>
              <w:rPr>
                <w:rStyle w:val="Hyperlink"/>
                <w:rFonts w:cs="Arial"/>
              </w:rPr>
            </w:pPr>
            <w:hyperlink r:id="rId14" w:history="1">
              <w:r w:rsidR="00E9357A" w:rsidRPr="00707514">
                <w:rPr>
                  <w:rStyle w:val="Hyperlink"/>
                  <w:rFonts w:cs="Arial"/>
                </w:rPr>
                <w:t>Griffith University Act 1998</w:t>
              </w:r>
            </w:hyperlink>
          </w:p>
          <w:p w14:paraId="13233EE1" w14:textId="77777777" w:rsidR="00E9357A" w:rsidRPr="00551BAD" w:rsidRDefault="00347C6D" w:rsidP="00E9357A">
            <w:pPr>
              <w:spacing w:before="80" w:after="80"/>
              <w:rPr>
                <w:rStyle w:val="Hyperlink"/>
              </w:rPr>
            </w:pPr>
            <w:hyperlink r:id="rId15" w:history="1">
              <w:r w:rsidR="00E9357A" w:rsidRPr="00FD01E4">
                <w:rPr>
                  <w:rStyle w:val="Hyperlink"/>
                  <w:rFonts w:cs="Arial"/>
                </w:rPr>
                <w:t>Environmental Offsets Act 2014</w:t>
              </w:r>
            </w:hyperlink>
          </w:p>
          <w:p w14:paraId="4A2FFFAD" w14:textId="77777777" w:rsidR="00E9357A" w:rsidRPr="00551BAD" w:rsidRDefault="00347C6D" w:rsidP="00E9357A">
            <w:pPr>
              <w:spacing w:before="80" w:after="80"/>
              <w:rPr>
                <w:rStyle w:val="Hyperlink"/>
              </w:rPr>
            </w:pPr>
            <w:hyperlink r:id="rId16" w:history="1">
              <w:r w:rsidR="00E9357A" w:rsidRPr="001726A2">
                <w:rPr>
                  <w:rStyle w:val="Hyperlink"/>
                  <w:rFonts w:cs="Arial"/>
                </w:rPr>
                <w:t>Environmental Offsets Regulation 2014</w:t>
              </w:r>
            </w:hyperlink>
          </w:p>
          <w:p w14:paraId="2E7063B2" w14:textId="77777777" w:rsidR="00E9357A" w:rsidRPr="00551BAD" w:rsidRDefault="00347C6D" w:rsidP="00E9357A">
            <w:pPr>
              <w:spacing w:before="80" w:after="80"/>
              <w:rPr>
                <w:rStyle w:val="Hyperlink"/>
              </w:rPr>
            </w:pPr>
            <w:hyperlink r:id="rId17" w:history="1">
              <w:r w:rsidR="00E9357A" w:rsidRPr="00942321">
                <w:rPr>
                  <w:rStyle w:val="Hyperlink"/>
                  <w:rFonts w:cs="Arial"/>
                </w:rPr>
                <w:t>Environmental Protection Act 1994 (Qld)</w:t>
              </w:r>
            </w:hyperlink>
          </w:p>
          <w:p w14:paraId="28AD60F5" w14:textId="77777777" w:rsidR="00E9357A" w:rsidRPr="00551BAD" w:rsidRDefault="00347C6D" w:rsidP="00E9357A">
            <w:pPr>
              <w:spacing w:before="80" w:after="80"/>
              <w:rPr>
                <w:rStyle w:val="Hyperlink"/>
              </w:rPr>
            </w:pPr>
            <w:hyperlink r:id="rId18" w:history="1">
              <w:r w:rsidR="00E9357A" w:rsidRPr="000B232D">
                <w:rPr>
                  <w:rStyle w:val="Hyperlink"/>
                  <w:rFonts w:cs="Arial"/>
                </w:rPr>
                <w:t>Environment Protection and Biodiversity Conservation Act 1999 (</w:t>
              </w:r>
              <w:proofErr w:type="spellStart"/>
              <w:r w:rsidR="00E9357A" w:rsidRPr="000B232D">
                <w:rPr>
                  <w:rStyle w:val="Hyperlink"/>
                  <w:rFonts w:cs="Arial"/>
                </w:rPr>
                <w:t>C’th</w:t>
              </w:r>
              <w:proofErr w:type="spellEnd"/>
              <w:r w:rsidR="00E9357A" w:rsidRPr="000B232D">
                <w:rPr>
                  <w:rStyle w:val="Hyperlink"/>
                  <w:rFonts w:cs="Arial"/>
                </w:rPr>
                <w:t>)</w:t>
              </w:r>
            </w:hyperlink>
          </w:p>
          <w:p w14:paraId="1E6D60D0" w14:textId="77777777" w:rsidR="00E9357A" w:rsidRDefault="00347C6D" w:rsidP="00E9357A">
            <w:pPr>
              <w:spacing w:before="80" w:after="80"/>
              <w:rPr>
                <w:rStyle w:val="Hyperlink"/>
                <w:rFonts w:cs="Arial"/>
              </w:rPr>
            </w:pPr>
            <w:hyperlink r:id="rId19" w:history="1">
              <w:r w:rsidR="00E9357A" w:rsidRPr="00C800E6">
                <w:rPr>
                  <w:rStyle w:val="Hyperlink"/>
                  <w:rFonts w:cs="Arial"/>
                </w:rPr>
                <w:t>Environmental Protection Regulation 2019 (Qld)</w:t>
              </w:r>
            </w:hyperlink>
          </w:p>
          <w:p w14:paraId="6527BBD0" w14:textId="77777777" w:rsidR="00E9357A" w:rsidRPr="00B37C40" w:rsidRDefault="00347C6D" w:rsidP="00E9357A">
            <w:pPr>
              <w:spacing w:before="80" w:after="80"/>
              <w:rPr>
                <w:rStyle w:val="Hyperlink"/>
              </w:rPr>
            </w:pPr>
            <w:hyperlink r:id="rId20" w:history="1">
              <w:r w:rsidR="00E9357A" w:rsidRPr="00B37C40">
                <w:rPr>
                  <w:rStyle w:val="Hyperlink"/>
                  <w:rFonts w:cs="Arial"/>
                </w:rPr>
                <w:t>Environmental Protection (Air) Policy 2019</w:t>
              </w:r>
              <w:r w:rsidR="00E9357A" w:rsidRPr="00551BAD">
                <w:rPr>
                  <w:rStyle w:val="Hyperlink"/>
                  <w:rFonts w:cs="Arial"/>
                </w:rPr>
                <w:t xml:space="preserve"> (QLD)</w:t>
              </w:r>
            </w:hyperlink>
          </w:p>
          <w:p w14:paraId="405D19DE" w14:textId="77777777" w:rsidR="00E9357A" w:rsidRPr="00B37C40" w:rsidRDefault="00347C6D" w:rsidP="00E9357A">
            <w:pPr>
              <w:spacing w:before="80" w:after="80"/>
              <w:rPr>
                <w:rStyle w:val="Hyperlink"/>
              </w:rPr>
            </w:pPr>
            <w:hyperlink r:id="rId21" w:history="1">
              <w:r w:rsidR="00E9357A" w:rsidRPr="00551BAD">
                <w:rPr>
                  <w:rStyle w:val="Hyperlink"/>
                  <w:rFonts w:cs="Arial"/>
                </w:rPr>
                <w:t>Environmental Protection (Noise) Policy 2019 (Qld)</w:t>
              </w:r>
            </w:hyperlink>
          </w:p>
          <w:p w14:paraId="4EB6246D" w14:textId="77777777" w:rsidR="00E9357A" w:rsidRPr="00B37C40" w:rsidRDefault="00347C6D" w:rsidP="00E9357A">
            <w:pPr>
              <w:spacing w:before="80" w:after="80"/>
              <w:rPr>
                <w:rStyle w:val="Hyperlink"/>
              </w:rPr>
            </w:pPr>
            <w:hyperlink r:id="rId22" w:history="1">
              <w:r w:rsidR="00E9357A" w:rsidRPr="00786DAE">
                <w:rPr>
                  <w:rStyle w:val="Hyperlink"/>
                  <w:rFonts w:cs="Arial"/>
                </w:rPr>
                <w:t>Environmental Protection (Water and Wetland Biodiversity) Policy 2019 (Qld)</w:t>
              </w:r>
            </w:hyperlink>
          </w:p>
          <w:p w14:paraId="3CA04E14" w14:textId="77777777" w:rsidR="00E9357A" w:rsidRDefault="00347C6D" w:rsidP="00E9357A">
            <w:pPr>
              <w:spacing w:before="80" w:after="80"/>
              <w:rPr>
                <w:rStyle w:val="Hyperlink"/>
                <w:rFonts w:cs="Arial"/>
              </w:rPr>
            </w:pPr>
            <w:hyperlink r:id="rId23" w:history="1">
              <w:r w:rsidR="00E9357A" w:rsidRPr="00A801ED">
                <w:rPr>
                  <w:rStyle w:val="Hyperlink"/>
                  <w:rFonts w:cs="Arial"/>
                </w:rPr>
                <w:t>National Greenhouse Energy Reporting Act 2007 (</w:t>
              </w:r>
              <w:proofErr w:type="spellStart"/>
              <w:r w:rsidR="00E9357A" w:rsidRPr="00A801ED">
                <w:rPr>
                  <w:rStyle w:val="Hyperlink"/>
                  <w:rFonts w:cs="Arial"/>
                </w:rPr>
                <w:t>C’th</w:t>
              </w:r>
              <w:proofErr w:type="spellEnd"/>
              <w:r w:rsidR="00E9357A" w:rsidRPr="00A801ED">
                <w:rPr>
                  <w:rStyle w:val="Hyperlink"/>
                  <w:rFonts w:cs="Arial"/>
                </w:rPr>
                <w:t>)</w:t>
              </w:r>
            </w:hyperlink>
          </w:p>
          <w:p w14:paraId="6CE01EFE" w14:textId="77777777" w:rsidR="00E9357A" w:rsidRPr="00B37C40" w:rsidRDefault="00347C6D" w:rsidP="00E9357A">
            <w:pPr>
              <w:spacing w:before="80" w:after="80"/>
              <w:rPr>
                <w:rStyle w:val="Hyperlink"/>
              </w:rPr>
            </w:pPr>
            <w:hyperlink r:id="rId24" w:history="1">
              <w:r w:rsidR="00E9357A" w:rsidRPr="00B37C40">
                <w:rPr>
                  <w:rStyle w:val="Hyperlink"/>
                  <w:rFonts w:cs="Arial"/>
                </w:rPr>
                <w:t>Natural Assets Local Law 2003 (Brisbane City Council)</w:t>
              </w:r>
            </w:hyperlink>
          </w:p>
          <w:p w14:paraId="6D11EC48" w14:textId="77777777" w:rsidR="00E9357A" w:rsidRPr="00B37C40" w:rsidRDefault="00347C6D" w:rsidP="00E9357A">
            <w:pPr>
              <w:spacing w:before="80" w:after="80"/>
              <w:rPr>
                <w:rStyle w:val="Hyperlink"/>
              </w:rPr>
            </w:pPr>
            <w:hyperlink r:id="rId25" w:history="1">
              <w:r w:rsidR="00E9357A" w:rsidRPr="006E0F62">
                <w:rPr>
                  <w:rStyle w:val="Hyperlink"/>
                  <w:rFonts w:cs="Arial"/>
                </w:rPr>
                <w:t>Nature Conservation Act 1992 (Qld)</w:t>
              </w:r>
            </w:hyperlink>
          </w:p>
          <w:p w14:paraId="63A289A7" w14:textId="77777777" w:rsidR="00E9357A" w:rsidRDefault="00347C6D" w:rsidP="00E9357A">
            <w:pPr>
              <w:spacing w:before="80" w:after="80"/>
              <w:rPr>
                <w:rStyle w:val="Hyperlink"/>
                <w:rFonts w:cs="Arial"/>
              </w:rPr>
            </w:pPr>
            <w:hyperlink r:id="rId26" w:history="1">
              <w:r w:rsidR="00E9357A" w:rsidRPr="006E0F62">
                <w:rPr>
                  <w:rStyle w:val="Hyperlink"/>
                  <w:rFonts w:cs="Arial"/>
                </w:rPr>
                <w:t>Planning Act 2016 (Qld)</w:t>
              </w:r>
            </w:hyperlink>
          </w:p>
          <w:p w14:paraId="6D87C37A" w14:textId="77777777" w:rsidR="00E9357A" w:rsidRPr="00EF4C66" w:rsidRDefault="00347C6D" w:rsidP="00E9357A">
            <w:pPr>
              <w:spacing w:before="80" w:after="80"/>
              <w:rPr>
                <w:rStyle w:val="Hyperlink"/>
                <w:rFonts w:cs="Arial"/>
              </w:rPr>
            </w:pPr>
            <w:hyperlink r:id="rId27" w:history="1">
              <w:r w:rsidR="00E9357A" w:rsidRPr="00FD01E4">
                <w:rPr>
                  <w:rStyle w:val="Hyperlink"/>
                  <w:rFonts w:cs="Arial"/>
                </w:rPr>
                <w:t>State Government Support Infrastructure Koala Conservation Policy 2023 (Qld)</w:t>
              </w:r>
            </w:hyperlink>
          </w:p>
          <w:p w14:paraId="0C630A2C" w14:textId="77777777" w:rsidR="00E9357A" w:rsidRPr="00B37C40" w:rsidRDefault="00347C6D" w:rsidP="00E9357A">
            <w:pPr>
              <w:spacing w:before="80" w:after="80"/>
              <w:rPr>
                <w:rStyle w:val="Hyperlink"/>
              </w:rPr>
            </w:pPr>
            <w:hyperlink r:id="rId28" w:history="1">
              <w:r w:rsidR="00E9357A" w:rsidRPr="00723F4D">
                <w:rPr>
                  <w:rStyle w:val="Hyperlink"/>
                  <w:rFonts w:cs="Arial"/>
                </w:rPr>
                <w:t xml:space="preserve">Vegetation Management </w:t>
              </w:r>
              <w:r w:rsidR="00E9357A" w:rsidRPr="00551BAD">
                <w:rPr>
                  <w:rStyle w:val="Hyperlink"/>
                  <w:rFonts w:cs="Arial"/>
                </w:rPr>
                <w:t>Local Law 6 (Gold Coast City Council)</w:t>
              </w:r>
            </w:hyperlink>
          </w:p>
          <w:p w14:paraId="4E89EE5C" w14:textId="77777777" w:rsidR="00E9357A" w:rsidRDefault="00347C6D" w:rsidP="00E9357A">
            <w:pPr>
              <w:spacing w:before="80" w:after="80"/>
              <w:rPr>
                <w:rStyle w:val="Hyperlink"/>
                <w:rFonts w:cs="Arial"/>
              </w:rPr>
            </w:pPr>
            <w:hyperlink r:id="rId29" w:history="1">
              <w:r w:rsidR="00E9357A" w:rsidRPr="00D85AE7">
                <w:rPr>
                  <w:rStyle w:val="Hyperlink"/>
                  <w:rFonts w:cs="Arial"/>
                </w:rPr>
                <w:t>Waste Reduction and Recycling Act 2011 (Qld)</w:t>
              </w:r>
            </w:hyperlink>
          </w:p>
          <w:p w14:paraId="1C8A17FD" w14:textId="77777777" w:rsidR="00E9357A" w:rsidRPr="00B37C40" w:rsidRDefault="00347C6D" w:rsidP="00E9357A">
            <w:pPr>
              <w:spacing w:before="80" w:after="80"/>
              <w:rPr>
                <w:rStyle w:val="Hyperlink"/>
              </w:rPr>
            </w:pPr>
            <w:hyperlink r:id="rId30" w:history="1">
              <w:r w:rsidR="00E9357A" w:rsidRPr="002E38B5">
                <w:rPr>
                  <w:rStyle w:val="Hyperlink"/>
                  <w:rFonts w:cs="Arial"/>
                </w:rPr>
                <w:t>Water Act 2000 (Qld)</w:t>
              </w:r>
            </w:hyperlink>
          </w:p>
          <w:p w14:paraId="1D95EE8D" w14:textId="78C71335" w:rsidR="00746A0E" w:rsidRPr="00AC0FEF" w:rsidRDefault="00347C6D" w:rsidP="00E9357A">
            <w:pPr>
              <w:rPr>
                <w:rFonts w:cs="Arial"/>
                <w:lang w:val="en-GB"/>
              </w:rPr>
            </w:pPr>
            <w:hyperlink r:id="rId31" w:history="1">
              <w:r w:rsidR="00E9357A" w:rsidRPr="006305FF">
                <w:rPr>
                  <w:rStyle w:val="Hyperlink"/>
                  <w:rFonts w:cs="Arial"/>
                </w:rPr>
                <w:t>Water Supply (Safety and Reliability) Act 2008 (Qld)</w:t>
              </w:r>
            </w:hyperlink>
          </w:p>
        </w:tc>
      </w:tr>
      <w:tr w:rsidR="00746A0E" w14:paraId="13D635BA" w14:textId="77777777" w:rsidTr="006721EA">
        <w:tc>
          <w:tcPr>
            <w:tcW w:w="2943" w:type="dxa"/>
          </w:tcPr>
          <w:p w14:paraId="7CB30007" w14:textId="274434BC" w:rsidR="00746A0E" w:rsidRPr="00AC0FEF" w:rsidRDefault="00746A0E" w:rsidP="00AC0FEF">
            <w:pPr>
              <w:rPr>
                <w:rFonts w:cs="Arial"/>
              </w:rPr>
            </w:pPr>
            <w:r w:rsidRPr="00AC0FEF">
              <w:rPr>
                <w:rFonts w:cs="Arial"/>
              </w:rPr>
              <w:t>Policy</w:t>
            </w:r>
          </w:p>
        </w:tc>
        <w:tc>
          <w:tcPr>
            <w:tcW w:w="7147" w:type="dxa"/>
          </w:tcPr>
          <w:p w14:paraId="350DFCE7" w14:textId="77777777" w:rsidR="00175A75" w:rsidRDefault="00347C6D" w:rsidP="00175A75">
            <w:pPr>
              <w:spacing w:before="80" w:after="80"/>
              <w:rPr>
                <w:rFonts w:cs="Arial"/>
                <w:color w:val="E30918"/>
                <w:szCs w:val="20"/>
                <w:u w:val="single"/>
              </w:rPr>
            </w:pPr>
            <w:hyperlink r:id="rId32" w:history="1">
              <w:r w:rsidR="00175A75" w:rsidRPr="00681D9B">
                <w:rPr>
                  <w:rStyle w:val="Hyperlink"/>
                  <w:rFonts w:cs="Arial"/>
                  <w:szCs w:val="20"/>
                </w:rPr>
                <w:t>Code of Conduct</w:t>
              </w:r>
            </w:hyperlink>
          </w:p>
          <w:p w14:paraId="74AC0AA6" w14:textId="77777777" w:rsidR="00175A75" w:rsidRDefault="00347C6D" w:rsidP="00175A75">
            <w:pPr>
              <w:spacing w:before="80" w:after="80"/>
              <w:rPr>
                <w:rFonts w:cs="Arial"/>
              </w:rPr>
            </w:pPr>
            <w:hyperlink r:id="rId33" w:history="1">
              <w:r w:rsidR="00175A75" w:rsidRPr="005253A1">
                <w:rPr>
                  <w:rStyle w:val="Hyperlink"/>
                  <w:rFonts w:cs="Arial"/>
                </w:rPr>
                <w:t>Conflict of Interest Policy</w:t>
              </w:r>
            </w:hyperlink>
          </w:p>
          <w:p w14:paraId="07216F41" w14:textId="77777777" w:rsidR="00175A75" w:rsidRDefault="00347C6D" w:rsidP="00175A75">
            <w:pPr>
              <w:spacing w:before="80" w:after="80"/>
              <w:rPr>
                <w:rFonts w:cs="Arial"/>
              </w:rPr>
            </w:pPr>
            <w:hyperlink r:id="rId34" w:history="1">
              <w:r w:rsidR="00175A75" w:rsidRPr="006D6171">
                <w:rPr>
                  <w:rStyle w:val="Hyperlink"/>
                  <w:rFonts w:cs="Arial"/>
                </w:rPr>
                <w:t>Equity Diversity and Inclusion Policy</w:t>
              </w:r>
            </w:hyperlink>
          </w:p>
          <w:p w14:paraId="28B5C849" w14:textId="77777777" w:rsidR="00175A75" w:rsidRDefault="00347C6D" w:rsidP="00175A75">
            <w:pPr>
              <w:spacing w:before="80" w:after="80"/>
              <w:rPr>
                <w:rStyle w:val="Hyperlink"/>
                <w:rFonts w:cs="Arial"/>
                <w:szCs w:val="20"/>
              </w:rPr>
            </w:pPr>
            <w:hyperlink r:id="rId35" w:history="1">
              <w:r w:rsidR="00175A75" w:rsidRPr="00303AAE">
                <w:rPr>
                  <w:rStyle w:val="Hyperlink"/>
                  <w:rFonts w:cs="Arial"/>
                  <w:szCs w:val="20"/>
                </w:rPr>
                <w:t>Health, Safety and Wellbeing Policy</w:t>
              </w:r>
            </w:hyperlink>
          </w:p>
          <w:p w14:paraId="60D170C9" w14:textId="77777777" w:rsidR="00175A75" w:rsidRDefault="00347C6D" w:rsidP="00175A75">
            <w:pPr>
              <w:spacing w:before="80" w:after="80"/>
              <w:rPr>
                <w:rFonts w:cs="Arial"/>
                <w:color w:val="E30918"/>
                <w:szCs w:val="20"/>
                <w:u w:val="single"/>
              </w:rPr>
            </w:pPr>
            <w:hyperlink r:id="rId36" w:history="1">
              <w:r w:rsidR="00175A75" w:rsidRPr="006F20F1">
                <w:rPr>
                  <w:rStyle w:val="Hyperlink"/>
                  <w:rFonts w:cs="Arial"/>
                  <w:szCs w:val="20"/>
                </w:rPr>
                <w:t>Legislative Compliance Policy</w:t>
              </w:r>
            </w:hyperlink>
          </w:p>
          <w:p w14:paraId="5DE0A7CF" w14:textId="77777777" w:rsidR="00175A75" w:rsidRDefault="00347C6D" w:rsidP="00175A75">
            <w:pPr>
              <w:spacing w:before="80" w:after="80"/>
              <w:rPr>
                <w:rFonts w:cs="Arial"/>
                <w:color w:val="E30918"/>
                <w:u w:val="single"/>
              </w:rPr>
            </w:pPr>
            <w:hyperlink r:id="rId37" w:history="1">
              <w:r w:rsidR="00175A75" w:rsidRPr="00B04567">
                <w:rPr>
                  <w:rStyle w:val="Hyperlink"/>
                  <w:rFonts w:cs="Arial"/>
                </w:rPr>
                <w:t>Policy Governance Policy</w:t>
              </w:r>
            </w:hyperlink>
          </w:p>
          <w:p w14:paraId="0E929368" w14:textId="77777777" w:rsidR="00175A75" w:rsidRDefault="00347C6D" w:rsidP="00175A75">
            <w:pPr>
              <w:spacing w:before="80" w:after="80"/>
              <w:rPr>
                <w:rFonts w:cs="Arial"/>
                <w:color w:val="E30918"/>
                <w:szCs w:val="20"/>
                <w:u w:val="single"/>
              </w:rPr>
            </w:pPr>
            <w:hyperlink r:id="rId38" w:history="1">
              <w:r w:rsidR="00175A75" w:rsidRPr="005B72B0">
                <w:rPr>
                  <w:rStyle w:val="Hyperlink"/>
                  <w:rFonts w:cs="Arial"/>
                  <w:szCs w:val="20"/>
                </w:rPr>
                <w:t>Risk Appetite Statement</w:t>
              </w:r>
            </w:hyperlink>
          </w:p>
          <w:p w14:paraId="7A1507B9" w14:textId="282DC324" w:rsidR="00746A0E" w:rsidRPr="00AC0FEF" w:rsidRDefault="00347C6D" w:rsidP="00175A75">
            <w:pPr>
              <w:rPr>
                <w:rFonts w:cs="Arial"/>
                <w:lang w:val="en-GB"/>
              </w:rPr>
            </w:pPr>
            <w:hyperlink r:id="rId39" w:history="1">
              <w:r w:rsidR="00175A75" w:rsidRPr="00582093">
                <w:rPr>
                  <w:rStyle w:val="Hyperlink"/>
                  <w:rFonts w:cs="Arial"/>
                  <w:szCs w:val="20"/>
                </w:rPr>
                <w:t>Strategic Plan 2020 - 2025</w:t>
              </w:r>
            </w:hyperlink>
          </w:p>
        </w:tc>
      </w:tr>
      <w:tr w:rsidR="00175A75" w14:paraId="55329BCC" w14:textId="77777777" w:rsidTr="006721EA">
        <w:tc>
          <w:tcPr>
            <w:tcW w:w="2943" w:type="dxa"/>
          </w:tcPr>
          <w:p w14:paraId="1BD7DB3E" w14:textId="54AA41D2" w:rsidR="00175A75" w:rsidRPr="00AC0FEF" w:rsidRDefault="00175A75" w:rsidP="00175A75">
            <w:pPr>
              <w:rPr>
                <w:rFonts w:cs="Arial"/>
              </w:rPr>
            </w:pPr>
            <w:r w:rsidRPr="00AC0FEF">
              <w:rPr>
                <w:rFonts w:cs="Arial"/>
              </w:rPr>
              <w:lastRenderedPageBreak/>
              <w:t>Procedures</w:t>
            </w:r>
          </w:p>
        </w:tc>
        <w:tc>
          <w:tcPr>
            <w:tcW w:w="7147" w:type="dxa"/>
          </w:tcPr>
          <w:p w14:paraId="2F3E98D1" w14:textId="77777777" w:rsidR="00175A75" w:rsidRDefault="00347C6D" w:rsidP="00175A75">
            <w:pPr>
              <w:spacing w:before="80" w:after="80"/>
              <w:rPr>
                <w:rStyle w:val="Hyperlink"/>
                <w:rFonts w:cs="Arial"/>
                <w:szCs w:val="20"/>
              </w:rPr>
            </w:pPr>
            <w:hyperlink r:id="rId40" w:history="1">
              <w:r w:rsidR="00175A75" w:rsidRPr="00C025CC">
                <w:rPr>
                  <w:rStyle w:val="Hyperlink"/>
                  <w:rFonts w:cs="Arial"/>
                  <w:szCs w:val="20"/>
                </w:rPr>
                <w:t>Biodiversity Conservation Plan</w:t>
              </w:r>
            </w:hyperlink>
          </w:p>
          <w:p w14:paraId="0F7952E9" w14:textId="77777777" w:rsidR="00175A75" w:rsidRDefault="00347C6D" w:rsidP="00175A75">
            <w:pPr>
              <w:spacing w:before="80" w:after="80"/>
              <w:rPr>
                <w:rFonts w:cs="Arial"/>
                <w:color w:val="E30918"/>
                <w:szCs w:val="20"/>
                <w:u w:val="single"/>
              </w:rPr>
            </w:pPr>
            <w:hyperlink r:id="rId41" w:history="1">
              <w:r w:rsidR="00175A75" w:rsidRPr="00681D9B">
                <w:rPr>
                  <w:rStyle w:val="Hyperlink"/>
                  <w:rFonts w:cs="Arial"/>
                  <w:szCs w:val="20"/>
                </w:rPr>
                <w:t>Crisis and Recovery Management Plan</w:t>
              </w:r>
            </w:hyperlink>
          </w:p>
          <w:p w14:paraId="3C6E64F9" w14:textId="77777777" w:rsidR="00175A75" w:rsidRDefault="00347C6D" w:rsidP="00175A75">
            <w:pPr>
              <w:spacing w:before="80" w:after="80"/>
              <w:rPr>
                <w:rFonts w:cs="Arial"/>
                <w:color w:val="E30918"/>
                <w:szCs w:val="20"/>
                <w:u w:val="single"/>
              </w:rPr>
            </w:pPr>
            <w:hyperlink r:id="rId42" w:history="1">
              <w:r w:rsidR="00175A75" w:rsidRPr="005B0966">
                <w:rPr>
                  <w:rStyle w:val="Hyperlink"/>
                  <w:rFonts w:cs="Arial"/>
                  <w:szCs w:val="20"/>
                </w:rPr>
                <w:t>Emergency Management Plan</w:t>
              </w:r>
            </w:hyperlink>
            <w:r w:rsidR="00175A75">
              <w:rPr>
                <w:rFonts w:cs="Arial"/>
                <w:color w:val="E30918"/>
                <w:szCs w:val="20"/>
                <w:u w:val="single"/>
              </w:rPr>
              <w:t xml:space="preserve"> </w:t>
            </w:r>
          </w:p>
          <w:p w14:paraId="7224845D" w14:textId="77777777" w:rsidR="00175A75" w:rsidRDefault="00347C6D" w:rsidP="00175A75">
            <w:pPr>
              <w:spacing w:before="80" w:after="80"/>
              <w:rPr>
                <w:rStyle w:val="Hyperlink"/>
                <w:rFonts w:cs="Arial"/>
              </w:rPr>
            </w:pPr>
            <w:hyperlink r:id="rId43" w:history="1">
              <w:r w:rsidR="00175A75" w:rsidRPr="00ED040E">
                <w:rPr>
                  <w:rStyle w:val="Hyperlink"/>
                  <w:rFonts w:cs="Arial"/>
                </w:rPr>
                <w:t>Guidelines for Chemical Management</w:t>
              </w:r>
            </w:hyperlink>
          </w:p>
          <w:p w14:paraId="4302959E" w14:textId="7DF6D0CD" w:rsidR="00175A75" w:rsidRPr="00AC0FEF" w:rsidRDefault="00347C6D" w:rsidP="00175A75">
            <w:pPr>
              <w:rPr>
                <w:rFonts w:cs="Arial"/>
                <w:lang w:val="en-GB"/>
              </w:rPr>
            </w:pPr>
            <w:hyperlink r:id="rId44" w:history="1">
              <w:r w:rsidR="00175A75" w:rsidRPr="00B62E28">
                <w:rPr>
                  <w:rStyle w:val="Hyperlink"/>
                  <w:rFonts w:cs="Arial"/>
                  <w:szCs w:val="20"/>
                </w:rPr>
                <w:t>Reporting and recording procedures for incidents, injuries, illness, hazards or near misses</w:t>
              </w:r>
            </w:hyperlink>
          </w:p>
        </w:tc>
      </w:tr>
      <w:tr w:rsidR="00175A75" w14:paraId="76652B21" w14:textId="77777777" w:rsidTr="006721EA">
        <w:tc>
          <w:tcPr>
            <w:tcW w:w="2943" w:type="dxa"/>
          </w:tcPr>
          <w:p w14:paraId="118FD34E" w14:textId="481E52F8" w:rsidR="00175A75" w:rsidRPr="00AC0FEF" w:rsidRDefault="00175A75" w:rsidP="00175A75">
            <w:pPr>
              <w:rPr>
                <w:rFonts w:cs="Arial"/>
              </w:rPr>
            </w:pPr>
            <w:r w:rsidRPr="00AC0FEF">
              <w:rPr>
                <w:rFonts w:cs="Arial"/>
              </w:rPr>
              <w:t>Local Protocol</w:t>
            </w:r>
          </w:p>
        </w:tc>
        <w:tc>
          <w:tcPr>
            <w:tcW w:w="7147" w:type="dxa"/>
          </w:tcPr>
          <w:p w14:paraId="55AA03EB" w14:textId="7927FB85" w:rsidR="00175A75" w:rsidRPr="00AC0FEF" w:rsidRDefault="00175A75" w:rsidP="00175A75">
            <w:pPr>
              <w:rPr>
                <w:rFonts w:cs="Arial"/>
              </w:rPr>
            </w:pPr>
            <w:r w:rsidRPr="00AC0FEF">
              <w:rPr>
                <w:rFonts w:cs="Arial"/>
              </w:rPr>
              <w:t>N/A</w:t>
            </w:r>
          </w:p>
        </w:tc>
      </w:tr>
      <w:tr w:rsidR="00175A75" w14:paraId="5AB64C6F" w14:textId="77777777" w:rsidTr="006721EA">
        <w:tc>
          <w:tcPr>
            <w:tcW w:w="2943" w:type="dxa"/>
          </w:tcPr>
          <w:p w14:paraId="22348C3F" w14:textId="0F6236D7" w:rsidR="00175A75" w:rsidRPr="00AC0FEF" w:rsidRDefault="00175A75" w:rsidP="00175A75">
            <w:pPr>
              <w:rPr>
                <w:rFonts w:cs="Arial"/>
              </w:rPr>
            </w:pPr>
            <w:r w:rsidRPr="00AC0FEF">
              <w:rPr>
                <w:rFonts w:cs="Arial"/>
              </w:rPr>
              <w:t>Forms</w:t>
            </w:r>
          </w:p>
        </w:tc>
        <w:tc>
          <w:tcPr>
            <w:tcW w:w="7147" w:type="dxa"/>
          </w:tcPr>
          <w:p w14:paraId="54F51F15" w14:textId="443DBC21" w:rsidR="00175A75" w:rsidRPr="00AC0FEF" w:rsidRDefault="00175A75" w:rsidP="00175A75">
            <w:pPr>
              <w:rPr>
                <w:rFonts w:cs="Arial"/>
              </w:rPr>
            </w:pPr>
            <w:r w:rsidRPr="00AC0FEF">
              <w:rPr>
                <w:rFonts w:cs="Arial"/>
              </w:rPr>
              <w:t>N/A</w:t>
            </w:r>
          </w:p>
        </w:tc>
      </w:tr>
    </w:tbl>
    <w:p w14:paraId="6BA7652E" w14:textId="26761596" w:rsidR="00A15D12" w:rsidRDefault="00A15D12" w:rsidP="00C22059">
      <w:pPr>
        <w:rPr>
          <w:rFonts w:cs="Arial"/>
          <w:sz w:val="20"/>
          <w:szCs w:val="24"/>
        </w:rPr>
      </w:pPr>
    </w:p>
    <w:sectPr w:rsidR="00A15D12" w:rsidSect="00E77B43">
      <w:headerReference w:type="default" r:id="rId45"/>
      <w:footerReference w:type="even" r:id="rId46"/>
      <w:footerReference w:type="default" r:id="rId47"/>
      <w:headerReference w:type="first" r:id="rId48"/>
      <w:footerReference w:type="first" r:id="rId49"/>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pPr>
      <w:r>
        <w:separator/>
      </w:r>
    </w:p>
  </w:endnote>
  <w:endnote w:type="continuationSeparator" w:id="0">
    <w:p w14:paraId="39B55E42" w14:textId="77777777" w:rsidR="00EE00D1" w:rsidRDefault="00EE00D1" w:rsidP="00575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3405C061" w14:textId="5C3EAB2B" w:rsidR="00C453E8" w:rsidRPr="000209B9" w:rsidRDefault="007B4B96" w:rsidP="00C453E8">
    <w:pPr>
      <w:spacing w:after="0"/>
      <w:jc w:val="right"/>
      <w:rPr>
        <w:rFonts w:asciiTheme="minorHAnsi" w:hAnsiTheme="minorHAnsi" w:cstheme="minorHAnsi"/>
        <w:color w:val="70787B"/>
        <w:sz w:val="15"/>
        <w:szCs w:val="15"/>
      </w:rPr>
    </w:pPr>
    <w:r>
      <w:rPr>
        <w:rFonts w:asciiTheme="minorHAnsi" w:hAnsiTheme="minorHAnsi" w:cstheme="minorHAnsi"/>
        <w:color w:val="70787B"/>
        <w:sz w:val="15"/>
        <w:szCs w:val="15"/>
        <w:highlight w:val="yellow"/>
      </w:rPr>
      <w:br/>
    </w:r>
    <w:r w:rsidR="00C453E8" w:rsidRPr="00C8578E">
      <w:rPr>
        <w:rFonts w:asciiTheme="minorHAnsi" w:hAnsiTheme="minorHAnsi" w:cstheme="minorHAnsi"/>
        <w:color w:val="70787B"/>
        <w:sz w:val="15"/>
        <w:szCs w:val="15"/>
      </w:rPr>
      <w:t xml:space="preserve">Environmental Sustainability Policy </w:t>
    </w:r>
    <w:r w:rsidR="00C453E8" w:rsidRPr="000209B9">
      <w:rPr>
        <w:rFonts w:asciiTheme="minorHAnsi" w:hAnsiTheme="minorHAnsi" w:cstheme="minorHAnsi"/>
        <w:color w:val="70787B"/>
        <w:sz w:val="15"/>
        <w:szCs w:val="15"/>
      </w:rPr>
      <w:t xml:space="preserve">| </w:t>
    </w:r>
    <w:r w:rsidR="00C453E8">
      <w:rPr>
        <w:rFonts w:asciiTheme="minorHAnsi" w:hAnsiTheme="minorHAnsi" w:cstheme="minorHAnsi"/>
        <w:color w:val="70787B"/>
        <w:sz w:val="15"/>
        <w:szCs w:val="15"/>
      </w:rPr>
      <w:t>July</w:t>
    </w:r>
    <w:r w:rsidR="00C453E8" w:rsidRPr="000209B9">
      <w:rPr>
        <w:rFonts w:asciiTheme="minorHAnsi" w:hAnsiTheme="minorHAnsi" w:cstheme="minorHAnsi"/>
        <w:color w:val="70787B"/>
        <w:sz w:val="15"/>
        <w:szCs w:val="15"/>
      </w:rPr>
      <w:t xml:space="preserve"> 20</w:t>
    </w:r>
    <w:r w:rsidR="00C453E8">
      <w:rPr>
        <w:rFonts w:asciiTheme="minorHAnsi" w:hAnsiTheme="minorHAnsi" w:cstheme="minorHAnsi"/>
        <w:color w:val="70787B"/>
        <w:sz w:val="15"/>
        <w:szCs w:val="15"/>
      </w:rPr>
      <w:t>23</w:t>
    </w:r>
    <w:r w:rsidR="00C453E8">
      <w:rPr>
        <w:rFonts w:asciiTheme="minorHAnsi" w:hAnsiTheme="minorHAnsi" w:cstheme="minorHAnsi"/>
        <w:color w:val="70787B"/>
        <w:sz w:val="15"/>
        <w:szCs w:val="15"/>
      </w:rPr>
      <w:br/>
      <w:t xml:space="preserve">Document number: </w:t>
    </w:r>
    <w:r w:rsidR="00C453E8" w:rsidRPr="003851EE">
      <w:rPr>
        <w:rFonts w:asciiTheme="minorHAnsi" w:hAnsiTheme="minorHAnsi" w:cstheme="minorHAnsi"/>
        <w:color w:val="70787B"/>
        <w:sz w:val="15"/>
        <w:szCs w:val="15"/>
      </w:rPr>
      <w:t>2023/0001059</w:t>
    </w:r>
  </w:p>
  <w:p w14:paraId="2E3A5653" w14:textId="5BB2252D" w:rsidR="00830B58" w:rsidRDefault="00C453E8" w:rsidP="00C453E8">
    <w:pPr>
      <w:spacing w:before="0" w:after="0"/>
      <w:jc w:val="right"/>
      <w:rPr>
        <w:rFonts w:asciiTheme="minorHAnsi" w:hAnsiTheme="minorHAnsi" w:cstheme="minorHAnsi"/>
        <w:color w:val="70787B"/>
        <w:sz w:val="15"/>
        <w:szCs w:val="15"/>
      </w:rPr>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7D5882A3" w14:textId="77777777" w:rsidR="00C453E8" w:rsidRPr="000209B9" w:rsidRDefault="00C453E8" w:rsidP="00C453E8">
    <w:pPr>
      <w:spacing w:after="0"/>
      <w:jc w:val="right"/>
      <w:rPr>
        <w:rFonts w:asciiTheme="minorHAnsi" w:hAnsiTheme="minorHAnsi" w:cstheme="minorHAnsi"/>
        <w:color w:val="70787B"/>
        <w:sz w:val="15"/>
        <w:szCs w:val="15"/>
      </w:rPr>
    </w:pPr>
    <w:r w:rsidRPr="00C8578E">
      <w:rPr>
        <w:rFonts w:asciiTheme="minorHAnsi" w:hAnsiTheme="minorHAnsi" w:cstheme="minorHAnsi"/>
        <w:color w:val="70787B"/>
        <w:sz w:val="15"/>
        <w:szCs w:val="15"/>
      </w:rPr>
      <w:t xml:space="preserve">Environmental Sustainability Policy </w:t>
    </w:r>
    <w:r w:rsidRPr="000209B9">
      <w:rPr>
        <w:rFonts w:asciiTheme="minorHAnsi" w:hAnsiTheme="minorHAnsi" w:cstheme="minorHAnsi"/>
        <w:color w:val="70787B"/>
        <w:sz w:val="15"/>
        <w:szCs w:val="15"/>
      </w:rPr>
      <w:t xml:space="preserve">| </w:t>
    </w:r>
    <w:r>
      <w:rPr>
        <w:rFonts w:asciiTheme="minorHAnsi" w:hAnsiTheme="minorHAnsi" w:cstheme="minorHAnsi"/>
        <w:color w:val="70787B"/>
        <w:sz w:val="15"/>
        <w:szCs w:val="15"/>
      </w:rPr>
      <w:t>July</w:t>
    </w:r>
    <w:r w:rsidRPr="000209B9">
      <w:rPr>
        <w:rFonts w:asciiTheme="minorHAnsi" w:hAnsiTheme="minorHAnsi" w:cstheme="minorHAnsi"/>
        <w:color w:val="70787B"/>
        <w:sz w:val="15"/>
        <w:szCs w:val="15"/>
      </w:rPr>
      <w:t xml:space="preserve"> 20</w:t>
    </w:r>
    <w:r>
      <w:rPr>
        <w:rFonts w:asciiTheme="minorHAnsi" w:hAnsiTheme="minorHAnsi" w:cstheme="minorHAnsi"/>
        <w:color w:val="70787B"/>
        <w:sz w:val="15"/>
        <w:szCs w:val="15"/>
      </w:rPr>
      <w:t>23</w:t>
    </w:r>
    <w:r>
      <w:rPr>
        <w:rFonts w:asciiTheme="minorHAnsi" w:hAnsiTheme="minorHAnsi" w:cstheme="minorHAnsi"/>
        <w:color w:val="70787B"/>
        <w:sz w:val="15"/>
        <w:szCs w:val="15"/>
      </w:rPr>
      <w:br/>
      <w:t xml:space="preserve">Document number: </w:t>
    </w:r>
    <w:r w:rsidRPr="003851EE">
      <w:rPr>
        <w:rFonts w:asciiTheme="minorHAnsi" w:hAnsiTheme="minorHAnsi" w:cstheme="minorHAnsi"/>
        <w:color w:val="70787B"/>
        <w:sz w:val="15"/>
        <w:szCs w:val="15"/>
      </w:rPr>
      <w:t>2023/0001059</w:t>
    </w:r>
  </w:p>
  <w:p w14:paraId="3471DC75" w14:textId="3A1674BB" w:rsidR="00E77B43" w:rsidRDefault="00C453E8" w:rsidP="00C453E8">
    <w:pPr>
      <w:spacing w:before="0" w:after="0"/>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00E77B43"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pPr>
      <w:r>
        <w:separator/>
      </w:r>
    </w:p>
  </w:footnote>
  <w:footnote w:type="continuationSeparator" w:id="0">
    <w:p w14:paraId="143A07E7" w14:textId="77777777" w:rsidR="00EE00D1" w:rsidRDefault="00EE00D1" w:rsidP="00575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7AD2D7D"/>
    <w:multiLevelType w:val="hybridMultilevel"/>
    <w:tmpl w:val="A334AE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4D6762"/>
    <w:multiLevelType w:val="hybridMultilevel"/>
    <w:tmpl w:val="AC560E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2A51D1"/>
    <w:multiLevelType w:val="hybridMultilevel"/>
    <w:tmpl w:val="15E665C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7"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8"/>
  </w:num>
  <w:num w:numId="2" w16cid:durableId="396825147">
    <w:abstractNumId w:val="38"/>
  </w:num>
  <w:num w:numId="3" w16cid:durableId="1304701530">
    <w:abstractNumId w:val="34"/>
  </w:num>
  <w:num w:numId="4" w16cid:durableId="352269857">
    <w:abstractNumId w:val="29"/>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5"/>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30"/>
  </w:num>
  <w:num w:numId="25" w16cid:durableId="1126041565">
    <w:abstractNumId w:val="33"/>
  </w:num>
  <w:num w:numId="26" w16cid:durableId="1098252483">
    <w:abstractNumId w:val="18"/>
  </w:num>
  <w:num w:numId="27" w16cid:durableId="1930380739">
    <w:abstractNumId w:val="13"/>
  </w:num>
  <w:num w:numId="28" w16cid:durableId="871302621">
    <w:abstractNumId w:val="14"/>
  </w:num>
  <w:num w:numId="29" w16cid:durableId="991954021">
    <w:abstractNumId w:val="37"/>
  </w:num>
  <w:num w:numId="30" w16cid:durableId="218833091">
    <w:abstractNumId w:val="15"/>
  </w:num>
  <w:num w:numId="31" w16cid:durableId="66726597">
    <w:abstractNumId w:val="32"/>
  </w:num>
  <w:num w:numId="32" w16cid:durableId="1786579993">
    <w:abstractNumId w:val="36"/>
  </w:num>
  <w:num w:numId="33" w16cid:durableId="1071662295">
    <w:abstractNumId w:val="20"/>
  </w:num>
  <w:num w:numId="34" w16cid:durableId="944117931">
    <w:abstractNumId w:val="19"/>
  </w:num>
  <w:num w:numId="35" w16cid:durableId="754860717">
    <w:abstractNumId w:val="17"/>
  </w:num>
  <w:num w:numId="36" w16cid:durableId="105849864">
    <w:abstractNumId w:val="21"/>
  </w:num>
  <w:num w:numId="37" w16cid:durableId="1119449550">
    <w:abstractNumId w:val="26"/>
  </w:num>
  <w:num w:numId="38" w16cid:durableId="2067755927">
    <w:abstractNumId w:val="27"/>
  </w:num>
  <w:num w:numId="39" w16cid:durableId="98875050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93685"/>
    <w:rsid w:val="000A41FB"/>
    <w:rsid w:val="000B17D8"/>
    <w:rsid w:val="000B192C"/>
    <w:rsid w:val="000B71D9"/>
    <w:rsid w:val="000C0E96"/>
    <w:rsid w:val="000C57B7"/>
    <w:rsid w:val="000D3B39"/>
    <w:rsid w:val="000E01AE"/>
    <w:rsid w:val="000F1CE9"/>
    <w:rsid w:val="00103826"/>
    <w:rsid w:val="00104FF2"/>
    <w:rsid w:val="0012692F"/>
    <w:rsid w:val="00154994"/>
    <w:rsid w:val="0016404C"/>
    <w:rsid w:val="00164E41"/>
    <w:rsid w:val="00165F7C"/>
    <w:rsid w:val="00175A75"/>
    <w:rsid w:val="001800F9"/>
    <w:rsid w:val="00196831"/>
    <w:rsid w:val="001968C3"/>
    <w:rsid w:val="001A124A"/>
    <w:rsid w:val="001A64A0"/>
    <w:rsid w:val="001B01C6"/>
    <w:rsid w:val="001E1ED9"/>
    <w:rsid w:val="001F2B57"/>
    <w:rsid w:val="001F636F"/>
    <w:rsid w:val="00201B8F"/>
    <w:rsid w:val="00202BF7"/>
    <w:rsid w:val="00207FC2"/>
    <w:rsid w:val="00221E52"/>
    <w:rsid w:val="00221FEC"/>
    <w:rsid w:val="002257C2"/>
    <w:rsid w:val="00225E04"/>
    <w:rsid w:val="002439DB"/>
    <w:rsid w:val="00257D7C"/>
    <w:rsid w:val="002665AF"/>
    <w:rsid w:val="00267CCA"/>
    <w:rsid w:val="00274580"/>
    <w:rsid w:val="00291234"/>
    <w:rsid w:val="002B29ED"/>
    <w:rsid w:val="002B2AAE"/>
    <w:rsid w:val="002B2DAF"/>
    <w:rsid w:val="002B35C9"/>
    <w:rsid w:val="002B6908"/>
    <w:rsid w:val="002C1FB6"/>
    <w:rsid w:val="002D4B9D"/>
    <w:rsid w:val="002E6FC9"/>
    <w:rsid w:val="002F0131"/>
    <w:rsid w:val="002F186F"/>
    <w:rsid w:val="002F3C8B"/>
    <w:rsid w:val="00302E26"/>
    <w:rsid w:val="0031180B"/>
    <w:rsid w:val="0031333E"/>
    <w:rsid w:val="003205F8"/>
    <w:rsid w:val="00334090"/>
    <w:rsid w:val="00334B56"/>
    <w:rsid w:val="00343D34"/>
    <w:rsid w:val="00347C6D"/>
    <w:rsid w:val="0035677A"/>
    <w:rsid w:val="00360D4B"/>
    <w:rsid w:val="003654D8"/>
    <w:rsid w:val="00395AD8"/>
    <w:rsid w:val="003E22AF"/>
    <w:rsid w:val="003F7778"/>
    <w:rsid w:val="00410ED5"/>
    <w:rsid w:val="00441285"/>
    <w:rsid w:val="004415C7"/>
    <w:rsid w:val="00456A0E"/>
    <w:rsid w:val="0046665F"/>
    <w:rsid w:val="00466DD2"/>
    <w:rsid w:val="00481C9C"/>
    <w:rsid w:val="00482467"/>
    <w:rsid w:val="0048248F"/>
    <w:rsid w:val="00484C1B"/>
    <w:rsid w:val="00493EC2"/>
    <w:rsid w:val="00496A60"/>
    <w:rsid w:val="004B2C98"/>
    <w:rsid w:val="004B784E"/>
    <w:rsid w:val="004C69B3"/>
    <w:rsid w:val="004C75C6"/>
    <w:rsid w:val="004D24FC"/>
    <w:rsid w:val="004D5E3C"/>
    <w:rsid w:val="004E594B"/>
    <w:rsid w:val="004E7EF9"/>
    <w:rsid w:val="004F58F0"/>
    <w:rsid w:val="0050449E"/>
    <w:rsid w:val="005051B1"/>
    <w:rsid w:val="005224CD"/>
    <w:rsid w:val="00522BA9"/>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C3E98"/>
    <w:rsid w:val="005D1898"/>
    <w:rsid w:val="005D1F86"/>
    <w:rsid w:val="005D7EA1"/>
    <w:rsid w:val="005E3610"/>
    <w:rsid w:val="005F014A"/>
    <w:rsid w:val="006467E3"/>
    <w:rsid w:val="006519D0"/>
    <w:rsid w:val="00673B09"/>
    <w:rsid w:val="00681A26"/>
    <w:rsid w:val="006A0D50"/>
    <w:rsid w:val="006A16D3"/>
    <w:rsid w:val="006A5781"/>
    <w:rsid w:val="006B61C2"/>
    <w:rsid w:val="006C42D8"/>
    <w:rsid w:val="006C594F"/>
    <w:rsid w:val="006D360E"/>
    <w:rsid w:val="006E08C5"/>
    <w:rsid w:val="006E7342"/>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5535"/>
    <w:rsid w:val="00786706"/>
    <w:rsid w:val="00790080"/>
    <w:rsid w:val="00791C73"/>
    <w:rsid w:val="007A183B"/>
    <w:rsid w:val="007A1AED"/>
    <w:rsid w:val="007A20AA"/>
    <w:rsid w:val="007B4B96"/>
    <w:rsid w:val="007B5079"/>
    <w:rsid w:val="007B700A"/>
    <w:rsid w:val="007C0260"/>
    <w:rsid w:val="007C37DE"/>
    <w:rsid w:val="007D1588"/>
    <w:rsid w:val="007D4084"/>
    <w:rsid w:val="007D4B90"/>
    <w:rsid w:val="007E4E51"/>
    <w:rsid w:val="00804068"/>
    <w:rsid w:val="00811AE1"/>
    <w:rsid w:val="00811F90"/>
    <w:rsid w:val="008122F0"/>
    <w:rsid w:val="00820F73"/>
    <w:rsid w:val="008239FE"/>
    <w:rsid w:val="00825029"/>
    <w:rsid w:val="00830B58"/>
    <w:rsid w:val="008508DF"/>
    <w:rsid w:val="008555C9"/>
    <w:rsid w:val="008605D5"/>
    <w:rsid w:val="00871911"/>
    <w:rsid w:val="00871C38"/>
    <w:rsid w:val="00871D81"/>
    <w:rsid w:val="008735AB"/>
    <w:rsid w:val="008776AD"/>
    <w:rsid w:val="008C300D"/>
    <w:rsid w:val="008C5983"/>
    <w:rsid w:val="008C5F7B"/>
    <w:rsid w:val="008D0A1C"/>
    <w:rsid w:val="008D2294"/>
    <w:rsid w:val="008D4F55"/>
    <w:rsid w:val="008D57B3"/>
    <w:rsid w:val="008E2FFB"/>
    <w:rsid w:val="008F2DE0"/>
    <w:rsid w:val="0092371D"/>
    <w:rsid w:val="00941205"/>
    <w:rsid w:val="00947015"/>
    <w:rsid w:val="0095172A"/>
    <w:rsid w:val="009518A2"/>
    <w:rsid w:val="00966619"/>
    <w:rsid w:val="00985E2C"/>
    <w:rsid w:val="00993A5D"/>
    <w:rsid w:val="0099406C"/>
    <w:rsid w:val="009A4600"/>
    <w:rsid w:val="009B37D4"/>
    <w:rsid w:val="009C1E14"/>
    <w:rsid w:val="009C2FEF"/>
    <w:rsid w:val="009C7B84"/>
    <w:rsid w:val="009D2761"/>
    <w:rsid w:val="009D29B6"/>
    <w:rsid w:val="009E11AD"/>
    <w:rsid w:val="009F074C"/>
    <w:rsid w:val="00A10384"/>
    <w:rsid w:val="00A144B2"/>
    <w:rsid w:val="00A15D12"/>
    <w:rsid w:val="00A3242E"/>
    <w:rsid w:val="00A45BDF"/>
    <w:rsid w:val="00A50780"/>
    <w:rsid w:val="00A56091"/>
    <w:rsid w:val="00A5683C"/>
    <w:rsid w:val="00A57044"/>
    <w:rsid w:val="00AA12A3"/>
    <w:rsid w:val="00AA188E"/>
    <w:rsid w:val="00AA391D"/>
    <w:rsid w:val="00AB00BF"/>
    <w:rsid w:val="00AC0FEF"/>
    <w:rsid w:val="00AC1EA9"/>
    <w:rsid w:val="00AE36C9"/>
    <w:rsid w:val="00AE4387"/>
    <w:rsid w:val="00AF5791"/>
    <w:rsid w:val="00AF719E"/>
    <w:rsid w:val="00B24AD5"/>
    <w:rsid w:val="00B25332"/>
    <w:rsid w:val="00B26F8D"/>
    <w:rsid w:val="00B42BD2"/>
    <w:rsid w:val="00B508D5"/>
    <w:rsid w:val="00B52233"/>
    <w:rsid w:val="00B7337A"/>
    <w:rsid w:val="00B82F08"/>
    <w:rsid w:val="00B9062A"/>
    <w:rsid w:val="00BB58D7"/>
    <w:rsid w:val="00BB6CB6"/>
    <w:rsid w:val="00BD26DB"/>
    <w:rsid w:val="00BF387D"/>
    <w:rsid w:val="00C12E96"/>
    <w:rsid w:val="00C22059"/>
    <w:rsid w:val="00C2475A"/>
    <w:rsid w:val="00C27FA6"/>
    <w:rsid w:val="00C31251"/>
    <w:rsid w:val="00C32760"/>
    <w:rsid w:val="00C3358F"/>
    <w:rsid w:val="00C42037"/>
    <w:rsid w:val="00C453E8"/>
    <w:rsid w:val="00C77710"/>
    <w:rsid w:val="00C80060"/>
    <w:rsid w:val="00CA5904"/>
    <w:rsid w:val="00CA6305"/>
    <w:rsid w:val="00CB59DE"/>
    <w:rsid w:val="00CD119B"/>
    <w:rsid w:val="00CE43D6"/>
    <w:rsid w:val="00CF611B"/>
    <w:rsid w:val="00CF6FF3"/>
    <w:rsid w:val="00D042D8"/>
    <w:rsid w:val="00D25E65"/>
    <w:rsid w:val="00D46FB0"/>
    <w:rsid w:val="00D532D6"/>
    <w:rsid w:val="00DA2384"/>
    <w:rsid w:val="00DB76F9"/>
    <w:rsid w:val="00DB7E17"/>
    <w:rsid w:val="00DD6067"/>
    <w:rsid w:val="00DE45C5"/>
    <w:rsid w:val="00DF3DF3"/>
    <w:rsid w:val="00E14D21"/>
    <w:rsid w:val="00E160A3"/>
    <w:rsid w:val="00E20D0C"/>
    <w:rsid w:val="00E21C52"/>
    <w:rsid w:val="00E341EF"/>
    <w:rsid w:val="00E633D7"/>
    <w:rsid w:val="00E67BB3"/>
    <w:rsid w:val="00E702F7"/>
    <w:rsid w:val="00E7138A"/>
    <w:rsid w:val="00E77B43"/>
    <w:rsid w:val="00E826C9"/>
    <w:rsid w:val="00E9357A"/>
    <w:rsid w:val="00E9677E"/>
    <w:rsid w:val="00EA50A4"/>
    <w:rsid w:val="00EA768F"/>
    <w:rsid w:val="00EB67A0"/>
    <w:rsid w:val="00EB7614"/>
    <w:rsid w:val="00EB7EA9"/>
    <w:rsid w:val="00EC5612"/>
    <w:rsid w:val="00ED6047"/>
    <w:rsid w:val="00EE00D1"/>
    <w:rsid w:val="00EE310F"/>
    <w:rsid w:val="00EE3570"/>
    <w:rsid w:val="00EF0887"/>
    <w:rsid w:val="00F252F4"/>
    <w:rsid w:val="00F311DC"/>
    <w:rsid w:val="00F54199"/>
    <w:rsid w:val="00F55C18"/>
    <w:rsid w:val="00F714F3"/>
    <w:rsid w:val="00F71CDF"/>
    <w:rsid w:val="00F74238"/>
    <w:rsid w:val="00F7432A"/>
    <w:rsid w:val="00F80692"/>
    <w:rsid w:val="00FA2D28"/>
    <w:rsid w:val="00FA38B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08C5"/>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CA5904"/>
    <w:pPr>
      <w:ind w:left="567"/>
    </w:pPr>
    <w:rPr>
      <w:rFonts w:cs="Arial"/>
    </w:rPr>
  </w:style>
  <w:style w:type="character" w:customStyle="1" w:styleId="NormalSubheadingChar">
    <w:name w:val="NormalSubheading Char"/>
    <w:basedOn w:val="DefaultParagraphFont"/>
    <w:link w:val="NormalSubheading"/>
    <w:rsid w:val="00CA5904"/>
    <w:rPr>
      <w:rFonts w:ascii="Arial" w:hAnsi="Arial" w:cs="Arial"/>
      <w:kern w:val="2"/>
    </w:rPr>
  </w:style>
  <w:style w:type="paragraph" w:customStyle="1" w:styleId="Subsubhead">
    <w:name w:val="Subsubhead"/>
    <w:basedOn w:val="Normal"/>
    <w:link w:val="SubsubheadChar"/>
    <w:qFormat/>
    <w:rsid w:val="003E22AF"/>
    <w:pPr>
      <w:ind w:left="1134"/>
    </w:pPr>
    <w:rPr>
      <w:rFonts w:cs="Arial"/>
    </w:rPr>
  </w:style>
  <w:style w:type="character" w:customStyle="1" w:styleId="SubsubheadChar">
    <w:name w:val="Subsubhead Char"/>
    <w:basedOn w:val="DefaultParagraphFont"/>
    <w:link w:val="Subsubhead"/>
    <w:rsid w:val="003E22AF"/>
    <w:rPr>
      <w:rFonts w:ascii="Arial" w:hAnsi="Arial" w:cs="Arial"/>
      <w:kern w:val="2"/>
    </w:rPr>
  </w:style>
  <w:style w:type="paragraph" w:customStyle="1" w:styleId="SubSubHeading">
    <w:name w:val="SubSubHeading"/>
    <w:basedOn w:val="Heading5"/>
    <w:link w:val="SubSubHeadingChar"/>
    <w:qFormat/>
    <w:rsid w:val="003E22AF"/>
    <w:pPr>
      <w:spacing w:before="120"/>
      <w:ind w:left="1134"/>
    </w:pPr>
  </w:style>
  <w:style w:type="character" w:customStyle="1" w:styleId="SubSubHeadingChar">
    <w:name w:val="SubSubHeading Char"/>
    <w:basedOn w:val="Heading5Char"/>
    <w:link w:val="SubSubHeading"/>
    <w:rsid w:val="003E22AF"/>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3E22AF"/>
  </w:style>
  <w:style w:type="character" w:customStyle="1" w:styleId="SubSubHeadTextChar">
    <w:name w:val="SubSubHeadText Char"/>
    <w:basedOn w:val="SubsubheadChar"/>
    <w:link w:val="SubSubHeadText"/>
    <w:rsid w:val="003E22AF"/>
    <w:rPr>
      <w:rFonts w:ascii="Arial" w:hAnsi="Arial"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qld.gov.au/view/html/inforce/current/act-2014-007" TargetMode="External"/><Relationship Id="rId18" Type="http://schemas.openxmlformats.org/officeDocument/2006/relationships/hyperlink" Target="https://www.legislation.gov.au/Series/C2004A00485" TargetMode="External"/><Relationship Id="rId26" Type="http://schemas.openxmlformats.org/officeDocument/2006/relationships/hyperlink" Target="https://www.legislation.qld.gov.au/view/pdf/inforce/current/act-2016-025" TargetMode="External"/><Relationship Id="rId39" Type="http://schemas.openxmlformats.org/officeDocument/2006/relationships/hyperlink" Target="https://www.griffith.edu.au/__data/assets/pdf_file/0037/932698/Strategic-Plan-2020-2025.pdf" TargetMode="External"/><Relationship Id="rId3" Type="http://schemas.openxmlformats.org/officeDocument/2006/relationships/customXml" Target="../customXml/item3.xml"/><Relationship Id="rId21" Type="http://schemas.openxmlformats.org/officeDocument/2006/relationships/hyperlink" Target="https://www.legislation.qld.gov.au/view/pdf/asmade/sl-2019-0154" TargetMode="External"/><Relationship Id="rId34" Type="http://schemas.openxmlformats.org/officeDocument/2006/relationships/hyperlink" Target="https://sharepointpubstor.blob.core.windows.net/policylibrary-prod/Equity%20Diversity%20and%20Inclusion%20Policy.pdf" TargetMode="External"/><Relationship Id="rId42" Type="http://schemas.openxmlformats.org/officeDocument/2006/relationships/hyperlink" Target="https://sharepointpubstor.blob.core.windows.net/policylibrary-prod/Emergency-Management-Plan.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n.org/sustainabledevelopment/sustainable-development-goals/" TargetMode="External"/><Relationship Id="rId17" Type="http://schemas.openxmlformats.org/officeDocument/2006/relationships/hyperlink" Target="https://www.legislation.qld.gov.au/view/pdf/inforce/current/act-1994-062" TargetMode="External"/><Relationship Id="rId25" Type="http://schemas.openxmlformats.org/officeDocument/2006/relationships/hyperlink" Target="https://www.legislation.qld.gov.au/view/html/inforce/current/act-1992-020" TargetMode="External"/><Relationship Id="rId33" Type="http://schemas.openxmlformats.org/officeDocument/2006/relationships/hyperlink" Target="https://sharepointpubstor.blob.core.windows.net/policylibrary-prod/Conflict%20of%20Interest%20Policy.pdf" TargetMode="External"/><Relationship Id="rId38" Type="http://schemas.openxmlformats.org/officeDocument/2006/relationships/hyperlink" Target="http://policies.griffith.edu.au/pdf/RiskAppetiteStatement.pd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qld.gov.au/view/html/inforce/current/sl-2014-0145" TargetMode="External"/><Relationship Id="rId20" Type="http://schemas.openxmlformats.org/officeDocument/2006/relationships/hyperlink" Target="https://www.legislation.qld.gov.au/view/pdf/asmade/sl-2019-0153" TargetMode="External"/><Relationship Id="rId29" Type="http://schemas.openxmlformats.org/officeDocument/2006/relationships/hyperlink" Target="https://www.legislation.qld.gov.au/view/html/inforce/current/act-2011-031" TargetMode="External"/><Relationship Id="rId41" Type="http://schemas.openxmlformats.org/officeDocument/2006/relationships/hyperlink" Target="https://sharepointpubstor.blob.core.windows.net/policylibrary-prod/Crisis%20Management%20and%20Recovery%20Pla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cy@griffith.edu.au" TargetMode="External"/><Relationship Id="rId24" Type="http://schemas.openxmlformats.org/officeDocument/2006/relationships/hyperlink" Target="https://www.brisbane.qld.gov.au/sites/default/files/documents/2021-03/Natural%20Assets%20Local%20Law%202003.DOC" TargetMode="External"/><Relationship Id="rId32" Type="http://schemas.openxmlformats.org/officeDocument/2006/relationships/hyperlink" Target="https://sharepointpubstor.blob.core.windows.net/policylibrary-prod/Code%20of%20Conduct.pdf" TargetMode="External"/><Relationship Id="rId37" Type="http://schemas.openxmlformats.org/officeDocument/2006/relationships/hyperlink" Target="https://sharepointpubstor.blob.core.windows.net/policylibrary-prod/Policy%20Governance%20Policy.pdf" TargetMode="External"/><Relationship Id="rId40" Type="http://schemas.openxmlformats.org/officeDocument/2006/relationships/hyperlink" Target="https://www.griffith.edu.au/__data/assets/pdf_file/0027/1672254/MC03340-Biodiversity-Conservation-Plan_FA-1.pdf"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egislation.qld.gov.au/view/html/inforce/current/act-2014-033" TargetMode="External"/><Relationship Id="rId23" Type="http://schemas.openxmlformats.org/officeDocument/2006/relationships/hyperlink" Target="https://www.legislation.gov.au/Details/C2022C00258" TargetMode="External"/><Relationship Id="rId28" Type="http://schemas.openxmlformats.org/officeDocument/2006/relationships/hyperlink" Target="https://www.goldcoast.qld.gov.au/files/sharedassets/public/pdfs/local-laws/06_-_local_law_no._6_vegetation_management.pdf" TargetMode="External"/><Relationship Id="rId36" Type="http://schemas.openxmlformats.org/officeDocument/2006/relationships/hyperlink" Target="https://sharepointpubstor.blob.core.windows.net/policylibrary-prod/Legislative%20Compliance%20Policy.pdf" TargetMode="External"/><Relationship Id="rId49" Type="http://schemas.openxmlformats.org/officeDocument/2006/relationships/footer" Target="footer3.xml"/><Relationship Id="rId10" Type="http://schemas.openxmlformats.org/officeDocument/2006/relationships/hyperlink" Target="https://www.un.org/sustainabledevelopment/sustainable-development-goals/" TargetMode="External"/><Relationship Id="rId19" Type="http://schemas.openxmlformats.org/officeDocument/2006/relationships/hyperlink" Target="https://www.legislation.qld.gov.au/view/html/inforce/current/sl-2019-0155" TargetMode="External"/><Relationship Id="rId31" Type="http://schemas.openxmlformats.org/officeDocument/2006/relationships/hyperlink" Target="https://www.legislation.qld.gov.au/view/html/inforce/current/act-2008-034" TargetMode="External"/><Relationship Id="rId44" Type="http://schemas.openxmlformats.org/officeDocument/2006/relationships/hyperlink" Target="https://sharepointpubstor.blob.core.windows.net/policylibrary-prod/Reporting%20and%20recording%20procedures%20for%20incidents,%20injuries,%20illness,%20hazards%20or%20near%20misses.pdf"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qld.gov.au/view/pdf/inforce/2017-10-13/act-1998-003" TargetMode="External"/><Relationship Id="rId22" Type="http://schemas.openxmlformats.org/officeDocument/2006/relationships/hyperlink" Target="https://www.legislation.qld.gov.au/view/html/inforce/current/sl-2019-0156" TargetMode="External"/><Relationship Id="rId27" Type="http://schemas.openxmlformats.org/officeDocument/2006/relationships/hyperlink" Target="https://environment.des.qld.gov.au/__data/assets/pdf_file/0017/309032/state-gov-si-koala-conservation-policy.pdf" TargetMode="External"/><Relationship Id="rId30" Type="http://schemas.openxmlformats.org/officeDocument/2006/relationships/hyperlink" Target="https://www.legislation.qld.gov.au/view/pdf/inforce/current/act-2000-034" TargetMode="External"/><Relationship Id="rId35" Type="http://schemas.openxmlformats.org/officeDocument/2006/relationships/hyperlink" Target="https://sharepointpubstor.blob.core.windows.net/policylibrary-prod/Health%20Safety%20and%20Wellbeing%20Policy.pdf" TargetMode="External"/><Relationship Id="rId43" Type="http://schemas.openxmlformats.org/officeDocument/2006/relationships/hyperlink" Target="https://sharepointpubstor.blob.core.windows.net/policylibrary-prod/Guidelines%20for%20Chemical%20Management.pdf"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85914A66A46C48DB740CA8699302E"/>
        <w:category>
          <w:name w:val="General"/>
          <w:gallery w:val="placeholder"/>
        </w:category>
        <w:types>
          <w:type w:val="bbPlcHdr"/>
        </w:types>
        <w:behaviors>
          <w:behavior w:val="content"/>
        </w:behaviors>
        <w:guid w:val="{59044E8F-C8D9-449C-B650-CA237876CFB7}"/>
      </w:docPartPr>
      <w:docPartBody>
        <w:p w:rsidR="00821431" w:rsidRDefault="00821431" w:rsidP="00821431">
          <w:pPr>
            <w:pStyle w:val="8CF85914A66A46C48DB740CA8699302E"/>
          </w:pPr>
          <w:r>
            <w:rPr>
              <w:rFonts w:ascii="Arial" w:hAnsi="Arial" w:cs="Arial"/>
              <w:sz w:val="20"/>
              <w:szCs w:val="24"/>
            </w:rPr>
            <w:t>Select an Audience</w:t>
          </w:r>
        </w:p>
      </w:docPartBody>
    </w:docPart>
    <w:docPart>
      <w:docPartPr>
        <w:name w:val="A577BD52A18B44ACA9498356941050A1"/>
        <w:category>
          <w:name w:val="General"/>
          <w:gallery w:val="placeholder"/>
        </w:category>
        <w:types>
          <w:type w:val="bbPlcHdr"/>
        </w:types>
        <w:behaviors>
          <w:behavior w:val="content"/>
        </w:behaviors>
        <w:guid w:val="{15840DA3-1E70-4FC9-8699-A0235CC05D8F}"/>
      </w:docPartPr>
      <w:docPartBody>
        <w:p w:rsidR="00821431" w:rsidRDefault="00821431" w:rsidP="00821431">
          <w:pPr>
            <w:pStyle w:val="A577BD52A18B44ACA9498356941050A1"/>
          </w:pPr>
          <w:r>
            <w:rPr>
              <w:rFonts w:ascii="Arial" w:hAnsi="Arial" w:cs="Arial"/>
              <w:sz w:val="20"/>
              <w:szCs w:val="24"/>
            </w:rPr>
            <w:t>Select a Category</w:t>
          </w:r>
        </w:p>
      </w:docPartBody>
    </w:docPart>
    <w:docPart>
      <w:docPartPr>
        <w:name w:val="ED4680DE9BA0480891BFD63F59D1BA12"/>
        <w:category>
          <w:name w:val="General"/>
          <w:gallery w:val="placeholder"/>
        </w:category>
        <w:types>
          <w:type w:val="bbPlcHdr"/>
        </w:types>
        <w:behaviors>
          <w:behavior w:val="content"/>
        </w:behaviors>
        <w:guid w:val="{5658F0FF-E580-4210-8EBA-6087456534B4}"/>
      </w:docPartPr>
      <w:docPartBody>
        <w:p w:rsidR="00821431" w:rsidRDefault="00821431" w:rsidP="00821431">
          <w:pPr>
            <w:pStyle w:val="ED4680DE9BA0480891BFD63F59D1BA12"/>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821431"/>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8CF85914A66A46C48DB740CA8699302E">
    <w:name w:val="8CF85914A66A46C48DB740CA8699302E"/>
    <w:rsid w:val="00821431"/>
  </w:style>
  <w:style w:type="paragraph" w:customStyle="1" w:styleId="A577BD52A18B44ACA9498356941050A1">
    <w:name w:val="A577BD52A18B44ACA9498356941050A1"/>
    <w:rsid w:val="00821431"/>
  </w:style>
  <w:style w:type="paragraph" w:customStyle="1" w:styleId="ED4680DE9BA0480891BFD63F59D1BA12">
    <w:name w:val="ED4680DE9BA0480891BFD63F59D1BA12"/>
    <w:rsid w:val="00821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560</Value>
      <Value>558</Value>
      <Value>111</Value>
      <Value>75</Value>
      <Value>526</Value>
      <Value>69</Value>
    </TaxCatchAll>
    <SharedWithUsers xmlns="b40c662e-0380-4817-843d-2c7e10d40c39">
      <UserInfo>
        <DisplayName/>
        <AccountId xsi:nil="true"/>
        <AccountType/>
      </UserInfo>
    </SharedWithUsers>
    <PublishOn xmlns="2f261a70-825f-4a37-b7b5-f6ecc2f4c5fa">2023-07-31T00:36:39+00:00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Office of the Vice Chancellor</TermName>
          <TermId xmlns="http://schemas.microsoft.com/office/infopath/2007/PartnerControls">6938fa62-e502-43b4-b16a-e61c98a2109c</TermId>
        </TermInfo>
      </Terms>
    </l92b321e1c6d4932b3b7fc50f551e57a>
    <policysummary xmlns="2f261a70-825f-4a37-b7b5-f6ecc2f4c5fa">This policy expresses Griffith University’s commitment to mitigating the impact of our operations on the climate and the natural environment.</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This is a new policy that will replace the Sustainability Policy, which is to be rescinded. The Vice Chancellor approved this policy by email on 31 July 2023. </doccomments>
    <datedeclared xmlns="2f261a70-825f-4a37-b7b5-f6ecc2f4c5fa">2023-07-30T14:00:00+00:00</datedeclared>
    <PrivatePolicy xmlns="2f261a70-825f-4a37-b7b5-f6ecc2f4c5fa">false</PrivatePolicy>
    <policyadvisor xmlns="2f261a70-825f-4a37-b7b5-f6ecc2f4c5fa">
      <UserInfo>
        <DisplayName>Jennifer Boddy</DisplayName>
        <AccountId>445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87261-2416-4848-BACE-F5D9ED48845A}">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2f261a70-825f-4a37-b7b5-f6ecc2f4c5fa"/>
    <ds:schemaRef ds:uri="http://schemas.microsoft.com/office/2006/documentManagement/types"/>
    <ds:schemaRef ds:uri="http://schemas.openxmlformats.org/package/2006/metadata/core-properties"/>
    <ds:schemaRef ds:uri="b40c662e-0380-4817-843d-2c7e10d40c39"/>
    <ds:schemaRef ds:uri="http://www.w3.org/XML/1998/namespace"/>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513B1BAC-8E92-4BA1-8F02-6A67208E2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43</TotalTime>
  <Pages>6</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Sustainability Policy</dc:title>
  <dc:creator>Jen Lofgren</dc:creator>
  <cp:lastModifiedBy>John Montgomery</cp:lastModifiedBy>
  <cp:revision>17</cp:revision>
  <dcterms:created xsi:type="dcterms:W3CDTF">2023-11-21T05:54:00Z</dcterms:created>
  <dcterms:modified xsi:type="dcterms:W3CDTF">2024-03-18T04:09:00Z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111;#Vice Chancellor|eaca6187-2c86-4c60-9b31-6cf3c86aa1e1</vt:lpwstr>
  </property>
  <property fmtid="{D5CDD505-2E9C-101B-9397-08002B2CF9AE}" pid="18" name="policycategory">
    <vt:lpwstr>69;#Policy|9279309a-7669-47c5-bf96-cc165d8b3ede</vt:lpwstr>
  </property>
  <property fmtid="{D5CDD505-2E9C-101B-9397-08002B2CF9AE}" pid="19" name="TemplateUrl">
    <vt:lpwstr/>
  </property>
  <property fmtid="{D5CDD505-2E9C-101B-9397-08002B2CF9AE}" pid="20" name="officearea">
    <vt:lpwstr>560;#Office of the Vice Chancellor|6938fa62-e502-43b4-b16a-e61c98a2109c</vt:lpwstr>
  </property>
  <property fmtid="{D5CDD505-2E9C-101B-9397-08002B2CF9AE}" pid="21" name="resourcetype">
    <vt:lpwstr>850</vt:lpwstr>
  </property>
  <property fmtid="{D5CDD505-2E9C-101B-9397-08002B2CF9AE}" pid="22" name="policy-category">
    <vt:lpwstr>526;#Operational|71ae2c77-9666-4d6a-a97b-3458c18553a0</vt:lpwstr>
  </property>
  <property fmtid="{D5CDD505-2E9C-101B-9397-08002B2CF9AE}" pid="23" name="glossaryterms">
    <vt:lpwstr/>
  </property>
  <property fmtid="{D5CDD505-2E9C-101B-9397-08002B2CF9AE}" pid="24" name="_dlc_DocIdItemGuid">
    <vt:lpwstr>f74d1c3e-3a50-4b68-9e41-f452e9996bb8</vt:lpwstr>
  </property>
  <property fmtid="{D5CDD505-2E9C-101B-9397-08002B2CF9AE}" pid="25" name="e509630521274583bbfe889d810a3e9e">
    <vt:lpwstr>Public|40058628-4222-4f37-b062-f3fb9daaccf8</vt:lpwstr>
  </property>
  <property fmtid="{D5CDD505-2E9C-101B-9397-08002B2CF9AE}" pid="26" name="policyreview">
    <vt:lpwstr>558;#2028|3482dbca-7716-46bb-b113-935721929a44</vt:lpwstr>
  </property>
  <property fmtid="{D5CDD505-2E9C-101B-9397-08002B2CF9AE}" pid="27" name="policyaudience">
    <vt:lpwstr>75;#Public|57bf670e-9d88-4715-a670-60ecbe232471</vt:lpwstr>
  </property>
  <property fmtid="{D5CDD505-2E9C-101B-9397-08002B2CF9AE}" pid="28" name="Managed_Testing_Field">
    <vt:lpwstr/>
  </property>
</Properties>
</file>