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63B04E6" w:rsidR="00ED6047" w:rsidRPr="008E2DBD" w:rsidRDefault="008E2DBD" w:rsidP="008E2DBD">
      <w:pPr>
        <w:pStyle w:val="ContentsHeading1"/>
        <w:pBdr>
          <w:bottom w:val="none" w:sz="0" w:space="0" w:color="auto"/>
        </w:pBdr>
        <w:rPr>
          <w:rFonts w:ascii="Arial" w:hAnsi="Arial" w:cs="Arial"/>
          <w:sz w:val="48"/>
          <w:szCs w:val="48"/>
        </w:rPr>
      </w:pPr>
      <w:r>
        <w:rPr>
          <w:rFonts w:ascii="Arial" w:hAnsi="Arial" w:cs="Arial"/>
          <w:sz w:val="48"/>
          <w:szCs w:val="48"/>
        </w:rPr>
        <w:t xml:space="preserve">Engaging </w:t>
      </w:r>
      <w:r w:rsidR="00904F31">
        <w:rPr>
          <w:rFonts w:ascii="Arial" w:hAnsi="Arial" w:cs="Arial"/>
          <w:sz w:val="48"/>
          <w:szCs w:val="48"/>
        </w:rPr>
        <w:t xml:space="preserve">Contractors </w:t>
      </w:r>
      <w:r w:rsidR="00DC2CCA">
        <w:rPr>
          <w:rFonts w:ascii="Arial" w:hAnsi="Arial" w:cs="Arial"/>
          <w:sz w:val="48"/>
          <w:szCs w:val="48"/>
        </w:rPr>
        <w:t xml:space="preserve">and </w:t>
      </w:r>
      <w:r>
        <w:rPr>
          <w:rFonts w:ascii="Arial" w:hAnsi="Arial" w:cs="Arial"/>
          <w:sz w:val="48"/>
          <w:szCs w:val="48"/>
        </w:rPr>
        <w:t>Consultants</w:t>
      </w:r>
      <w:r w:rsidR="00955B8E">
        <w:rPr>
          <w:rFonts w:ascii="Arial" w:hAnsi="Arial" w:cs="Arial"/>
          <w:sz w:val="48"/>
          <w:szCs w:val="48"/>
        </w:rPr>
        <w:t xml:space="preserve"> </w:t>
      </w:r>
    </w:p>
    <w:p w14:paraId="4B56D564" w14:textId="33010313" w:rsidR="00A144B2" w:rsidRPr="000C7000" w:rsidRDefault="000172FC"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0172FC"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004D437D"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 xml:space="preserve">3.1 </w:t>
        </w:r>
        <w:r w:rsidR="008E2DBD">
          <w:rPr>
            <w:rStyle w:val="Hyperlink"/>
            <w:rFonts w:ascii="Griffith Sans Text" w:hAnsi="Griffith Sans Text"/>
            <w:b w:val="0"/>
            <w:bCs w:val="0"/>
            <w:sz w:val="24"/>
            <w:szCs w:val="18"/>
          </w:rPr>
          <w:t>General</w:t>
        </w:r>
      </w:hyperlink>
      <w:r w:rsidR="008E2DBD">
        <w:rPr>
          <w:rStyle w:val="Hyperlink"/>
          <w:rFonts w:ascii="Griffith Sans Text" w:hAnsi="Griffith Sans Text"/>
          <w:b w:val="0"/>
          <w:bCs w:val="0"/>
          <w:sz w:val="24"/>
          <w:szCs w:val="18"/>
        </w:rPr>
        <w:t xml:space="preserve"> Position on Sole Traders</w:t>
      </w:r>
      <w:r w:rsidR="00904689" w:rsidRPr="000C7000">
        <w:rPr>
          <w:rFonts w:ascii="Griffith Sans Text" w:hAnsi="Griffith Sans Text"/>
          <w:b w:val="0"/>
          <w:bCs w:val="0"/>
          <w:sz w:val="24"/>
          <w:szCs w:val="18"/>
        </w:rPr>
        <w:t xml:space="preserve"> | </w:t>
      </w:r>
      <w:hyperlink w:anchor="_3.2_[Insert_sub-heading]" w:history="1">
        <w:r w:rsidR="00904689" w:rsidRPr="000C7000">
          <w:rPr>
            <w:rStyle w:val="Hyperlink"/>
            <w:rFonts w:ascii="Griffith Sans Text" w:hAnsi="Griffith Sans Text"/>
            <w:b w:val="0"/>
            <w:bCs w:val="0"/>
            <w:sz w:val="24"/>
            <w:szCs w:val="18"/>
          </w:rPr>
          <w:t xml:space="preserve">3.2 </w:t>
        </w:r>
      </w:hyperlink>
      <w:r w:rsidR="008E2DBD">
        <w:rPr>
          <w:rStyle w:val="Hyperlink"/>
          <w:rFonts w:ascii="Griffith Sans Text" w:hAnsi="Griffith Sans Text"/>
          <w:b w:val="0"/>
          <w:bCs w:val="0"/>
          <w:sz w:val="24"/>
          <w:szCs w:val="18"/>
        </w:rPr>
        <w:t>Engagement Process</w:t>
      </w:r>
      <w:r w:rsidR="00434DB7">
        <w:rPr>
          <w:rStyle w:val="Hyperlink"/>
          <w:rFonts w:ascii="Griffith Sans Text" w:hAnsi="Griffith Sans Text"/>
          <w:b w:val="0"/>
          <w:bCs w:val="0"/>
          <w:sz w:val="24"/>
          <w:szCs w:val="18"/>
        </w:rPr>
        <w:t xml:space="preserve"> </w:t>
      </w:r>
      <w:r w:rsidR="00434DB7" w:rsidRPr="000C7000">
        <w:rPr>
          <w:rFonts w:ascii="Griffith Sans Text" w:hAnsi="Griffith Sans Text"/>
          <w:b w:val="0"/>
          <w:bCs w:val="0"/>
          <w:sz w:val="24"/>
          <w:szCs w:val="18"/>
        </w:rPr>
        <w:t xml:space="preserve">| </w:t>
      </w:r>
      <w:hyperlink w:anchor="_3.2_[Insert_sub-heading]" w:history="1">
        <w:r w:rsidR="00434DB7" w:rsidRPr="000C7000">
          <w:rPr>
            <w:rStyle w:val="Hyperlink"/>
            <w:rFonts w:ascii="Griffith Sans Text" w:hAnsi="Griffith Sans Text"/>
            <w:b w:val="0"/>
            <w:bCs w:val="0"/>
            <w:sz w:val="24"/>
            <w:szCs w:val="18"/>
          </w:rPr>
          <w:t>3.</w:t>
        </w:r>
        <w:r w:rsidR="00434DB7">
          <w:rPr>
            <w:rStyle w:val="Hyperlink"/>
            <w:rFonts w:ascii="Griffith Sans Text" w:hAnsi="Griffith Sans Text"/>
            <w:b w:val="0"/>
            <w:bCs w:val="0"/>
            <w:sz w:val="24"/>
            <w:szCs w:val="18"/>
          </w:rPr>
          <w:t>3</w:t>
        </w:r>
        <w:r w:rsidR="00434DB7" w:rsidRPr="000C7000">
          <w:rPr>
            <w:rStyle w:val="Hyperlink"/>
            <w:rFonts w:ascii="Griffith Sans Text" w:hAnsi="Griffith Sans Text"/>
            <w:b w:val="0"/>
            <w:bCs w:val="0"/>
            <w:sz w:val="24"/>
            <w:szCs w:val="18"/>
          </w:rPr>
          <w:t xml:space="preserve"> </w:t>
        </w:r>
        <w:r w:rsidR="00434DB7">
          <w:rPr>
            <w:rStyle w:val="Hyperlink"/>
            <w:rFonts w:ascii="Griffith Sans Text" w:hAnsi="Griffith Sans Text"/>
            <w:b w:val="0"/>
            <w:bCs w:val="0"/>
            <w:sz w:val="24"/>
            <w:szCs w:val="18"/>
          </w:rPr>
          <w:t>Monitoring and Review of Genuine Sole Trader Arrangements</w:t>
        </w:r>
      </w:hyperlink>
    </w:p>
    <w:p w14:paraId="4608F0B9" w14:textId="2D75E767" w:rsidR="00982658" w:rsidRDefault="007418A5"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 xml:space="preserve">.0 </w:t>
      </w:r>
      <w:r w:rsidR="00850130">
        <w:rPr>
          <w:rFonts w:ascii="Griffith Sans Text" w:hAnsi="Griffith Sans Text"/>
          <w:b w:val="0"/>
          <w:bCs w:val="0"/>
          <w:sz w:val="24"/>
          <w:szCs w:val="18"/>
        </w:rPr>
        <w:t>Roles and Responsibilities</w:t>
      </w:r>
    </w:p>
    <w:p w14:paraId="574A747E" w14:textId="057239FE" w:rsidR="00A144B2" w:rsidRPr="000C7000" w:rsidRDefault="00982658" w:rsidP="00E166E0">
      <w:pPr>
        <w:pStyle w:val="Heading2"/>
        <w:spacing w:before="0" w:after="0" w:line="240" w:lineRule="auto"/>
        <w:rPr>
          <w:rFonts w:ascii="Griffith Sans Text" w:hAnsi="Griffith Sans Text"/>
          <w:b w:val="0"/>
          <w:bCs w:val="0"/>
          <w:sz w:val="24"/>
          <w:szCs w:val="18"/>
        </w:rPr>
      </w:pPr>
      <w:r>
        <w:rPr>
          <w:rFonts w:ascii="Griffith Sans Text" w:hAnsi="Griffith Sans Text"/>
          <w:b w:val="0"/>
          <w:bCs w:val="0"/>
          <w:sz w:val="24"/>
          <w:szCs w:val="18"/>
        </w:rPr>
        <w:t xml:space="preserve">5.0 </w:t>
      </w:r>
      <w:r w:rsidR="00850130">
        <w:rPr>
          <w:rFonts w:ascii="Griffith Sans Text" w:hAnsi="Griffith Sans Text"/>
          <w:b w:val="0"/>
          <w:bCs w:val="0"/>
          <w:sz w:val="24"/>
          <w:szCs w:val="18"/>
        </w:rPr>
        <w:t>Definitions</w:t>
      </w:r>
    </w:p>
    <w:p w14:paraId="55C75591" w14:textId="75FB6E99" w:rsidR="00FA6BBC" w:rsidRDefault="00982658" w:rsidP="00FA6BBC">
      <w:pPr>
        <w:pStyle w:val="Heading2"/>
        <w:spacing w:before="0" w:after="0" w:line="240" w:lineRule="auto"/>
        <w:rPr>
          <w:b w:val="0"/>
          <w:bCs w:val="0"/>
          <w:iCs w:val="0"/>
        </w:rPr>
      </w:pPr>
      <w:r>
        <w:rPr>
          <w:rFonts w:ascii="Griffith Sans Text" w:hAnsi="Griffith Sans Text"/>
          <w:b w:val="0"/>
          <w:bCs w:val="0"/>
          <w:sz w:val="24"/>
          <w:szCs w:val="18"/>
        </w:rPr>
        <w:t>6</w:t>
      </w:r>
      <w:r w:rsidR="006D1462">
        <w:rPr>
          <w:rFonts w:ascii="Griffith Sans Text" w:hAnsi="Griffith Sans Text"/>
          <w:b w:val="0"/>
          <w:bCs w:val="0"/>
          <w:sz w:val="24"/>
          <w:szCs w:val="18"/>
        </w:rPr>
        <w:t>.</w:t>
      </w:r>
      <w:r w:rsidR="008709D2">
        <w:rPr>
          <w:rFonts w:ascii="Griffith Sans Text" w:hAnsi="Griffith Sans Text"/>
          <w:b w:val="0"/>
          <w:bCs w:val="0"/>
          <w:sz w:val="24"/>
          <w:szCs w:val="18"/>
        </w:rPr>
        <w:t>0 Information</w:t>
      </w:r>
    </w:p>
    <w:p w14:paraId="3005F60D" w14:textId="1CDDD79F" w:rsidR="00D434E9" w:rsidRPr="000C7000" w:rsidRDefault="000172FC" w:rsidP="00E166E0">
      <w:pPr>
        <w:pStyle w:val="Heading2"/>
        <w:spacing w:before="0" w:after="0" w:line="240" w:lineRule="auto"/>
        <w:rPr>
          <w:rFonts w:ascii="Griffith Sans Text" w:hAnsi="Griffith Sans Text"/>
          <w:b w:val="0"/>
          <w:bCs w:val="0"/>
          <w:sz w:val="24"/>
          <w:szCs w:val="18"/>
        </w:rPr>
      </w:pPr>
      <w:hyperlink w:anchor="_7.0_Related_Policy" w:history="1">
        <w:r w:rsidR="00982658">
          <w:rPr>
            <w:rStyle w:val="Hyperlink"/>
            <w:rFonts w:ascii="Griffith Sans Text" w:hAnsi="Griffith Sans Text"/>
            <w:b w:val="0"/>
            <w:bCs w:val="0"/>
            <w:sz w:val="24"/>
            <w:szCs w:val="18"/>
          </w:rPr>
          <w:t>7</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05CAAB21" w:rsidR="00A144B2" w:rsidRDefault="00A144B2" w:rsidP="008709D2">
      <w:pPr>
        <w:pStyle w:val="Heading2"/>
        <w:numPr>
          <w:ilvl w:val="0"/>
          <w:numId w:val="37"/>
        </w:numPr>
        <w:rPr>
          <w:rFonts w:ascii="Griffith Sans Text" w:hAnsi="Griffith Sans Text"/>
        </w:rPr>
      </w:pPr>
      <w:bookmarkStart w:id="0" w:name="_1.0_Purpose"/>
      <w:bookmarkEnd w:id="0"/>
      <w:r w:rsidRPr="00237AB3">
        <w:rPr>
          <w:rFonts w:ascii="Griffith Sans Text" w:hAnsi="Griffith Sans Text"/>
        </w:rPr>
        <w:t>Purpose</w:t>
      </w:r>
    </w:p>
    <w:p w14:paraId="582E5DA0" w14:textId="6D49EB61" w:rsidR="008709D2" w:rsidRPr="008709D2" w:rsidRDefault="008709D2" w:rsidP="008709D2">
      <w:pPr>
        <w:pStyle w:val="NormalWhite"/>
        <w:spacing w:after="120"/>
        <w:rPr>
          <w:rFonts w:cs="Arial"/>
          <w:color w:val="000000" w:themeColor="text1"/>
          <w:sz w:val="22"/>
        </w:rPr>
      </w:pPr>
      <w:r w:rsidRPr="5BBAF632">
        <w:rPr>
          <w:rFonts w:cs="Arial"/>
          <w:color w:val="000000" w:themeColor="text1"/>
          <w:sz w:val="22"/>
        </w:rPr>
        <w:t xml:space="preserve">To establish roles and responsibilities associated with ensuring that independent contractors (commonly known at Griffith as ‘consultants’) are engaged and retained lawfully </w:t>
      </w:r>
      <w:r w:rsidR="511BC80A" w:rsidRPr="5BBAF632">
        <w:rPr>
          <w:rFonts w:cs="Arial"/>
          <w:color w:val="000000" w:themeColor="text1"/>
          <w:sz w:val="22"/>
        </w:rPr>
        <w:t>by</w:t>
      </w:r>
      <w:r w:rsidRPr="5BBAF632">
        <w:rPr>
          <w:rFonts w:cs="Arial"/>
          <w:color w:val="000000" w:themeColor="text1"/>
          <w:sz w:val="22"/>
        </w:rPr>
        <w:t xml:space="preserve"> Griffith; including that all arrangements are genuine, that contractors are paid superannuation when legally entitled, and that the University meets relevant tax liabilities.</w:t>
      </w:r>
    </w:p>
    <w:p w14:paraId="7F0EA822" w14:textId="07CBBBFC" w:rsidR="00A144B2" w:rsidRDefault="00A144B2" w:rsidP="00CA6AC5">
      <w:pPr>
        <w:pStyle w:val="Heading2"/>
        <w:rPr>
          <w:rFonts w:ascii="Griffith Sans Text" w:hAnsi="Griffith Sans Text"/>
        </w:rPr>
      </w:pPr>
      <w:r w:rsidRPr="00237AB3">
        <w:rPr>
          <w:rFonts w:ascii="Griffith Sans Text" w:hAnsi="Griffith Sans Text"/>
        </w:rPr>
        <w:t>2.0 Scope</w:t>
      </w:r>
    </w:p>
    <w:p w14:paraId="4C8254B0" w14:textId="77777777" w:rsidR="00FC52E4" w:rsidRPr="00FC52E4" w:rsidRDefault="00FC52E4" w:rsidP="00FC52E4">
      <w:pPr>
        <w:rPr>
          <w:rFonts w:ascii="Arial" w:hAnsi="Arial" w:cs="Arial"/>
          <w:sz w:val="22"/>
        </w:rPr>
      </w:pPr>
      <w:r w:rsidRPr="00FC52E4">
        <w:rPr>
          <w:rFonts w:ascii="Arial" w:hAnsi="Arial" w:cs="Arial"/>
          <w:sz w:val="22"/>
        </w:rPr>
        <w:t>This procedure applies to all areas of the University’s operations, including its staff, appointees of the University, its controlled entities, and to all activities authorised and conducted by or on behalf of the University.</w:t>
      </w:r>
    </w:p>
    <w:p w14:paraId="5E6B1144" w14:textId="7AC344AC" w:rsidR="00FC52E4" w:rsidRPr="00FC52E4" w:rsidRDefault="00FC52E4" w:rsidP="5BBAF632">
      <w:pPr>
        <w:rPr>
          <w:rFonts w:ascii="Arial" w:hAnsi="Arial" w:cs="Arial"/>
          <w:sz w:val="22"/>
        </w:rPr>
      </w:pPr>
      <w:r w:rsidRPr="5BBAF632">
        <w:rPr>
          <w:rFonts w:ascii="Arial" w:hAnsi="Arial" w:cs="Arial"/>
          <w:sz w:val="22"/>
        </w:rPr>
        <w:t xml:space="preserve">It applies to all circumstances where an independent contractor/consultant is engaged to provide services to Griffith, except where services are being sourced through a labour hire company. Note </w:t>
      </w:r>
      <w:r w:rsidR="51482A30" w:rsidRPr="5BBAF632">
        <w:rPr>
          <w:rFonts w:ascii="Arial" w:hAnsi="Arial" w:cs="Arial"/>
          <w:sz w:val="22"/>
        </w:rPr>
        <w:t xml:space="preserve">where labour hire services are being used </w:t>
      </w:r>
      <w:r w:rsidRPr="5BBAF632">
        <w:rPr>
          <w:rFonts w:ascii="Arial" w:hAnsi="Arial" w:cs="Arial"/>
          <w:sz w:val="22"/>
        </w:rPr>
        <w:t xml:space="preserve">it is </w:t>
      </w:r>
      <w:r w:rsidRPr="5BBAF632">
        <w:rPr>
          <w:rFonts w:ascii="Arial" w:hAnsi="Arial" w:cs="Arial"/>
          <w:sz w:val="22"/>
          <w:lang w:eastAsia="en-GB"/>
        </w:rPr>
        <w:t xml:space="preserve">mandatory to check the Qld Government’s </w:t>
      </w:r>
      <w:hyperlink r:id="rId11">
        <w:r w:rsidRPr="5BBAF632">
          <w:rPr>
            <w:rStyle w:val="Hyperlink"/>
            <w:rFonts w:ascii="Arial" w:hAnsi="Arial" w:cs="Arial"/>
            <w:sz w:val="22"/>
            <w:lang w:eastAsia="en-GB"/>
          </w:rPr>
          <w:t>online register</w:t>
        </w:r>
      </w:hyperlink>
      <w:r w:rsidRPr="5BBAF632">
        <w:rPr>
          <w:rFonts w:ascii="Arial" w:hAnsi="Arial" w:cs="Arial"/>
          <w:sz w:val="22"/>
          <w:lang w:eastAsia="en-GB"/>
        </w:rPr>
        <w:t xml:space="preserve"> to ensure that the labour hire company is licensed under the </w:t>
      </w:r>
      <w:r w:rsidRPr="5BBAF632">
        <w:rPr>
          <w:rFonts w:ascii="Arial" w:hAnsi="Arial" w:cs="Arial"/>
          <w:i/>
          <w:iCs/>
          <w:sz w:val="22"/>
          <w:lang w:eastAsia="en-GB"/>
        </w:rPr>
        <w:t xml:space="preserve">Labour Hire Licensing Act 2017 </w:t>
      </w:r>
      <w:r w:rsidRPr="5BBAF632">
        <w:rPr>
          <w:rFonts w:ascii="Arial" w:hAnsi="Arial" w:cs="Arial"/>
          <w:sz w:val="22"/>
          <w:lang w:eastAsia="en-GB"/>
        </w:rPr>
        <w:t>(Qld).</w:t>
      </w:r>
    </w:p>
    <w:p w14:paraId="738A9BC3" w14:textId="48FE5F59" w:rsidR="00A144B2" w:rsidRPr="00237AB3" w:rsidRDefault="00A144B2" w:rsidP="00CA6AC5">
      <w:pPr>
        <w:pStyle w:val="Heading2"/>
        <w:rPr>
          <w:rFonts w:ascii="Griffith Sans Text" w:hAnsi="Griffith Sans Text"/>
        </w:rPr>
      </w:pPr>
      <w:bookmarkStart w:id="1" w:name="_3.0_Policy_statement"/>
      <w:bookmarkStart w:id="2" w:name="_3.0_Procedure"/>
      <w:bookmarkEnd w:id="1"/>
      <w:bookmarkEnd w:id="2"/>
      <w:r w:rsidRPr="00237AB3">
        <w:rPr>
          <w:rFonts w:ascii="Griffith Sans Text" w:hAnsi="Griffith Sans Text"/>
        </w:rPr>
        <w:t xml:space="preserve">3.0 </w:t>
      </w:r>
      <w:r w:rsidR="007418A5" w:rsidRPr="00237AB3">
        <w:rPr>
          <w:rFonts w:ascii="Griffith Sans Text" w:hAnsi="Griffith Sans Text"/>
        </w:rPr>
        <w:t>Procedure</w:t>
      </w:r>
    </w:p>
    <w:p w14:paraId="301FA844" w14:textId="270C8DF2" w:rsidR="00A144B2" w:rsidRDefault="00A144B2" w:rsidP="001520D3">
      <w:pPr>
        <w:pStyle w:val="Heading3"/>
        <w:ind w:left="567"/>
        <w:rPr>
          <w:rFonts w:ascii="Griffith Sans Text" w:hAnsi="Griffith Sans Text"/>
        </w:rPr>
      </w:pPr>
      <w:bookmarkStart w:id="3" w:name="_3.1_[Insert_sub-heading]"/>
      <w:bookmarkEnd w:id="3"/>
      <w:r w:rsidRPr="001520D3">
        <w:rPr>
          <w:rFonts w:ascii="Griffith Sans Text" w:hAnsi="Griffith Sans Text"/>
        </w:rPr>
        <w:t xml:space="preserve">3.1 </w:t>
      </w:r>
      <w:r w:rsidR="007962DE">
        <w:rPr>
          <w:rFonts w:ascii="Griffith Sans Text" w:hAnsi="Griffith Sans Text"/>
        </w:rPr>
        <w:t>General Position on Sole Traders</w:t>
      </w:r>
    </w:p>
    <w:p w14:paraId="54DDE9F9" w14:textId="0A42F8AF" w:rsidR="00FD0C02" w:rsidRPr="00FD0C02" w:rsidRDefault="00372C63" w:rsidP="00FD0C02">
      <w:pPr>
        <w:spacing w:before="120"/>
        <w:rPr>
          <w:rFonts w:ascii="Arial" w:hAnsi="Arial" w:cs="Arial"/>
          <w:sz w:val="22"/>
          <w:lang w:eastAsia="en-GB"/>
        </w:rPr>
      </w:pPr>
      <w:r>
        <w:rPr>
          <w:rFonts w:ascii="Arial" w:hAnsi="Arial" w:cs="Arial"/>
          <w:sz w:val="22"/>
          <w:lang w:eastAsia="en-GB"/>
        </w:rPr>
        <w:t>Contractors and c</w:t>
      </w:r>
      <w:r w:rsidR="00FD0C02" w:rsidRPr="00FD0C02">
        <w:rPr>
          <w:rFonts w:ascii="Arial" w:hAnsi="Arial" w:cs="Arial"/>
          <w:sz w:val="22"/>
          <w:lang w:eastAsia="en-GB"/>
        </w:rPr>
        <w:t xml:space="preserve">onsultants provide a range of valuable services to Griffith. However, the engagement of individual ‘sole traders’ is subject to complex legislative requirements, including the prohibition on sham contracting in the </w:t>
      </w:r>
      <w:r w:rsidR="00FD0C02" w:rsidRPr="00FD0C02">
        <w:rPr>
          <w:rFonts w:ascii="Arial" w:hAnsi="Arial" w:cs="Arial"/>
          <w:i/>
          <w:iCs/>
          <w:sz w:val="22"/>
          <w:lang w:eastAsia="en-GB"/>
        </w:rPr>
        <w:t xml:space="preserve">Fair Work Act 2009 </w:t>
      </w:r>
      <w:r w:rsidR="00FD0C02" w:rsidRPr="00FD0C02">
        <w:rPr>
          <w:rFonts w:ascii="Arial" w:hAnsi="Arial" w:cs="Arial"/>
          <w:sz w:val="22"/>
          <w:lang w:eastAsia="en-GB"/>
        </w:rPr>
        <w:t>(Cth). To prevent breaches of these requirements, which will cause significant harm to the University, the following principles apply:</w:t>
      </w:r>
    </w:p>
    <w:p w14:paraId="6065E267" w14:textId="0ACA390F" w:rsidR="00FD0C02" w:rsidRPr="00FD0C02" w:rsidRDefault="00FD0C02" w:rsidP="00FD0C02">
      <w:pPr>
        <w:pStyle w:val="BulletPoints"/>
        <w:numPr>
          <w:ilvl w:val="0"/>
          <w:numId w:val="1"/>
        </w:numPr>
        <w:ind w:left="720"/>
        <w:rPr>
          <w:sz w:val="22"/>
          <w:lang w:eastAsia="en-GB"/>
        </w:rPr>
      </w:pPr>
      <w:r w:rsidRPr="00FD0C02">
        <w:rPr>
          <w:sz w:val="22"/>
          <w:lang w:eastAsia="en-GB"/>
        </w:rPr>
        <w:t xml:space="preserve">Wherever possible, </w:t>
      </w:r>
      <w:r w:rsidR="00F02FA1">
        <w:rPr>
          <w:sz w:val="22"/>
          <w:lang w:eastAsia="en-GB"/>
        </w:rPr>
        <w:t xml:space="preserve">contractors and </w:t>
      </w:r>
      <w:r w:rsidRPr="00FD0C02">
        <w:rPr>
          <w:sz w:val="22"/>
          <w:lang w:eastAsia="en-GB"/>
        </w:rPr>
        <w:t>consultants should be engaged through a company with an Australian Company Number (ACN),</w:t>
      </w:r>
    </w:p>
    <w:p w14:paraId="3FAB674E" w14:textId="3B793E59" w:rsidR="00FD0C02" w:rsidRDefault="00FD0C02" w:rsidP="00FD0C02">
      <w:pPr>
        <w:pStyle w:val="BulletPoints"/>
        <w:numPr>
          <w:ilvl w:val="0"/>
          <w:numId w:val="1"/>
        </w:numPr>
        <w:ind w:left="720"/>
        <w:rPr>
          <w:sz w:val="22"/>
          <w:lang w:eastAsia="en-GB"/>
        </w:rPr>
      </w:pPr>
      <w:r w:rsidRPr="00FD0C02">
        <w:rPr>
          <w:sz w:val="22"/>
          <w:lang w:eastAsia="en-GB"/>
        </w:rPr>
        <w:t xml:space="preserve">Sole traders will be permitted, by exception, where the process </w:t>
      </w:r>
      <w:r w:rsidR="001B2E07">
        <w:rPr>
          <w:sz w:val="22"/>
          <w:lang w:eastAsia="en-GB"/>
        </w:rPr>
        <w:t>(3.2 below)</w:t>
      </w:r>
      <w:r w:rsidRPr="00FD0C02">
        <w:rPr>
          <w:sz w:val="22"/>
          <w:lang w:eastAsia="en-GB"/>
        </w:rPr>
        <w:t xml:space="preserve"> is followed, and it can be reasonably determined that it is a genuine contracting arrangement.</w:t>
      </w:r>
    </w:p>
    <w:p w14:paraId="2DA6E5AB" w14:textId="77777777" w:rsidR="00FD0C02" w:rsidRPr="00FD0C02" w:rsidRDefault="00FD0C02" w:rsidP="00FD0C02">
      <w:pPr>
        <w:rPr>
          <w:rFonts w:ascii="Arial" w:hAnsi="Arial" w:cs="Arial"/>
          <w:sz w:val="22"/>
          <w:lang w:eastAsia="en-GB"/>
        </w:rPr>
      </w:pPr>
      <w:r w:rsidRPr="00FD0C02">
        <w:rPr>
          <w:rFonts w:ascii="Arial" w:hAnsi="Arial" w:cs="Arial"/>
          <w:sz w:val="22"/>
          <w:lang w:eastAsia="en-GB"/>
        </w:rPr>
        <w:t>Due to the significant consequences of legislative non-compliance, the University will monitor and when appropriate audit compliance with these procedures.</w:t>
      </w:r>
    </w:p>
    <w:p w14:paraId="7A089B74" w14:textId="2D929586" w:rsidR="00C548FD" w:rsidRDefault="00A144B2" w:rsidP="001520D3">
      <w:pPr>
        <w:pStyle w:val="Heading3"/>
        <w:ind w:left="567"/>
        <w:rPr>
          <w:rFonts w:ascii="Griffith Sans Text" w:hAnsi="Griffith Sans Text"/>
        </w:rPr>
      </w:pPr>
      <w:bookmarkStart w:id="4" w:name="_3.2_[Insert_sub-heading]"/>
      <w:bookmarkEnd w:id="4"/>
      <w:r w:rsidRPr="03167633">
        <w:rPr>
          <w:rFonts w:ascii="Griffith Sans Text" w:hAnsi="Griffith Sans Text"/>
        </w:rPr>
        <w:lastRenderedPageBreak/>
        <w:t xml:space="preserve">3.2 </w:t>
      </w:r>
      <w:r w:rsidR="00323B15" w:rsidRPr="03167633">
        <w:rPr>
          <w:rFonts w:ascii="Griffith Sans Text" w:hAnsi="Griffith Sans Text"/>
        </w:rPr>
        <w:t>Engagement Procedures</w:t>
      </w:r>
    </w:p>
    <w:p w14:paraId="2E2494B2" w14:textId="5B46B4AB" w:rsidR="00940763" w:rsidRDefault="00940763" w:rsidP="00940763">
      <w:pPr>
        <w:spacing w:before="120"/>
        <w:rPr>
          <w:rFonts w:ascii="Arial" w:hAnsi="Arial" w:cs="Arial"/>
          <w:sz w:val="22"/>
          <w:szCs w:val="28"/>
          <w:lang w:eastAsia="en-GB"/>
        </w:rPr>
      </w:pPr>
      <w:r w:rsidRPr="00940763">
        <w:rPr>
          <w:rFonts w:ascii="Arial" w:hAnsi="Arial" w:cs="Arial"/>
          <w:sz w:val="22"/>
          <w:szCs w:val="28"/>
          <w:lang w:eastAsia="en-GB"/>
        </w:rPr>
        <w:t xml:space="preserve">The table below sets out the process for engaging a </w:t>
      </w:r>
      <w:r w:rsidR="00D27A92">
        <w:rPr>
          <w:rFonts w:ascii="Arial" w:hAnsi="Arial" w:cs="Arial"/>
          <w:sz w:val="22"/>
          <w:szCs w:val="28"/>
          <w:lang w:eastAsia="en-GB"/>
        </w:rPr>
        <w:t xml:space="preserve">contractor or </w:t>
      </w:r>
      <w:r w:rsidRPr="00940763">
        <w:rPr>
          <w:rFonts w:ascii="Arial" w:hAnsi="Arial" w:cs="Arial"/>
          <w:sz w:val="22"/>
          <w:szCs w:val="28"/>
          <w:lang w:eastAsia="en-GB"/>
        </w:rPr>
        <w:t>consultant generally, with specific and additional requirements where a sole trader is being engaged set out in the right-hand column.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85" w:type="dxa"/>
          <w:bottom w:w="57" w:type="dxa"/>
          <w:right w:w="85" w:type="dxa"/>
        </w:tblCellMar>
        <w:tblLook w:val="04A0" w:firstRow="1" w:lastRow="0" w:firstColumn="1" w:lastColumn="0" w:noHBand="0" w:noVBand="1"/>
      </w:tblPr>
      <w:tblGrid>
        <w:gridCol w:w="5137"/>
        <w:gridCol w:w="5301"/>
      </w:tblGrid>
      <w:tr w:rsidR="00940763" w14:paraId="2C7845BF" w14:textId="77777777" w:rsidTr="3B928E8A">
        <w:trPr>
          <w:tblHeader/>
        </w:trPr>
        <w:tc>
          <w:tcPr>
            <w:tcW w:w="5137" w:type="dxa"/>
          </w:tcPr>
          <w:p w14:paraId="5964BFD4" w14:textId="3B56FEC7" w:rsidR="00940763" w:rsidRPr="00786706" w:rsidRDefault="00CA184C">
            <w:pPr>
              <w:pStyle w:val="Heading4"/>
            </w:pPr>
            <w:r>
              <w:t>GENERAL PROCESS</w:t>
            </w:r>
          </w:p>
        </w:tc>
        <w:tc>
          <w:tcPr>
            <w:tcW w:w="5301" w:type="dxa"/>
            <w:vAlign w:val="center"/>
          </w:tcPr>
          <w:p w14:paraId="0920054E" w14:textId="1E8534E5" w:rsidR="00940763" w:rsidRPr="00940763" w:rsidRDefault="009833AF" w:rsidP="004465C6">
            <w:pPr>
              <w:spacing w:before="120"/>
              <w:rPr>
                <w:rFonts w:ascii="Arial" w:hAnsi="Arial" w:cs="Arial"/>
                <w:b/>
                <w:sz w:val="24"/>
                <w:szCs w:val="24"/>
                <w:lang w:val="en-GB"/>
              </w:rPr>
            </w:pPr>
            <w:r w:rsidRPr="3CA2522E">
              <w:rPr>
                <w:b/>
                <w:sz w:val="24"/>
                <w:szCs w:val="24"/>
                <w:lang w:val="en-GB"/>
              </w:rPr>
              <w:t>SOLE TRADER REQUIREMENTS (IF ANY)</w:t>
            </w:r>
          </w:p>
        </w:tc>
      </w:tr>
      <w:tr w:rsidR="00940763" w14:paraId="4E97917D" w14:textId="77777777" w:rsidTr="3B928E8A">
        <w:tc>
          <w:tcPr>
            <w:tcW w:w="5137" w:type="dxa"/>
            <w:tcBorders>
              <w:right w:val="single" w:sz="4" w:space="0" w:color="auto"/>
            </w:tcBorders>
          </w:tcPr>
          <w:p w14:paraId="38DEA382" w14:textId="77777777" w:rsidR="00C05881" w:rsidRPr="00C05881" w:rsidRDefault="00C05881" w:rsidP="005266F2">
            <w:pPr>
              <w:pStyle w:val="ListParagraph"/>
              <w:numPr>
                <w:ilvl w:val="0"/>
                <w:numId w:val="38"/>
              </w:numPr>
              <w:spacing w:before="120"/>
              <w:contextualSpacing/>
              <w:rPr>
                <w:rFonts w:ascii="Arial" w:hAnsi="Arial" w:cs="Arial"/>
                <w:b/>
                <w:bCs/>
                <w:sz w:val="22"/>
                <w:lang w:eastAsia="en-GB"/>
              </w:rPr>
            </w:pPr>
            <w:r w:rsidRPr="00C05881">
              <w:rPr>
                <w:rFonts w:ascii="Arial" w:hAnsi="Arial" w:cs="Arial"/>
                <w:b/>
                <w:bCs/>
                <w:sz w:val="22"/>
                <w:lang w:eastAsia="en-GB"/>
              </w:rPr>
              <w:t>Assess the Risk</w:t>
            </w:r>
          </w:p>
          <w:p w14:paraId="503393DC" w14:textId="3F221894" w:rsidR="00C05881" w:rsidRPr="00C05881" w:rsidRDefault="00C05881" w:rsidP="005266F2">
            <w:pPr>
              <w:spacing w:before="120"/>
              <w:rPr>
                <w:rFonts w:ascii="Arial" w:hAnsi="Arial" w:cs="Arial"/>
                <w:color w:val="000000"/>
                <w:sz w:val="22"/>
              </w:rPr>
            </w:pPr>
            <w:r w:rsidRPr="00C05881">
              <w:rPr>
                <w:rFonts w:ascii="Arial" w:hAnsi="Arial" w:cs="Arial"/>
                <w:color w:val="000000"/>
                <w:sz w:val="22"/>
              </w:rPr>
              <w:t>When engaging</w:t>
            </w:r>
            <w:r w:rsidR="00857E54">
              <w:rPr>
                <w:rFonts w:ascii="Arial" w:hAnsi="Arial" w:cs="Arial"/>
                <w:color w:val="000000"/>
                <w:sz w:val="22"/>
              </w:rPr>
              <w:t xml:space="preserve"> contractors or</w:t>
            </w:r>
            <w:r w:rsidRPr="00C05881">
              <w:rPr>
                <w:rFonts w:ascii="Arial" w:hAnsi="Arial" w:cs="Arial"/>
                <w:color w:val="000000"/>
                <w:sz w:val="22"/>
              </w:rPr>
              <w:t xml:space="preserve"> consultants to provide services to the University, University staff should ensure that they follow an appropriate sourcing process commensurate with value and risk.</w:t>
            </w:r>
          </w:p>
          <w:p w14:paraId="65BC2C65" w14:textId="77777777" w:rsidR="00C05881" w:rsidRPr="00C05881" w:rsidRDefault="00C05881" w:rsidP="005266F2">
            <w:pPr>
              <w:pStyle w:val="NormalWeb"/>
              <w:spacing w:before="0" w:beforeAutospacing="0" w:line="285" w:lineRule="atLeast"/>
              <w:rPr>
                <w:rFonts w:ascii="Arial" w:hAnsi="Arial" w:cs="Arial"/>
                <w:color w:val="000000"/>
                <w:sz w:val="22"/>
                <w:szCs w:val="22"/>
              </w:rPr>
            </w:pPr>
            <w:r w:rsidRPr="00C05881">
              <w:rPr>
                <w:rFonts w:ascii="Arial" w:hAnsi="Arial" w:cs="Arial"/>
                <w:color w:val="000000"/>
                <w:sz w:val="22"/>
                <w:szCs w:val="22"/>
              </w:rPr>
              <w:t>To assess the risk, University staff should complete either:</w:t>
            </w:r>
          </w:p>
          <w:p w14:paraId="7F0017D9" w14:textId="77777777" w:rsidR="00C05881" w:rsidRDefault="000172FC" w:rsidP="005266F2">
            <w:pPr>
              <w:pStyle w:val="BulletPoints"/>
              <w:numPr>
                <w:ilvl w:val="0"/>
                <w:numId w:val="1"/>
              </w:numPr>
              <w:ind w:left="720"/>
              <w:rPr>
                <w:rFonts w:cs="Arial"/>
                <w:sz w:val="22"/>
              </w:rPr>
            </w:pPr>
            <w:hyperlink r:id="rId12" w:tgtFrame="_blank" w:history="1">
              <w:r w:rsidR="00C05881" w:rsidRPr="00C05881">
                <w:rPr>
                  <w:rStyle w:val="Hyperlink"/>
                  <w:rFonts w:cs="Arial"/>
                  <w:sz w:val="22"/>
                </w:rPr>
                <w:t>Basic Risk Assessment Questionnaire</w:t>
              </w:r>
            </w:hyperlink>
            <w:r w:rsidR="00C05881" w:rsidRPr="00C05881">
              <w:rPr>
                <w:rFonts w:cs="Arial"/>
                <w:sz w:val="22"/>
              </w:rPr>
              <w:t> if the total cost is expected to be below $450,000, or</w:t>
            </w:r>
          </w:p>
          <w:p w14:paraId="1D188402" w14:textId="419FD505" w:rsidR="00940763" w:rsidRPr="00C05881" w:rsidRDefault="000172FC" w:rsidP="005266F2">
            <w:pPr>
              <w:pStyle w:val="BulletPoints"/>
              <w:numPr>
                <w:ilvl w:val="0"/>
                <w:numId w:val="1"/>
              </w:numPr>
              <w:ind w:left="720"/>
              <w:rPr>
                <w:rFonts w:cs="Arial"/>
                <w:sz w:val="22"/>
              </w:rPr>
            </w:pPr>
            <w:hyperlink r:id="rId13" w:tgtFrame="_blank" w:history="1">
              <w:r w:rsidR="00C05881" w:rsidRPr="00C05881">
                <w:rPr>
                  <w:rStyle w:val="Hyperlink"/>
                  <w:rFonts w:cs="Arial"/>
                  <w:sz w:val="22"/>
                </w:rPr>
                <w:t>Value Risk Matrix Tool - Sourcing</w:t>
              </w:r>
            </w:hyperlink>
            <w:r w:rsidR="00C05881" w:rsidRPr="00C05881">
              <w:rPr>
                <w:rFonts w:cs="Arial"/>
                <w:sz w:val="22"/>
              </w:rPr>
              <w:t> if the total cost is expected to be equal to or greater than $450,000.</w:t>
            </w:r>
          </w:p>
        </w:tc>
        <w:tc>
          <w:tcPr>
            <w:tcW w:w="5301" w:type="dxa"/>
            <w:tcBorders>
              <w:left w:val="single" w:sz="4" w:space="0" w:color="auto"/>
            </w:tcBorders>
          </w:tcPr>
          <w:p w14:paraId="75F5FB71" w14:textId="6386348C" w:rsidR="00C040ED" w:rsidRPr="00904D48" w:rsidRDefault="00C040ED" w:rsidP="00C040ED">
            <w:pPr>
              <w:spacing w:before="120"/>
              <w:rPr>
                <w:rFonts w:ascii="Arial" w:hAnsi="Arial" w:cs="Arial"/>
                <w:b/>
                <w:bCs/>
                <w:sz w:val="22"/>
                <w:lang w:eastAsia="en-GB"/>
              </w:rPr>
            </w:pPr>
            <w:r w:rsidRPr="00904D48">
              <w:rPr>
                <w:rFonts w:ascii="Arial" w:hAnsi="Arial" w:cs="Arial"/>
                <w:b/>
                <w:bCs/>
                <w:sz w:val="22"/>
                <w:lang w:eastAsia="en-GB"/>
              </w:rPr>
              <w:t>Complete a Genuine Contractor Checklist and check if superannuation entitlements</w:t>
            </w:r>
            <w:r w:rsidR="000C2DEC">
              <w:rPr>
                <w:rFonts w:ascii="Arial" w:hAnsi="Arial" w:cs="Arial"/>
                <w:b/>
                <w:bCs/>
                <w:sz w:val="22"/>
                <w:lang w:eastAsia="en-GB"/>
              </w:rPr>
              <w:t xml:space="preserve"> and other requirements</w:t>
            </w:r>
            <w:r w:rsidRPr="00904D48">
              <w:rPr>
                <w:rFonts w:ascii="Arial" w:hAnsi="Arial" w:cs="Arial"/>
                <w:b/>
                <w:bCs/>
                <w:sz w:val="22"/>
                <w:lang w:eastAsia="en-GB"/>
              </w:rPr>
              <w:t xml:space="preserve"> </w:t>
            </w:r>
            <w:proofErr w:type="gramStart"/>
            <w:r w:rsidRPr="00904D48">
              <w:rPr>
                <w:rFonts w:ascii="Arial" w:hAnsi="Arial" w:cs="Arial"/>
                <w:b/>
                <w:bCs/>
                <w:sz w:val="22"/>
                <w:lang w:eastAsia="en-GB"/>
              </w:rPr>
              <w:t>apply</w:t>
            </w:r>
            <w:proofErr w:type="gramEnd"/>
          </w:p>
          <w:p w14:paraId="78BC1E66" w14:textId="77777777" w:rsidR="00C040ED" w:rsidRPr="00904D48" w:rsidRDefault="00C040ED" w:rsidP="00904D48">
            <w:pPr>
              <w:spacing w:before="120"/>
              <w:rPr>
                <w:rFonts w:ascii="Arial" w:hAnsi="Arial" w:cs="Arial"/>
                <w:sz w:val="22"/>
                <w:lang w:eastAsia="en-GB"/>
              </w:rPr>
            </w:pPr>
            <w:r w:rsidRPr="00904D48">
              <w:rPr>
                <w:rFonts w:ascii="Arial" w:hAnsi="Arial" w:cs="Arial"/>
                <w:sz w:val="22"/>
                <w:lang w:eastAsia="en-GB"/>
              </w:rPr>
              <w:t>When a sole trader is proposed to provide services under a contract, the below steps must be undertaken:</w:t>
            </w:r>
          </w:p>
          <w:p w14:paraId="63E73519" w14:textId="4B2BB031" w:rsidR="00C040ED" w:rsidRPr="00904D48" w:rsidRDefault="00C040ED" w:rsidP="00904D48">
            <w:pPr>
              <w:spacing w:before="120"/>
              <w:rPr>
                <w:rFonts w:ascii="Arial" w:hAnsi="Arial" w:cs="Arial"/>
                <w:sz w:val="22"/>
                <w:lang w:eastAsia="en-GB"/>
              </w:rPr>
            </w:pPr>
            <w:r w:rsidRPr="00904D48">
              <w:rPr>
                <w:rFonts w:ascii="Arial" w:hAnsi="Arial" w:cs="Arial"/>
                <w:b/>
                <w:bCs/>
                <w:i/>
                <w:iCs/>
                <w:sz w:val="22"/>
                <w:lang w:eastAsia="en-GB"/>
              </w:rPr>
              <w:t>Step 1:</w:t>
            </w:r>
            <w:r w:rsidRPr="00904D48">
              <w:rPr>
                <w:rFonts w:ascii="Arial" w:hAnsi="Arial" w:cs="Arial"/>
                <w:sz w:val="22"/>
                <w:lang w:eastAsia="en-GB"/>
              </w:rPr>
              <w:t xml:space="preserve"> The </w:t>
            </w:r>
            <w:hyperlink r:id="rId14" w:history="1">
              <w:r w:rsidRPr="00007360">
                <w:rPr>
                  <w:rStyle w:val="Hyperlink"/>
                  <w:rFonts w:ascii="Arial" w:hAnsi="Arial" w:cs="Arial"/>
                  <w:sz w:val="22"/>
                  <w:lang w:eastAsia="en-GB"/>
                </w:rPr>
                <w:t>Genuine Contractor Checklist</w:t>
              </w:r>
            </w:hyperlink>
            <w:r w:rsidRPr="00904D48">
              <w:rPr>
                <w:rFonts w:ascii="Arial" w:hAnsi="Arial" w:cs="Arial"/>
                <w:sz w:val="22"/>
                <w:lang w:eastAsia="en-GB"/>
              </w:rPr>
              <w:t xml:space="preserve"> must be completed. Where all mandatory checks are passed, Step 2 below applies. Where all the mandatory checks are not passed, the arrangement is likely to be a prohibited sham contract and cannot proceed. The Element must either:</w:t>
            </w:r>
          </w:p>
          <w:p w14:paraId="37ECFEA3" w14:textId="77777777" w:rsidR="00C040ED" w:rsidRPr="00904D48" w:rsidRDefault="00C040ED" w:rsidP="00C040ED">
            <w:pPr>
              <w:pStyle w:val="BulletPoints"/>
              <w:numPr>
                <w:ilvl w:val="0"/>
                <w:numId w:val="1"/>
              </w:numPr>
              <w:ind w:left="720"/>
              <w:rPr>
                <w:rFonts w:cs="Arial"/>
                <w:sz w:val="22"/>
                <w:lang w:eastAsia="en-GB"/>
              </w:rPr>
            </w:pPr>
            <w:r w:rsidRPr="00904D48">
              <w:rPr>
                <w:rFonts w:cs="Arial"/>
                <w:sz w:val="22"/>
                <w:lang w:eastAsia="en-GB"/>
              </w:rPr>
              <w:t>Consult with their Human Resource Business Partner (HRBP) about potential or alternative employment options, or</w:t>
            </w:r>
          </w:p>
          <w:p w14:paraId="19F1850A" w14:textId="77777777" w:rsidR="00C040ED" w:rsidRPr="00904D48" w:rsidRDefault="00C040ED" w:rsidP="00C040ED">
            <w:pPr>
              <w:pStyle w:val="BulletPoints"/>
              <w:numPr>
                <w:ilvl w:val="0"/>
                <w:numId w:val="1"/>
              </w:numPr>
              <w:ind w:left="720"/>
              <w:rPr>
                <w:rFonts w:cs="Arial"/>
                <w:sz w:val="22"/>
                <w:lang w:eastAsia="en-GB"/>
              </w:rPr>
            </w:pPr>
            <w:r w:rsidRPr="00904D48">
              <w:rPr>
                <w:rFonts w:cs="Arial"/>
                <w:sz w:val="22"/>
                <w:lang w:eastAsia="en-GB"/>
              </w:rPr>
              <w:t>Consider alternative supply arrangements for the services, in consultation with Strategic Procurement and Supply team.</w:t>
            </w:r>
          </w:p>
          <w:p w14:paraId="6E742F1B" w14:textId="396703D2" w:rsidR="00CE2A92" w:rsidRPr="006F755A" w:rsidRDefault="00904D48" w:rsidP="00566B88">
            <w:pPr>
              <w:spacing w:before="240" w:after="120"/>
              <w:rPr>
                <w:rFonts w:ascii="Arial" w:hAnsi="Arial" w:cs="Arial"/>
                <w:sz w:val="22"/>
                <w:lang w:val="en-GB"/>
              </w:rPr>
            </w:pPr>
            <w:r w:rsidRPr="00904D48">
              <w:rPr>
                <w:rFonts w:ascii="Arial" w:hAnsi="Arial" w:cs="Arial"/>
                <w:b/>
                <w:bCs/>
                <w:i/>
                <w:iCs/>
                <w:sz w:val="22"/>
                <w:lang w:eastAsia="en-GB"/>
              </w:rPr>
              <w:t>Step 2:</w:t>
            </w:r>
            <w:r w:rsidRPr="00904D48">
              <w:rPr>
                <w:rFonts w:ascii="Arial" w:hAnsi="Arial" w:cs="Arial"/>
                <w:i/>
                <w:iCs/>
                <w:sz w:val="22"/>
                <w:lang w:eastAsia="en-GB"/>
              </w:rPr>
              <w:t xml:space="preserve"> </w:t>
            </w:r>
            <w:r w:rsidRPr="00904D48">
              <w:rPr>
                <w:rFonts w:ascii="Arial" w:hAnsi="Arial" w:cs="Arial"/>
                <w:sz w:val="22"/>
                <w:lang w:eastAsia="en-GB"/>
              </w:rPr>
              <w:t xml:space="preserve">If the Genuine Contractor Checklist is passed, the proposed arrangement must be </w:t>
            </w:r>
            <w:r w:rsidR="007B5DE9">
              <w:rPr>
                <w:rFonts w:ascii="Arial" w:hAnsi="Arial" w:cs="Arial"/>
                <w:sz w:val="22"/>
                <w:lang w:eastAsia="en-GB"/>
              </w:rPr>
              <w:t>assessed for</w:t>
            </w:r>
            <w:r w:rsidR="00C15AC9">
              <w:rPr>
                <w:rFonts w:ascii="Arial" w:hAnsi="Arial" w:cs="Arial"/>
                <w:sz w:val="22"/>
                <w:lang w:eastAsia="en-GB"/>
              </w:rPr>
              <w:t xml:space="preserve"> potential</w:t>
            </w:r>
            <w:r w:rsidR="0084627C">
              <w:rPr>
                <w:rFonts w:ascii="Arial" w:hAnsi="Arial" w:cs="Arial"/>
                <w:sz w:val="22"/>
                <w:lang w:eastAsia="en-GB"/>
              </w:rPr>
              <w:t xml:space="preserve"> superannuation</w:t>
            </w:r>
            <w:r w:rsidR="002230BA">
              <w:rPr>
                <w:rFonts w:ascii="Arial" w:hAnsi="Arial" w:cs="Arial"/>
                <w:sz w:val="22"/>
                <w:lang w:eastAsia="en-GB"/>
              </w:rPr>
              <w:t xml:space="preserve"> entitlements</w:t>
            </w:r>
            <w:r w:rsidR="0012451E">
              <w:rPr>
                <w:rFonts w:ascii="Arial" w:hAnsi="Arial" w:cs="Arial"/>
                <w:sz w:val="22"/>
                <w:lang w:eastAsia="en-GB"/>
              </w:rPr>
              <w:t xml:space="preserve">, payroll tax liability and </w:t>
            </w:r>
            <w:r w:rsidR="00573B23">
              <w:rPr>
                <w:rFonts w:ascii="Arial" w:hAnsi="Arial" w:cs="Arial"/>
                <w:sz w:val="22"/>
                <w:lang w:eastAsia="en-GB"/>
              </w:rPr>
              <w:t>workers compensation</w:t>
            </w:r>
            <w:r w:rsidR="0012451E">
              <w:rPr>
                <w:rFonts w:ascii="Arial" w:hAnsi="Arial" w:cs="Arial"/>
                <w:sz w:val="22"/>
                <w:lang w:eastAsia="en-GB"/>
              </w:rPr>
              <w:t xml:space="preserve"> requirements</w:t>
            </w:r>
            <w:r w:rsidR="0079516C">
              <w:rPr>
                <w:rFonts w:ascii="Arial" w:hAnsi="Arial" w:cs="Arial"/>
                <w:sz w:val="22"/>
                <w:lang w:eastAsia="en-GB"/>
              </w:rPr>
              <w:t>.</w:t>
            </w:r>
          </w:p>
          <w:p w14:paraId="508D0F7A" w14:textId="0E67EC2F" w:rsidR="00940763" w:rsidRPr="00566B88" w:rsidRDefault="00904D48" w:rsidP="3B928E8A">
            <w:pPr>
              <w:spacing w:before="240" w:after="120"/>
              <w:rPr>
                <w:rFonts w:ascii="Arial" w:hAnsi="Arial" w:cs="Arial"/>
                <w:sz w:val="22"/>
                <w:lang w:val="en-GB"/>
              </w:rPr>
            </w:pPr>
            <w:r w:rsidRPr="3B928E8A">
              <w:rPr>
                <w:rFonts w:ascii="Arial" w:hAnsi="Arial" w:cs="Arial"/>
                <w:sz w:val="22"/>
                <w:lang w:eastAsia="en-GB"/>
              </w:rPr>
              <w:t xml:space="preserve">This is done by </w:t>
            </w:r>
            <w:r w:rsidR="008C307E" w:rsidRPr="3B928E8A">
              <w:rPr>
                <w:rFonts w:ascii="Arial" w:hAnsi="Arial" w:cs="Arial"/>
                <w:sz w:val="22"/>
                <w:lang w:eastAsia="en-GB"/>
              </w:rPr>
              <w:t xml:space="preserve">sending the </w:t>
            </w:r>
            <w:r w:rsidR="002B23F9" w:rsidRPr="3B928E8A">
              <w:rPr>
                <w:rFonts w:ascii="Arial" w:hAnsi="Arial" w:cs="Arial"/>
                <w:sz w:val="22"/>
                <w:lang w:eastAsia="en-GB"/>
              </w:rPr>
              <w:t xml:space="preserve">proposed arrangement </w:t>
            </w:r>
            <w:r w:rsidR="00AD32B8" w:rsidRPr="3B928E8A">
              <w:rPr>
                <w:rFonts w:ascii="Arial" w:hAnsi="Arial" w:cs="Arial"/>
                <w:sz w:val="22"/>
                <w:lang w:eastAsia="en-GB"/>
              </w:rPr>
              <w:t>(including the complete</w:t>
            </w:r>
            <w:r w:rsidR="00C15AC9" w:rsidRPr="3B928E8A">
              <w:rPr>
                <w:rFonts w:ascii="Arial" w:hAnsi="Arial" w:cs="Arial"/>
                <w:sz w:val="22"/>
                <w:lang w:eastAsia="en-GB"/>
              </w:rPr>
              <w:t>d</w:t>
            </w:r>
            <w:r w:rsidR="00AD32B8" w:rsidRPr="3B928E8A">
              <w:rPr>
                <w:rFonts w:ascii="Arial" w:hAnsi="Arial" w:cs="Arial"/>
                <w:sz w:val="22"/>
                <w:lang w:eastAsia="en-GB"/>
              </w:rPr>
              <w:t xml:space="preserve"> Genuine Contractor Checklist) </w:t>
            </w:r>
            <w:r w:rsidR="002B23F9" w:rsidRPr="3B928E8A">
              <w:rPr>
                <w:rFonts w:ascii="Arial" w:hAnsi="Arial" w:cs="Arial"/>
                <w:sz w:val="22"/>
                <w:lang w:eastAsia="en-GB"/>
              </w:rPr>
              <w:t>to</w:t>
            </w:r>
            <w:r w:rsidR="002936D5" w:rsidRPr="3B928E8A">
              <w:rPr>
                <w:rFonts w:ascii="Arial" w:hAnsi="Arial" w:cs="Arial"/>
                <w:sz w:val="22"/>
                <w:lang w:eastAsia="en-GB"/>
              </w:rPr>
              <w:t xml:space="preserve"> hr</w:t>
            </w:r>
            <w:r w:rsidR="00AE2C07" w:rsidRPr="3B928E8A">
              <w:rPr>
                <w:rFonts w:ascii="Arial" w:hAnsi="Arial" w:cs="Arial"/>
                <w:sz w:val="22"/>
                <w:lang w:eastAsia="en-GB"/>
              </w:rPr>
              <w:t>andsafety</w:t>
            </w:r>
            <w:r w:rsidR="006C6B15" w:rsidRPr="3B928E8A">
              <w:rPr>
                <w:rFonts w:ascii="Arial" w:hAnsi="Arial" w:cs="Arial"/>
                <w:sz w:val="22"/>
                <w:lang w:eastAsia="en-GB"/>
              </w:rPr>
              <w:t>@griffith.edu.au</w:t>
            </w:r>
            <w:hyperlink r:id="rId15" w:history="1"/>
            <w:r w:rsidR="6FB7F069" w:rsidRPr="3B928E8A">
              <w:rPr>
                <w:rFonts w:ascii="Arial" w:hAnsi="Arial" w:cs="Arial"/>
                <w:sz w:val="22"/>
                <w:lang w:eastAsia="en-GB"/>
              </w:rPr>
              <w:t>.</w:t>
            </w:r>
            <w:r w:rsidRPr="3B928E8A">
              <w:rPr>
                <w:rFonts w:ascii="Arial" w:hAnsi="Arial" w:cs="Arial"/>
                <w:sz w:val="22"/>
                <w:lang w:eastAsia="en-GB"/>
              </w:rPr>
              <w:t xml:space="preserve"> If applicable, payment of superannuation must be included in the contract for services and</w:t>
            </w:r>
            <w:r w:rsidR="00872F54" w:rsidRPr="3B928E8A">
              <w:rPr>
                <w:rFonts w:ascii="Arial" w:hAnsi="Arial" w:cs="Arial"/>
                <w:sz w:val="22"/>
                <w:lang w:eastAsia="en-GB"/>
              </w:rPr>
              <w:t xml:space="preserve"> any superannuation or pa</w:t>
            </w:r>
            <w:r w:rsidR="00AF0CB9" w:rsidRPr="3B928E8A">
              <w:rPr>
                <w:rFonts w:ascii="Arial" w:hAnsi="Arial" w:cs="Arial"/>
                <w:sz w:val="22"/>
                <w:lang w:eastAsia="en-GB"/>
              </w:rPr>
              <w:t>yroll tax liabilities</w:t>
            </w:r>
            <w:r w:rsidRPr="3B928E8A">
              <w:rPr>
                <w:rFonts w:ascii="Arial" w:hAnsi="Arial" w:cs="Arial"/>
                <w:sz w:val="22"/>
                <w:lang w:eastAsia="en-GB"/>
              </w:rPr>
              <w:t xml:space="preserve"> will need to be funded from the procuring Element’s budget.</w:t>
            </w:r>
          </w:p>
        </w:tc>
      </w:tr>
      <w:tr w:rsidR="008D7CD4" w14:paraId="13B36B03" w14:textId="77777777" w:rsidTr="3B928E8A">
        <w:tc>
          <w:tcPr>
            <w:tcW w:w="5137" w:type="dxa"/>
            <w:tcBorders>
              <w:right w:val="single" w:sz="4" w:space="0" w:color="auto"/>
            </w:tcBorders>
          </w:tcPr>
          <w:p w14:paraId="643235FC" w14:textId="77777777" w:rsidR="008D7CD4" w:rsidRPr="008D7CD4" w:rsidRDefault="008D7CD4" w:rsidP="008D7CD4">
            <w:pPr>
              <w:pStyle w:val="ListParagraph"/>
              <w:numPr>
                <w:ilvl w:val="0"/>
                <w:numId w:val="38"/>
              </w:numPr>
              <w:spacing w:before="120"/>
              <w:contextualSpacing/>
              <w:rPr>
                <w:rFonts w:ascii="Arial" w:hAnsi="Arial" w:cs="Arial"/>
                <w:b/>
                <w:bCs/>
                <w:sz w:val="22"/>
                <w:lang w:eastAsia="en-GB"/>
              </w:rPr>
            </w:pPr>
            <w:r w:rsidRPr="008D7CD4">
              <w:rPr>
                <w:rFonts w:ascii="Arial" w:hAnsi="Arial" w:cs="Arial"/>
                <w:b/>
                <w:bCs/>
                <w:sz w:val="22"/>
                <w:lang w:eastAsia="en-GB"/>
              </w:rPr>
              <w:t xml:space="preserve">Identify which sourcing process to </w:t>
            </w:r>
            <w:proofErr w:type="gramStart"/>
            <w:r w:rsidRPr="008D7CD4">
              <w:rPr>
                <w:rFonts w:ascii="Arial" w:hAnsi="Arial" w:cs="Arial"/>
                <w:b/>
                <w:bCs/>
                <w:sz w:val="22"/>
                <w:lang w:eastAsia="en-GB"/>
              </w:rPr>
              <w:t>follow</w:t>
            </w:r>
            <w:proofErr w:type="gramEnd"/>
          </w:p>
          <w:p w14:paraId="754DF96F" w14:textId="77777777" w:rsidR="008D7CD4" w:rsidRPr="008D7CD4" w:rsidRDefault="008D7CD4" w:rsidP="008D7CD4">
            <w:pPr>
              <w:pStyle w:val="NormalWeb"/>
              <w:spacing w:before="120" w:beforeAutospacing="0" w:line="285" w:lineRule="atLeast"/>
              <w:rPr>
                <w:rFonts w:ascii="Arial" w:hAnsi="Arial" w:cs="Arial"/>
                <w:color w:val="000000"/>
                <w:sz w:val="22"/>
                <w:szCs w:val="22"/>
              </w:rPr>
            </w:pPr>
            <w:r w:rsidRPr="008D7CD4">
              <w:rPr>
                <w:rFonts w:ascii="Arial" w:hAnsi="Arial" w:cs="Arial"/>
                <w:color w:val="000000"/>
                <w:sz w:val="22"/>
                <w:szCs w:val="22"/>
              </w:rPr>
              <w:t xml:space="preserve">By using the risk assessment information combined with the expected total cost, University staff will be able to refer to the </w:t>
            </w:r>
            <w:hyperlink r:id="rId16" w:history="1">
              <w:r w:rsidRPr="008D7CD4">
                <w:rPr>
                  <w:rStyle w:val="Hyperlink"/>
                  <w:rFonts w:ascii="Arial" w:hAnsi="Arial" w:cs="Arial"/>
                  <w:sz w:val="22"/>
                  <w:szCs w:val="22"/>
                </w:rPr>
                <w:t xml:space="preserve">Procurement and </w:t>
              </w:r>
              <w:r w:rsidRPr="008D7CD4">
                <w:rPr>
                  <w:rStyle w:val="Hyperlink"/>
                  <w:rFonts w:ascii="Arial" w:hAnsi="Arial" w:cs="Arial"/>
                  <w:sz w:val="22"/>
                  <w:szCs w:val="22"/>
                </w:rPr>
                <w:lastRenderedPageBreak/>
                <w:t>Supply Thresholds</w:t>
              </w:r>
            </w:hyperlink>
            <w:r w:rsidRPr="008D7CD4">
              <w:rPr>
                <w:rFonts w:ascii="Arial" w:hAnsi="Arial" w:cs="Arial"/>
                <w:color w:val="000000"/>
                <w:sz w:val="22"/>
                <w:szCs w:val="22"/>
              </w:rPr>
              <w:t xml:space="preserve"> to identify which of the following sourcing guidelines to follow:</w:t>
            </w:r>
          </w:p>
          <w:p w14:paraId="4B66FEF3" w14:textId="77777777" w:rsidR="008D7CD4" w:rsidRPr="008D7CD4" w:rsidRDefault="000172FC" w:rsidP="008D7CD4">
            <w:pPr>
              <w:pStyle w:val="BulletPoints"/>
              <w:numPr>
                <w:ilvl w:val="0"/>
                <w:numId w:val="1"/>
              </w:numPr>
              <w:spacing w:before="120" w:after="120"/>
              <w:ind w:left="720"/>
              <w:rPr>
                <w:rFonts w:cs="Arial"/>
                <w:sz w:val="22"/>
              </w:rPr>
            </w:pPr>
            <w:hyperlink r:id="rId17" w:history="1">
              <w:r w:rsidR="008D7CD4" w:rsidRPr="008D7CD4">
                <w:rPr>
                  <w:rStyle w:val="Hyperlink"/>
                  <w:rFonts w:cs="Arial"/>
                  <w:sz w:val="22"/>
                </w:rPr>
                <w:t>Below $450,000 (exc. GST) and Very Low to Medium Risk Sourcing Guidelines</w:t>
              </w:r>
            </w:hyperlink>
          </w:p>
          <w:p w14:paraId="494F9235" w14:textId="77777777" w:rsidR="008D7CD4" w:rsidRPr="008D7CD4" w:rsidRDefault="008D7CD4" w:rsidP="008D7CD4">
            <w:pPr>
              <w:numPr>
                <w:ilvl w:val="1"/>
                <w:numId w:val="40"/>
              </w:numPr>
              <w:spacing w:before="120" w:after="120" w:line="285" w:lineRule="atLeast"/>
              <w:ind w:left="1077" w:hanging="357"/>
              <w:rPr>
                <w:rFonts w:ascii="Arial" w:hAnsi="Arial" w:cs="Arial"/>
                <w:color w:val="000000"/>
                <w:sz w:val="22"/>
              </w:rPr>
            </w:pPr>
            <w:r w:rsidRPr="008D7CD4">
              <w:rPr>
                <w:rFonts w:ascii="Arial" w:hAnsi="Arial" w:cs="Arial"/>
                <w:color w:val="000000"/>
                <w:sz w:val="22"/>
              </w:rPr>
              <w:t>Use the Request for Quotation templates to obtain quotations:</w:t>
            </w:r>
          </w:p>
          <w:p w14:paraId="0CA8E49B" w14:textId="77777777" w:rsidR="008D7CD4" w:rsidRPr="008D7CD4" w:rsidRDefault="000172FC" w:rsidP="008D7CD4">
            <w:pPr>
              <w:numPr>
                <w:ilvl w:val="2"/>
                <w:numId w:val="40"/>
              </w:numPr>
              <w:tabs>
                <w:tab w:val="clear" w:pos="1800"/>
              </w:tabs>
              <w:spacing w:before="120" w:after="120" w:line="285" w:lineRule="atLeast"/>
              <w:ind w:left="1455"/>
              <w:rPr>
                <w:rFonts w:ascii="Arial" w:hAnsi="Arial" w:cs="Arial"/>
                <w:color w:val="000000"/>
                <w:sz w:val="22"/>
              </w:rPr>
            </w:pPr>
            <w:hyperlink r:id="rId18" w:history="1">
              <w:r w:rsidR="008D7CD4" w:rsidRPr="008D7CD4">
                <w:rPr>
                  <w:rStyle w:val="Hyperlink"/>
                  <w:rFonts w:ascii="Arial" w:hAnsi="Arial" w:cs="Arial"/>
                  <w:sz w:val="22"/>
                </w:rPr>
                <w:t>Request for Quotation Part A Consultancy Requirements</w:t>
              </w:r>
            </w:hyperlink>
          </w:p>
          <w:p w14:paraId="4656D09F" w14:textId="77777777" w:rsidR="008D7CD4" w:rsidRPr="008D7CD4" w:rsidRDefault="000172FC" w:rsidP="008D7CD4">
            <w:pPr>
              <w:numPr>
                <w:ilvl w:val="2"/>
                <w:numId w:val="40"/>
              </w:numPr>
              <w:tabs>
                <w:tab w:val="clear" w:pos="1800"/>
              </w:tabs>
              <w:spacing w:before="120" w:after="120" w:line="285" w:lineRule="atLeast"/>
              <w:ind w:left="1455"/>
              <w:rPr>
                <w:rFonts w:ascii="Arial" w:hAnsi="Arial" w:cs="Arial"/>
                <w:color w:val="000000"/>
                <w:sz w:val="22"/>
              </w:rPr>
            </w:pPr>
            <w:hyperlink r:id="rId19" w:history="1">
              <w:r w:rsidR="008D7CD4" w:rsidRPr="008D7CD4">
                <w:rPr>
                  <w:rStyle w:val="Hyperlink"/>
                  <w:rFonts w:ascii="Arial" w:hAnsi="Arial" w:cs="Arial"/>
                  <w:sz w:val="22"/>
                </w:rPr>
                <w:t>Request for Quotation Part B Supplier Response Schedule (Consultancy)</w:t>
              </w:r>
            </w:hyperlink>
          </w:p>
          <w:p w14:paraId="56E7029A" w14:textId="599FBD38" w:rsidR="008D7CD4" w:rsidRPr="000A2387" w:rsidRDefault="09446681" w:rsidP="5BBAF632">
            <w:pPr>
              <w:spacing w:before="120"/>
              <w:contextualSpacing/>
              <w:rPr>
                <w:rFonts w:ascii="Arial" w:hAnsi="Arial" w:cs="Arial"/>
                <w:sz w:val="22"/>
                <w:lang w:eastAsia="en-GB"/>
              </w:rPr>
            </w:pPr>
            <w:r w:rsidRPr="5BBAF632">
              <w:rPr>
                <w:rFonts w:ascii="Arial" w:hAnsi="Arial" w:cs="Arial"/>
                <w:sz w:val="22"/>
              </w:rPr>
              <w:t xml:space="preserve">Above $450,000 </w:t>
            </w:r>
            <w:hyperlink r:id="rId20">
              <w:r w:rsidRPr="5BBAF632">
                <w:rPr>
                  <w:rStyle w:val="Hyperlink"/>
                  <w:rFonts w:ascii="Arial" w:hAnsi="Arial" w:cs="Arial"/>
                  <w:sz w:val="22"/>
                </w:rPr>
                <w:t>Strategic Sourcing Guidelines</w:t>
              </w:r>
            </w:hyperlink>
            <w:r w:rsidRPr="5BBAF632">
              <w:rPr>
                <w:rFonts w:ascii="Arial" w:hAnsi="Arial" w:cs="Arial"/>
                <w:sz w:val="22"/>
              </w:rPr>
              <w:t xml:space="preserve"> - remember to engage </w:t>
            </w:r>
            <w:hyperlink r:id="rId21">
              <w:r w:rsidRPr="5BBAF632">
                <w:rPr>
                  <w:rStyle w:val="Hyperlink"/>
                  <w:rFonts w:ascii="Arial" w:hAnsi="Arial" w:cs="Arial"/>
                  <w:sz w:val="22"/>
                </w:rPr>
                <w:t>Strategic Procurement and Supply</w:t>
              </w:r>
            </w:hyperlink>
            <w:r w:rsidRPr="5BBAF632">
              <w:rPr>
                <w:rFonts w:ascii="Arial" w:hAnsi="Arial" w:cs="Arial"/>
                <w:sz w:val="22"/>
              </w:rPr>
              <w:t> at the "plan the procurement" stage of the process</w:t>
            </w:r>
            <w:r w:rsidR="49ACD558" w:rsidRPr="5BBAF632">
              <w:rPr>
                <w:rFonts w:ascii="Arial" w:hAnsi="Arial" w:cs="Arial"/>
                <w:sz w:val="22"/>
              </w:rPr>
              <w:t>.</w:t>
            </w:r>
          </w:p>
        </w:tc>
        <w:tc>
          <w:tcPr>
            <w:tcW w:w="5301" w:type="dxa"/>
            <w:tcBorders>
              <w:left w:val="single" w:sz="4" w:space="0" w:color="auto"/>
            </w:tcBorders>
          </w:tcPr>
          <w:p w14:paraId="775BB172" w14:textId="77777777" w:rsidR="008D7CD4" w:rsidRPr="00904D48" w:rsidRDefault="008D7CD4" w:rsidP="008D7CD4">
            <w:pPr>
              <w:spacing w:before="120"/>
              <w:rPr>
                <w:rFonts w:ascii="Arial" w:hAnsi="Arial" w:cs="Arial"/>
                <w:b/>
                <w:bCs/>
                <w:sz w:val="22"/>
                <w:lang w:eastAsia="en-GB"/>
              </w:rPr>
            </w:pPr>
          </w:p>
        </w:tc>
      </w:tr>
      <w:tr w:rsidR="008D7CD4" w14:paraId="47FF1359" w14:textId="77777777" w:rsidTr="3B928E8A">
        <w:tc>
          <w:tcPr>
            <w:tcW w:w="5137" w:type="dxa"/>
            <w:tcBorders>
              <w:right w:val="single" w:sz="4" w:space="0" w:color="auto"/>
            </w:tcBorders>
          </w:tcPr>
          <w:p w14:paraId="087FA722" w14:textId="77777777" w:rsidR="008D7CD4" w:rsidRPr="00A358E7" w:rsidRDefault="000A2387" w:rsidP="008D7CD4">
            <w:pPr>
              <w:pStyle w:val="ListParagraph"/>
              <w:numPr>
                <w:ilvl w:val="0"/>
                <w:numId w:val="38"/>
              </w:numPr>
              <w:spacing w:before="120"/>
              <w:contextualSpacing/>
              <w:rPr>
                <w:rFonts w:ascii="Arial" w:hAnsi="Arial" w:cs="Arial"/>
                <w:b/>
                <w:bCs/>
                <w:sz w:val="22"/>
                <w:lang w:eastAsia="en-GB"/>
              </w:rPr>
            </w:pPr>
            <w:r w:rsidRPr="00A358E7">
              <w:rPr>
                <w:rFonts w:ascii="Arial" w:hAnsi="Arial" w:cs="Arial"/>
                <w:b/>
                <w:bCs/>
                <w:sz w:val="22"/>
                <w:lang w:eastAsia="en-GB"/>
              </w:rPr>
              <w:t>Conflicts of Interest Declarations</w:t>
            </w:r>
          </w:p>
          <w:p w14:paraId="6EDEEA98" w14:textId="77777777" w:rsidR="00DA502C" w:rsidRPr="00A358E7" w:rsidRDefault="00DA502C" w:rsidP="00DA502C">
            <w:pPr>
              <w:pStyle w:val="NormalWeb"/>
              <w:spacing w:before="120" w:beforeAutospacing="0" w:line="285" w:lineRule="atLeast"/>
              <w:rPr>
                <w:rFonts w:ascii="Arial" w:hAnsi="Arial" w:cs="Arial"/>
                <w:color w:val="000000"/>
                <w:sz w:val="22"/>
                <w:szCs w:val="22"/>
              </w:rPr>
            </w:pPr>
            <w:r w:rsidRPr="00A358E7">
              <w:rPr>
                <w:rFonts w:ascii="Arial" w:hAnsi="Arial" w:cs="Arial"/>
                <w:color w:val="000000"/>
                <w:sz w:val="22"/>
                <w:szCs w:val="22"/>
              </w:rPr>
              <w:t>One of the key parts of the sourcing process (irrespective of which process you follow) is the mandatory requirement to declare any actual, potential or perceived conflicts of interest.  By declaring a conflict of interest, it enables an effective management plan to be put in place that protects both the University staff member and the University.  Learn more about </w:t>
            </w:r>
            <w:hyperlink r:id="rId22" w:tgtFrame="_blank" w:history="1">
              <w:r w:rsidRPr="00A358E7">
                <w:rPr>
                  <w:rStyle w:val="Hyperlink"/>
                  <w:rFonts w:ascii="Arial" w:hAnsi="Arial" w:cs="Arial"/>
                  <w:sz w:val="22"/>
                  <w:szCs w:val="22"/>
                </w:rPr>
                <w:t>Conflicts of Interest</w:t>
              </w:r>
            </w:hyperlink>
            <w:r w:rsidRPr="00A358E7">
              <w:rPr>
                <w:rFonts w:ascii="Arial" w:hAnsi="Arial" w:cs="Arial"/>
                <w:color w:val="000000"/>
                <w:sz w:val="22"/>
                <w:szCs w:val="22"/>
              </w:rPr>
              <w:t>.</w:t>
            </w:r>
          </w:p>
          <w:p w14:paraId="78DAC479" w14:textId="77777777" w:rsidR="00DA502C" w:rsidRPr="00A358E7" w:rsidRDefault="00DA502C" w:rsidP="00DA502C">
            <w:pPr>
              <w:pStyle w:val="NormalWeb"/>
              <w:spacing w:before="0" w:beforeAutospacing="0" w:line="285" w:lineRule="atLeast"/>
              <w:rPr>
                <w:rFonts w:ascii="Arial" w:hAnsi="Arial" w:cs="Arial"/>
                <w:color w:val="000000"/>
                <w:sz w:val="22"/>
                <w:szCs w:val="22"/>
              </w:rPr>
            </w:pPr>
            <w:r w:rsidRPr="00A358E7">
              <w:rPr>
                <w:rFonts w:ascii="Arial" w:hAnsi="Arial" w:cs="Arial"/>
                <w:color w:val="000000"/>
                <w:sz w:val="22"/>
                <w:szCs w:val="22"/>
              </w:rPr>
              <w:t>Declaring conflicts of interest should be undertaken as soon as potential consultants have been identified and prior to issuing any documents such as a Request for Quote or Request for Proposal.  Note that there is an ongoing obligation to declare conflicts of interest that can arise during the sourcing process.  Learn more about Conflicts of Interest requirements specific to </w:t>
            </w:r>
            <w:hyperlink r:id="rId23" w:tgtFrame="_blank" w:history="1">
              <w:r w:rsidRPr="00A358E7">
                <w:rPr>
                  <w:rStyle w:val="Hyperlink"/>
                  <w:rFonts w:ascii="Arial" w:hAnsi="Arial" w:cs="Arial"/>
                  <w:sz w:val="22"/>
                  <w:szCs w:val="22"/>
                </w:rPr>
                <w:t>Procurement / Purchasing</w:t>
              </w:r>
            </w:hyperlink>
            <w:r w:rsidRPr="00A358E7">
              <w:rPr>
                <w:rFonts w:ascii="Arial" w:hAnsi="Arial" w:cs="Arial"/>
                <w:color w:val="000000"/>
                <w:sz w:val="22"/>
                <w:szCs w:val="22"/>
              </w:rPr>
              <w:t>.</w:t>
            </w:r>
          </w:p>
          <w:p w14:paraId="4441F2F7" w14:textId="77777777" w:rsidR="00A358E7" w:rsidRPr="00A358E7" w:rsidRDefault="00A358E7" w:rsidP="00A358E7">
            <w:pPr>
              <w:pStyle w:val="NormalWeb"/>
              <w:spacing w:before="0" w:beforeAutospacing="0" w:line="285" w:lineRule="atLeast"/>
              <w:rPr>
                <w:rFonts w:ascii="Arial" w:hAnsi="Arial" w:cs="Arial"/>
                <w:color w:val="000000"/>
                <w:sz w:val="22"/>
                <w:szCs w:val="22"/>
              </w:rPr>
            </w:pPr>
            <w:r w:rsidRPr="00A358E7">
              <w:rPr>
                <w:rFonts w:ascii="Arial" w:hAnsi="Arial" w:cs="Arial"/>
                <w:color w:val="000000"/>
                <w:sz w:val="22"/>
                <w:szCs w:val="22"/>
              </w:rPr>
              <w:t xml:space="preserve">To submit a </w:t>
            </w:r>
            <w:proofErr w:type="gramStart"/>
            <w:r w:rsidRPr="00A358E7">
              <w:rPr>
                <w:rFonts w:ascii="Arial" w:hAnsi="Arial" w:cs="Arial"/>
                <w:color w:val="000000"/>
                <w:sz w:val="22"/>
                <w:szCs w:val="22"/>
              </w:rPr>
              <w:t>conflict of interest</w:t>
            </w:r>
            <w:proofErr w:type="gramEnd"/>
            <w:r w:rsidRPr="00A358E7">
              <w:rPr>
                <w:rFonts w:ascii="Arial" w:hAnsi="Arial" w:cs="Arial"/>
                <w:color w:val="000000"/>
                <w:sz w:val="22"/>
                <w:szCs w:val="22"/>
              </w:rPr>
              <w:t xml:space="preserve"> declaration:</w:t>
            </w:r>
          </w:p>
          <w:p w14:paraId="3112C0AD" w14:textId="77777777" w:rsidR="00A358E7" w:rsidRPr="00A358E7" w:rsidRDefault="00A358E7" w:rsidP="00A358E7">
            <w:pPr>
              <w:pStyle w:val="BulletPoints"/>
              <w:numPr>
                <w:ilvl w:val="0"/>
                <w:numId w:val="1"/>
              </w:numPr>
              <w:ind w:left="720"/>
              <w:rPr>
                <w:rFonts w:cs="Arial"/>
                <w:sz w:val="22"/>
              </w:rPr>
            </w:pPr>
            <w:r w:rsidRPr="00A358E7">
              <w:rPr>
                <w:rFonts w:cs="Arial"/>
                <w:sz w:val="22"/>
              </w:rPr>
              <w:t>use the </w:t>
            </w:r>
            <w:hyperlink r:id="rId24" w:tgtFrame="_blank" w:history="1">
              <w:r w:rsidRPr="00A358E7">
                <w:rPr>
                  <w:rStyle w:val="Hyperlink"/>
                  <w:rFonts w:cs="Arial"/>
                  <w:sz w:val="22"/>
                </w:rPr>
                <w:t>Conflict of interest submission tool</w:t>
              </w:r>
            </w:hyperlink>
            <w:r w:rsidRPr="00A358E7">
              <w:rPr>
                <w:rFonts w:cs="Arial"/>
                <w:sz w:val="22"/>
              </w:rPr>
              <w:t>, or</w:t>
            </w:r>
          </w:p>
          <w:p w14:paraId="3776899C" w14:textId="77777777" w:rsidR="00A358E7" w:rsidRPr="00A358E7" w:rsidRDefault="00A358E7" w:rsidP="00A358E7">
            <w:pPr>
              <w:pStyle w:val="BulletPoints"/>
              <w:numPr>
                <w:ilvl w:val="0"/>
                <w:numId w:val="1"/>
              </w:numPr>
              <w:ind w:left="720"/>
              <w:rPr>
                <w:rFonts w:cs="Arial"/>
                <w:sz w:val="22"/>
              </w:rPr>
            </w:pPr>
            <w:r w:rsidRPr="00A358E7">
              <w:rPr>
                <w:rFonts w:cs="Arial"/>
                <w:sz w:val="22"/>
              </w:rPr>
              <w:lastRenderedPageBreak/>
              <w:t>to obtain conflict of interest declarations from multiple people use the </w:t>
            </w:r>
            <w:hyperlink r:id="rId25" w:history="1">
              <w:r w:rsidRPr="00A358E7">
                <w:rPr>
                  <w:rStyle w:val="Hyperlink"/>
                  <w:rFonts w:cs="Arial"/>
                  <w:sz w:val="22"/>
                </w:rPr>
                <w:t>Declaration of Interest Form (Microsoft Form)</w:t>
              </w:r>
            </w:hyperlink>
            <w:r w:rsidRPr="00A358E7">
              <w:rPr>
                <w:rFonts w:cs="Arial"/>
                <w:sz w:val="22"/>
              </w:rPr>
              <w:t> and refer to the </w:t>
            </w:r>
            <w:hyperlink r:id="rId26" w:tgtFrame="_blank" w:history="1">
              <w:r w:rsidRPr="00A358E7">
                <w:rPr>
                  <w:rStyle w:val="Hyperlink"/>
                  <w:rFonts w:cs="Arial"/>
                  <w:sz w:val="22"/>
                </w:rPr>
                <w:t>User Guide</w:t>
              </w:r>
            </w:hyperlink>
            <w:r w:rsidRPr="00A358E7">
              <w:rPr>
                <w:rFonts w:cs="Arial"/>
                <w:sz w:val="22"/>
              </w:rPr>
              <w:t>.  If a conflict of interest is declared to you following this process:</w:t>
            </w:r>
          </w:p>
          <w:p w14:paraId="0B46C537" w14:textId="77777777" w:rsidR="00A358E7" w:rsidRDefault="00A358E7" w:rsidP="00A358E7">
            <w:pPr>
              <w:numPr>
                <w:ilvl w:val="1"/>
                <w:numId w:val="41"/>
              </w:numPr>
              <w:tabs>
                <w:tab w:val="clear" w:pos="1440"/>
              </w:tabs>
              <w:spacing w:after="120" w:line="285" w:lineRule="atLeast"/>
              <w:ind w:left="1168" w:hanging="357"/>
              <w:rPr>
                <w:rFonts w:ascii="Arial" w:hAnsi="Arial" w:cs="Arial"/>
                <w:color w:val="000000"/>
                <w:sz w:val="22"/>
              </w:rPr>
            </w:pPr>
            <w:r w:rsidRPr="00A358E7">
              <w:rPr>
                <w:rFonts w:ascii="Arial" w:hAnsi="Arial" w:cs="Arial"/>
                <w:color w:val="000000"/>
                <w:sz w:val="22"/>
              </w:rPr>
              <w:t>refer to the conflict of interest guidance relating to </w:t>
            </w:r>
            <w:hyperlink r:id="rId27" w:tgtFrame="_blank" w:history="1">
              <w:r w:rsidRPr="00A358E7">
                <w:rPr>
                  <w:rStyle w:val="Hyperlink"/>
                  <w:rFonts w:ascii="Arial" w:hAnsi="Arial" w:cs="Arial"/>
                  <w:sz w:val="22"/>
                </w:rPr>
                <w:t>Procurement / Purchasing</w:t>
              </w:r>
            </w:hyperlink>
            <w:r w:rsidRPr="00A358E7">
              <w:rPr>
                <w:rFonts w:ascii="Arial" w:hAnsi="Arial" w:cs="Arial"/>
                <w:color w:val="000000"/>
                <w:sz w:val="22"/>
              </w:rPr>
              <w:t>, and</w:t>
            </w:r>
          </w:p>
          <w:p w14:paraId="0C13F96D" w14:textId="6FF453FB" w:rsidR="000A2387" w:rsidRPr="00A358E7" w:rsidRDefault="00A358E7" w:rsidP="00A358E7">
            <w:pPr>
              <w:numPr>
                <w:ilvl w:val="1"/>
                <w:numId w:val="41"/>
              </w:numPr>
              <w:tabs>
                <w:tab w:val="clear" w:pos="1440"/>
              </w:tabs>
              <w:spacing w:after="120" w:line="285" w:lineRule="atLeast"/>
              <w:ind w:left="1168" w:hanging="357"/>
              <w:rPr>
                <w:rFonts w:ascii="Arial" w:hAnsi="Arial" w:cs="Arial"/>
                <w:color w:val="000000"/>
                <w:sz w:val="22"/>
              </w:rPr>
            </w:pPr>
            <w:r w:rsidRPr="00A358E7">
              <w:rPr>
                <w:rFonts w:ascii="Arial" w:hAnsi="Arial" w:cs="Arial"/>
                <w:color w:val="000000"/>
                <w:sz w:val="22"/>
              </w:rPr>
              <w:t>if the impacted staff member is unable to be removed from the process, a management response must be agreed with the relevant line manager and a further conflict of interest submission will need to be made using the </w:t>
            </w:r>
            <w:hyperlink r:id="rId28" w:tgtFrame="_blank" w:history="1">
              <w:r w:rsidRPr="00A358E7">
                <w:rPr>
                  <w:rStyle w:val="Hyperlink"/>
                  <w:rFonts w:ascii="Arial" w:hAnsi="Arial" w:cs="Arial"/>
                  <w:sz w:val="22"/>
                </w:rPr>
                <w:t>Conflict of interest submission tool</w:t>
              </w:r>
            </w:hyperlink>
          </w:p>
        </w:tc>
        <w:tc>
          <w:tcPr>
            <w:tcW w:w="5301" w:type="dxa"/>
            <w:tcBorders>
              <w:left w:val="single" w:sz="4" w:space="0" w:color="auto"/>
            </w:tcBorders>
          </w:tcPr>
          <w:p w14:paraId="75548F01" w14:textId="77777777" w:rsidR="008D7CD4" w:rsidRPr="00904D48" w:rsidRDefault="008D7CD4" w:rsidP="008D7CD4">
            <w:pPr>
              <w:spacing w:before="120"/>
              <w:rPr>
                <w:rFonts w:ascii="Arial" w:hAnsi="Arial" w:cs="Arial"/>
                <w:b/>
                <w:bCs/>
                <w:sz w:val="22"/>
                <w:lang w:eastAsia="en-GB"/>
              </w:rPr>
            </w:pPr>
          </w:p>
        </w:tc>
      </w:tr>
      <w:tr w:rsidR="008D7CD4" w14:paraId="1FF487CB" w14:textId="77777777" w:rsidTr="3B928E8A">
        <w:tc>
          <w:tcPr>
            <w:tcW w:w="5137" w:type="dxa"/>
            <w:tcBorders>
              <w:right w:val="single" w:sz="4" w:space="0" w:color="auto"/>
            </w:tcBorders>
          </w:tcPr>
          <w:p w14:paraId="1677A549" w14:textId="1A15B74A" w:rsidR="008D7CD4" w:rsidRPr="0006063C" w:rsidRDefault="00CB2F5E" w:rsidP="008D7CD4">
            <w:pPr>
              <w:pStyle w:val="ListParagraph"/>
              <w:numPr>
                <w:ilvl w:val="0"/>
                <w:numId w:val="38"/>
              </w:numPr>
              <w:spacing w:before="120"/>
              <w:contextualSpacing/>
              <w:rPr>
                <w:rFonts w:ascii="Arial" w:hAnsi="Arial" w:cs="Arial"/>
                <w:b/>
                <w:bCs/>
                <w:sz w:val="22"/>
                <w:lang w:eastAsia="en-GB"/>
              </w:rPr>
            </w:pPr>
            <w:r w:rsidRPr="0006063C">
              <w:rPr>
                <w:rFonts w:ascii="Arial" w:hAnsi="Arial" w:cs="Arial"/>
                <w:b/>
                <w:bCs/>
                <w:sz w:val="22"/>
                <w:lang w:eastAsia="en-GB"/>
              </w:rPr>
              <w:t>Agreements</w:t>
            </w:r>
          </w:p>
          <w:p w14:paraId="070CAB54" w14:textId="4E255D56" w:rsidR="001A5768" w:rsidRPr="0006063C" w:rsidRDefault="001A5768" w:rsidP="001A5768">
            <w:pPr>
              <w:pStyle w:val="NormalWeb"/>
              <w:spacing w:before="120" w:beforeAutospacing="0" w:line="285" w:lineRule="atLeast"/>
              <w:rPr>
                <w:rFonts w:ascii="Arial" w:hAnsi="Arial" w:cs="Arial"/>
                <w:color w:val="000000"/>
                <w:sz w:val="22"/>
                <w:szCs w:val="22"/>
              </w:rPr>
            </w:pPr>
            <w:r w:rsidRPr="0006063C">
              <w:rPr>
                <w:rFonts w:ascii="Arial" w:hAnsi="Arial" w:cs="Arial"/>
                <w:color w:val="000000"/>
                <w:sz w:val="22"/>
                <w:szCs w:val="22"/>
              </w:rPr>
              <w:t>Once the relevant process has been followed, the next step is to obtain approval to enter in a</w:t>
            </w:r>
            <w:r w:rsidR="00D22BC7">
              <w:rPr>
                <w:rFonts w:ascii="Arial" w:hAnsi="Arial" w:cs="Arial"/>
                <w:color w:val="000000"/>
                <w:sz w:val="22"/>
                <w:szCs w:val="22"/>
              </w:rPr>
              <w:t>n appropriate</w:t>
            </w:r>
            <w:r w:rsidR="0006742C">
              <w:rPr>
                <w:rFonts w:ascii="Arial" w:hAnsi="Arial" w:cs="Arial"/>
                <w:color w:val="000000"/>
                <w:sz w:val="22"/>
                <w:szCs w:val="22"/>
              </w:rPr>
              <w:t xml:space="preserve"> </w:t>
            </w:r>
            <w:r w:rsidRPr="0006063C">
              <w:rPr>
                <w:rFonts w:ascii="Arial" w:hAnsi="Arial" w:cs="Arial"/>
                <w:color w:val="000000"/>
                <w:sz w:val="22"/>
                <w:szCs w:val="22"/>
              </w:rPr>
              <w:t>agreement</w:t>
            </w:r>
            <w:r w:rsidR="005E4052">
              <w:rPr>
                <w:rFonts w:ascii="Arial" w:hAnsi="Arial" w:cs="Arial"/>
                <w:color w:val="000000"/>
                <w:sz w:val="22"/>
                <w:szCs w:val="22"/>
              </w:rPr>
              <w:t>, which in most cases will be a consultancy agreement.</w:t>
            </w:r>
            <w:r w:rsidR="00986211" w:rsidRPr="0006063C" w:rsidDel="00986211">
              <w:rPr>
                <w:rFonts w:ascii="Arial" w:hAnsi="Arial" w:cs="Arial"/>
                <w:color w:val="000000"/>
                <w:sz w:val="22"/>
                <w:szCs w:val="22"/>
              </w:rPr>
              <w:t xml:space="preserve"> </w:t>
            </w:r>
            <w:r w:rsidRPr="0006063C">
              <w:rPr>
                <w:rFonts w:ascii="Arial" w:hAnsi="Arial" w:cs="Arial"/>
                <w:color w:val="000000"/>
                <w:sz w:val="22"/>
                <w:szCs w:val="22"/>
              </w:rPr>
              <w:t>The University staff member should:</w:t>
            </w:r>
          </w:p>
          <w:p w14:paraId="0C1565C6" w14:textId="77777777" w:rsidR="001A5768" w:rsidRPr="0006063C" w:rsidRDefault="001A5768" w:rsidP="001A5768">
            <w:pPr>
              <w:pStyle w:val="BulletPoints"/>
              <w:numPr>
                <w:ilvl w:val="0"/>
                <w:numId w:val="1"/>
              </w:numPr>
              <w:ind w:left="720"/>
              <w:rPr>
                <w:rFonts w:cs="Arial"/>
                <w:color w:val="000000"/>
                <w:sz w:val="22"/>
              </w:rPr>
            </w:pPr>
            <w:r w:rsidRPr="0006063C">
              <w:rPr>
                <w:rFonts w:cs="Arial"/>
                <w:color w:val="000000"/>
                <w:sz w:val="22"/>
              </w:rPr>
              <w:t>complete the </w:t>
            </w:r>
            <w:hyperlink r:id="rId29" w:history="1">
              <w:r w:rsidRPr="0006063C">
                <w:rPr>
                  <w:rStyle w:val="Hyperlink"/>
                  <w:rFonts w:cs="Arial"/>
                  <w:sz w:val="22"/>
                </w:rPr>
                <w:t>Consultancy Agreement</w:t>
              </w:r>
            </w:hyperlink>
          </w:p>
          <w:p w14:paraId="2BEE0F82" w14:textId="77777777" w:rsidR="001A5768" w:rsidRPr="0006063C" w:rsidRDefault="001A5768" w:rsidP="0006063C">
            <w:pPr>
              <w:pStyle w:val="BulletPoints"/>
              <w:numPr>
                <w:ilvl w:val="0"/>
                <w:numId w:val="1"/>
              </w:numPr>
              <w:spacing w:before="120"/>
              <w:ind w:left="720"/>
              <w:rPr>
                <w:rFonts w:cs="Arial"/>
                <w:color w:val="000000"/>
                <w:sz w:val="22"/>
              </w:rPr>
            </w:pPr>
            <w:r w:rsidRPr="0006063C">
              <w:rPr>
                <w:rFonts w:cs="Arial"/>
                <w:color w:val="000000"/>
                <w:sz w:val="22"/>
              </w:rPr>
              <w:t>complete a </w:t>
            </w:r>
            <w:hyperlink r:id="rId30" w:tgtFrame="_blank" w:tooltip="Contract Approval Form" w:history="1">
              <w:r w:rsidRPr="0006063C">
                <w:rPr>
                  <w:rStyle w:val="Hyperlink"/>
                  <w:rFonts w:cs="Arial"/>
                  <w:sz w:val="22"/>
                </w:rPr>
                <w:t>Contract Approval Form</w:t>
              </w:r>
            </w:hyperlink>
            <w:r w:rsidRPr="0006063C">
              <w:rPr>
                <w:rStyle w:val="Hyperlink"/>
                <w:rFonts w:cs="Arial"/>
                <w:sz w:val="22"/>
              </w:rPr>
              <w:t xml:space="preserve">. Note that as part of completing the form you will need to identify who has delegated authority (both signing and financial) to enter into the agreement. Refer to the </w:t>
            </w:r>
            <w:hyperlink r:id="rId31" w:history="1">
              <w:r w:rsidRPr="0006063C">
                <w:rPr>
                  <w:rStyle w:val="Hyperlink"/>
                  <w:rFonts w:cs="Arial"/>
                  <w:sz w:val="22"/>
                </w:rPr>
                <w:t>Delegations webpage</w:t>
              </w:r>
            </w:hyperlink>
            <w:r w:rsidRPr="0006063C">
              <w:rPr>
                <w:rStyle w:val="Hyperlink"/>
                <w:rFonts w:cs="Arial"/>
                <w:sz w:val="22"/>
              </w:rPr>
              <w:t>.</w:t>
            </w:r>
          </w:p>
          <w:p w14:paraId="66D5B901" w14:textId="77777777" w:rsidR="001A5768" w:rsidRPr="0006063C" w:rsidRDefault="001A5768" w:rsidP="0006063C">
            <w:pPr>
              <w:pStyle w:val="BulletPoints"/>
              <w:numPr>
                <w:ilvl w:val="0"/>
                <w:numId w:val="1"/>
              </w:numPr>
              <w:spacing w:before="120"/>
              <w:ind w:left="720"/>
              <w:rPr>
                <w:rFonts w:cs="Arial"/>
                <w:color w:val="000000"/>
                <w:sz w:val="22"/>
              </w:rPr>
            </w:pPr>
            <w:r w:rsidRPr="0006063C">
              <w:rPr>
                <w:rFonts w:cs="Arial"/>
                <w:color w:val="000000"/>
                <w:sz w:val="22"/>
              </w:rPr>
              <w:t xml:space="preserve">submit for approval by the </w:t>
            </w:r>
            <w:proofErr w:type="gramStart"/>
            <w:r w:rsidRPr="0006063C">
              <w:rPr>
                <w:rFonts w:cs="Arial"/>
                <w:color w:val="000000"/>
                <w:sz w:val="22"/>
              </w:rPr>
              <w:t>Delegate</w:t>
            </w:r>
            <w:proofErr w:type="gramEnd"/>
          </w:p>
          <w:p w14:paraId="30273FD8" w14:textId="77777777" w:rsidR="001A5768" w:rsidRPr="0006063C" w:rsidRDefault="001A5768" w:rsidP="00A75906">
            <w:pPr>
              <w:numPr>
                <w:ilvl w:val="1"/>
                <w:numId w:val="42"/>
              </w:numPr>
              <w:spacing w:before="100" w:beforeAutospacing="1" w:after="100" w:afterAutospacing="1" w:line="285" w:lineRule="atLeast"/>
              <w:rPr>
                <w:rFonts w:ascii="Arial" w:hAnsi="Arial" w:cs="Arial"/>
                <w:color w:val="000000"/>
                <w:sz w:val="22"/>
              </w:rPr>
            </w:pPr>
            <w:r w:rsidRPr="0006063C">
              <w:rPr>
                <w:rFonts w:ascii="Arial" w:hAnsi="Arial" w:cs="Arial"/>
                <w:color w:val="000000" w:themeColor="text1"/>
                <w:sz w:val="22"/>
              </w:rPr>
              <w:t>Delegates responsibilities specific to procurement and supply activities are outlined in </w:t>
            </w:r>
            <w:hyperlink r:id="rId32">
              <w:r w:rsidRPr="0006063C">
                <w:rPr>
                  <w:rStyle w:val="Hyperlink"/>
                  <w:rFonts w:ascii="Arial" w:hAnsi="Arial" w:cs="Arial"/>
                  <w:sz w:val="22"/>
                </w:rPr>
                <w:t>Roles and Responsibilities.</w:t>
              </w:r>
            </w:hyperlink>
          </w:p>
          <w:p w14:paraId="6CC90B32" w14:textId="77777777" w:rsidR="001A5768" w:rsidRPr="0006063C" w:rsidRDefault="001A5768" w:rsidP="001A5768">
            <w:pPr>
              <w:pStyle w:val="BulletPoints"/>
              <w:numPr>
                <w:ilvl w:val="0"/>
                <w:numId w:val="1"/>
              </w:numPr>
              <w:ind w:left="720"/>
              <w:rPr>
                <w:rFonts w:cs="Arial"/>
                <w:sz w:val="22"/>
              </w:rPr>
            </w:pPr>
            <w:r w:rsidRPr="0006063C">
              <w:rPr>
                <w:rFonts w:cs="Arial"/>
                <w:sz w:val="22"/>
              </w:rPr>
              <w:t>organise for both parties to sign (execute) the Consultancy Agreement</w:t>
            </w:r>
          </w:p>
          <w:p w14:paraId="0A524382" w14:textId="77777777" w:rsidR="00BD6341" w:rsidRPr="0006063C" w:rsidRDefault="00BD6341" w:rsidP="0006063C">
            <w:pPr>
              <w:pStyle w:val="BulletPoints"/>
              <w:numPr>
                <w:ilvl w:val="0"/>
                <w:numId w:val="1"/>
              </w:numPr>
              <w:spacing w:before="120"/>
              <w:ind w:left="720"/>
              <w:rPr>
                <w:rFonts w:cs="Arial"/>
                <w:sz w:val="22"/>
              </w:rPr>
            </w:pPr>
            <w:r w:rsidRPr="0006063C">
              <w:rPr>
                <w:rFonts w:cs="Arial"/>
                <w:sz w:val="22"/>
              </w:rPr>
              <w:t>upload the contract into the </w:t>
            </w:r>
            <w:hyperlink r:id="rId33" w:tgtFrame="_blank" w:history="1">
              <w:r w:rsidRPr="0006063C">
                <w:rPr>
                  <w:rStyle w:val="Hyperlink"/>
                  <w:rFonts w:cs="Arial"/>
                  <w:sz w:val="22"/>
                </w:rPr>
                <w:t>Contract Register (ConvergePoint)</w:t>
              </w:r>
            </w:hyperlink>
          </w:p>
          <w:p w14:paraId="10F47CB7" w14:textId="77777777" w:rsidR="00BD6341" w:rsidRPr="0006063C" w:rsidRDefault="000172FC" w:rsidP="00BD6341">
            <w:pPr>
              <w:numPr>
                <w:ilvl w:val="1"/>
                <w:numId w:val="43"/>
              </w:numPr>
              <w:spacing w:before="100" w:beforeAutospacing="1" w:after="100" w:afterAutospacing="1" w:line="285" w:lineRule="atLeast"/>
              <w:rPr>
                <w:rFonts w:ascii="Arial" w:hAnsi="Arial" w:cs="Arial"/>
                <w:color w:val="000000"/>
                <w:sz w:val="22"/>
              </w:rPr>
            </w:pPr>
            <w:hyperlink r:id="rId34" w:tgtFrame="_blank" w:history="1">
              <w:r w:rsidR="00BD6341" w:rsidRPr="0006063C">
                <w:rPr>
                  <w:rStyle w:val="Hyperlink"/>
                  <w:rFonts w:ascii="Arial" w:hAnsi="Arial" w:cs="Arial"/>
                  <w:sz w:val="22"/>
                </w:rPr>
                <w:t>Learn how to upload a contract into ConvergePoint</w:t>
              </w:r>
            </w:hyperlink>
          </w:p>
          <w:p w14:paraId="0E612B96" w14:textId="77777777" w:rsidR="00BD6341" w:rsidRPr="0006063C" w:rsidRDefault="000172FC" w:rsidP="00BD6341">
            <w:pPr>
              <w:numPr>
                <w:ilvl w:val="1"/>
                <w:numId w:val="43"/>
              </w:numPr>
              <w:spacing w:before="100" w:beforeAutospacing="1" w:after="100" w:afterAutospacing="1" w:line="285" w:lineRule="atLeast"/>
              <w:rPr>
                <w:rFonts w:ascii="Arial" w:hAnsi="Arial" w:cs="Arial"/>
                <w:color w:val="000000"/>
                <w:sz w:val="22"/>
              </w:rPr>
            </w:pPr>
            <w:hyperlink r:id="rId35" w:tgtFrame="_blank" w:history="1">
              <w:r w:rsidR="00BD6341" w:rsidRPr="0006063C">
                <w:rPr>
                  <w:rStyle w:val="Hyperlink"/>
                  <w:rFonts w:ascii="Arial" w:hAnsi="Arial" w:cs="Arial"/>
                  <w:sz w:val="22"/>
                </w:rPr>
                <w:t>Demo videos (ConvergePoint)</w:t>
              </w:r>
            </w:hyperlink>
          </w:p>
          <w:p w14:paraId="40D1C853" w14:textId="77777777" w:rsidR="00BD6341" w:rsidRPr="0006063C" w:rsidRDefault="000172FC" w:rsidP="00BD6341">
            <w:pPr>
              <w:numPr>
                <w:ilvl w:val="1"/>
                <w:numId w:val="43"/>
              </w:numPr>
              <w:spacing w:before="100" w:beforeAutospacing="1" w:after="100" w:afterAutospacing="1" w:line="285" w:lineRule="atLeast"/>
              <w:rPr>
                <w:rFonts w:ascii="Arial" w:hAnsi="Arial" w:cs="Arial"/>
                <w:color w:val="000000"/>
                <w:sz w:val="22"/>
              </w:rPr>
            </w:pPr>
            <w:hyperlink r:id="rId36" w:tgtFrame="_blank" w:history="1">
              <w:r w:rsidR="00BD6341" w:rsidRPr="0006063C">
                <w:rPr>
                  <w:rStyle w:val="Hyperlink"/>
                  <w:rFonts w:ascii="Arial" w:hAnsi="Arial" w:cs="Arial"/>
                  <w:sz w:val="22"/>
                </w:rPr>
                <w:t>ConvergePoint Contract Register - Onboarding &amp; Training Request</w:t>
              </w:r>
            </w:hyperlink>
          </w:p>
          <w:p w14:paraId="57AFE5E8" w14:textId="77E4BF94" w:rsidR="001A5768" w:rsidRPr="00F83737" w:rsidRDefault="0006063C" w:rsidP="00F83737">
            <w:pPr>
              <w:pStyle w:val="BulletPoints"/>
              <w:ind w:left="360" w:firstLine="0"/>
              <w:rPr>
                <w:rFonts w:cs="Arial"/>
                <w:sz w:val="22"/>
              </w:rPr>
            </w:pPr>
            <w:r w:rsidRPr="0006063C">
              <w:rPr>
                <w:rFonts w:cs="Arial"/>
                <w:color w:val="000000"/>
                <w:sz w:val="22"/>
              </w:rPr>
              <w:t>Note that Consultancy Agreements are not required if the total cost is less than $5,000 (however, this exception does not apply to sole traders).</w:t>
            </w:r>
          </w:p>
        </w:tc>
        <w:tc>
          <w:tcPr>
            <w:tcW w:w="5301" w:type="dxa"/>
            <w:tcBorders>
              <w:left w:val="single" w:sz="4" w:space="0" w:color="auto"/>
            </w:tcBorders>
          </w:tcPr>
          <w:p w14:paraId="282088F1" w14:textId="3B063F80" w:rsidR="00032791" w:rsidRDefault="00032791" w:rsidP="00032791">
            <w:pPr>
              <w:pStyle w:val="BulletPoints"/>
              <w:numPr>
                <w:ilvl w:val="0"/>
                <w:numId w:val="1"/>
              </w:numPr>
              <w:spacing w:before="120"/>
              <w:ind w:left="720"/>
              <w:rPr>
                <w:rFonts w:cs="Arial"/>
                <w:sz w:val="22"/>
                <w:lang w:eastAsia="en-GB"/>
              </w:rPr>
            </w:pPr>
            <w:r w:rsidRPr="00032791">
              <w:rPr>
                <w:rFonts w:cs="Arial"/>
                <w:sz w:val="22"/>
                <w:lang w:eastAsia="en-GB"/>
              </w:rPr>
              <w:lastRenderedPageBreak/>
              <w:t>In all cases where a sole trader is involved, a Consultancy Agreement is required.</w:t>
            </w:r>
          </w:p>
          <w:p w14:paraId="63ED0AE8" w14:textId="16F83B9C" w:rsidR="003B5A4D" w:rsidRPr="00032791" w:rsidRDefault="003B5A4D" w:rsidP="00032791">
            <w:pPr>
              <w:pStyle w:val="BulletPoints"/>
              <w:numPr>
                <w:ilvl w:val="0"/>
                <w:numId w:val="1"/>
              </w:numPr>
              <w:spacing w:before="120"/>
              <w:ind w:left="720"/>
              <w:rPr>
                <w:rFonts w:cs="Arial"/>
                <w:sz w:val="22"/>
                <w:lang w:eastAsia="en-GB"/>
              </w:rPr>
            </w:pPr>
            <w:r w:rsidRPr="00032791">
              <w:rPr>
                <w:rFonts w:cs="Arial"/>
                <w:sz w:val="22"/>
                <w:lang w:eastAsia="en-GB"/>
              </w:rPr>
              <w:t xml:space="preserve">If an alternative contract to the standard Griffith Consultancy Agreement is proposed, </w:t>
            </w:r>
            <w:hyperlink r:id="rId37">
              <w:r w:rsidRPr="173210AC">
                <w:rPr>
                  <w:rStyle w:val="Hyperlink"/>
                  <w:rFonts w:cs="Arial"/>
                  <w:sz w:val="22"/>
                  <w:lang w:eastAsia="en-GB"/>
                </w:rPr>
                <w:t>Legal Review</w:t>
              </w:r>
            </w:hyperlink>
            <w:r w:rsidRPr="00032791">
              <w:rPr>
                <w:rFonts w:cs="Arial"/>
                <w:sz w:val="22"/>
                <w:lang w:eastAsia="en-GB"/>
              </w:rPr>
              <w:t xml:space="preserve"> is required.</w:t>
            </w:r>
          </w:p>
          <w:p w14:paraId="2A2830C7" w14:textId="2F928F0F" w:rsidR="009150C1" w:rsidRPr="00032791" w:rsidRDefault="009150C1" w:rsidP="00032791">
            <w:pPr>
              <w:pStyle w:val="BulletPoints"/>
              <w:numPr>
                <w:ilvl w:val="0"/>
                <w:numId w:val="1"/>
              </w:numPr>
              <w:spacing w:before="120"/>
              <w:ind w:left="720"/>
              <w:rPr>
                <w:rFonts w:cs="Arial"/>
                <w:sz w:val="22"/>
                <w:lang w:eastAsia="en-GB"/>
              </w:rPr>
            </w:pPr>
            <w:r>
              <w:rPr>
                <w:rFonts w:cs="Arial"/>
                <w:sz w:val="22"/>
                <w:lang w:eastAsia="en-GB"/>
              </w:rPr>
              <w:t xml:space="preserve">The </w:t>
            </w:r>
            <w:r w:rsidR="000A0887">
              <w:rPr>
                <w:rFonts w:cs="Arial"/>
                <w:sz w:val="22"/>
                <w:lang w:eastAsia="en-GB"/>
              </w:rPr>
              <w:t xml:space="preserve">completed </w:t>
            </w:r>
            <w:r w:rsidR="004F0F20">
              <w:rPr>
                <w:rFonts w:cs="Arial"/>
                <w:sz w:val="22"/>
                <w:lang w:eastAsia="en-GB"/>
              </w:rPr>
              <w:t xml:space="preserve">Genuine Contractor Checklist should be </w:t>
            </w:r>
            <w:r w:rsidR="006A33BE">
              <w:rPr>
                <w:rFonts w:cs="Arial"/>
                <w:sz w:val="22"/>
                <w:lang w:eastAsia="en-GB"/>
              </w:rPr>
              <w:t>included in ConvergePoint.</w:t>
            </w:r>
          </w:p>
          <w:p w14:paraId="1213E2E8" w14:textId="34351E5B" w:rsidR="008D7CD4" w:rsidRPr="00032791" w:rsidRDefault="008D7CD4" w:rsidP="00032791">
            <w:pPr>
              <w:pStyle w:val="BulletPoints"/>
              <w:numPr>
                <w:ilvl w:val="0"/>
                <w:numId w:val="1"/>
              </w:numPr>
              <w:spacing w:before="120"/>
              <w:ind w:left="720"/>
              <w:rPr>
                <w:lang w:eastAsia="en-GB"/>
              </w:rPr>
            </w:pPr>
          </w:p>
        </w:tc>
      </w:tr>
      <w:tr w:rsidR="00A75906" w14:paraId="5E462832" w14:textId="77777777" w:rsidTr="3B928E8A">
        <w:tc>
          <w:tcPr>
            <w:tcW w:w="5137" w:type="dxa"/>
            <w:tcBorders>
              <w:right w:val="single" w:sz="4" w:space="0" w:color="auto"/>
            </w:tcBorders>
          </w:tcPr>
          <w:p w14:paraId="5E5E5E88" w14:textId="77777777" w:rsidR="00162912" w:rsidRDefault="00162912" w:rsidP="00CD0440">
            <w:pPr>
              <w:pStyle w:val="ListParagraph"/>
              <w:numPr>
                <w:ilvl w:val="0"/>
                <w:numId w:val="38"/>
              </w:numPr>
              <w:spacing w:before="120"/>
              <w:contextualSpacing/>
              <w:rPr>
                <w:rFonts w:ascii="Arial" w:hAnsi="Arial" w:cs="Arial"/>
                <w:b/>
                <w:bCs/>
                <w:sz w:val="22"/>
                <w:szCs w:val="24"/>
                <w:lang w:eastAsia="en-GB"/>
              </w:rPr>
            </w:pPr>
            <w:r w:rsidRPr="00162912">
              <w:rPr>
                <w:rFonts w:ascii="Arial" w:hAnsi="Arial" w:cs="Arial"/>
                <w:b/>
                <w:bCs/>
                <w:sz w:val="22"/>
                <w:szCs w:val="24"/>
                <w:lang w:eastAsia="en-GB"/>
              </w:rPr>
              <w:t>Create a purchase order or pay using a Griffith Credit Card</w:t>
            </w:r>
          </w:p>
          <w:p w14:paraId="1A7D5516" w14:textId="0A7A82B7" w:rsidR="00F5712A" w:rsidRDefault="00F5712A" w:rsidP="00CD0440">
            <w:pPr>
              <w:pStyle w:val="NormalWeb"/>
              <w:spacing w:before="120" w:beforeAutospacing="0" w:line="285" w:lineRule="atLeast"/>
              <w:rPr>
                <w:rFonts w:ascii="Arial" w:hAnsi="Arial" w:cs="Arial"/>
                <w:color w:val="000000"/>
                <w:sz w:val="22"/>
                <w:szCs w:val="22"/>
              </w:rPr>
            </w:pPr>
            <w:r w:rsidRPr="00F5712A">
              <w:rPr>
                <w:rFonts w:ascii="Arial" w:hAnsi="Arial" w:cs="Arial"/>
                <w:color w:val="000000"/>
                <w:sz w:val="22"/>
                <w:szCs w:val="22"/>
              </w:rPr>
              <w:t xml:space="preserve">A purchase order should be created for all </w:t>
            </w:r>
            <w:r w:rsidR="004938FA">
              <w:rPr>
                <w:rFonts w:ascii="Arial" w:hAnsi="Arial" w:cs="Arial"/>
                <w:color w:val="000000"/>
                <w:sz w:val="22"/>
                <w:szCs w:val="22"/>
              </w:rPr>
              <w:t xml:space="preserve">contractor or </w:t>
            </w:r>
            <w:r w:rsidRPr="00F5712A">
              <w:rPr>
                <w:rFonts w:ascii="Arial" w:hAnsi="Arial" w:cs="Arial"/>
                <w:color w:val="000000"/>
                <w:sz w:val="22"/>
                <w:szCs w:val="22"/>
              </w:rPr>
              <w:t xml:space="preserve">consultancy services, except where the use of a Griffith credit card is permitted as outlined below:  For </w:t>
            </w:r>
            <w:r w:rsidR="00F508AA">
              <w:rPr>
                <w:rFonts w:ascii="Arial" w:hAnsi="Arial" w:cs="Arial"/>
                <w:color w:val="000000"/>
                <w:sz w:val="22"/>
                <w:szCs w:val="22"/>
              </w:rPr>
              <w:t>contracts</w:t>
            </w:r>
            <w:r w:rsidRPr="00F5712A">
              <w:rPr>
                <w:rFonts w:ascii="Arial" w:hAnsi="Arial" w:cs="Arial"/>
                <w:color w:val="000000"/>
                <w:sz w:val="22"/>
                <w:szCs w:val="22"/>
              </w:rPr>
              <w:t xml:space="preserve"> with a total cost (inclusive of GST):</w:t>
            </w:r>
          </w:p>
          <w:p w14:paraId="2AAFA021" w14:textId="77777777" w:rsidR="00C43496" w:rsidRPr="00CD0440" w:rsidRDefault="00C43496" w:rsidP="00CD0440">
            <w:pPr>
              <w:pStyle w:val="BulletPoints"/>
              <w:numPr>
                <w:ilvl w:val="0"/>
                <w:numId w:val="1"/>
              </w:numPr>
              <w:rPr>
                <w:rFonts w:cs="Arial"/>
                <w:color w:val="000000"/>
                <w:sz w:val="22"/>
              </w:rPr>
            </w:pPr>
            <w:r w:rsidRPr="173210AC">
              <w:rPr>
                <w:rFonts w:cs="Arial"/>
                <w:color w:val="000000" w:themeColor="text1"/>
                <w:sz w:val="22"/>
              </w:rPr>
              <w:t>Less than $5,000 pay using a Griffith credit card - in accordance with </w:t>
            </w:r>
            <w:hyperlink r:id="rId38">
              <w:r w:rsidRPr="173210AC">
                <w:rPr>
                  <w:rStyle w:val="Hyperlink"/>
                  <w:rFonts w:cs="Arial"/>
                  <w:sz w:val="22"/>
                </w:rPr>
                <w:t>credit card procedures.</w:t>
              </w:r>
            </w:hyperlink>
          </w:p>
          <w:p w14:paraId="2E9EE1CA" w14:textId="77777777" w:rsidR="00C43496" w:rsidRPr="00CD0440" w:rsidRDefault="00C43496" w:rsidP="00CD0440">
            <w:pPr>
              <w:pStyle w:val="BulletPoints"/>
              <w:numPr>
                <w:ilvl w:val="0"/>
                <w:numId w:val="1"/>
              </w:numPr>
              <w:spacing w:before="120"/>
              <w:ind w:left="720"/>
              <w:rPr>
                <w:rFonts w:cs="Arial"/>
                <w:color w:val="000000"/>
                <w:sz w:val="22"/>
              </w:rPr>
            </w:pPr>
            <w:r w:rsidRPr="173210AC">
              <w:rPr>
                <w:rFonts w:cs="Arial"/>
                <w:color w:val="000000" w:themeColor="text1"/>
                <w:sz w:val="22"/>
              </w:rPr>
              <w:t>equal to or greater than $5,000 a </w:t>
            </w:r>
            <w:hyperlink r:id="rId39">
              <w:r w:rsidRPr="173210AC">
                <w:rPr>
                  <w:rStyle w:val="Hyperlink"/>
                  <w:rFonts w:cs="Arial"/>
                  <w:sz w:val="22"/>
                </w:rPr>
                <w:t>purchase request </w:t>
              </w:r>
            </w:hyperlink>
            <w:r w:rsidRPr="173210AC">
              <w:rPr>
                <w:rFonts w:cs="Arial"/>
                <w:color w:val="000000" w:themeColor="text1"/>
                <w:sz w:val="22"/>
              </w:rPr>
              <w:t>should be created in PeopleSoft.   When creating a purchase request, the following needs to be attached:</w:t>
            </w:r>
          </w:p>
          <w:p w14:paraId="2048C705" w14:textId="77777777" w:rsidR="00C43496" w:rsidRPr="00CD0440" w:rsidRDefault="00C43496" w:rsidP="00CD0440">
            <w:pPr>
              <w:numPr>
                <w:ilvl w:val="1"/>
                <w:numId w:val="44"/>
              </w:numPr>
              <w:tabs>
                <w:tab w:val="clear" w:pos="1440"/>
              </w:tabs>
              <w:spacing w:before="120" w:after="120" w:line="285" w:lineRule="atLeast"/>
              <w:ind w:left="1168" w:hanging="357"/>
              <w:rPr>
                <w:rFonts w:ascii="Arial" w:hAnsi="Arial" w:cs="Arial"/>
                <w:color w:val="000000"/>
                <w:sz w:val="22"/>
              </w:rPr>
            </w:pPr>
            <w:r w:rsidRPr="00CD0440">
              <w:rPr>
                <w:rFonts w:ascii="Arial" w:hAnsi="Arial" w:cs="Arial"/>
                <w:color w:val="000000"/>
                <w:sz w:val="22"/>
              </w:rPr>
              <w:t xml:space="preserve">Quote(s) and supporting </w:t>
            </w:r>
            <w:proofErr w:type="gramStart"/>
            <w:r w:rsidRPr="00CD0440">
              <w:rPr>
                <w:rFonts w:ascii="Arial" w:hAnsi="Arial" w:cs="Arial"/>
                <w:color w:val="000000"/>
                <w:sz w:val="22"/>
              </w:rPr>
              <w:t>documentation</w:t>
            </w:r>
            <w:proofErr w:type="gramEnd"/>
          </w:p>
          <w:p w14:paraId="2307CCFB" w14:textId="21B356A2" w:rsidR="00C43496" w:rsidRPr="00CD0440" w:rsidRDefault="00C43496" w:rsidP="00CD0440">
            <w:pPr>
              <w:numPr>
                <w:ilvl w:val="1"/>
                <w:numId w:val="44"/>
              </w:numPr>
              <w:tabs>
                <w:tab w:val="clear" w:pos="1440"/>
              </w:tabs>
              <w:spacing w:before="120" w:after="120" w:line="285" w:lineRule="atLeast"/>
              <w:ind w:left="1168" w:hanging="357"/>
              <w:rPr>
                <w:rFonts w:ascii="Arial" w:hAnsi="Arial" w:cs="Arial"/>
                <w:color w:val="000000"/>
                <w:sz w:val="22"/>
              </w:rPr>
            </w:pPr>
            <w:r w:rsidRPr="00CD0440">
              <w:rPr>
                <w:rFonts w:ascii="Arial" w:hAnsi="Arial" w:cs="Arial"/>
                <w:color w:val="000000"/>
                <w:sz w:val="22"/>
              </w:rPr>
              <w:t xml:space="preserve">Conflict of interest declaration - only required if a declaration has been </w:t>
            </w:r>
            <w:proofErr w:type="gramStart"/>
            <w:r w:rsidRPr="00CD0440">
              <w:rPr>
                <w:rFonts w:ascii="Arial" w:hAnsi="Arial" w:cs="Arial"/>
                <w:color w:val="000000"/>
                <w:sz w:val="22"/>
              </w:rPr>
              <w:t>made</w:t>
            </w:r>
            <w:proofErr w:type="gramEnd"/>
          </w:p>
          <w:p w14:paraId="7D4F7B91" w14:textId="5C10E60E" w:rsidR="00C43496" w:rsidRPr="00CD0440" w:rsidRDefault="00F508AA" w:rsidP="00CD0440">
            <w:pPr>
              <w:numPr>
                <w:ilvl w:val="1"/>
                <w:numId w:val="44"/>
              </w:numPr>
              <w:tabs>
                <w:tab w:val="clear" w:pos="1440"/>
              </w:tabs>
              <w:spacing w:before="120" w:after="120" w:line="285" w:lineRule="atLeast"/>
              <w:ind w:left="1168" w:hanging="357"/>
              <w:rPr>
                <w:rFonts w:ascii="Arial" w:hAnsi="Arial" w:cs="Arial"/>
                <w:color w:val="000000"/>
                <w:sz w:val="22"/>
              </w:rPr>
            </w:pPr>
            <w:r>
              <w:rPr>
                <w:rFonts w:ascii="Arial" w:hAnsi="Arial" w:cs="Arial"/>
                <w:color w:val="000000"/>
                <w:sz w:val="22"/>
              </w:rPr>
              <w:t>Contractor/</w:t>
            </w:r>
            <w:r w:rsidR="00C43496" w:rsidRPr="00CD0440">
              <w:rPr>
                <w:rFonts w:ascii="Arial" w:hAnsi="Arial" w:cs="Arial"/>
                <w:color w:val="000000"/>
                <w:sz w:val="22"/>
              </w:rPr>
              <w:t>Consultant's certificate of currency (insurance)</w:t>
            </w:r>
          </w:p>
          <w:p w14:paraId="6D446754" w14:textId="77777777" w:rsidR="00C43496" w:rsidRPr="00CD0440" w:rsidRDefault="00C43496" w:rsidP="00CD0440">
            <w:pPr>
              <w:numPr>
                <w:ilvl w:val="1"/>
                <w:numId w:val="44"/>
              </w:numPr>
              <w:tabs>
                <w:tab w:val="clear" w:pos="1440"/>
              </w:tabs>
              <w:spacing w:before="120" w:after="120" w:line="285" w:lineRule="atLeast"/>
              <w:ind w:left="1168" w:hanging="357"/>
              <w:rPr>
                <w:rFonts w:ascii="Arial" w:hAnsi="Arial" w:cs="Arial"/>
                <w:color w:val="000000"/>
                <w:sz w:val="22"/>
              </w:rPr>
            </w:pPr>
            <w:r w:rsidRPr="00CD0440">
              <w:rPr>
                <w:rFonts w:ascii="Arial" w:hAnsi="Arial" w:cs="Arial"/>
                <w:color w:val="000000"/>
                <w:sz w:val="22"/>
              </w:rPr>
              <w:t>Consultancy agreement (signed by both parties)</w:t>
            </w:r>
          </w:p>
          <w:p w14:paraId="47ED3D41" w14:textId="77777777" w:rsidR="00A75906" w:rsidRPr="00751855" w:rsidRDefault="00CD0440" w:rsidP="00C31D25">
            <w:pPr>
              <w:pStyle w:val="NormalWeb"/>
              <w:numPr>
                <w:ilvl w:val="0"/>
                <w:numId w:val="45"/>
              </w:numPr>
              <w:spacing w:before="120" w:beforeAutospacing="0" w:line="285" w:lineRule="atLeast"/>
              <w:rPr>
                <w:rFonts w:ascii="Arial" w:hAnsi="Arial" w:cs="Arial"/>
                <w:color w:val="000000"/>
                <w:sz w:val="22"/>
                <w:szCs w:val="22"/>
              </w:rPr>
            </w:pPr>
            <w:r w:rsidRPr="00CD0440">
              <w:rPr>
                <w:rFonts w:ascii="Arial" w:hAnsi="Arial" w:cs="Arial"/>
                <w:sz w:val="22"/>
                <w:szCs w:val="22"/>
              </w:rPr>
              <w:lastRenderedPageBreak/>
              <w:t>Once approved, the Purchase Order will be issued to the consultant with the Consultancy Agreement.</w:t>
            </w:r>
          </w:p>
          <w:p w14:paraId="37101FCD" w14:textId="77777777" w:rsidR="00751855" w:rsidRDefault="00751855" w:rsidP="00751855">
            <w:pPr>
              <w:pStyle w:val="NormalWeb"/>
              <w:spacing w:before="120" w:beforeAutospacing="0" w:line="285" w:lineRule="atLeast"/>
              <w:rPr>
                <w:rFonts w:ascii="Arial" w:hAnsi="Arial" w:cs="Arial"/>
                <w:color w:val="000000"/>
                <w:sz w:val="22"/>
                <w:szCs w:val="22"/>
              </w:rPr>
            </w:pPr>
          </w:p>
          <w:p w14:paraId="7B35D610" w14:textId="33D0EC1B" w:rsidR="009D43AF" w:rsidRPr="00C31D25" w:rsidRDefault="009D43AF" w:rsidP="00751855">
            <w:pPr>
              <w:pStyle w:val="NormalWeb"/>
              <w:spacing w:before="120" w:beforeAutospacing="0" w:line="285" w:lineRule="atLeast"/>
              <w:rPr>
                <w:rFonts w:ascii="Arial" w:hAnsi="Arial" w:cs="Arial"/>
                <w:color w:val="000000"/>
                <w:sz w:val="22"/>
                <w:szCs w:val="22"/>
              </w:rPr>
            </w:pPr>
          </w:p>
        </w:tc>
        <w:tc>
          <w:tcPr>
            <w:tcW w:w="5301" w:type="dxa"/>
            <w:tcBorders>
              <w:left w:val="single" w:sz="4" w:space="0" w:color="auto"/>
            </w:tcBorders>
          </w:tcPr>
          <w:p w14:paraId="2CDC0E10" w14:textId="77777777" w:rsidR="00C31D25" w:rsidRDefault="00C31D25" w:rsidP="00C31D25">
            <w:pPr>
              <w:pStyle w:val="BulletPoints"/>
              <w:ind w:firstLine="0"/>
              <w:rPr>
                <w:sz w:val="22"/>
                <w:szCs w:val="24"/>
                <w:lang w:eastAsia="en-GB"/>
              </w:rPr>
            </w:pPr>
          </w:p>
          <w:p w14:paraId="56ACC168" w14:textId="552DEF38" w:rsidR="00C31D25" w:rsidRPr="00C31D25" w:rsidRDefault="00C31D25" w:rsidP="00C31D25">
            <w:pPr>
              <w:pStyle w:val="BulletPoints"/>
              <w:numPr>
                <w:ilvl w:val="0"/>
                <w:numId w:val="1"/>
              </w:numPr>
              <w:ind w:left="720"/>
              <w:rPr>
                <w:sz w:val="22"/>
                <w:szCs w:val="24"/>
                <w:lang w:eastAsia="en-GB"/>
              </w:rPr>
            </w:pPr>
            <w:r w:rsidRPr="173210AC">
              <w:rPr>
                <w:sz w:val="22"/>
                <w:lang w:eastAsia="en-GB"/>
              </w:rPr>
              <w:t xml:space="preserve">The consultancy agreement, and the Completed Genuine Contractor Checklist must be sent to </w:t>
            </w:r>
            <w:r w:rsidR="002C4132">
              <w:rPr>
                <w:sz w:val="22"/>
                <w:lang w:eastAsia="en-GB"/>
              </w:rPr>
              <w:t xml:space="preserve">Payroll </w:t>
            </w:r>
            <w:r w:rsidRPr="173210AC">
              <w:rPr>
                <w:sz w:val="22"/>
                <w:lang w:eastAsia="en-GB"/>
              </w:rPr>
              <w:t>(</w:t>
            </w:r>
            <w:hyperlink r:id="rId40" w:history="1">
              <w:r w:rsidR="002C4132" w:rsidRPr="00CE2A92">
                <w:rPr>
                  <w:rStyle w:val="Hyperlink"/>
                  <w:rFonts w:cs="Arial"/>
                  <w:sz w:val="22"/>
                  <w:lang w:eastAsia="en-GB"/>
                </w:rPr>
                <w:t>payroll@griffith.edu.au</w:t>
              </w:r>
            </w:hyperlink>
            <w:r w:rsidRPr="173210AC">
              <w:rPr>
                <w:sz w:val="22"/>
                <w:lang w:eastAsia="en-GB"/>
              </w:rPr>
              <w:t xml:space="preserve">)  for payroll tax </w:t>
            </w:r>
            <w:r w:rsidR="003B4047">
              <w:rPr>
                <w:sz w:val="22"/>
                <w:lang w:eastAsia="en-GB"/>
              </w:rPr>
              <w:t>purposes</w:t>
            </w:r>
            <w:r w:rsidRPr="173210AC">
              <w:rPr>
                <w:sz w:val="22"/>
                <w:lang w:eastAsia="en-GB"/>
              </w:rPr>
              <w:t>. This applies to all sole trader arrangements regardless of whether the payment is via credit card or purchase order.</w:t>
            </w:r>
          </w:p>
          <w:p w14:paraId="5B621ED8" w14:textId="77777777" w:rsidR="00A75906" w:rsidRPr="00904D48" w:rsidRDefault="00A75906" w:rsidP="00351A44">
            <w:pPr>
              <w:pStyle w:val="BulletPoints"/>
              <w:ind w:left="0"/>
              <w:rPr>
                <w:rFonts w:cs="Arial"/>
                <w:b/>
                <w:bCs/>
                <w:sz w:val="22"/>
                <w:lang w:eastAsia="en-GB"/>
              </w:rPr>
            </w:pPr>
          </w:p>
        </w:tc>
      </w:tr>
      <w:tr w:rsidR="00A75906" w14:paraId="4D4D4C15" w14:textId="77777777" w:rsidTr="3B928E8A">
        <w:tc>
          <w:tcPr>
            <w:tcW w:w="5137" w:type="dxa"/>
            <w:tcBorders>
              <w:right w:val="single" w:sz="4" w:space="0" w:color="auto"/>
            </w:tcBorders>
          </w:tcPr>
          <w:p w14:paraId="0AD6F212" w14:textId="77777777" w:rsidR="00AE488E" w:rsidRDefault="00AE488E" w:rsidP="00AE488E">
            <w:pPr>
              <w:pStyle w:val="ListParagraph"/>
              <w:numPr>
                <w:ilvl w:val="0"/>
                <w:numId w:val="38"/>
              </w:numPr>
              <w:spacing w:before="120"/>
              <w:contextualSpacing/>
              <w:rPr>
                <w:rFonts w:ascii="Arial" w:hAnsi="Arial" w:cs="Arial"/>
                <w:b/>
                <w:bCs/>
                <w:sz w:val="22"/>
                <w:szCs w:val="28"/>
                <w:lang w:eastAsia="en-GB"/>
              </w:rPr>
            </w:pPr>
            <w:r w:rsidRPr="00AE488E">
              <w:rPr>
                <w:rFonts w:ascii="Arial" w:hAnsi="Arial" w:cs="Arial"/>
                <w:b/>
                <w:bCs/>
                <w:sz w:val="22"/>
                <w:szCs w:val="28"/>
                <w:lang w:eastAsia="en-GB"/>
              </w:rPr>
              <w:t>Invoicing Requirements</w:t>
            </w:r>
          </w:p>
          <w:p w14:paraId="2D02CD26" w14:textId="62B17ABF" w:rsidR="00AE488E" w:rsidRPr="00751855" w:rsidRDefault="00751855" w:rsidP="00AE488E">
            <w:pPr>
              <w:spacing w:before="120"/>
              <w:contextualSpacing/>
              <w:rPr>
                <w:rFonts w:ascii="Arial" w:hAnsi="Arial" w:cs="Arial"/>
                <w:b/>
                <w:bCs/>
                <w:sz w:val="28"/>
                <w:szCs w:val="36"/>
                <w:lang w:eastAsia="en-GB"/>
              </w:rPr>
            </w:pPr>
            <w:r w:rsidRPr="00751855">
              <w:rPr>
                <w:rFonts w:ascii="Arial" w:hAnsi="Arial" w:cs="Arial"/>
                <w:color w:val="000000"/>
                <w:sz w:val="22"/>
                <w:szCs w:val="24"/>
              </w:rPr>
              <w:t xml:space="preserve">Except where the consultancy services have been paid by Griffith credit card, University staff must </w:t>
            </w:r>
            <w:r w:rsidRPr="00751855">
              <w:rPr>
                <w:rFonts w:ascii="Arial" w:hAnsi="Arial" w:cs="Arial"/>
                <w:sz w:val="22"/>
                <w:szCs w:val="24"/>
              </w:rPr>
              <w:t>forward all invoices to </w:t>
            </w:r>
            <w:hyperlink r:id="rId41" w:history="1">
              <w:r w:rsidRPr="00751855">
                <w:rPr>
                  <w:rStyle w:val="Hyperlink"/>
                  <w:rFonts w:ascii="Arial" w:hAnsi="Arial" w:cs="Arial"/>
                  <w:sz w:val="22"/>
                  <w:szCs w:val="24"/>
                </w:rPr>
                <w:t>fin-billto@griffith.edu.au</w:t>
              </w:r>
            </w:hyperlink>
            <w:r w:rsidRPr="00751855">
              <w:rPr>
                <w:rFonts w:ascii="Arial" w:hAnsi="Arial" w:cs="Arial"/>
                <w:sz w:val="22"/>
                <w:szCs w:val="24"/>
              </w:rPr>
              <w:t> to ensure timely payment.</w:t>
            </w:r>
            <w:r w:rsidRPr="00751855">
              <w:rPr>
                <w:rFonts w:ascii="Arial" w:hAnsi="Arial" w:cs="Arial"/>
                <w:color w:val="000000"/>
                <w:sz w:val="22"/>
                <w:szCs w:val="24"/>
              </w:rPr>
              <w:t xml:space="preserve"> To facilitate timely </w:t>
            </w:r>
            <w:proofErr w:type="gramStart"/>
            <w:r w:rsidRPr="00751855">
              <w:rPr>
                <w:rFonts w:ascii="Arial" w:hAnsi="Arial" w:cs="Arial"/>
                <w:color w:val="000000"/>
                <w:sz w:val="22"/>
                <w:szCs w:val="24"/>
              </w:rPr>
              <w:t>payment</w:t>
            </w:r>
            <w:proofErr w:type="gramEnd"/>
            <w:r w:rsidRPr="00751855">
              <w:rPr>
                <w:rFonts w:ascii="Arial" w:hAnsi="Arial" w:cs="Arial"/>
                <w:color w:val="000000"/>
                <w:sz w:val="22"/>
                <w:szCs w:val="24"/>
              </w:rPr>
              <w:t xml:space="preserve"> ensure that the Purchase Order is included in the invoice or otherwise advised to Accounts Payable.</w:t>
            </w:r>
          </w:p>
          <w:p w14:paraId="210D4459" w14:textId="77777777" w:rsidR="00A75906" w:rsidRPr="00C05881" w:rsidRDefault="00A75906" w:rsidP="00AE488E">
            <w:pPr>
              <w:pStyle w:val="ListParagraph"/>
              <w:numPr>
                <w:ilvl w:val="0"/>
                <w:numId w:val="0"/>
              </w:numPr>
              <w:spacing w:before="120"/>
              <w:ind w:left="360"/>
              <w:contextualSpacing/>
              <w:rPr>
                <w:rFonts w:ascii="Arial" w:hAnsi="Arial" w:cs="Arial"/>
                <w:b/>
                <w:bCs/>
                <w:sz w:val="22"/>
                <w:lang w:eastAsia="en-GB"/>
              </w:rPr>
            </w:pPr>
          </w:p>
        </w:tc>
        <w:tc>
          <w:tcPr>
            <w:tcW w:w="5301" w:type="dxa"/>
            <w:tcBorders>
              <w:left w:val="single" w:sz="4" w:space="0" w:color="auto"/>
            </w:tcBorders>
          </w:tcPr>
          <w:p w14:paraId="1503C946" w14:textId="77777777" w:rsidR="00A75906" w:rsidRPr="00904D48" w:rsidRDefault="00A75906" w:rsidP="00A75906">
            <w:pPr>
              <w:spacing w:before="120"/>
              <w:rPr>
                <w:rFonts w:ascii="Arial" w:hAnsi="Arial" w:cs="Arial"/>
                <w:b/>
                <w:bCs/>
                <w:sz w:val="22"/>
                <w:lang w:eastAsia="en-GB"/>
              </w:rPr>
            </w:pPr>
          </w:p>
        </w:tc>
      </w:tr>
      <w:tr w:rsidR="00A75906" w14:paraId="38C3008F" w14:textId="77777777" w:rsidTr="3B928E8A">
        <w:tc>
          <w:tcPr>
            <w:tcW w:w="5137" w:type="dxa"/>
            <w:tcBorders>
              <w:right w:val="single" w:sz="4" w:space="0" w:color="auto"/>
            </w:tcBorders>
          </w:tcPr>
          <w:p w14:paraId="686EDB8A" w14:textId="232AAD3C" w:rsidR="00A75906" w:rsidRPr="000E7C69" w:rsidRDefault="003819A2" w:rsidP="000E7C69">
            <w:pPr>
              <w:pStyle w:val="ListParagraph"/>
              <w:numPr>
                <w:ilvl w:val="0"/>
                <w:numId w:val="38"/>
              </w:numPr>
              <w:spacing w:before="120"/>
              <w:contextualSpacing/>
              <w:rPr>
                <w:rFonts w:ascii="Arial" w:hAnsi="Arial" w:cs="Arial"/>
                <w:b/>
                <w:bCs/>
                <w:sz w:val="22"/>
                <w:szCs w:val="28"/>
                <w:lang w:eastAsia="en-GB"/>
              </w:rPr>
            </w:pPr>
            <w:r w:rsidRPr="003819A2">
              <w:rPr>
                <w:rFonts w:ascii="Arial" w:hAnsi="Arial" w:cs="Arial"/>
                <w:b/>
                <w:bCs/>
                <w:sz w:val="22"/>
                <w:szCs w:val="28"/>
                <w:lang w:eastAsia="en-GB"/>
              </w:rPr>
              <w:t>Varying, extending or renewing a Consultancy Agreement</w:t>
            </w:r>
          </w:p>
          <w:p w14:paraId="573CBF87" w14:textId="18F54B20" w:rsidR="003819A2" w:rsidRPr="000E7C69" w:rsidRDefault="000E7C69" w:rsidP="000E7C69">
            <w:pPr>
              <w:spacing w:before="120"/>
              <w:contextualSpacing/>
              <w:rPr>
                <w:rFonts w:ascii="Arial" w:hAnsi="Arial" w:cs="Arial"/>
                <w:b/>
                <w:bCs/>
                <w:sz w:val="22"/>
                <w:lang w:eastAsia="en-GB"/>
              </w:rPr>
            </w:pPr>
            <w:r w:rsidRPr="000E7C69">
              <w:rPr>
                <w:rFonts w:ascii="Arial" w:hAnsi="Arial" w:cs="Arial"/>
                <w:color w:val="000000"/>
                <w:sz w:val="22"/>
                <w:szCs w:val="24"/>
              </w:rPr>
              <w:t xml:space="preserve">If you need to vary, extend or renew the </w:t>
            </w:r>
            <w:r w:rsidR="00870E4F">
              <w:rPr>
                <w:rFonts w:ascii="Arial" w:hAnsi="Arial" w:cs="Arial"/>
                <w:color w:val="000000"/>
                <w:sz w:val="22"/>
                <w:szCs w:val="24"/>
              </w:rPr>
              <w:t>contract</w:t>
            </w:r>
            <w:r w:rsidRPr="000E7C69">
              <w:rPr>
                <w:rFonts w:ascii="Arial" w:hAnsi="Arial" w:cs="Arial"/>
                <w:color w:val="000000"/>
                <w:sz w:val="22"/>
                <w:szCs w:val="24"/>
              </w:rPr>
              <w:t>, please follow the process outlined in the </w:t>
            </w:r>
            <w:hyperlink r:id="rId42" w:tgtFrame="_blank" w:history="1">
              <w:r w:rsidRPr="000E7C69">
                <w:rPr>
                  <w:rStyle w:val="Hyperlink"/>
                  <w:rFonts w:ascii="Arial" w:hAnsi="Arial" w:cs="Arial"/>
                  <w:sz w:val="22"/>
                  <w:szCs w:val="24"/>
                </w:rPr>
                <w:t>Contract Management Guidelines</w:t>
              </w:r>
            </w:hyperlink>
            <w:r w:rsidRPr="000E7C69">
              <w:rPr>
                <w:rFonts w:ascii="Arial" w:hAnsi="Arial" w:cs="Arial"/>
                <w:color w:val="000000"/>
                <w:sz w:val="22"/>
                <w:szCs w:val="24"/>
              </w:rPr>
              <w:t xml:space="preserve">.  See also the contract management processes, guidelines, templates and tools section of the </w:t>
            </w:r>
            <w:hyperlink r:id="rId43" w:history="1">
              <w:r w:rsidRPr="000E7C69">
                <w:rPr>
                  <w:rStyle w:val="Hyperlink"/>
                  <w:rFonts w:ascii="Arial" w:hAnsi="Arial" w:cs="Arial"/>
                  <w:sz w:val="22"/>
                  <w:szCs w:val="24"/>
                </w:rPr>
                <w:t>purchasing webpage</w:t>
              </w:r>
            </w:hyperlink>
            <w:r w:rsidRPr="000E7C69">
              <w:rPr>
                <w:rFonts w:ascii="Arial" w:hAnsi="Arial" w:cs="Arial"/>
                <w:color w:val="000000"/>
                <w:sz w:val="22"/>
                <w:szCs w:val="24"/>
              </w:rPr>
              <w:t>.</w:t>
            </w:r>
          </w:p>
        </w:tc>
        <w:tc>
          <w:tcPr>
            <w:tcW w:w="5301" w:type="dxa"/>
            <w:tcBorders>
              <w:left w:val="single" w:sz="4" w:space="0" w:color="auto"/>
            </w:tcBorders>
          </w:tcPr>
          <w:p w14:paraId="5E02C575" w14:textId="77777777" w:rsidR="000500DE" w:rsidRDefault="000500DE" w:rsidP="000500DE">
            <w:pPr>
              <w:pStyle w:val="BulletPoints"/>
              <w:ind w:firstLine="0"/>
              <w:rPr>
                <w:sz w:val="22"/>
                <w:lang w:eastAsia="en-GB"/>
              </w:rPr>
            </w:pPr>
          </w:p>
          <w:p w14:paraId="70687E07" w14:textId="1C78B69F" w:rsidR="000500DE" w:rsidRPr="000500DE" w:rsidRDefault="000500DE" w:rsidP="000500DE">
            <w:pPr>
              <w:pStyle w:val="BulletPoints"/>
              <w:numPr>
                <w:ilvl w:val="0"/>
                <w:numId w:val="1"/>
              </w:numPr>
              <w:ind w:left="720"/>
              <w:rPr>
                <w:sz w:val="22"/>
                <w:lang w:eastAsia="en-GB"/>
              </w:rPr>
            </w:pPr>
            <w:r w:rsidRPr="000500DE">
              <w:rPr>
                <w:sz w:val="22"/>
                <w:lang w:eastAsia="en-GB"/>
              </w:rPr>
              <w:t>When a sole trader arrangement is varied, extended, or reviewed, the Genuine Contractor Checklist must be reviewed.</w:t>
            </w:r>
          </w:p>
          <w:p w14:paraId="73B7CE66" w14:textId="3332B8E1" w:rsidR="000500DE" w:rsidRPr="000500DE" w:rsidRDefault="000500DE" w:rsidP="000500DE">
            <w:pPr>
              <w:pStyle w:val="BulletPoints"/>
              <w:numPr>
                <w:ilvl w:val="0"/>
                <w:numId w:val="1"/>
              </w:numPr>
              <w:spacing w:before="120"/>
              <w:ind w:left="720"/>
              <w:rPr>
                <w:sz w:val="22"/>
                <w:lang w:eastAsia="en-GB"/>
              </w:rPr>
            </w:pPr>
            <w:r w:rsidRPr="000500DE">
              <w:rPr>
                <w:sz w:val="22"/>
                <w:lang w:eastAsia="en-GB"/>
              </w:rPr>
              <w:t xml:space="preserve">The </w:t>
            </w:r>
            <w:proofErr w:type="gramStart"/>
            <w:r w:rsidR="00A66FCB">
              <w:rPr>
                <w:rFonts w:cs="Arial"/>
                <w:sz w:val="22"/>
                <w:lang w:eastAsia="en-GB"/>
              </w:rPr>
              <w:t>Payroll</w:t>
            </w:r>
            <w:proofErr w:type="gramEnd"/>
            <w:r w:rsidRPr="000500DE">
              <w:rPr>
                <w:sz w:val="22"/>
                <w:lang w:eastAsia="en-GB"/>
              </w:rPr>
              <w:t xml:space="preserve"> team (</w:t>
            </w:r>
            <w:hyperlink r:id="rId44" w:history="1">
              <w:r w:rsidR="00A66FCB" w:rsidRPr="00904D48">
                <w:rPr>
                  <w:rStyle w:val="Hyperlink"/>
                  <w:rFonts w:cs="Arial"/>
                  <w:sz w:val="22"/>
                  <w:lang w:eastAsia="en-GB"/>
                </w:rPr>
                <w:t>payroll@griffith.edu.au</w:t>
              </w:r>
            </w:hyperlink>
            <w:r w:rsidRPr="000500DE">
              <w:rPr>
                <w:sz w:val="22"/>
                <w:lang w:eastAsia="en-GB"/>
              </w:rPr>
              <w:t>) must be notified of the changes to the arrangements.</w:t>
            </w:r>
          </w:p>
          <w:p w14:paraId="508C7DCD" w14:textId="77777777" w:rsidR="00A75906" w:rsidRPr="00904D48" w:rsidRDefault="00A75906" w:rsidP="00A75906">
            <w:pPr>
              <w:spacing w:before="120"/>
              <w:rPr>
                <w:rFonts w:ascii="Arial" w:hAnsi="Arial" w:cs="Arial"/>
                <w:b/>
                <w:bCs/>
                <w:sz w:val="22"/>
                <w:lang w:eastAsia="en-GB"/>
              </w:rPr>
            </w:pPr>
          </w:p>
        </w:tc>
      </w:tr>
    </w:tbl>
    <w:p w14:paraId="4D96D2DF" w14:textId="77777777" w:rsidR="00940763" w:rsidRPr="00940763" w:rsidRDefault="00940763" w:rsidP="00940763"/>
    <w:p w14:paraId="1B233464" w14:textId="30064237" w:rsidR="00FD571B" w:rsidRPr="00FD571B" w:rsidRDefault="00323B15" w:rsidP="00FD571B">
      <w:pPr>
        <w:pStyle w:val="Heading3"/>
        <w:ind w:left="567"/>
        <w:rPr>
          <w:rFonts w:ascii="Griffith Sans Text" w:hAnsi="Griffith Sans Text"/>
        </w:rPr>
      </w:pPr>
      <w:r>
        <w:rPr>
          <w:rFonts w:ascii="Griffith Sans Text" w:hAnsi="Griffith Sans Text"/>
        </w:rPr>
        <w:t xml:space="preserve">3.3 </w:t>
      </w:r>
      <w:r w:rsidR="008217D0">
        <w:rPr>
          <w:rFonts w:ascii="Griffith Sans Text" w:hAnsi="Griffith Sans Text"/>
        </w:rPr>
        <w:t>Monitoring and Review of Genuine Sole Trader Arrangements</w:t>
      </w:r>
    </w:p>
    <w:p w14:paraId="30D9D1EC" w14:textId="4949E96C" w:rsidR="00FD571B" w:rsidRPr="00FD571B" w:rsidRDefault="00FD571B" w:rsidP="00FD571B">
      <w:pPr>
        <w:spacing w:before="120"/>
        <w:rPr>
          <w:rFonts w:ascii="Arial" w:hAnsi="Arial" w:cs="Arial"/>
          <w:sz w:val="22"/>
        </w:rPr>
      </w:pPr>
      <w:r w:rsidRPr="5BBAF632">
        <w:rPr>
          <w:rFonts w:ascii="Arial" w:hAnsi="Arial" w:cs="Arial"/>
          <w:sz w:val="22"/>
        </w:rPr>
        <w:t xml:space="preserve">The Element remains responsible for ensuring the engagement remains genuine and does not become an illegal sham contracting arrangement (for example, through multiple contract extensions or changes in the nature of work being provided). In addition to </w:t>
      </w:r>
      <w:r w:rsidR="00870E4F">
        <w:rPr>
          <w:rFonts w:ascii="Arial" w:hAnsi="Arial" w:cs="Arial"/>
          <w:sz w:val="22"/>
        </w:rPr>
        <w:t xml:space="preserve">using the </w:t>
      </w:r>
      <w:r w:rsidRPr="5BBAF632">
        <w:rPr>
          <w:rFonts w:ascii="Arial" w:hAnsi="Arial" w:cs="Arial"/>
          <w:sz w:val="22"/>
        </w:rPr>
        <w:t xml:space="preserve">Genuine Contractor Checklist, </w:t>
      </w:r>
      <w:r w:rsidR="00870E4F">
        <w:rPr>
          <w:rFonts w:ascii="Arial" w:hAnsi="Arial" w:cs="Arial"/>
          <w:sz w:val="22"/>
        </w:rPr>
        <w:t xml:space="preserve">you can seek </w:t>
      </w:r>
      <w:r w:rsidRPr="5BBAF632">
        <w:rPr>
          <w:rFonts w:ascii="Arial" w:hAnsi="Arial" w:cs="Arial"/>
          <w:sz w:val="22"/>
        </w:rPr>
        <w:t>advice from HR Business Partners</w:t>
      </w:r>
      <w:r w:rsidR="002045FE">
        <w:rPr>
          <w:rFonts w:ascii="Arial" w:hAnsi="Arial" w:cs="Arial"/>
          <w:sz w:val="22"/>
        </w:rPr>
        <w:t>.</w:t>
      </w:r>
    </w:p>
    <w:p w14:paraId="2F572027" w14:textId="6F43A8DA" w:rsidR="00FD571B" w:rsidRPr="00FD571B" w:rsidRDefault="00FD571B" w:rsidP="00FD571B">
      <w:pPr>
        <w:rPr>
          <w:rFonts w:ascii="Arial" w:hAnsi="Arial" w:cs="Arial"/>
          <w:sz w:val="22"/>
        </w:rPr>
      </w:pPr>
      <w:r w:rsidRPr="5BBAF632">
        <w:rPr>
          <w:rFonts w:ascii="Arial" w:hAnsi="Arial" w:cs="Arial"/>
          <w:sz w:val="22"/>
        </w:rPr>
        <w:t>Finance will, as part of normal compliance and fraud detection activities, monitor consultancy engagements and audit system records to ensure that these procedures are being followed.</w:t>
      </w:r>
    </w:p>
    <w:p w14:paraId="17CBE396" w14:textId="38A3B14F" w:rsidR="00F75229" w:rsidRDefault="007418A5" w:rsidP="00CA6AC5">
      <w:pPr>
        <w:pStyle w:val="Heading2"/>
        <w:rPr>
          <w:rFonts w:ascii="Griffith Sans Text" w:hAnsi="Griffith Sans Text"/>
        </w:rPr>
      </w:pPr>
      <w:bookmarkStart w:id="5" w:name="_4.0_Roles,_responsibilities"/>
      <w:bookmarkStart w:id="6" w:name="_5.0_Definitions"/>
      <w:bookmarkStart w:id="7" w:name="_4.0_Definitions"/>
      <w:bookmarkEnd w:id="5"/>
      <w:bookmarkEnd w:id="6"/>
      <w:bookmarkEnd w:id="7"/>
      <w:r w:rsidRPr="00237AB3">
        <w:rPr>
          <w:rFonts w:ascii="Griffith Sans Text" w:hAnsi="Griffith Sans Text"/>
        </w:rPr>
        <w:t>4</w:t>
      </w:r>
      <w:r w:rsidR="00A144B2" w:rsidRPr="00237AB3">
        <w:rPr>
          <w:rFonts w:ascii="Griffith Sans Text" w:hAnsi="Griffith Sans Text"/>
        </w:rPr>
        <w:t xml:space="preserve">.0 </w:t>
      </w:r>
      <w:r w:rsidR="00F75229">
        <w:rPr>
          <w:rFonts w:ascii="Griffith Sans Text" w:hAnsi="Griffith Sans Text"/>
        </w:rPr>
        <w:t>Roles and Responsibilities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7513"/>
      </w:tblGrid>
      <w:tr w:rsidR="00EB616F" w:rsidRPr="00BA6219" w14:paraId="4FA6C05E" w14:textId="77777777">
        <w:trPr>
          <w:trHeight w:val="454"/>
        </w:trPr>
        <w:tc>
          <w:tcPr>
            <w:tcW w:w="1438" w:type="pct"/>
            <w:shd w:val="clear" w:color="auto" w:fill="auto"/>
          </w:tcPr>
          <w:p w14:paraId="42C7EC26" w14:textId="77777777" w:rsidR="00EB616F" w:rsidRPr="00FC5552" w:rsidRDefault="00EB616F">
            <w:pPr>
              <w:spacing w:before="120" w:after="120"/>
              <w:rPr>
                <w:rFonts w:ascii="Arial" w:hAnsi="Arial" w:cs="Arial"/>
                <w:b/>
                <w:bCs/>
                <w:color w:val="000000" w:themeColor="text1"/>
                <w:sz w:val="24"/>
                <w:szCs w:val="24"/>
              </w:rPr>
            </w:pPr>
            <w:r>
              <w:rPr>
                <w:rFonts w:ascii="Arial" w:hAnsi="Arial" w:cs="Arial"/>
                <w:b/>
                <w:bCs/>
                <w:color w:val="E30918"/>
                <w:sz w:val="24"/>
                <w:szCs w:val="24"/>
              </w:rPr>
              <w:t xml:space="preserve">ROLE </w:t>
            </w:r>
          </w:p>
        </w:tc>
        <w:tc>
          <w:tcPr>
            <w:tcW w:w="3562" w:type="pct"/>
            <w:shd w:val="clear" w:color="auto" w:fill="auto"/>
          </w:tcPr>
          <w:p w14:paraId="0ABB5489" w14:textId="77777777" w:rsidR="00EB616F" w:rsidRPr="00BA6219" w:rsidRDefault="00EB616F">
            <w:pPr>
              <w:spacing w:before="120" w:after="120"/>
              <w:rPr>
                <w:rFonts w:cs="Arial"/>
                <w:color w:val="000000" w:themeColor="text1"/>
                <w:szCs w:val="20"/>
              </w:rPr>
            </w:pPr>
            <w:r>
              <w:rPr>
                <w:rFonts w:ascii="Arial" w:hAnsi="Arial" w:cs="Arial"/>
                <w:b/>
                <w:bCs/>
                <w:color w:val="E30918"/>
                <w:sz w:val="24"/>
                <w:szCs w:val="24"/>
              </w:rPr>
              <w:t>RESPONSIBILITY</w:t>
            </w:r>
          </w:p>
        </w:tc>
      </w:tr>
      <w:tr w:rsidR="00EB616F" w14:paraId="703DE2DF" w14:textId="77777777" w:rsidTr="00EB616F">
        <w:tc>
          <w:tcPr>
            <w:tcW w:w="1438" w:type="pct"/>
            <w:shd w:val="clear" w:color="auto" w:fill="D9D9D9" w:themeFill="background1" w:themeFillShade="D9"/>
          </w:tcPr>
          <w:p w14:paraId="4B2EC39E"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lastRenderedPageBreak/>
              <w:t>Heads of Elements</w:t>
            </w:r>
          </w:p>
        </w:tc>
        <w:tc>
          <w:tcPr>
            <w:tcW w:w="3562" w:type="pct"/>
            <w:shd w:val="clear" w:color="auto" w:fill="D9D9D9" w:themeFill="background1" w:themeFillShade="D9"/>
          </w:tcPr>
          <w:p w14:paraId="5C136CB2" w14:textId="0EC456DA" w:rsidR="00EB616F" w:rsidRPr="00EB616F" w:rsidRDefault="00EB616F">
            <w:pPr>
              <w:spacing w:before="120" w:after="120"/>
              <w:rPr>
                <w:rFonts w:ascii="Arial" w:hAnsi="Arial" w:cs="Arial"/>
                <w:sz w:val="22"/>
                <w:szCs w:val="28"/>
              </w:rPr>
            </w:pPr>
            <w:r w:rsidRPr="00EB616F">
              <w:rPr>
                <w:rFonts w:ascii="Arial" w:hAnsi="Arial" w:cs="Arial"/>
                <w:sz w:val="22"/>
                <w:szCs w:val="28"/>
              </w:rPr>
              <w:t xml:space="preserve">Ensure that </w:t>
            </w:r>
            <w:r w:rsidR="005F2643">
              <w:rPr>
                <w:rFonts w:ascii="Arial" w:hAnsi="Arial" w:cs="Arial"/>
                <w:sz w:val="22"/>
                <w:szCs w:val="28"/>
              </w:rPr>
              <w:t xml:space="preserve">contractors and </w:t>
            </w:r>
            <w:r w:rsidRPr="00EB616F">
              <w:rPr>
                <w:rFonts w:ascii="Arial" w:hAnsi="Arial" w:cs="Arial"/>
                <w:sz w:val="22"/>
                <w:szCs w:val="28"/>
              </w:rPr>
              <w:t>consultants are engaged in compliance with these procedures.</w:t>
            </w:r>
          </w:p>
        </w:tc>
      </w:tr>
      <w:tr w:rsidR="00EB616F" w14:paraId="692EC84E" w14:textId="77777777">
        <w:tc>
          <w:tcPr>
            <w:tcW w:w="1438" w:type="pct"/>
            <w:shd w:val="clear" w:color="auto" w:fill="FFFFFF" w:themeFill="background1"/>
          </w:tcPr>
          <w:p w14:paraId="113568AB"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Head of Business Partnering (Human Resources)</w:t>
            </w:r>
          </w:p>
        </w:tc>
        <w:tc>
          <w:tcPr>
            <w:tcW w:w="3562" w:type="pct"/>
            <w:shd w:val="clear" w:color="auto" w:fill="FFFFFF" w:themeFill="background1"/>
          </w:tcPr>
          <w:p w14:paraId="48FD3213"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Ensure that Business Partners are aware of the prohibition on sham contracting and able to provide advisory support to Elements.</w:t>
            </w:r>
          </w:p>
          <w:p w14:paraId="3476E775" w14:textId="2D07C7F4" w:rsidR="00EB616F" w:rsidRPr="00EB616F" w:rsidRDefault="00EB616F">
            <w:pPr>
              <w:spacing w:before="120" w:after="120"/>
              <w:rPr>
                <w:rFonts w:ascii="Arial" w:hAnsi="Arial" w:cs="Arial"/>
                <w:sz w:val="22"/>
                <w:szCs w:val="28"/>
              </w:rPr>
            </w:pPr>
            <w:r w:rsidRPr="00EB616F">
              <w:rPr>
                <w:rFonts w:ascii="Arial" w:hAnsi="Arial" w:cs="Arial"/>
                <w:sz w:val="22"/>
                <w:szCs w:val="28"/>
              </w:rPr>
              <w:t xml:space="preserve">Work with Elements where there is </w:t>
            </w:r>
            <w:r w:rsidR="005B556F">
              <w:rPr>
                <w:rFonts w:ascii="Arial" w:hAnsi="Arial" w:cs="Arial"/>
                <w:sz w:val="22"/>
                <w:szCs w:val="28"/>
              </w:rPr>
              <w:t xml:space="preserve">an </w:t>
            </w:r>
            <w:r w:rsidRPr="00EB616F">
              <w:rPr>
                <w:rFonts w:ascii="Arial" w:hAnsi="Arial" w:cs="Arial"/>
                <w:sz w:val="22"/>
                <w:szCs w:val="28"/>
              </w:rPr>
              <w:t xml:space="preserve">awareness of circumstances that may lead to sham contracting arrangements being implemented. </w:t>
            </w:r>
          </w:p>
          <w:p w14:paraId="509A4433" w14:textId="488DBFA8" w:rsidR="00EB616F" w:rsidRPr="00EB616F" w:rsidRDefault="00EB616F">
            <w:pPr>
              <w:spacing w:before="120" w:after="120"/>
              <w:rPr>
                <w:rFonts w:ascii="Arial" w:hAnsi="Arial" w:cs="Arial"/>
                <w:sz w:val="22"/>
                <w:szCs w:val="28"/>
              </w:rPr>
            </w:pPr>
            <w:r w:rsidRPr="00EB616F">
              <w:rPr>
                <w:rFonts w:ascii="Arial" w:hAnsi="Arial" w:cs="Arial"/>
                <w:sz w:val="22"/>
                <w:szCs w:val="28"/>
              </w:rPr>
              <w:t xml:space="preserve">Provide advice to Elements about </w:t>
            </w:r>
            <w:r w:rsidRPr="00EB616F">
              <w:rPr>
                <w:rFonts w:ascii="Arial" w:hAnsi="Arial" w:cs="Arial"/>
                <w:sz w:val="22"/>
                <w:szCs w:val="28"/>
                <w:lang w:eastAsia="en-GB"/>
              </w:rPr>
              <w:t>potential or alternative employment options</w:t>
            </w:r>
            <w:r w:rsidRPr="00EB616F">
              <w:rPr>
                <w:rFonts w:ascii="Arial" w:hAnsi="Arial" w:cs="Arial"/>
                <w:sz w:val="22"/>
                <w:szCs w:val="28"/>
              </w:rPr>
              <w:t xml:space="preserve"> that may be pursued when a </w:t>
            </w:r>
            <w:r w:rsidR="002045FE">
              <w:rPr>
                <w:rFonts w:ascii="Arial" w:hAnsi="Arial" w:cs="Arial"/>
                <w:sz w:val="22"/>
                <w:szCs w:val="28"/>
              </w:rPr>
              <w:t>contract</w:t>
            </w:r>
            <w:r w:rsidR="00FC2EFE">
              <w:rPr>
                <w:rFonts w:ascii="Arial" w:hAnsi="Arial" w:cs="Arial"/>
                <w:sz w:val="22"/>
                <w:szCs w:val="28"/>
              </w:rPr>
              <w:t xml:space="preserve"> arrangement</w:t>
            </w:r>
            <w:r w:rsidRPr="00EB616F">
              <w:rPr>
                <w:rFonts w:ascii="Arial" w:hAnsi="Arial" w:cs="Arial"/>
                <w:sz w:val="22"/>
                <w:szCs w:val="28"/>
              </w:rPr>
              <w:t xml:space="preserve"> is not genuine and cannot be pursued, in consultation with Office of General Counsel.</w:t>
            </w:r>
          </w:p>
          <w:p w14:paraId="49374A6B"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Escalate and take corrective action when potential sham contracting arrangements are identified, in consultation with Office of General Counsel.</w:t>
            </w:r>
          </w:p>
        </w:tc>
      </w:tr>
      <w:tr w:rsidR="00EB616F" w14:paraId="10908300" w14:textId="77777777" w:rsidTr="00EB616F">
        <w:tc>
          <w:tcPr>
            <w:tcW w:w="1438" w:type="pct"/>
            <w:shd w:val="clear" w:color="auto" w:fill="D9D9D9" w:themeFill="background1" w:themeFillShade="D9"/>
          </w:tcPr>
          <w:p w14:paraId="42C74595"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Head of Operations and Systems (Human Resources)</w:t>
            </w:r>
          </w:p>
        </w:tc>
        <w:tc>
          <w:tcPr>
            <w:tcW w:w="3562" w:type="pct"/>
            <w:shd w:val="clear" w:color="auto" w:fill="D9D9D9" w:themeFill="background1" w:themeFillShade="D9"/>
          </w:tcPr>
          <w:p w14:paraId="71C53885"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Advise whether superannuation is payable to a sole trader.</w:t>
            </w:r>
          </w:p>
          <w:p w14:paraId="7D7D9A6D" w14:textId="77777777" w:rsidR="00EB616F" w:rsidRDefault="00EB616F">
            <w:pPr>
              <w:spacing w:before="120" w:after="120"/>
              <w:rPr>
                <w:rFonts w:ascii="Arial" w:hAnsi="Arial" w:cs="Arial"/>
                <w:sz w:val="22"/>
                <w:szCs w:val="28"/>
              </w:rPr>
            </w:pPr>
            <w:r w:rsidRPr="00EB616F">
              <w:rPr>
                <w:rFonts w:ascii="Arial" w:hAnsi="Arial" w:cs="Arial"/>
                <w:sz w:val="22"/>
                <w:szCs w:val="28"/>
              </w:rPr>
              <w:t>Implement and maintain processes to pay sole traders superannuation as required.</w:t>
            </w:r>
          </w:p>
          <w:p w14:paraId="044A5829" w14:textId="2918067E" w:rsidR="00443A83" w:rsidRPr="00EB616F" w:rsidRDefault="00443A83" w:rsidP="00443A83">
            <w:pPr>
              <w:spacing w:before="120" w:after="120"/>
              <w:rPr>
                <w:rFonts w:ascii="Arial" w:hAnsi="Arial" w:cs="Arial"/>
                <w:sz w:val="22"/>
                <w:szCs w:val="28"/>
              </w:rPr>
            </w:pPr>
            <w:r w:rsidRPr="00EB616F">
              <w:rPr>
                <w:rFonts w:ascii="Arial" w:hAnsi="Arial" w:cs="Arial"/>
                <w:sz w:val="22"/>
                <w:szCs w:val="28"/>
              </w:rPr>
              <w:t xml:space="preserve">Assess notified </w:t>
            </w:r>
            <w:r>
              <w:rPr>
                <w:rFonts w:ascii="Arial" w:hAnsi="Arial" w:cs="Arial"/>
                <w:sz w:val="22"/>
                <w:szCs w:val="28"/>
              </w:rPr>
              <w:t xml:space="preserve">sole trader </w:t>
            </w:r>
            <w:r w:rsidRPr="00EB616F">
              <w:rPr>
                <w:rFonts w:ascii="Arial" w:hAnsi="Arial" w:cs="Arial"/>
                <w:sz w:val="22"/>
                <w:szCs w:val="28"/>
              </w:rPr>
              <w:t>arrangements for payroll tax liability</w:t>
            </w:r>
            <w:r w:rsidR="00022912">
              <w:rPr>
                <w:rFonts w:ascii="Arial" w:hAnsi="Arial" w:cs="Arial"/>
                <w:sz w:val="22"/>
                <w:szCs w:val="28"/>
              </w:rPr>
              <w:t xml:space="preserve"> and workers compensation requirements</w:t>
            </w:r>
            <w:r w:rsidRPr="00EB616F">
              <w:rPr>
                <w:rFonts w:ascii="Arial" w:hAnsi="Arial" w:cs="Arial"/>
                <w:sz w:val="22"/>
                <w:szCs w:val="28"/>
              </w:rPr>
              <w:t>.</w:t>
            </w:r>
          </w:p>
          <w:p w14:paraId="36164CE3" w14:textId="0A9E79B6" w:rsidR="00443A83" w:rsidRPr="00EB616F" w:rsidRDefault="00331CA2">
            <w:pPr>
              <w:spacing w:before="120" w:after="120"/>
              <w:rPr>
                <w:rFonts w:ascii="Arial" w:hAnsi="Arial" w:cs="Arial"/>
                <w:sz w:val="22"/>
                <w:szCs w:val="28"/>
              </w:rPr>
            </w:pPr>
            <w:r w:rsidRPr="00EB616F">
              <w:rPr>
                <w:rFonts w:ascii="Arial" w:hAnsi="Arial" w:cs="Arial"/>
                <w:sz w:val="22"/>
                <w:szCs w:val="28"/>
              </w:rPr>
              <w:t>Keep appropriate records of notified sole trader arrangements.</w:t>
            </w:r>
          </w:p>
        </w:tc>
      </w:tr>
      <w:tr w:rsidR="00EB616F" w14:paraId="0A48C871" w14:textId="77777777">
        <w:tc>
          <w:tcPr>
            <w:tcW w:w="1438" w:type="pct"/>
            <w:shd w:val="clear" w:color="auto" w:fill="FFFFFF" w:themeFill="background1"/>
          </w:tcPr>
          <w:p w14:paraId="12FE4502"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Head of Strategic Procurement and Supply (Finance)</w:t>
            </w:r>
          </w:p>
        </w:tc>
        <w:tc>
          <w:tcPr>
            <w:tcW w:w="3562" w:type="pct"/>
            <w:shd w:val="clear" w:color="auto" w:fill="FFFFFF" w:themeFill="background1"/>
          </w:tcPr>
          <w:p w14:paraId="3FAA256F"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Promote these procedures and ensure that the procedures and Genuine Contractor Checklist is readily available to staff undertaking procurement.</w:t>
            </w:r>
          </w:p>
          <w:p w14:paraId="7D6AE6A4"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Provide advice to staff about compliance with these procedures.</w:t>
            </w:r>
          </w:p>
          <w:p w14:paraId="091F212F"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Monitor compliance with the requirement to complete the Genuine Contractor Checklist.</w:t>
            </w:r>
          </w:p>
        </w:tc>
      </w:tr>
      <w:tr w:rsidR="00EB616F" w14:paraId="2D5BDB48" w14:textId="77777777" w:rsidTr="00EB616F">
        <w:tc>
          <w:tcPr>
            <w:tcW w:w="1438" w:type="pct"/>
            <w:shd w:val="clear" w:color="auto" w:fill="D9D9D9" w:themeFill="background1" w:themeFillShade="D9"/>
          </w:tcPr>
          <w:p w14:paraId="253E4BA7" w14:textId="3BEB5892" w:rsidR="00EB616F" w:rsidRPr="00EB616F" w:rsidRDefault="00EB616F">
            <w:pPr>
              <w:spacing w:before="120" w:after="120"/>
              <w:rPr>
                <w:rFonts w:ascii="Arial" w:hAnsi="Arial" w:cs="Arial"/>
                <w:sz w:val="22"/>
                <w:szCs w:val="28"/>
              </w:rPr>
            </w:pPr>
          </w:p>
        </w:tc>
        <w:tc>
          <w:tcPr>
            <w:tcW w:w="3562" w:type="pct"/>
            <w:shd w:val="clear" w:color="auto" w:fill="D9D9D9" w:themeFill="background1" w:themeFillShade="D9"/>
          </w:tcPr>
          <w:p w14:paraId="449BF03B" w14:textId="645E5067" w:rsidR="00EB616F" w:rsidRPr="00EB616F" w:rsidRDefault="00EB616F">
            <w:pPr>
              <w:spacing w:before="120" w:after="120"/>
              <w:rPr>
                <w:rFonts w:ascii="Arial" w:hAnsi="Arial" w:cs="Arial"/>
                <w:sz w:val="22"/>
                <w:szCs w:val="28"/>
              </w:rPr>
            </w:pPr>
          </w:p>
        </w:tc>
      </w:tr>
      <w:tr w:rsidR="00EB616F" w14:paraId="6DD041BE" w14:textId="77777777">
        <w:tc>
          <w:tcPr>
            <w:tcW w:w="1438" w:type="pct"/>
            <w:shd w:val="clear" w:color="auto" w:fill="auto"/>
          </w:tcPr>
          <w:p w14:paraId="37F81673"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Legal Services</w:t>
            </w:r>
          </w:p>
        </w:tc>
        <w:tc>
          <w:tcPr>
            <w:tcW w:w="3562" w:type="pct"/>
            <w:shd w:val="clear" w:color="auto" w:fill="auto"/>
          </w:tcPr>
          <w:p w14:paraId="43820395"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Support the development of appropriate contracts to engage consultants and provide general advisory support.</w:t>
            </w:r>
          </w:p>
        </w:tc>
      </w:tr>
      <w:tr w:rsidR="00EB616F" w14:paraId="1BB9BB99" w14:textId="77777777" w:rsidTr="00EB616F">
        <w:tc>
          <w:tcPr>
            <w:tcW w:w="1438" w:type="pct"/>
            <w:shd w:val="clear" w:color="auto" w:fill="D9D9D9" w:themeFill="background1" w:themeFillShade="D9"/>
          </w:tcPr>
          <w:p w14:paraId="69771553"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Internal Audit</w:t>
            </w:r>
          </w:p>
        </w:tc>
        <w:tc>
          <w:tcPr>
            <w:tcW w:w="3562" w:type="pct"/>
            <w:shd w:val="clear" w:color="auto" w:fill="D9D9D9" w:themeFill="background1" w:themeFillShade="D9"/>
          </w:tcPr>
          <w:p w14:paraId="187A025F" w14:textId="77777777" w:rsidR="00EB616F" w:rsidRPr="00EB616F" w:rsidRDefault="00EB616F">
            <w:pPr>
              <w:spacing w:before="120" w:after="120"/>
              <w:rPr>
                <w:rFonts w:ascii="Arial" w:hAnsi="Arial" w:cs="Arial"/>
                <w:sz w:val="22"/>
                <w:szCs w:val="28"/>
              </w:rPr>
            </w:pPr>
            <w:r w:rsidRPr="00EB616F">
              <w:rPr>
                <w:rFonts w:ascii="Arial" w:hAnsi="Arial" w:cs="Arial"/>
                <w:sz w:val="22"/>
                <w:szCs w:val="28"/>
              </w:rPr>
              <w:t>In accordance with approved Annual Internal Audit Plan where applicable, undertake audits of these procedures.</w:t>
            </w:r>
          </w:p>
        </w:tc>
      </w:tr>
    </w:tbl>
    <w:p w14:paraId="7F975B5A" w14:textId="77777777" w:rsidR="00F75229" w:rsidRPr="00F75229" w:rsidRDefault="00F75229" w:rsidP="00F75229"/>
    <w:p w14:paraId="5EB8F927" w14:textId="552CAEE4" w:rsidR="00A144B2" w:rsidRPr="00237AB3" w:rsidRDefault="00F75229" w:rsidP="00CA6AC5">
      <w:pPr>
        <w:pStyle w:val="Heading2"/>
        <w:rPr>
          <w:rFonts w:ascii="Griffith Sans Text" w:hAnsi="Griffith Sans Text"/>
        </w:rPr>
      </w:pPr>
      <w:r>
        <w:rPr>
          <w:rFonts w:ascii="Griffith Sans Text" w:hAnsi="Griffith Sans Text"/>
        </w:rPr>
        <w:t xml:space="preserve">5.0 </w:t>
      </w:r>
      <w:r w:rsidR="00A144B2" w:rsidRPr="00237AB3">
        <w:rPr>
          <w:rFonts w:ascii="Griffith Sans Text" w:hAnsi="Griffith Sans Text"/>
        </w:rPr>
        <w:t>Definitions</w:t>
      </w:r>
    </w:p>
    <w:p w14:paraId="1C627A98" w14:textId="77777777" w:rsidR="00B57B0E" w:rsidRDefault="00B57B0E" w:rsidP="00B57B0E">
      <w:pPr>
        <w:rPr>
          <w:rFonts w:ascii="Arial" w:hAnsi="Arial" w:cs="Arial"/>
          <w:sz w:val="22"/>
          <w:szCs w:val="28"/>
        </w:rPr>
      </w:pPr>
      <w:r w:rsidRPr="00B57B0E">
        <w:rPr>
          <w:rFonts w:ascii="Arial" w:hAnsi="Arial" w:cs="Arial"/>
          <w:b/>
          <w:bCs/>
          <w:sz w:val="22"/>
          <w:szCs w:val="28"/>
        </w:rPr>
        <w:t xml:space="preserve">Independent Contractors: </w:t>
      </w:r>
      <w:r w:rsidRPr="00B57B0E">
        <w:rPr>
          <w:rFonts w:ascii="Arial" w:hAnsi="Arial" w:cs="Arial"/>
          <w:sz w:val="22"/>
          <w:szCs w:val="28"/>
        </w:rPr>
        <w:t>means a person or entity that runs their own business and sells their services to clients such as Griffith. They are commonly known as consultants within Griffith and when they are an individual providing services they are referred to in this procedure as a ‘sole trader’.</w:t>
      </w:r>
    </w:p>
    <w:p w14:paraId="26BB887D" w14:textId="370B73E8" w:rsidR="00FC2EFE" w:rsidRDefault="00FC2EFE" w:rsidP="00B57B0E">
      <w:pPr>
        <w:rPr>
          <w:rFonts w:ascii="Arial" w:hAnsi="Arial" w:cs="Arial"/>
          <w:sz w:val="22"/>
          <w:szCs w:val="28"/>
        </w:rPr>
      </w:pPr>
      <w:r>
        <w:rPr>
          <w:rFonts w:ascii="Arial" w:hAnsi="Arial" w:cs="Arial"/>
          <w:b/>
          <w:bCs/>
          <w:sz w:val="22"/>
          <w:szCs w:val="28"/>
        </w:rPr>
        <w:t xml:space="preserve">Employee: </w:t>
      </w:r>
      <w:r>
        <w:rPr>
          <w:rFonts w:ascii="Arial" w:hAnsi="Arial" w:cs="Arial"/>
          <w:sz w:val="22"/>
          <w:szCs w:val="28"/>
        </w:rPr>
        <w:t>means a Griffith</w:t>
      </w:r>
      <w:r w:rsidR="00E1110A">
        <w:rPr>
          <w:rFonts w:ascii="Arial" w:hAnsi="Arial" w:cs="Arial"/>
          <w:sz w:val="22"/>
          <w:szCs w:val="28"/>
        </w:rPr>
        <w:t xml:space="preserve"> staff member who</w:t>
      </w:r>
      <w:r w:rsidR="00EE3EA1">
        <w:rPr>
          <w:rFonts w:ascii="Arial" w:hAnsi="Arial" w:cs="Arial"/>
          <w:sz w:val="22"/>
          <w:szCs w:val="28"/>
        </w:rPr>
        <w:t xml:space="preserve"> has entered into a</w:t>
      </w:r>
      <w:r>
        <w:rPr>
          <w:rFonts w:ascii="Arial" w:hAnsi="Arial" w:cs="Arial"/>
          <w:sz w:val="22"/>
          <w:szCs w:val="28"/>
        </w:rPr>
        <w:t>n employment agreement</w:t>
      </w:r>
      <w:r w:rsidR="006849DF">
        <w:rPr>
          <w:rFonts w:ascii="Arial" w:hAnsi="Arial" w:cs="Arial"/>
          <w:sz w:val="22"/>
          <w:szCs w:val="28"/>
        </w:rPr>
        <w:t xml:space="preserve"> with Griffith</w:t>
      </w:r>
      <w:r>
        <w:rPr>
          <w:rFonts w:ascii="Arial" w:hAnsi="Arial" w:cs="Arial"/>
          <w:sz w:val="22"/>
          <w:szCs w:val="28"/>
        </w:rPr>
        <w:t xml:space="preserve"> and </w:t>
      </w:r>
      <w:r w:rsidR="00EE3EA1">
        <w:rPr>
          <w:rFonts w:ascii="Arial" w:hAnsi="Arial" w:cs="Arial"/>
          <w:sz w:val="22"/>
          <w:szCs w:val="28"/>
        </w:rPr>
        <w:t xml:space="preserve">is </w:t>
      </w:r>
      <w:r>
        <w:rPr>
          <w:rFonts w:ascii="Arial" w:hAnsi="Arial" w:cs="Arial"/>
          <w:sz w:val="22"/>
          <w:szCs w:val="28"/>
        </w:rPr>
        <w:t xml:space="preserve">paid through the Griffith payroll function. As an employee, they are entitled to rights, benefits and protection provided under the </w:t>
      </w:r>
      <w:r>
        <w:rPr>
          <w:rFonts w:ascii="Arial" w:hAnsi="Arial" w:cs="Arial"/>
          <w:i/>
          <w:iCs/>
          <w:sz w:val="22"/>
          <w:szCs w:val="28"/>
        </w:rPr>
        <w:t>Fair Work Act 2009</w:t>
      </w:r>
      <w:r>
        <w:rPr>
          <w:rFonts w:ascii="Arial" w:hAnsi="Arial" w:cs="Arial"/>
          <w:sz w:val="22"/>
          <w:szCs w:val="28"/>
        </w:rPr>
        <w:t xml:space="preserve"> (Cth) and other relevant employment legislation.</w:t>
      </w:r>
    </w:p>
    <w:p w14:paraId="0905D53D" w14:textId="4AB9B7D3" w:rsidR="00B57B0E" w:rsidRPr="00B57B0E" w:rsidRDefault="00B57B0E" w:rsidP="5EDB592C">
      <w:pPr>
        <w:rPr>
          <w:rFonts w:ascii="Arial" w:hAnsi="Arial" w:cs="Arial"/>
          <w:sz w:val="22"/>
        </w:rPr>
      </w:pPr>
      <w:r w:rsidRPr="5EDB592C">
        <w:rPr>
          <w:rFonts w:ascii="Arial" w:hAnsi="Arial" w:cs="Arial"/>
          <w:b/>
          <w:bCs/>
          <w:sz w:val="22"/>
        </w:rPr>
        <w:lastRenderedPageBreak/>
        <w:t xml:space="preserve">Sham Contracting: </w:t>
      </w:r>
      <w:r w:rsidRPr="5EDB592C">
        <w:rPr>
          <w:rFonts w:ascii="Arial" w:hAnsi="Arial" w:cs="Arial"/>
          <w:sz w:val="22"/>
        </w:rPr>
        <w:t xml:space="preserve">means an arrangement where a person is engaged as a “contractor” or “consultant” but </w:t>
      </w:r>
      <w:r w:rsidR="5E135FC0" w:rsidRPr="5EDB592C">
        <w:rPr>
          <w:rFonts w:ascii="Arial" w:hAnsi="Arial" w:cs="Arial"/>
          <w:sz w:val="22"/>
        </w:rPr>
        <w:t>should</w:t>
      </w:r>
      <w:r w:rsidRPr="5EDB592C">
        <w:rPr>
          <w:rFonts w:ascii="Arial" w:hAnsi="Arial" w:cs="Arial"/>
          <w:sz w:val="22"/>
        </w:rPr>
        <w:t xml:space="preserve"> legally </w:t>
      </w:r>
      <w:r w:rsidR="50DC86CC" w:rsidRPr="5EDB592C">
        <w:rPr>
          <w:rFonts w:ascii="Arial" w:hAnsi="Arial" w:cs="Arial"/>
          <w:sz w:val="22"/>
        </w:rPr>
        <w:t xml:space="preserve">be engaged as </w:t>
      </w:r>
      <w:r w:rsidRPr="5EDB592C">
        <w:rPr>
          <w:rFonts w:ascii="Arial" w:hAnsi="Arial" w:cs="Arial"/>
          <w:sz w:val="22"/>
        </w:rPr>
        <w:t>an employee under an employment contract. Sham contracting is illegal</w:t>
      </w:r>
      <w:r w:rsidR="01AA5AF6" w:rsidRPr="5EDB592C">
        <w:rPr>
          <w:rFonts w:ascii="Arial" w:hAnsi="Arial" w:cs="Arial"/>
          <w:sz w:val="22"/>
        </w:rPr>
        <w:t xml:space="preserve"> and carries significant penalties</w:t>
      </w:r>
      <w:r w:rsidRPr="5EDB592C">
        <w:rPr>
          <w:rFonts w:ascii="Arial" w:hAnsi="Arial" w:cs="Arial"/>
          <w:sz w:val="22"/>
        </w:rPr>
        <w:t>.</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413F9C2E" w:rsidR="00811F90" w:rsidRPr="00237AB3" w:rsidRDefault="00F75229" w:rsidP="00CA6AC5">
      <w:pPr>
        <w:pStyle w:val="Heading2"/>
        <w:rPr>
          <w:rFonts w:ascii="Griffith Sans Text" w:hAnsi="Griffith Sans Text"/>
        </w:rPr>
      </w:pPr>
      <w:bookmarkStart w:id="8" w:name="_6.0_Information"/>
      <w:bookmarkStart w:id="9" w:name="_5.0_Information"/>
      <w:bookmarkEnd w:id="8"/>
      <w:bookmarkEnd w:id="9"/>
      <w:r>
        <w:rPr>
          <w:rFonts w:ascii="Griffith Sans Text" w:hAnsi="Griffith Sans Text"/>
        </w:rPr>
        <w:lastRenderedPageBreak/>
        <w:t>6</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5BBAF632">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471A9B93" w:rsidR="00786706" w:rsidRPr="00D2027F" w:rsidRDefault="00D2027F" w:rsidP="004922AF">
            <w:pPr>
              <w:spacing w:before="120" w:after="120"/>
              <w:rPr>
                <w:rFonts w:ascii="Arial" w:hAnsi="Arial" w:cs="Arial"/>
                <w:sz w:val="22"/>
                <w:szCs w:val="24"/>
                <w:lang w:val="en-GB"/>
              </w:rPr>
            </w:pPr>
            <w:r w:rsidRPr="00D2027F">
              <w:rPr>
                <w:rFonts w:ascii="Arial" w:hAnsi="Arial" w:cs="Arial"/>
                <w:sz w:val="22"/>
                <w:szCs w:val="24"/>
              </w:rPr>
              <w:t>Engaging</w:t>
            </w:r>
            <w:r w:rsidR="001F6877">
              <w:rPr>
                <w:rFonts w:ascii="Arial" w:hAnsi="Arial" w:cs="Arial"/>
                <w:sz w:val="22"/>
                <w:szCs w:val="24"/>
              </w:rPr>
              <w:t xml:space="preserve"> </w:t>
            </w:r>
            <w:r w:rsidRPr="00D2027F">
              <w:rPr>
                <w:rFonts w:ascii="Arial" w:hAnsi="Arial" w:cs="Arial"/>
                <w:sz w:val="22"/>
                <w:szCs w:val="24"/>
              </w:rPr>
              <w:t>Co</w:t>
            </w:r>
            <w:r w:rsidR="001F6877">
              <w:rPr>
                <w:rFonts w:ascii="Arial" w:hAnsi="Arial" w:cs="Arial"/>
                <w:sz w:val="22"/>
                <w:szCs w:val="24"/>
              </w:rPr>
              <w:t xml:space="preserve">ntractors </w:t>
            </w:r>
            <w:r w:rsidR="00DC2CCA">
              <w:rPr>
                <w:rFonts w:ascii="Arial" w:hAnsi="Arial" w:cs="Arial"/>
                <w:sz w:val="22"/>
                <w:szCs w:val="24"/>
              </w:rPr>
              <w:t xml:space="preserve">and </w:t>
            </w:r>
            <w:r w:rsidR="001F6877">
              <w:rPr>
                <w:rFonts w:ascii="Arial" w:hAnsi="Arial" w:cs="Arial"/>
                <w:sz w:val="22"/>
                <w:szCs w:val="24"/>
              </w:rPr>
              <w:t>Consultants</w:t>
            </w:r>
            <w:r w:rsidRPr="00D2027F">
              <w:rPr>
                <w:rFonts w:ascii="Arial" w:hAnsi="Arial" w:cs="Arial"/>
                <w:sz w:val="22"/>
                <w:szCs w:val="24"/>
              </w:rPr>
              <w:t xml:space="preserve"> Procedure</w:t>
            </w:r>
          </w:p>
        </w:tc>
      </w:tr>
      <w:tr w:rsidR="00786706" w14:paraId="66D4D4A1" w14:textId="77777777" w:rsidTr="5BBAF632">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7CBF27D9" w:rsidR="00786706" w:rsidRPr="004922AF" w:rsidRDefault="000172FC" w:rsidP="004922AF">
            <w:pPr>
              <w:spacing w:before="120" w:after="120"/>
              <w:rPr>
                <w:rFonts w:ascii="Arial" w:hAnsi="Arial" w:cs="Arial"/>
                <w:sz w:val="22"/>
                <w:szCs w:val="28"/>
                <w:lang w:val="en-GB"/>
              </w:rPr>
            </w:pPr>
            <w:r w:rsidRPr="000172FC">
              <w:rPr>
                <w:rFonts w:ascii="Arial" w:hAnsi="Arial" w:cs="Arial"/>
                <w:sz w:val="22"/>
                <w:szCs w:val="28"/>
              </w:rPr>
              <w:t>2024/0001034</w:t>
            </w:r>
          </w:p>
        </w:tc>
      </w:tr>
      <w:tr w:rsidR="00786706" w14:paraId="66BCD115" w14:textId="77777777" w:rsidTr="5BBAF632">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78076794" w:rsidR="00786706" w:rsidRPr="000F4C09" w:rsidRDefault="1651AE8E" w:rsidP="004922AF">
            <w:pPr>
              <w:spacing w:before="120" w:after="120"/>
              <w:rPr>
                <w:rFonts w:ascii="Arial" w:hAnsi="Arial" w:cs="Arial"/>
                <w:sz w:val="22"/>
                <w:lang w:val="en-GB"/>
              </w:rPr>
            </w:pPr>
            <w:r w:rsidRPr="5BBAF632">
              <w:rPr>
                <w:rFonts w:ascii="Arial" w:hAnsi="Arial" w:cs="Arial"/>
                <w:color w:val="000000" w:themeColor="text1"/>
                <w:sz w:val="22"/>
              </w:rPr>
              <w:t xml:space="preserve">To establish roles and responsibilities associated with ensuring that independent contractors (commonly known at Griffith as ‘consultants’) are engaged and retained lawfully </w:t>
            </w:r>
            <w:r w:rsidR="2AE66BBF" w:rsidRPr="5BBAF632">
              <w:rPr>
                <w:rFonts w:ascii="Arial" w:hAnsi="Arial" w:cs="Arial"/>
                <w:color w:val="000000" w:themeColor="text1"/>
                <w:sz w:val="22"/>
              </w:rPr>
              <w:t>by</w:t>
            </w:r>
            <w:r w:rsidRPr="5BBAF632">
              <w:rPr>
                <w:rFonts w:ascii="Arial" w:hAnsi="Arial" w:cs="Arial"/>
                <w:color w:val="000000" w:themeColor="text1"/>
                <w:sz w:val="22"/>
              </w:rPr>
              <w:t xml:space="preserve"> Griffith; including that all arrangements are genuine (ie. not sham contracting), that contractors are paid superannuation when legally entitled, and that the University meets relevant tax liabilities.</w:t>
            </w:r>
          </w:p>
        </w:tc>
      </w:tr>
      <w:tr w:rsidR="00786706" w14:paraId="625A2530" w14:textId="77777777" w:rsidTr="5BBAF632">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EDC317C" w:rsidR="00786706" w:rsidRPr="004922AF" w:rsidRDefault="000F4C09"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5BBAF632">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9C98778" w:rsidR="00786706" w:rsidRPr="004922AF" w:rsidRDefault="000F4C09"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5BBAF632">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1C564CEE" w:rsidR="007512F5" w:rsidRPr="004922AF" w:rsidRDefault="00210660" w:rsidP="004922AF">
                <w:pPr>
                  <w:spacing w:before="120" w:after="120"/>
                  <w:rPr>
                    <w:rFonts w:ascii="Arial" w:hAnsi="Arial" w:cs="Arial"/>
                    <w:sz w:val="22"/>
                    <w:szCs w:val="28"/>
                    <w:lang w:val="en-GB"/>
                  </w:rPr>
                </w:pPr>
                <w:r>
                  <w:rPr>
                    <w:rFonts w:ascii="Arial" w:hAnsi="Arial" w:cs="Arial"/>
                    <w:sz w:val="22"/>
                    <w:szCs w:val="28"/>
                    <w:lang w:val="en-GB"/>
                  </w:rPr>
                  <w:t>Staff</w:t>
                </w:r>
              </w:p>
            </w:sdtContent>
          </w:sdt>
        </w:tc>
      </w:tr>
      <w:tr w:rsidR="00A57044" w14:paraId="1DD394A7" w14:textId="77777777" w:rsidTr="5BBAF632">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3A2910C" w:rsidR="00067836" w:rsidRPr="004922AF" w:rsidRDefault="001C0BEF" w:rsidP="004922AF">
                <w:pPr>
                  <w:spacing w:before="120" w:after="120"/>
                  <w:rPr>
                    <w:rFonts w:ascii="Arial" w:hAnsi="Arial" w:cs="Arial"/>
                    <w:sz w:val="22"/>
                    <w:szCs w:val="28"/>
                  </w:rPr>
                </w:pPr>
                <w:r>
                  <w:rPr>
                    <w:rFonts w:ascii="Arial" w:hAnsi="Arial" w:cs="Arial"/>
                    <w:sz w:val="22"/>
                    <w:szCs w:val="28"/>
                  </w:rPr>
                  <w:t>8: Decent Work and Economic Growth</w:t>
                </w:r>
              </w:p>
            </w:sdtContent>
          </w:sdt>
        </w:tc>
      </w:tr>
      <w:tr w:rsidR="00786706" w14:paraId="72503509" w14:textId="77777777" w:rsidTr="5BBAF632">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16F6BA59" w:rsidR="00786706" w:rsidRPr="004922AF" w:rsidRDefault="00595C5E" w:rsidP="004922AF">
            <w:pPr>
              <w:spacing w:before="120" w:after="120"/>
              <w:rPr>
                <w:rFonts w:ascii="Arial" w:hAnsi="Arial" w:cs="Arial"/>
                <w:sz w:val="22"/>
                <w:szCs w:val="28"/>
              </w:rPr>
            </w:pPr>
            <w:r w:rsidRPr="00595C5E">
              <w:rPr>
                <w:rFonts w:ascii="Arial" w:hAnsi="Arial" w:cs="Arial"/>
                <w:sz w:val="22"/>
                <w:szCs w:val="28"/>
              </w:rPr>
              <w:t>13/12/2023</w:t>
            </w:r>
          </w:p>
        </w:tc>
      </w:tr>
      <w:tr w:rsidR="00786706" w14:paraId="2AB5E63B" w14:textId="77777777" w:rsidTr="5BBAF632">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282ABD71" w:rsidR="00786706" w:rsidRPr="00595C5E" w:rsidRDefault="00595C5E" w:rsidP="004922AF">
            <w:pPr>
              <w:spacing w:before="120" w:after="120"/>
              <w:rPr>
                <w:rFonts w:ascii="Arial" w:hAnsi="Arial" w:cs="Arial"/>
                <w:sz w:val="22"/>
                <w:szCs w:val="28"/>
              </w:rPr>
            </w:pPr>
            <w:r w:rsidRPr="00595C5E">
              <w:rPr>
                <w:rFonts w:ascii="Arial" w:hAnsi="Arial" w:cs="Arial"/>
                <w:sz w:val="22"/>
                <w:szCs w:val="28"/>
              </w:rPr>
              <w:t>13/12/2023</w:t>
            </w:r>
          </w:p>
        </w:tc>
      </w:tr>
      <w:tr w:rsidR="00786706" w14:paraId="6F3FFE23" w14:textId="77777777" w:rsidTr="5BBAF632">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31606C4E" w:rsidR="00786706" w:rsidRPr="00B2559F" w:rsidRDefault="00AA6F46" w:rsidP="004922A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5BBAF632">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60048B64" w:rsidR="00786706" w:rsidRPr="00F9496E" w:rsidRDefault="00F9496E" w:rsidP="004922AF">
            <w:pPr>
              <w:spacing w:before="120" w:after="120"/>
              <w:rPr>
                <w:rFonts w:ascii="Arial" w:hAnsi="Arial" w:cs="Arial"/>
                <w:sz w:val="22"/>
                <w:szCs w:val="28"/>
              </w:rPr>
            </w:pPr>
            <w:r w:rsidRPr="00F9496E">
              <w:rPr>
                <w:rFonts w:ascii="Arial" w:hAnsi="Arial" w:cs="Arial"/>
                <w:sz w:val="22"/>
                <w:szCs w:val="28"/>
              </w:rPr>
              <w:t>Head of Strategic Procurement and Supply</w:t>
            </w:r>
          </w:p>
        </w:tc>
      </w:tr>
      <w:tr w:rsidR="00786706" w14:paraId="49179DFF" w14:textId="77777777" w:rsidTr="5BBAF632">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7B3282B8" w:rsidR="00786706" w:rsidRPr="004922AF" w:rsidRDefault="00F9496E" w:rsidP="004922AF">
            <w:pPr>
              <w:spacing w:before="120" w:after="120"/>
              <w:rPr>
                <w:rFonts w:ascii="Arial" w:hAnsi="Arial" w:cs="Arial"/>
                <w:sz w:val="22"/>
                <w:szCs w:val="28"/>
              </w:rPr>
            </w:pPr>
            <w:r>
              <w:rPr>
                <w:rFonts w:ascii="Arial" w:hAnsi="Arial" w:cs="Arial"/>
                <w:sz w:val="22"/>
                <w:szCs w:val="28"/>
              </w:rPr>
              <w:t>Chief Operating Officer</w:t>
            </w:r>
          </w:p>
        </w:tc>
      </w:tr>
    </w:tbl>
    <w:p w14:paraId="07DD10BA" w14:textId="0FA127FA" w:rsidR="00811F90" w:rsidRDefault="00811F90">
      <w:pPr>
        <w:rPr>
          <w:rFonts w:ascii="Arial" w:hAnsi="Arial" w:cs="Arial"/>
          <w:sz w:val="20"/>
          <w:szCs w:val="20"/>
        </w:rPr>
      </w:pPr>
    </w:p>
    <w:p w14:paraId="605F990D" w14:textId="765A20FA" w:rsidR="00C22059" w:rsidRPr="00237AB3" w:rsidRDefault="00F75229" w:rsidP="00CA6AC5">
      <w:pPr>
        <w:pStyle w:val="Heading2"/>
        <w:rPr>
          <w:rFonts w:ascii="Griffith Sans Text" w:hAnsi="Griffith Sans Text"/>
        </w:rPr>
      </w:pPr>
      <w:bookmarkStart w:id="10" w:name="_7.0_Related_Policy"/>
      <w:bookmarkStart w:id="11" w:name="_6.0_Related_Policy"/>
      <w:bookmarkEnd w:id="10"/>
      <w:bookmarkEnd w:id="11"/>
      <w:r>
        <w:rPr>
          <w:rFonts w:ascii="Griffith Sans Text" w:hAnsi="Griffith Sans Text"/>
        </w:rPr>
        <w:t>7</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7EB78EBA" w14:textId="78F5A65A" w:rsidR="00926FB9" w:rsidRPr="00926FB9" w:rsidRDefault="000172FC" w:rsidP="00926FB9">
            <w:pPr>
              <w:spacing w:before="120" w:after="120"/>
              <w:rPr>
                <w:rFonts w:ascii="Arial" w:hAnsi="Arial" w:cs="Arial"/>
                <w:sz w:val="22"/>
                <w:szCs w:val="28"/>
              </w:rPr>
            </w:pPr>
            <w:hyperlink r:id="rId45" w:history="1">
              <w:r w:rsidR="00926FB9" w:rsidRPr="004915FF">
                <w:rPr>
                  <w:rStyle w:val="Hyperlink"/>
                  <w:rFonts w:ascii="Arial" w:hAnsi="Arial" w:cs="Arial"/>
                  <w:i/>
                  <w:iCs/>
                  <w:sz w:val="22"/>
                  <w:szCs w:val="28"/>
                </w:rPr>
                <w:t xml:space="preserve">Fair Work Act 2009 </w:t>
              </w:r>
              <w:r w:rsidR="00926FB9" w:rsidRPr="004915FF">
                <w:rPr>
                  <w:rStyle w:val="Hyperlink"/>
                  <w:rFonts w:ascii="Arial" w:hAnsi="Arial" w:cs="Arial"/>
                  <w:sz w:val="22"/>
                  <w:szCs w:val="28"/>
                </w:rPr>
                <w:t>(Cth)</w:t>
              </w:r>
            </w:hyperlink>
          </w:p>
          <w:p w14:paraId="62EB6BE2" w14:textId="793F19CC" w:rsidR="00926FB9" w:rsidRPr="00926FB9" w:rsidRDefault="000172FC" w:rsidP="00926FB9">
            <w:pPr>
              <w:spacing w:before="120" w:after="120"/>
              <w:rPr>
                <w:rFonts w:ascii="Arial" w:hAnsi="Arial" w:cs="Arial"/>
                <w:sz w:val="22"/>
                <w:szCs w:val="28"/>
              </w:rPr>
            </w:pPr>
            <w:hyperlink r:id="rId46" w:history="1">
              <w:r w:rsidR="00926FB9" w:rsidRPr="004915FF">
                <w:rPr>
                  <w:rStyle w:val="Hyperlink"/>
                  <w:rFonts w:ascii="Arial" w:hAnsi="Arial" w:cs="Arial"/>
                  <w:i/>
                  <w:iCs/>
                  <w:sz w:val="22"/>
                  <w:szCs w:val="28"/>
                </w:rPr>
                <w:t xml:space="preserve">Superannuation Guarantee (Administration) Act 1992 </w:t>
              </w:r>
              <w:r w:rsidR="00926FB9" w:rsidRPr="004915FF">
                <w:rPr>
                  <w:rStyle w:val="Hyperlink"/>
                  <w:rFonts w:ascii="Arial" w:hAnsi="Arial" w:cs="Arial"/>
                  <w:sz w:val="22"/>
                  <w:szCs w:val="28"/>
                </w:rPr>
                <w:t>(Cth)</w:t>
              </w:r>
            </w:hyperlink>
          </w:p>
          <w:p w14:paraId="7C969E21" w14:textId="0B99D51E" w:rsidR="00926FB9" w:rsidRPr="00926FB9" w:rsidRDefault="000172FC" w:rsidP="00926FB9">
            <w:pPr>
              <w:spacing w:before="120" w:after="120"/>
              <w:rPr>
                <w:rFonts w:ascii="Arial" w:hAnsi="Arial" w:cs="Arial"/>
                <w:sz w:val="22"/>
                <w:szCs w:val="28"/>
              </w:rPr>
            </w:pPr>
            <w:hyperlink r:id="rId47" w:history="1">
              <w:r w:rsidR="00926FB9" w:rsidRPr="004915FF">
                <w:rPr>
                  <w:rStyle w:val="Hyperlink"/>
                  <w:rFonts w:ascii="Arial" w:hAnsi="Arial" w:cs="Arial"/>
                  <w:i/>
                  <w:iCs/>
                  <w:sz w:val="22"/>
                  <w:szCs w:val="28"/>
                </w:rPr>
                <w:t xml:space="preserve">Payroll Tax Act 1971 </w:t>
              </w:r>
              <w:r w:rsidR="00926FB9" w:rsidRPr="004915FF">
                <w:rPr>
                  <w:rStyle w:val="Hyperlink"/>
                  <w:rFonts w:ascii="Arial" w:hAnsi="Arial" w:cs="Arial"/>
                  <w:sz w:val="22"/>
                  <w:szCs w:val="28"/>
                </w:rPr>
                <w:t xml:space="preserve">(Qld) </w:t>
              </w:r>
            </w:hyperlink>
          </w:p>
          <w:p w14:paraId="1D95EE8D" w14:textId="0CB3151C" w:rsidR="00746A0E" w:rsidRPr="004922AF" w:rsidRDefault="000172FC" w:rsidP="00926FB9">
            <w:pPr>
              <w:spacing w:before="120" w:after="120"/>
              <w:rPr>
                <w:rFonts w:ascii="Arial" w:hAnsi="Arial" w:cs="Arial"/>
                <w:sz w:val="22"/>
                <w:lang w:val="en-GB"/>
              </w:rPr>
            </w:pPr>
            <w:hyperlink r:id="rId48" w:history="1">
              <w:r w:rsidR="00926FB9" w:rsidRPr="004915FF">
                <w:rPr>
                  <w:rStyle w:val="Hyperlink"/>
                  <w:rFonts w:ascii="Arial" w:hAnsi="Arial" w:cs="Arial"/>
                  <w:i/>
                  <w:iCs/>
                  <w:sz w:val="22"/>
                  <w:szCs w:val="28"/>
                </w:rPr>
                <w:t xml:space="preserve">Labour Hire Licensing Act 2017 </w:t>
              </w:r>
              <w:r w:rsidR="00926FB9" w:rsidRPr="004915FF">
                <w:rPr>
                  <w:rStyle w:val="Hyperlink"/>
                  <w:rFonts w:ascii="Arial" w:hAnsi="Arial" w:cs="Arial"/>
                  <w:sz w:val="22"/>
                  <w:szCs w:val="28"/>
                </w:rPr>
                <w:t>(Qld)</w:t>
              </w:r>
            </w:hyperlink>
          </w:p>
        </w:tc>
      </w:tr>
      <w:tr w:rsidR="00746A0E" w:rsidRPr="004922AF" w14:paraId="13D635BA" w14:textId="77777777">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lastRenderedPageBreak/>
              <w:t>Policy</w:t>
            </w:r>
          </w:p>
        </w:tc>
        <w:tc>
          <w:tcPr>
            <w:tcW w:w="7147" w:type="dxa"/>
          </w:tcPr>
          <w:p w14:paraId="2CF57D6B" w14:textId="3ABAD6BD" w:rsidR="00C8217D" w:rsidRPr="00C8217D" w:rsidRDefault="000172FC" w:rsidP="00C8217D">
            <w:pPr>
              <w:spacing w:before="120" w:after="120"/>
              <w:rPr>
                <w:rFonts w:ascii="Arial" w:hAnsi="Arial" w:cs="Arial"/>
                <w:sz w:val="22"/>
                <w:szCs w:val="28"/>
              </w:rPr>
            </w:pPr>
            <w:hyperlink r:id="rId49" w:history="1">
              <w:r w:rsidR="00C8217D" w:rsidRPr="004915FF">
                <w:rPr>
                  <w:rStyle w:val="Hyperlink"/>
                  <w:rFonts w:ascii="Arial" w:hAnsi="Arial" w:cs="Arial"/>
                  <w:sz w:val="22"/>
                  <w:szCs w:val="28"/>
                </w:rPr>
                <w:t>Procurement and Supply Policy</w:t>
              </w:r>
            </w:hyperlink>
          </w:p>
          <w:p w14:paraId="7A1507B9" w14:textId="282D1642" w:rsidR="00746A0E" w:rsidRPr="004922AF" w:rsidRDefault="000172FC" w:rsidP="00C8217D">
            <w:pPr>
              <w:spacing w:before="120" w:after="120"/>
              <w:rPr>
                <w:rFonts w:ascii="Arial" w:hAnsi="Arial" w:cs="Arial"/>
                <w:sz w:val="22"/>
                <w:lang w:val="en-GB"/>
              </w:rPr>
            </w:pPr>
            <w:hyperlink r:id="rId50" w:history="1">
              <w:r w:rsidR="00C8217D" w:rsidRPr="004915FF">
                <w:rPr>
                  <w:rStyle w:val="Hyperlink"/>
                  <w:rFonts w:ascii="Arial" w:hAnsi="Arial" w:cs="Arial"/>
                  <w:sz w:val="22"/>
                  <w:szCs w:val="28"/>
                </w:rPr>
                <w:t>Legislative Compliance Policy</w:t>
              </w:r>
            </w:hyperlink>
          </w:p>
        </w:tc>
      </w:tr>
      <w:tr w:rsidR="00746A0E" w:rsidRPr="004922AF" w14:paraId="55329BCC" w14:textId="77777777">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5E121717" w14:textId="77777777" w:rsidR="001613EA" w:rsidRPr="001613EA" w:rsidRDefault="000172FC" w:rsidP="001613EA">
            <w:pPr>
              <w:spacing w:before="120" w:after="120"/>
              <w:rPr>
                <w:rFonts w:ascii="Arial" w:hAnsi="Arial" w:cs="Arial"/>
                <w:sz w:val="22"/>
                <w:szCs w:val="24"/>
              </w:rPr>
            </w:pPr>
            <w:hyperlink r:id="rId51" w:history="1">
              <w:r w:rsidR="001613EA" w:rsidRPr="001613EA">
                <w:rPr>
                  <w:rStyle w:val="Hyperlink"/>
                  <w:rFonts w:ascii="Arial" w:hAnsi="Arial" w:cs="Arial"/>
                  <w:sz w:val="22"/>
                  <w:szCs w:val="24"/>
                </w:rPr>
                <w:t>Below $450,000 (exc. GST) and Very Low to Medium Risk Sourcing Guidelines</w:t>
              </w:r>
            </w:hyperlink>
          </w:p>
          <w:p w14:paraId="770CC3D0" w14:textId="77777777" w:rsidR="001613EA" w:rsidRPr="001613EA" w:rsidRDefault="000172FC" w:rsidP="001613EA">
            <w:pPr>
              <w:spacing w:before="120" w:after="120"/>
              <w:rPr>
                <w:rFonts w:ascii="Arial" w:hAnsi="Arial" w:cs="Arial"/>
                <w:sz w:val="22"/>
                <w:szCs w:val="24"/>
              </w:rPr>
            </w:pPr>
            <w:hyperlink r:id="rId52" w:history="1">
              <w:r w:rsidR="001613EA" w:rsidRPr="001613EA">
                <w:rPr>
                  <w:rStyle w:val="Hyperlink"/>
                  <w:rFonts w:ascii="Arial" w:hAnsi="Arial" w:cs="Arial"/>
                  <w:sz w:val="22"/>
                  <w:szCs w:val="24"/>
                </w:rPr>
                <w:t>Strategic Sourcing Guidelines</w:t>
              </w:r>
            </w:hyperlink>
          </w:p>
          <w:p w14:paraId="4302959E" w14:textId="3FC1096F" w:rsidR="00746A0E" w:rsidRPr="004922AF" w:rsidRDefault="000172FC" w:rsidP="001613EA">
            <w:pPr>
              <w:spacing w:before="120" w:after="120"/>
              <w:rPr>
                <w:rFonts w:ascii="Arial" w:hAnsi="Arial" w:cs="Arial"/>
                <w:sz w:val="22"/>
                <w:lang w:val="en-GB"/>
              </w:rPr>
            </w:pPr>
            <w:hyperlink r:id="rId53" w:history="1">
              <w:r w:rsidR="001613EA" w:rsidRPr="001613EA">
                <w:rPr>
                  <w:rStyle w:val="Hyperlink"/>
                  <w:rFonts w:ascii="Arial" w:hAnsi="Arial" w:cs="Arial"/>
                  <w:sz w:val="22"/>
                  <w:szCs w:val="24"/>
                </w:rPr>
                <w:t>Contract Management Guidelines</w:t>
              </w:r>
            </w:hyperlink>
          </w:p>
        </w:tc>
      </w:tr>
      <w:tr w:rsidR="00746A0E" w:rsidRPr="004922AF" w14:paraId="76652B21" w14:textId="77777777">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6B7DA9B9" w:rsidR="00746A0E" w:rsidRPr="004922AF" w:rsidRDefault="001613EA" w:rsidP="004922AF">
            <w:pPr>
              <w:spacing w:before="120" w:after="120"/>
              <w:rPr>
                <w:rFonts w:ascii="Arial" w:hAnsi="Arial" w:cs="Arial"/>
                <w:sz w:val="22"/>
              </w:rPr>
            </w:pPr>
            <w:r>
              <w:rPr>
                <w:rFonts w:ascii="Arial" w:hAnsi="Arial" w:cs="Arial"/>
                <w:sz w:val="22"/>
              </w:rPr>
              <w:t>N/A</w:t>
            </w:r>
          </w:p>
        </w:tc>
      </w:tr>
      <w:tr w:rsidR="00746A0E" w:rsidRPr="004922AF" w14:paraId="5AB64C6F" w14:textId="77777777">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0C40AE49" w:rsidR="00746A0E" w:rsidRPr="00FC59DD" w:rsidRDefault="000172FC" w:rsidP="004922AF">
            <w:pPr>
              <w:spacing w:before="120" w:after="120"/>
              <w:rPr>
                <w:rFonts w:ascii="Arial" w:hAnsi="Arial" w:cs="Arial"/>
                <w:sz w:val="22"/>
                <w:szCs w:val="28"/>
              </w:rPr>
            </w:pPr>
            <w:hyperlink r:id="rId54" w:history="1">
              <w:r w:rsidR="00695412" w:rsidRPr="00695412">
                <w:rPr>
                  <w:rStyle w:val="Hyperlink"/>
                  <w:rFonts w:ascii="Arial" w:hAnsi="Arial" w:cs="Arial"/>
                  <w:sz w:val="22"/>
                  <w:szCs w:val="28"/>
                </w:rPr>
                <w:t>Sham Contractor Factsheet and Genuine Contractor Checklist</w:t>
              </w:r>
            </w:hyperlink>
          </w:p>
        </w:tc>
      </w:tr>
    </w:tbl>
    <w:p w14:paraId="6BA7652E" w14:textId="26761596" w:rsidR="00A15D12" w:rsidRPr="004922AF" w:rsidRDefault="00A15D12" w:rsidP="004922AF">
      <w:pPr>
        <w:rPr>
          <w:rFonts w:ascii="Arial" w:hAnsi="Arial" w:cs="Arial"/>
          <w:sz w:val="22"/>
        </w:rPr>
      </w:pPr>
    </w:p>
    <w:sectPr w:rsidR="00A15D12" w:rsidRPr="004922AF" w:rsidSect="004645F5">
      <w:headerReference w:type="default" r:id="rId55"/>
      <w:footerReference w:type="even" r:id="rId56"/>
      <w:footerReference w:type="default" r:id="rId57"/>
      <w:headerReference w:type="first" r:id="rId58"/>
      <w:footerReference w:type="first" r:id="rId5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CC06" w14:textId="77777777" w:rsidR="004645F5" w:rsidRDefault="004645F5" w:rsidP="00575CC3">
      <w:pPr>
        <w:spacing w:after="0" w:line="240" w:lineRule="auto"/>
      </w:pPr>
      <w:r>
        <w:separator/>
      </w:r>
    </w:p>
  </w:endnote>
  <w:endnote w:type="continuationSeparator" w:id="0">
    <w:p w14:paraId="78012F9B" w14:textId="77777777" w:rsidR="004645F5" w:rsidRDefault="004645F5" w:rsidP="00575CC3">
      <w:pPr>
        <w:spacing w:after="0" w:line="240" w:lineRule="auto"/>
      </w:pPr>
      <w:r>
        <w:continuationSeparator/>
      </w:r>
    </w:p>
  </w:endnote>
  <w:endnote w:type="continuationNotice" w:id="1">
    <w:p w14:paraId="02AE7EF2" w14:textId="77777777" w:rsidR="004645F5" w:rsidRDefault="00464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charset w:val="00"/>
    <w:family w:val="auto"/>
    <w:pitch w:val="variable"/>
    <w:sig w:usb0="00000003" w:usb1="00000000" w:usb2="00000000" w:usb3="00000000" w:csb0="00000001" w:csb1="00000000"/>
  </w:font>
  <w:font w:name="Jotia">
    <w:altName w:val="Calibri"/>
    <w:panose1 w:val="00000000000000000000"/>
    <w:charset w:val="00"/>
    <w:family w:val="modern"/>
    <w:notTrueType/>
    <w:pitch w:val="variable"/>
    <w:sig w:usb0="00000007" w:usb1="00000000" w:usb2="00000000" w:usb3="00000000" w:csb0="00000093" w:csb1="00000000"/>
  </w:font>
  <w:font w:name="Foundry Sterling Book">
    <w:altName w:val="Calibri"/>
    <w:panose1 w:val="00000000000000000000"/>
    <w:charset w:val="00"/>
    <w:family w:val="moder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6EE2814" w:rsidR="00830B58" w:rsidRDefault="00586AA2" w:rsidP="00830B58">
    <w:pPr>
      <w:spacing w:after="0" w:line="240" w:lineRule="auto"/>
      <w:jc w:val="right"/>
      <w:rPr>
        <w:rFonts w:asciiTheme="minorHAnsi" w:hAnsiTheme="minorHAnsi" w:cstheme="minorHAnsi"/>
        <w:color w:val="70787B"/>
        <w:sz w:val="15"/>
        <w:szCs w:val="15"/>
      </w:rPr>
    </w:pPr>
    <w:r w:rsidRPr="00104765">
      <w:rPr>
        <w:rFonts w:asciiTheme="minorHAnsi" w:hAnsiTheme="minorHAnsi" w:cstheme="minorHAnsi"/>
        <w:color w:val="70787B"/>
        <w:sz w:val="15"/>
        <w:szCs w:val="15"/>
      </w:rPr>
      <w:t>Engaging Contractors and Consultants</w:t>
    </w:r>
    <w:r w:rsidR="002C42C2">
      <w:rPr>
        <w:rFonts w:asciiTheme="minorHAnsi" w:hAnsiTheme="minorHAnsi" w:cstheme="minorHAnsi"/>
        <w:color w:val="70787B"/>
        <w:sz w:val="15"/>
        <w:szCs w:val="15"/>
      </w:rPr>
      <w:t xml:space="preserve"> Procedure</w:t>
    </w:r>
    <w:r w:rsidRPr="00104765" w:rsidDel="00586AA2">
      <w:rPr>
        <w:rFonts w:asciiTheme="minorHAnsi" w:hAnsiTheme="minorHAnsi" w:cstheme="minorHAnsi"/>
        <w:color w:val="70787B"/>
        <w:sz w:val="15"/>
        <w:szCs w:val="15"/>
      </w:rPr>
      <w:t xml:space="preserve"> </w:t>
    </w:r>
    <w:r w:rsidR="00830B58" w:rsidRPr="00104765">
      <w:rPr>
        <w:rFonts w:asciiTheme="minorHAnsi" w:hAnsiTheme="minorHAnsi" w:cstheme="minorHAnsi"/>
        <w:color w:val="70787B"/>
        <w:sz w:val="15"/>
        <w:szCs w:val="15"/>
      </w:rPr>
      <w:t>|</w:t>
    </w:r>
    <w:r w:rsidR="000172FC">
      <w:rPr>
        <w:rFonts w:asciiTheme="minorHAnsi" w:hAnsiTheme="minorHAnsi" w:cstheme="minorHAnsi"/>
        <w:color w:val="70787B"/>
        <w:sz w:val="15"/>
        <w:szCs w:val="15"/>
      </w:rPr>
      <w:t>March 2024</w:t>
    </w:r>
  </w:p>
  <w:p w14:paraId="0624DEBB" w14:textId="77777777" w:rsidR="000152B4"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0152B4" w:rsidRPr="000152B4">
      <w:rPr>
        <w:rFonts w:asciiTheme="minorHAnsi" w:hAnsiTheme="minorHAnsi" w:cstheme="minorHAnsi"/>
        <w:color w:val="70787B"/>
        <w:sz w:val="15"/>
        <w:szCs w:val="15"/>
      </w:rPr>
      <w:t>2024/0001034</w:t>
    </w:r>
  </w:p>
  <w:p w14:paraId="2E3A5653" w14:textId="040D1D2C"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7F4" w14:textId="394BBFA5" w:rsidR="00E77B43" w:rsidRDefault="00586AA2" w:rsidP="00E77B43">
    <w:pPr>
      <w:spacing w:after="0" w:line="240" w:lineRule="auto"/>
      <w:jc w:val="right"/>
      <w:rPr>
        <w:rFonts w:asciiTheme="minorHAnsi" w:hAnsiTheme="minorHAnsi" w:cstheme="minorHAnsi"/>
        <w:color w:val="70787B"/>
        <w:sz w:val="15"/>
        <w:szCs w:val="15"/>
      </w:rPr>
    </w:pPr>
    <w:r w:rsidRPr="00104765">
      <w:rPr>
        <w:rFonts w:asciiTheme="minorHAnsi" w:hAnsiTheme="minorHAnsi" w:cstheme="minorHAnsi"/>
        <w:color w:val="70787B"/>
        <w:sz w:val="15"/>
        <w:szCs w:val="15"/>
      </w:rPr>
      <w:t>Engaging Contractors and Consultants</w:t>
    </w:r>
    <w:r w:rsidR="002C42C2">
      <w:rPr>
        <w:rFonts w:asciiTheme="minorHAnsi" w:hAnsiTheme="minorHAnsi" w:cstheme="minorHAnsi"/>
        <w:color w:val="70787B"/>
        <w:sz w:val="15"/>
        <w:szCs w:val="15"/>
      </w:rPr>
      <w:t xml:space="preserve"> Procedure </w:t>
    </w:r>
    <w:r w:rsidR="00E77B43" w:rsidRPr="00104765">
      <w:rPr>
        <w:rFonts w:asciiTheme="minorHAnsi" w:hAnsiTheme="minorHAnsi" w:cstheme="minorHAnsi"/>
        <w:color w:val="70787B"/>
        <w:sz w:val="15"/>
        <w:szCs w:val="15"/>
      </w:rPr>
      <w:t xml:space="preserve">| </w:t>
    </w:r>
    <w:r w:rsidR="000172FC">
      <w:rPr>
        <w:rFonts w:asciiTheme="minorHAnsi" w:hAnsiTheme="minorHAnsi" w:cstheme="minorHAnsi"/>
        <w:color w:val="70787B"/>
        <w:sz w:val="15"/>
        <w:szCs w:val="15"/>
      </w:rPr>
      <w:t>March 2024</w:t>
    </w:r>
    <w:r w:rsidR="00E77B43" w:rsidRPr="000209B9">
      <w:rPr>
        <w:rFonts w:asciiTheme="minorHAnsi" w:hAnsiTheme="minorHAnsi" w:cstheme="minorHAnsi"/>
        <w:color w:val="70787B"/>
        <w:sz w:val="15"/>
        <w:szCs w:val="15"/>
      </w:rPr>
      <w:t xml:space="preserve"> </w:t>
    </w:r>
  </w:p>
  <w:p w14:paraId="69EED422" w14:textId="764EF9C1"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0152B4" w:rsidRPr="000152B4">
      <w:rPr>
        <w:rFonts w:asciiTheme="minorHAnsi" w:hAnsiTheme="minorHAnsi" w:cstheme="minorHAnsi"/>
        <w:color w:val="70787B"/>
        <w:sz w:val="15"/>
        <w:szCs w:val="15"/>
      </w:rPr>
      <w:t>2024/0001034</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9CCA26"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B6C3" w14:textId="77777777" w:rsidR="004645F5" w:rsidRDefault="004645F5" w:rsidP="00575CC3">
      <w:pPr>
        <w:spacing w:after="0" w:line="240" w:lineRule="auto"/>
      </w:pPr>
      <w:r>
        <w:separator/>
      </w:r>
    </w:p>
  </w:footnote>
  <w:footnote w:type="continuationSeparator" w:id="0">
    <w:p w14:paraId="073C34A5" w14:textId="77777777" w:rsidR="004645F5" w:rsidRDefault="004645F5" w:rsidP="00575CC3">
      <w:pPr>
        <w:spacing w:after="0" w:line="240" w:lineRule="auto"/>
      </w:pPr>
      <w:r>
        <w:continuationSeparator/>
      </w:r>
    </w:p>
  </w:footnote>
  <w:footnote w:type="continuationNotice" w:id="1">
    <w:p w14:paraId="7463B255" w14:textId="77777777" w:rsidR="004645F5" w:rsidRDefault="004645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D519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579C6"/>
    <w:multiLevelType w:val="hybridMultilevel"/>
    <w:tmpl w:val="E76A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8841D1"/>
    <w:multiLevelType w:val="hybridMultilevel"/>
    <w:tmpl w:val="77F8CF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8E6DB8"/>
    <w:multiLevelType w:val="multilevel"/>
    <w:tmpl w:val="D45A1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2C607A6"/>
    <w:multiLevelType w:val="multilevel"/>
    <w:tmpl w:val="1E446AE2"/>
    <w:lvl w:ilvl="0">
      <w:start w:val="1"/>
      <w:numFmt w:val="decimal"/>
      <w:lvlText w:val="%1.0"/>
      <w:lvlJc w:val="left"/>
      <w:pPr>
        <w:ind w:left="520" w:hanging="520"/>
      </w:pPr>
      <w:rPr>
        <w:rFonts w:hint="default"/>
      </w:rPr>
    </w:lvl>
    <w:lvl w:ilvl="1">
      <w:start w:val="1"/>
      <w:numFmt w:val="decimal"/>
      <w:lvlText w:val="%1.%2"/>
      <w:lvlJc w:val="left"/>
      <w:pPr>
        <w:ind w:left="1240" w:hanging="5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1850C1"/>
    <w:multiLevelType w:val="multilevel"/>
    <w:tmpl w:val="6374D4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CF245A"/>
    <w:multiLevelType w:val="multilevel"/>
    <w:tmpl w:val="A9D25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734380"/>
    <w:multiLevelType w:val="hybridMultilevel"/>
    <w:tmpl w:val="568475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7336957"/>
    <w:multiLevelType w:val="hybridMultilevel"/>
    <w:tmpl w:val="EEDCEFB6"/>
    <w:lvl w:ilvl="0" w:tplc="7A2C7194">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A339BB"/>
    <w:multiLevelType w:val="multilevel"/>
    <w:tmpl w:val="FA24D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766003FB"/>
    <w:multiLevelType w:val="multilevel"/>
    <w:tmpl w:val="A9E2D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0"/>
  </w:num>
  <w:num w:numId="2" w16cid:durableId="396825147">
    <w:abstractNumId w:val="45"/>
  </w:num>
  <w:num w:numId="3" w16cid:durableId="1304701530">
    <w:abstractNumId w:val="37"/>
  </w:num>
  <w:num w:numId="4" w16cid:durableId="352269857">
    <w:abstractNumId w:val="31"/>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8"/>
  </w:num>
  <w:num w:numId="19" w16cid:durableId="1511336397">
    <w:abstractNumId w:val="38"/>
  </w:num>
  <w:num w:numId="20" w16cid:durableId="1666785443">
    <w:abstractNumId w:val="12"/>
  </w:num>
  <w:num w:numId="21" w16cid:durableId="1708486012">
    <w:abstractNumId w:val="29"/>
  </w:num>
  <w:num w:numId="22" w16cid:durableId="831220188">
    <w:abstractNumId w:val="25"/>
  </w:num>
  <w:num w:numId="23" w16cid:durableId="1621642287">
    <w:abstractNumId w:val="26"/>
  </w:num>
  <w:num w:numId="24" w16cid:durableId="1833176348">
    <w:abstractNumId w:val="33"/>
  </w:num>
  <w:num w:numId="25" w16cid:durableId="1126041565">
    <w:abstractNumId w:val="36"/>
  </w:num>
  <w:num w:numId="26" w16cid:durableId="1098252483">
    <w:abstractNumId w:val="20"/>
  </w:num>
  <w:num w:numId="27" w16cid:durableId="1930380739">
    <w:abstractNumId w:val="14"/>
  </w:num>
  <w:num w:numId="28" w16cid:durableId="871302621">
    <w:abstractNumId w:val="15"/>
  </w:num>
  <w:num w:numId="29" w16cid:durableId="991954021">
    <w:abstractNumId w:val="44"/>
  </w:num>
  <w:num w:numId="30" w16cid:durableId="218833091">
    <w:abstractNumId w:val="16"/>
  </w:num>
  <w:num w:numId="31" w16cid:durableId="66726597">
    <w:abstractNumId w:val="35"/>
  </w:num>
  <w:num w:numId="32" w16cid:durableId="1786579993">
    <w:abstractNumId w:val="42"/>
  </w:num>
  <w:num w:numId="33" w16cid:durableId="1071662295">
    <w:abstractNumId w:val="23"/>
  </w:num>
  <w:num w:numId="34" w16cid:durableId="944117931">
    <w:abstractNumId w:val="21"/>
  </w:num>
  <w:num w:numId="35" w16cid:durableId="754860717">
    <w:abstractNumId w:val="19"/>
  </w:num>
  <w:num w:numId="36" w16cid:durableId="177352507">
    <w:abstractNumId w:val="24"/>
  </w:num>
  <w:num w:numId="37" w16cid:durableId="1822883866">
    <w:abstractNumId w:val="27"/>
  </w:num>
  <w:num w:numId="38" w16cid:durableId="1031416800">
    <w:abstractNumId w:val="39"/>
  </w:num>
  <w:num w:numId="39" w16cid:durableId="170801286">
    <w:abstractNumId w:val="13"/>
  </w:num>
  <w:num w:numId="40" w16cid:durableId="899829732">
    <w:abstractNumId w:val="32"/>
  </w:num>
  <w:num w:numId="41" w16cid:durableId="1985968141">
    <w:abstractNumId w:val="34"/>
  </w:num>
  <w:num w:numId="42" w16cid:durableId="929655901">
    <w:abstractNumId w:val="22"/>
  </w:num>
  <w:num w:numId="43" w16cid:durableId="1974821301">
    <w:abstractNumId w:val="43"/>
  </w:num>
  <w:num w:numId="44" w16cid:durableId="1704554464">
    <w:abstractNumId w:val="41"/>
  </w:num>
  <w:num w:numId="45" w16cid:durableId="870798460">
    <w:abstractNumId w:val="40"/>
  </w:num>
  <w:num w:numId="46" w16cid:durableId="1990861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580F"/>
    <w:rsid w:val="00007360"/>
    <w:rsid w:val="000152B4"/>
    <w:rsid w:val="000153AC"/>
    <w:rsid w:val="0001659D"/>
    <w:rsid w:val="000172FC"/>
    <w:rsid w:val="00022912"/>
    <w:rsid w:val="00032791"/>
    <w:rsid w:val="00034496"/>
    <w:rsid w:val="00040160"/>
    <w:rsid w:val="000436F4"/>
    <w:rsid w:val="00047EA7"/>
    <w:rsid w:val="000500DE"/>
    <w:rsid w:val="00052590"/>
    <w:rsid w:val="0006063C"/>
    <w:rsid w:val="0006473D"/>
    <w:rsid w:val="000652A0"/>
    <w:rsid w:val="0006742C"/>
    <w:rsid w:val="00067836"/>
    <w:rsid w:val="000728E0"/>
    <w:rsid w:val="000760A1"/>
    <w:rsid w:val="000772D5"/>
    <w:rsid w:val="00083FFC"/>
    <w:rsid w:val="00091E5E"/>
    <w:rsid w:val="000A0887"/>
    <w:rsid w:val="000A2387"/>
    <w:rsid w:val="000A463D"/>
    <w:rsid w:val="000B17D8"/>
    <w:rsid w:val="000B192C"/>
    <w:rsid w:val="000B71D9"/>
    <w:rsid w:val="000C0E96"/>
    <w:rsid w:val="000C2DEC"/>
    <w:rsid w:val="000C309D"/>
    <w:rsid w:val="000C57B7"/>
    <w:rsid w:val="000C7000"/>
    <w:rsid w:val="000D2ABD"/>
    <w:rsid w:val="000D3246"/>
    <w:rsid w:val="000D3B39"/>
    <w:rsid w:val="000D7972"/>
    <w:rsid w:val="000E01AE"/>
    <w:rsid w:val="000E7C69"/>
    <w:rsid w:val="000F1CE9"/>
    <w:rsid w:val="000F4C09"/>
    <w:rsid w:val="000F5EB6"/>
    <w:rsid w:val="00103826"/>
    <w:rsid w:val="00104765"/>
    <w:rsid w:val="00104FF2"/>
    <w:rsid w:val="0012451E"/>
    <w:rsid w:val="001520D3"/>
    <w:rsid w:val="00154994"/>
    <w:rsid w:val="001613EA"/>
    <w:rsid w:val="00162912"/>
    <w:rsid w:val="0016404C"/>
    <w:rsid w:val="00164E41"/>
    <w:rsid w:val="0016609B"/>
    <w:rsid w:val="00166A30"/>
    <w:rsid w:val="001730CA"/>
    <w:rsid w:val="00175B5D"/>
    <w:rsid w:val="001800F9"/>
    <w:rsid w:val="001868B0"/>
    <w:rsid w:val="001968C3"/>
    <w:rsid w:val="001A124A"/>
    <w:rsid w:val="001A5768"/>
    <w:rsid w:val="001A64A0"/>
    <w:rsid w:val="001B2E07"/>
    <w:rsid w:val="001C0BEF"/>
    <w:rsid w:val="001E1ED9"/>
    <w:rsid w:val="001F271E"/>
    <w:rsid w:val="001F2B57"/>
    <w:rsid w:val="001F636F"/>
    <w:rsid w:val="001F6877"/>
    <w:rsid w:val="00201B8F"/>
    <w:rsid w:val="002045FE"/>
    <w:rsid w:val="00206E4C"/>
    <w:rsid w:val="00207FC2"/>
    <w:rsid w:val="00210660"/>
    <w:rsid w:val="00221E52"/>
    <w:rsid w:val="00221FEC"/>
    <w:rsid w:val="002230BA"/>
    <w:rsid w:val="00224FCC"/>
    <w:rsid w:val="002257C2"/>
    <w:rsid w:val="00225E04"/>
    <w:rsid w:val="00237AB3"/>
    <w:rsid w:val="002439DB"/>
    <w:rsid w:val="00254C07"/>
    <w:rsid w:val="00256932"/>
    <w:rsid w:val="00257D7C"/>
    <w:rsid w:val="00261945"/>
    <w:rsid w:val="002622A9"/>
    <w:rsid w:val="002665AF"/>
    <w:rsid w:val="00267CCA"/>
    <w:rsid w:val="00274580"/>
    <w:rsid w:val="00286F0B"/>
    <w:rsid w:val="00291234"/>
    <w:rsid w:val="002936D5"/>
    <w:rsid w:val="00297755"/>
    <w:rsid w:val="002A3E0E"/>
    <w:rsid w:val="002B23F9"/>
    <w:rsid w:val="002B29ED"/>
    <w:rsid w:val="002B2DAF"/>
    <w:rsid w:val="002B35C9"/>
    <w:rsid w:val="002B6908"/>
    <w:rsid w:val="002C1FB6"/>
    <w:rsid w:val="002C4132"/>
    <w:rsid w:val="002C42C2"/>
    <w:rsid w:val="002C7099"/>
    <w:rsid w:val="002D233F"/>
    <w:rsid w:val="002E6FC9"/>
    <w:rsid w:val="002F0131"/>
    <w:rsid w:val="002F054C"/>
    <w:rsid w:val="002F186F"/>
    <w:rsid w:val="002F3C8B"/>
    <w:rsid w:val="00307EFF"/>
    <w:rsid w:val="0031180B"/>
    <w:rsid w:val="0031333E"/>
    <w:rsid w:val="00321DE7"/>
    <w:rsid w:val="00323B15"/>
    <w:rsid w:val="00330E67"/>
    <w:rsid w:val="00331CA2"/>
    <w:rsid w:val="00334090"/>
    <w:rsid w:val="00334878"/>
    <w:rsid w:val="00334B56"/>
    <w:rsid w:val="00343D34"/>
    <w:rsid w:val="00351A44"/>
    <w:rsid w:val="0035677A"/>
    <w:rsid w:val="00360D4B"/>
    <w:rsid w:val="003654D8"/>
    <w:rsid w:val="00372C63"/>
    <w:rsid w:val="003819A2"/>
    <w:rsid w:val="00395AD8"/>
    <w:rsid w:val="003B4047"/>
    <w:rsid w:val="003B5A4D"/>
    <w:rsid w:val="003C62E9"/>
    <w:rsid w:val="003E09ED"/>
    <w:rsid w:val="003F4F58"/>
    <w:rsid w:val="003F7778"/>
    <w:rsid w:val="0040296F"/>
    <w:rsid w:val="00410ED5"/>
    <w:rsid w:val="004344DE"/>
    <w:rsid w:val="00434DB7"/>
    <w:rsid w:val="00441285"/>
    <w:rsid w:val="004415C7"/>
    <w:rsid w:val="00443A83"/>
    <w:rsid w:val="004465C6"/>
    <w:rsid w:val="00456A0E"/>
    <w:rsid w:val="004645F5"/>
    <w:rsid w:val="0046665F"/>
    <w:rsid w:val="00466DD2"/>
    <w:rsid w:val="00481C9C"/>
    <w:rsid w:val="00482467"/>
    <w:rsid w:val="0048248F"/>
    <w:rsid w:val="00484C1B"/>
    <w:rsid w:val="004915FF"/>
    <w:rsid w:val="004922AF"/>
    <w:rsid w:val="004938FA"/>
    <w:rsid w:val="00493EC2"/>
    <w:rsid w:val="00496A60"/>
    <w:rsid w:val="004A1751"/>
    <w:rsid w:val="004A47E1"/>
    <w:rsid w:val="004B2C98"/>
    <w:rsid w:val="004B784E"/>
    <w:rsid w:val="004C69B3"/>
    <w:rsid w:val="004C75C6"/>
    <w:rsid w:val="004D24FC"/>
    <w:rsid w:val="004D5E3C"/>
    <w:rsid w:val="004E19A6"/>
    <w:rsid w:val="004E2168"/>
    <w:rsid w:val="004E2335"/>
    <w:rsid w:val="004E594B"/>
    <w:rsid w:val="004E7EF9"/>
    <w:rsid w:val="004F0F20"/>
    <w:rsid w:val="0050449E"/>
    <w:rsid w:val="005051B1"/>
    <w:rsid w:val="00511F50"/>
    <w:rsid w:val="005224CD"/>
    <w:rsid w:val="00522BA9"/>
    <w:rsid w:val="005266F2"/>
    <w:rsid w:val="00541A95"/>
    <w:rsid w:val="00552F80"/>
    <w:rsid w:val="00553466"/>
    <w:rsid w:val="005554CF"/>
    <w:rsid w:val="005572C3"/>
    <w:rsid w:val="00557648"/>
    <w:rsid w:val="005632E8"/>
    <w:rsid w:val="00564540"/>
    <w:rsid w:val="0056680F"/>
    <w:rsid w:val="00566B88"/>
    <w:rsid w:val="00573B23"/>
    <w:rsid w:val="005746E7"/>
    <w:rsid w:val="00575CC3"/>
    <w:rsid w:val="00584AE9"/>
    <w:rsid w:val="00586AA2"/>
    <w:rsid w:val="005926AC"/>
    <w:rsid w:val="0059325A"/>
    <w:rsid w:val="00593F30"/>
    <w:rsid w:val="00595C5E"/>
    <w:rsid w:val="005B1942"/>
    <w:rsid w:val="005B556F"/>
    <w:rsid w:val="005B6220"/>
    <w:rsid w:val="005C3E98"/>
    <w:rsid w:val="005C6E5E"/>
    <w:rsid w:val="005D08AF"/>
    <w:rsid w:val="005D1898"/>
    <w:rsid w:val="005D7EA1"/>
    <w:rsid w:val="005E3849"/>
    <w:rsid w:val="005E4052"/>
    <w:rsid w:val="005F014A"/>
    <w:rsid w:val="005F2643"/>
    <w:rsid w:val="00607EAD"/>
    <w:rsid w:val="0061147C"/>
    <w:rsid w:val="00613014"/>
    <w:rsid w:val="0063294F"/>
    <w:rsid w:val="006467E3"/>
    <w:rsid w:val="006519D0"/>
    <w:rsid w:val="00654CFD"/>
    <w:rsid w:val="0065502D"/>
    <w:rsid w:val="006849DF"/>
    <w:rsid w:val="00695412"/>
    <w:rsid w:val="006A0D50"/>
    <w:rsid w:val="006A16D3"/>
    <w:rsid w:val="006A33BE"/>
    <w:rsid w:val="006A5781"/>
    <w:rsid w:val="006B61C2"/>
    <w:rsid w:val="006C42D8"/>
    <w:rsid w:val="006C594F"/>
    <w:rsid w:val="006C6B15"/>
    <w:rsid w:val="006D1462"/>
    <w:rsid w:val="006E18F3"/>
    <w:rsid w:val="006E7342"/>
    <w:rsid w:val="006E7AE3"/>
    <w:rsid w:val="006F4243"/>
    <w:rsid w:val="006F4576"/>
    <w:rsid w:val="006F4919"/>
    <w:rsid w:val="006F755A"/>
    <w:rsid w:val="0070341D"/>
    <w:rsid w:val="00703460"/>
    <w:rsid w:val="007066FB"/>
    <w:rsid w:val="00716737"/>
    <w:rsid w:val="007225FE"/>
    <w:rsid w:val="00724189"/>
    <w:rsid w:val="00732202"/>
    <w:rsid w:val="00732B6F"/>
    <w:rsid w:val="00734916"/>
    <w:rsid w:val="00736216"/>
    <w:rsid w:val="007418A5"/>
    <w:rsid w:val="00746A0E"/>
    <w:rsid w:val="00751170"/>
    <w:rsid w:val="007512F5"/>
    <w:rsid w:val="00751855"/>
    <w:rsid w:val="007534FF"/>
    <w:rsid w:val="00763E65"/>
    <w:rsid w:val="00764D3B"/>
    <w:rsid w:val="00772928"/>
    <w:rsid w:val="00785535"/>
    <w:rsid w:val="00786706"/>
    <w:rsid w:val="00790080"/>
    <w:rsid w:val="00791C73"/>
    <w:rsid w:val="00794AA3"/>
    <w:rsid w:val="0079516C"/>
    <w:rsid w:val="007962DE"/>
    <w:rsid w:val="007A183B"/>
    <w:rsid w:val="007A1AED"/>
    <w:rsid w:val="007A1D05"/>
    <w:rsid w:val="007B5079"/>
    <w:rsid w:val="007B5DE9"/>
    <w:rsid w:val="007B700A"/>
    <w:rsid w:val="007C0260"/>
    <w:rsid w:val="007C37DE"/>
    <w:rsid w:val="007C7B8D"/>
    <w:rsid w:val="007D17D0"/>
    <w:rsid w:val="007D4084"/>
    <w:rsid w:val="007D4B90"/>
    <w:rsid w:val="007E4E51"/>
    <w:rsid w:val="008011BC"/>
    <w:rsid w:val="00811AE1"/>
    <w:rsid w:val="00811F90"/>
    <w:rsid w:val="008122F0"/>
    <w:rsid w:val="008202B3"/>
    <w:rsid w:val="00820F73"/>
    <w:rsid w:val="008217D0"/>
    <w:rsid w:val="008239FE"/>
    <w:rsid w:val="00825029"/>
    <w:rsid w:val="00830B58"/>
    <w:rsid w:val="00840C83"/>
    <w:rsid w:val="008430F8"/>
    <w:rsid w:val="0084627C"/>
    <w:rsid w:val="00850130"/>
    <w:rsid w:val="00854E3D"/>
    <w:rsid w:val="00857E54"/>
    <w:rsid w:val="008605D5"/>
    <w:rsid w:val="00865E12"/>
    <w:rsid w:val="008709D2"/>
    <w:rsid w:val="00870E4F"/>
    <w:rsid w:val="00871911"/>
    <w:rsid w:val="00871C38"/>
    <w:rsid w:val="00871D81"/>
    <w:rsid w:val="00872F54"/>
    <w:rsid w:val="008735AB"/>
    <w:rsid w:val="008776AD"/>
    <w:rsid w:val="00882F24"/>
    <w:rsid w:val="00891C99"/>
    <w:rsid w:val="008C05CD"/>
    <w:rsid w:val="008C300D"/>
    <w:rsid w:val="008C307E"/>
    <w:rsid w:val="008C5983"/>
    <w:rsid w:val="008D0A1C"/>
    <w:rsid w:val="008D2294"/>
    <w:rsid w:val="008D57B3"/>
    <w:rsid w:val="008D7CD4"/>
    <w:rsid w:val="008E2DBD"/>
    <w:rsid w:val="008F2DE0"/>
    <w:rsid w:val="008F588D"/>
    <w:rsid w:val="00904689"/>
    <w:rsid w:val="00904D48"/>
    <w:rsid w:val="00904F31"/>
    <w:rsid w:val="009150C1"/>
    <w:rsid w:val="0092371D"/>
    <w:rsid w:val="00926FB9"/>
    <w:rsid w:val="00940763"/>
    <w:rsid w:val="00941205"/>
    <w:rsid w:val="00943855"/>
    <w:rsid w:val="00947015"/>
    <w:rsid w:val="009504E3"/>
    <w:rsid w:val="0095172A"/>
    <w:rsid w:val="009518A2"/>
    <w:rsid w:val="00951EA2"/>
    <w:rsid w:val="00955B8E"/>
    <w:rsid w:val="00966619"/>
    <w:rsid w:val="00982658"/>
    <w:rsid w:val="009833AF"/>
    <w:rsid w:val="00986211"/>
    <w:rsid w:val="009933D9"/>
    <w:rsid w:val="00993A5D"/>
    <w:rsid w:val="009A27CD"/>
    <w:rsid w:val="009A4600"/>
    <w:rsid w:val="009A4A14"/>
    <w:rsid w:val="009B37D4"/>
    <w:rsid w:val="009B7AE3"/>
    <w:rsid w:val="009C10A2"/>
    <w:rsid w:val="009C1E14"/>
    <w:rsid w:val="009C2FEF"/>
    <w:rsid w:val="009C7B84"/>
    <w:rsid w:val="009D2761"/>
    <w:rsid w:val="009D43AF"/>
    <w:rsid w:val="009D5645"/>
    <w:rsid w:val="009E11AD"/>
    <w:rsid w:val="009E2594"/>
    <w:rsid w:val="009F074C"/>
    <w:rsid w:val="009F693D"/>
    <w:rsid w:val="009F6D27"/>
    <w:rsid w:val="00A03B53"/>
    <w:rsid w:val="00A10384"/>
    <w:rsid w:val="00A144B2"/>
    <w:rsid w:val="00A15D12"/>
    <w:rsid w:val="00A17E50"/>
    <w:rsid w:val="00A23B3B"/>
    <w:rsid w:val="00A250A4"/>
    <w:rsid w:val="00A30735"/>
    <w:rsid w:val="00A3242E"/>
    <w:rsid w:val="00A358E7"/>
    <w:rsid w:val="00A45BDF"/>
    <w:rsid w:val="00A4EB24"/>
    <w:rsid w:val="00A50780"/>
    <w:rsid w:val="00A55F73"/>
    <w:rsid w:val="00A56091"/>
    <w:rsid w:val="00A5683C"/>
    <w:rsid w:val="00A57044"/>
    <w:rsid w:val="00A66FCB"/>
    <w:rsid w:val="00A70E35"/>
    <w:rsid w:val="00A72F4C"/>
    <w:rsid w:val="00A75906"/>
    <w:rsid w:val="00AA12A3"/>
    <w:rsid w:val="00AA188E"/>
    <w:rsid w:val="00AA1B43"/>
    <w:rsid w:val="00AA391D"/>
    <w:rsid w:val="00AA6F46"/>
    <w:rsid w:val="00AB00BF"/>
    <w:rsid w:val="00AC1EA9"/>
    <w:rsid w:val="00AD32B8"/>
    <w:rsid w:val="00AE2C07"/>
    <w:rsid w:val="00AE36C9"/>
    <w:rsid w:val="00AE4387"/>
    <w:rsid w:val="00AE488E"/>
    <w:rsid w:val="00AE49AB"/>
    <w:rsid w:val="00AF0CB9"/>
    <w:rsid w:val="00AF5791"/>
    <w:rsid w:val="00AF719E"/>
    <w:rsid w:val="00B11F04"/>
    <w:rsid w:val="00B24AD5"/>
    <w:rsid w:val="00B25332"/>
    <w:rsid w:val="00B2559F"/>
    <w:rsid w:val="00B26F8D"/>
    <w:rsid w:val="00B276BD"/>
    <w:rsid w:val="00B42BD2"/>
    <w:rsid w:val="00B508D5"/>
    <w:rsid w:val="00B52233"/>
    <w:rsid w:val="00B57B0E"/>
    <w:rsid w:val="00B64AAC"/>
    <w:rsid w:val="00B82F08"/>
    <w:rsid w:val="00B838B8"/>
    <w:rsid w:val="00B9062A"/>
    <w:rsid w:val="00B93A87"/>
    <w:rsid w:val="00BB58D7"/>
    <w:rsid w:val="00BD26DB"/>
    <w:rsid w:val="00BD6341"/>
    <w:rsid w:val="00BE7B6C"/>
    <w:rsid w:val="00BF387D"/>
    <w:rsid w:val="00C00B53"/>
    <w:rsid w:val="00C02053"/>
    <w:rsid w:val="00C040ED"/>
    <w:rsid w:val="00C05881"/>
    <w:rsid w:val="00C15AC9"/>
    <w:rsid w:val="00C22059"/>
    <w:rsid w:val="00C2475A"/>
    <w:rsid w:val="00C31251"/>
    <w:rsid w:val="00C31D25"/>
    <w:rsid w:val="00C32760"/>
    <w:rsid w:val="00C32D43"/>
    <w:rsid w:val="00C43496"/>
    <w:rsid w:val="00C548FD"/>
    <w:rsid w:val="00C577E2"/>
    <w:rsid w:val="00C62871"/>
    <w:rsid w:val="00C76573"/>
    <w:rsid w:val="00C77710"/>
    <w:rsid w:val="00C77E4A"/>
    <w:rsid w:val="00C80060"/>
    <w:rsid w:val="00C8217D"/>
    <w:rsid w:val="00C83F1C"/>
    <w:rsid w:val="00C847FC"/>
    <w:rsid w:val="00C87233"/>
    <w:rsid w:val="00C915D9"/>
    <w:rsid w:val="00CA184C"/>
    <w:rsid w:val="00CA6305"/>
    <w:rsid w:val="00CA6AC5"/>
    <w:rsid w:val="00CA75B5"/>
    <w:rsid w:val="00CB1C71"/>
    <w:rsid w:val="00CB2F5E"/>
    <w:rsid w:val="00CC55BD"/>
    <w:rsid w:val="00CD0440"/>
    <w:rsid w:val="00CD119B"/>
    <w:rsid w:val="00CE2A92"/>
    <w:rsid w:val="00CF611B"/>
    <w:rsid w:val="00CF6FF3"/>
    <w:rsid w:val="00D042D8"/>
    <w:rsid w:val="00D2027F"/>
    <w:rsid w:val="00D22BC7"/>
    <w:rsid w:val="00D25E65"/>
    <w:rsid w:val="00D27A92"/>
    <w:rsid w:val="00D339D7"/>
    <w:rsid w:val="00D434E9"/>
    <w:rsid w:val="00D532D6"/>
    <w:rsid w:val="00D5368D"/>
    <w:rsid w:val="00D961B6"/>
    <w:rsid w:val="00DA2384"/>
    <w:rsid w:val="00DA502C"/>
    <w:rsid w:val="00DA53AE"/>
    <w:rsid w:val="00DB0FC8"/>
    <w:rsid w:val="00DB76F9"/>
    <w:rsid w:val="00DB7E17"/>
    <w:rsid w:val="00DC2CCA"/>
    <w:rsid w:val="00DD6067"/>
    <w:rsid w:val="00DE45C5"/>
    <w:rsid w:val="00DF3DF3"/>
    <w:rsid w:val="00DF7CA7"/>
    <w:rsid w:val="00E042C0"/>
    <w:rsid w:val="00E1110A"/>
    <w:rsid w:val="00E14D21"/>
    <w:rsid w:val="00E166E0"/>
    <w:rsid w:val="00E20D0C"/>
    <w:rsid w:val="00E21C52"/>
    <w:rsid w:val="00E34E2C"/>
    <w:rsid w:val="00E41E34"/>
    <w:rsid w:val="00E43279"/>
    <w:rsid w:val="00E633D7"/>
    <w:rsid w:val="00E67BB3"/>
    <w:rsid w:val="00E702F7"/>
    <w:rsid w:val="00E7138A"/>
    <w:rsid w:val="00E71765"/>
    <w:rsid w:val="00E7207B"/>
    <w:rsid w:val="00E77B43"/>
    <w:rsid w:val="00E826C9"/>
    <w:rsid w:val="00E9677E"/>
    <w:rsid w:val="00EA50A4"/>
    <w:rsid w:val="00EA768F"/>
    <w:rsid w:val="00EB616F"/>
    <w:rsid w:val="00EB67A0"/>
    <w:rsid w:val="00EB7614"/>
    <w:rsid w:val="00EB7EA9"/>
    <w:rsid w:val="00EC5612"/>
    <w:rsid w:val="00ED6047"/>
    <w:rsid w:val="00EE1B96"/>
    <w:rsid w:val="00EE1BC7"/>
    <w:rsid w:val="00EE310F"/>
    <w:rsid w:val="00EE3570"/>
    <w:rsid w:val="00EE3EA1"/>
    <w:rsid w:val="00EE7384"/>
    <w:rsid w:val="00EF0887"/>
    <w:rsid w:val="00F02FA1"/>
    <w:rsid w:val="00F17CBA"/>
    <w:rsid w:val="00F252F4"/>
    <w:rsid w:val="00F311DC"/>
    <w:rsid w:val="00F508AA"/>
    <w:rsid w:val="00F54199"/>
    <w:rsid w:val="00F55C18"/>
    <w:rsid w:val="00F5712A"/>
    <w:rsid w:val="00F71CDF"/>
    <w:rsid w:val="00F74238"/>
    <w:rsid w:val="00F7432A"/>
    <w:rsid w:val="00F75229"/>
    <w:rsid w:val="00F77A71"/>
    <w:rsid w:val="00F77ED2"/>
    <w:rsid w:val="00F80692"/>
    <w:rsid w:val="00F83737"/>
    <w:rsid w:val="00F9496E"/>
    <w:rsid w:val="00FA2481"/>
    <w:rsid w:val="00FA2D28"/>
    <w:rsid w:val="00FA50E9"/>
    <w:rsid w:val="00FA6AC6"/>
    <w:rsid w:val="00FA6BBC"/>
    <w:rsid w:val="00FB180D"/>
    <w:rsid w:val="00FB329E"/>
    <w:rsid w:val="00FC2EFE"/>
    <w:rsid w:val="00FC349F"/>
    <w:rsid w:val="00FC52E4"/>
    <w:rsid w:val="00FC59DD"/>
    <w:rsid w:val="00FD0C02"/>
    <w:rsid w:val="00FD349F"/>
    <w:rsid w:val="00FD571B"/>
    <w:rsid w:val="00FE60E5"/>
    <w:rsid w:val="00FF586B"/>
    <w:rsid w:val="01AA5AF6"/>
    <w:rsid w:val="01E15A01"/>
    <w:rsid w:val="025D7B2C"/>
    <w:rsid w:val="03167633"/>
    <w:rsid w:val="09446681"/>
    <w:rsid w:val="0A6BAF02"/>
    <w:rsid w:val="0A85B5AC"/>
    <w:rsid w:val="0E9A1D7F"/>
    <w:rsid w:val="1651AE8E"/>
    <w:rsid w:val="173210AC"/>
    <w:rsid w:val="1909DB63"/>
    <w:rsid w:val="1B7A5F7C"/>
    <w:rsid w:val="1E2B11D8"/>
    <w:rsid w:val="209C9625"/>
    <w:rsid w:val="2AC64F6E"/>
    <w:rsid w:val="2AE66BBF"/>
    <w:rsid w:val="2C31D319"/>
    <w:rsid w:val="302E0E3D"/>
    <w:rsid w:val="3530A7F1"/>
    <w:rsid w:val="3AE1AAEF"/>
    <w:rsid w:val="3B928E8A"/>
    <w:rsid w:val="3CA2522E"/>
    <w:rsid w:val="406EA45D"/>
    <w:rsid w:val="45B946D3"/>
    <w:rsid w:val="48CD0408"/>
    <w:rsid w:val="49ACD558"/>
    <w:rsid w:val="4C6625FD"/>
    <w:rsid w:val="50DC86CC"/>
    <w:rsid w:val="511BC80A"/>
    <w:rsid w:val="51482A30"/>
    <w:rsid w:val="52338302"/>
    <w:rsid w:val="57A6589A"/>
    <w:rsid w:val="5BBAF632"/>
    <w:rsid w:val="5E135FC0"/>
    <w:rsid w:val="5EDB592C"/>
    <w:rsid w:val="62D997DD"/>
    <w:rsid w:val="66FB68AE"/>
    <w:rsid w:val="68343251"/>
    <w:rsid w:val="6FB7F069"/>
    <w:rsid w:val="7B0F657D"/>
    <w:rsid w:val="7D5A8E50"/>
    <w:rsid w:val="7EB83CB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75F8D794-9901-4688-B449-948292E8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ContentsHeading1">
    <w:name w:val="Contents Heading 1"/>
    <w:basedOn w:val="Normal"/>
    <w:qFormat/>
    <w:rsid w:val="008E2DBD"/>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BulletPoints">
    <w:name w:val="Bullet Points"/>
    <w:basedOn w:val="Normal"/>
    <w:qFormat/>
    <w:rsid w:val="00FD0C02"/>
    <w:pPr>
      <w:ind w:left="720" w:hanging="360"/>
    </w:pPr>
    <w:rPr>
      <w:rFonts w:ascii="Arial" w:hAnsi="Arial" w:cstheme="minorBidi"/>
      <w:kern w:val="0"/>
      <w:sz w:val="20"/>
    </w:rPr>
  </w:style>
  <w:style w:type="paragraph" w:styleId="NormalWeb">
    <w:name w:val="Normal (Web)"/>
    <w:basedOn w:val="Normal"/>
    <w:uiPriority w:val="99"/>
    <w:unhideWhenUsed/>
    <w:rsid w:val="00C05881"/>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C040ED"/>
    <w:rPr>
      <w:sz w:val="16"/>
      <w:szCs w:val="16"/>
    </w:rPr>
  </w:style>
  <w:style w:type="paragraph" w:styleId="CommentText">
    <w:name w:val="annotation text"/>
    <w:basedOn w:val="Normal"/>
    <w:link w:val="CommentTextChar"/>
    <w:uiPriority w:val="99"/>
    <w:unhideWhenUsed/>
    <w:rsid w:val="00C040ED"/>
    <w:pPr>
      <w:spacing w:line="240" w:lineRule="auto"/>
    </w:pPr>
    <w:rPr>
      <w:rFonts w:ascii="Foundry Sterling Book" w:hAnsi="Foundry Sterling Book" w:cstheme="minorBidi"/>
      <w:kern w:val="0"/>
      <w:sz w:val="20"/>
      <w:szCs w:val="20"/>
    </w:rPr>
  </w:style>
  <w:style w:type="character" w:customStyle="1" w:styleId="CommentTextChar">
    <w:name w:val="Comment Text Char"/>
    <w:basedOn w:val="DefaultParagraphFont"/>
    <w:link w:val="CommentText"/>
    <w:uiPriority w:val="99"/>
    <w:rsid w:val="00C040ED"/>
    <w:rPr>
      <w:rFonts w:ascii="Foundry Sterling Book" w:hAnsi="Foundry Sterling Book"/>
      <w:sz w:val="20"/>
      <w:szCs w:val="20"/>
    </w:rPr>
  </w:style>
  <w:style w:type="paragraph" w:styleId="Revision">
    <w:name w:val="Revision"/>
    <w:hidden/>
    <w:uiPriority w:val="99"/>
    <w:semiHidden/>
    <w:rsid w:val="00955B8E"/>
    <w:pPr>
      <w:spacing w:after="0" w:line="240" w:lineRule="auto"/>
    </w:pPr>
    <w:rPr>
      <w:rFonts w:ascii="Griffith Sans Text" w:hAnsi="Griffith Sans Text" w:cs="Times New Roman (Body CS)"/>
      <w:kern w:val="2"/>
      <w:sz w:val="18"/>
    </w:rPr>
  </w:style>
  <w:style w:type="paragraph" w:styleId="CommentSubject">
    <w:name w:val="annotation subject"/>
    <w:basedOn w:val="CommentText"/>
    <w:next w:val="CommentText"/>
    <w:link w:val="CommentSubjectChar"/>
    <w:uiPriority w:val="99"/>
    <w:semiHidden/>
    <w:unhideWhenUsed/>
    <w:rsid w:val="002C7099"/>
    <w:rPr>
      <w:rFonts w:ascii="Griffith Sans Text" w:hAnsi="Griffith Sans Text" w:cs="Times New Roman (Body CS)"/>
      <w:b/>
      <w:bCs/>
      <w:kern w:val="2"/>
    </w:rPr>
  </w:style>
  <w:style w:type="character" w:customStyle="1" w:styleId="CommentSubjectChar">
    <w:name w:val="Comment Subject Char"/>
    <w:basedOn w:val="CommentTextChar"/>
    <w:link w:val="CommentSubject"/>
    <w:uiPriority w:val="99"/>
    <w:semiHidden/>
    <w:rsid w:val="002C7099"/>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iffith.edu.au/__data/assets/excel_doc/0024/1563009/Value-Risk-Matrix-Tool-Sourcing.xlsx" TargetMode="External"/><Relationship Id="rId18" Type="http://schemas.openxmlformats.org/officeDocument/2006/relationships/hyperlink" Target="https://www.griffith.edu.au/__data/assets/word_doc/0031/1836724/Request-for-Quotation-Part-A-Consultancy-Requirements.docx" TargetMode="External"/><Relationship Id="rId26" Type="http://schemas.openxmlformats.org/officeDocument/2006/relationships/hyperlink" Target="https://www.griffith.edu.au/__data/assets/pdf_file/0032/1708844/User-Guide-Microsoft-Forms-Instructions.pdf" TargetMode="External"/><Relationship Id="rId39" Type="http://schemas.openxmlformats.org/officeDocument/2006/relationships/hyperlink" Target="https://portal.secure.griffith.edu.au/psp/GP90PD/GUINTRA/HR90/c/GU.GU_GO.GBL?url=https://ps-finance.secure.griffith.edu.au/psc/FS/EMPLOYEE/ERP/c/NUI_FRAMEWORK.PT_AGSTARTPAGE_NUI.GBL?CONTEXTIDPARAMS=TEMPLATE_ID%3aPTPPNAVCOL&amp;scname=ADMN_MAKE_AND_MANAGE_PURCHASES&amp;PanelCollapsible=Y&amp;PTPPB_GROUPLET_ID=GU_MAKE_MNG_PURCH_TILE&amp;CRefName=GU_MAKE_MNG_PURCH_NAVCOL&amp;AJAXTRANSFER=Y&amp;PANELCOLLAPSIBLE=Y&amp;_gl=1*1fozqzy*_ga*MTc4MjY1MDI4My4xNjU5NDEzMDUz*_ga_5GKYJEBSN9*MTY4MDc4MDgyOC40MDIuMS4xNjgwNzgwODU5LjAuMC4w" TargetMode="External"/><Relationship Id="rId21" Type="http://schemas.openxmlformats.org/officeDocument/2006/relationships/hyperlink" Target="mailto:procurement@griffith.edu.au" TargetMode="External"/><Relationship Id="rId34" Type="http://schemas.openxmlformats.org/officeDocument/2006/relationships/hyperlink" Target="https://griffitheduau.sharepoint.com/sites/ConvergePointUserGroup/SitePages/How-to.aspx" TargetMode="External"/><Relationship Id="rId42" Type="http://schemas.openxmlformats.org/officeDocument/2006/relationships/hyperlink" Target="https://www.griffith.edu.au/__data/assets/pdf_file/0030/1562808/Contract-Management-Guidelines.pdf?_gl=1*18kz5df*_ga*NTc3MjA5NDMwLjE2OTAxNzAzNzY.*_ga_Q8BF6T8XSD*MTY5ODE5NTcyNy4yMDcuMS4xNjk4MTk2MjY4LjYwLjAuMA.." TargetMode="External"/><Relationship Id="rId47" Type="http://schemas.openxmlformats.org/officeDocument/2006/relationships/hyperlink" Target="https://www.legislation.qld.gov.au/view/html/inforce/current/act-1971-037" TargetMode="External"/><Relationship Id="rId50" Type="http://schemas.openxmlformats.org/officeDocument/2006/relationships/hyperlink" Target="https://sharepointpubstor.blob.core.windows.net/policylibrary-prod/Legislative%20Compliance%20Policy.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iffith.edu.au/__data/assets/pdf_file/0028/1828036/Annexure-1-Procurement-and-Supply-Thresholds-and-Delegations.pdf?_gl=1*pkx3gx*_ga*MTAwMjkwMjMzNi4xNjk4MTk1MzU5*_ga_Q8BF6T8XSD*MTY5ODkwNjY4OC4xNy4xLjE2OTg5MDY2OTguNTAuMC4w" TargetMode="External"/><Relationship Id="rId20" Type="http://schemas.openxmlformats.org/officeDocument/2006/relationships/hyperlink" Target="https://www.griffith.edu.au/__data/assets/pdf_file/0027/1741752/Strategic-Sourcing-Guidelines.pdf?_gl=1*mpym05*_ga*MTAwMjkwMjMzNi4xNjk4MTk1MzU5*_ga_Q8BF6T8XSD*MTY5ODkwNjY4OC4xNy4xLjE2OTg5MDY2OTguNTAuMC4w" TargetMode="External"/><Relationship Id="rId29" Type="http://schemas.openxmlformats.org/officeDocument/2006/relationships/hyperlink" Target="https://www.griffith.edu.au/resources/finance/procurement/sourcing-templates/Engagement-as-Consultant-Ltr-Uni-as-Principal-approved-24Jan22.docx" TargetMode="External"/><Relationship Id="rId41" Type="http://schemas.openxmlformats.org/officeDocument/2006/relationships/hyperlink" Target="mailto:fin-billto@griffith.edu.au" TargetMode="External"/><Relationship Id="rId54" Type="http://schemas.openxmlformats.org/officeDocument/2006/relationships/hyperlink" Target="https://www.griffith.edu.au/resources/finance/procurement/Sham-Contracting-Fact-Sheet-and-Checklist.pdf?_gl=1*x9ngg0*_ga*MTU5MDkwNzAzMy4xNjg2MjAyODE3*_ga_Q8BF6T8XSD*MTcwNjE1NjQ3Mi40NDguMS4xNzA2MTU3NjQ2LjYwLjAuM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ls.oir.qld.gov.au/licence-register/" TargetMode="External"/><Relationship Id="rId24" Type="http://schemas.openxmlformats.org/officeDocument/2006/relationships/hyperlink" Target="https://griffitheduau.sharepoint.com/sites/conflict-of-interest/submission" TargetMode="External"/><Relationship Id="rId32" Type="http://schemas.openxmlformats.org/officeDocument/2006/relationships/hyperlink" Target="https://www.griffith.edu.au/__data/assets/pdf_file/0036/1695087/SS-and-CM-Roles-and-Responsibilities.pdf" TargetMode="External"/><Relationship Id="rId37" Type="http://schemas.openxmlformats.org/officeDocument/2006/relationships/hyperlink" Target="https://intranet.secure.griffith.edu.au/legal-services/submit-request" TargetMode="External"/><Relationship Id="rId40" Type="http://schemas.openxmlformats.org/officeDocument/2006/relationships/hyperlink" Target="mailto:payroll@griffith.edu.au" TargetMode="External"/><Relationship Id="rId45" Type="http://schemas.openxmlformats.org/officeDocument/2006/relationships/hyperlink" Target="https://www.legislation.gov.au/Details/C2017C00323" TargetMode="External"/><Relationship Id="rId53" Type="http://schemas.openxmlformats.org/officeDocument/2006/relationships/hyperlink" Target="https://www.griffith.edu.au/__data/assets/pdf_file/0030/1562808/Contract-Management-Guidelines.pdf?_gl=1*1wvcbd1*_ga*MTAwMjkwMjMzNi4xNjk4MTk1MzU5*_ga_Q8BF6T8XSD*MTY5ODkwOTEyNi4xOC4wLjE2OTg5MDkxNzguOC4wLjA."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https://griffitheduau.sharepoint.com/sites/conflict-of-interest/submission/SitePages/Procurement.aspx" TargetMode="External"/><Relationship Id="rId28" Type="http://schemas.openxmlformats.org/officeDocument/2006/relationships/hyperlink" Target="https://griffitheduau.sharepoint.com/sites/conflict-of-interest/submission" TargetMode="External"/><Relationship Id="rId36" Type="http://schemas.openxmlformats.org/officeDocument/2006/relationships/hyperlink" Target="https://forms.office.com/pages/responsepage.aspx?id=q8h8Wtykm0-_YGZxQEmtYgMm9vVVlO9Em7xyBfK5XP1UQkI1RkZINkw5WllJQk42MDhTTkZQSVZSOS4u" TargetMode="External"/><Relationship Id="rId49" Type="http://schemas.openxmlformats.org/officeDocument/2006/relationships/hyperlink" Target="https://sharepointpubstor.blob.core.windows.net/policylibrary-prod/Procurement%20and%20Supply%20Policy.pdf" TargetMode="External"/><Relationship Id="rId57" Type="http://schemas.openxmlformats.org/officeDocument/2006/relationships/footer" Target="footer2.xml"/><Relationship Id="rId61"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riffith.edu.au/__data/assets/word_doc/0032/1836725/Request-for-Quotation-Part-B-Supplier-Response-Schedule-Consultancy.docx" TargetMode="External"/><Relationship Id="rId31" Type="http://schemas.openxmlformats.org/officeDocument/2006/relationships/hyperlink" Target="https://www.griffith.edu.au/about-griffith/corporate-governance/delegations-framework" TargetMode="External"/><Relationship Id="rId44" Type="http://schemas.openxmlformats.org/officeDocument/2006/relationships/hyperlink" Target="mailto:payroll@griffith.edu.au" TargetMode="External"/><Relationship Id="rId52" Type="http://schemas.openxmlformats.org/officeDocument/2006/relationships/hyperlink" Target="https://www.griffith.edu.au/__data/assets/pdf_file/0027/1741752/Strategic-Sourcing-Guidelines.pdf?_gl=1*1wvcbd1*_ga*MTAwMjkwMjMzNi4xNjk4MTk1MzU5*_ga_Q8BF6T8XSD*MTY5ODkwOTEyNi4xOC4wLjE2OTg5MDkxNzguOC4wLj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resources/finance/procurement/Sham-Contracting-Fact-Sheet-and-Checklist.pdf?_gl=1*x9ngg0*_ga*MTU5MDkwNzAzMy4xNjg2MjAyODE3*_ga_Q8BF6T8XSD*MTcwNjE1NjQ3Mi40NDguMS4xNzA2MTU3NjQ2LjYwLjAuMA" TargetMode="External"/><Relationship Id="rId22" Type="http://schemas.openxmlformats.org/officeDocument/2006/relationships/hyperlink" Target="https://griffitheduau.sharepoint.com/sites/conflict-of-interest/submission" TargetMode="External"/><Relationship Id="rId27" Type="http://schemas.openxmlformats.org/officeDocument/2006/relationships/hyperlink" Target="https://griffitheduau.sharepoint.com/sites/conflict-of-interest/submission/SitePages/Procurement.aspx" TargetMode="External"/><Relationship Id="rId30" Type="http://schemas.openxmlformats.org/officeDocument/2006/relationships/hyperlink" Target="https://www.griffith.edu.au/__data/assets/pdf_file/0034/1662892/Contract-Approval-Form.pdf" TargetMode="External"/><Relationship Id="rId35" Type="http://schemas.openxmlformats.org/officeDocument/2006/relationships/hyperlink" Target="https://griffitheduau.sharepoint.com/sites/ConvergePointUserGroup/SitePages/How-to.aspx" TargetMode="External"/><Relationship Id="rId43" Type="http://schemas.openxmlformats.org/officeDocument/2006/relationships/hyperlink" Target="https://intranet.secure.griffith.edu.au/finance/spending-and-receiving-money/purchasing" TargetMode="External"/><Relationship Id="rId48" Type="http://schemas.openxmlformats.org/officeDocument/2006/relationships/hyperlink" Target="https://www.legislation.qld.gov.au/view/html/asmade/act-2017-033"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riffith.edu.au/__data/assets/pdf_file/0036/1739466/Below-$450,000-Sourcing-Guidelines.pdf?_gl=1*1wvcbd1*_ga*MTAwMjkwMjMzNi4xNjk4MTk1MzU5*_ga_Q8BF6T8XSD*MTY5ODkwOTEyNi4xOC4wLjE2OTg5MDkxNzguOC4wLjA." TargetMode="External"/><Relationship Id="rId3" Type="http://schemas.openxmlformats.org/officeDocument/2006/relationships/customXml" Target="../customXml/item3.xml"/><Relationship Id="rId12" Type="http://schemas.openxmlformats.org/officeDocument/2006/relationships/hyperlink" Target="https://www.griffith.edu.au/__data/assets/excel_doc/0038/1736588/Basic-Sourcing-Risk-Assessment-Questionnaire.xlsx" TargetMode="External"/><Relationship Id="rId17" Type="http://schemas.openxmlformats.org/officeDocument/2006/relationships/hyperlink" Target="https://www.griffith.edu.au/__data/assets/pdf_file/0036/1739466/Below-$450,000-Sourcing-Guidelines.pdf?_gl=1*7cjhzg*_ga*MTAwMjkwMjMzNi4xNjk4MTk1MzU5*_ga_Q8BF6T8XSD*MTY5ODkwNjY4OC4xNy4xLjE2OTg5MDY2OTguNTAuMC4w" TargetMode="External"/><Relationship Id="rId25" Type="http://schemas.openxmlformats.org/officeDocument/2006/relationships/hyperlink" Target="https://forms.office.com/Pages/ShareFormPage.aspx?id=q8h8Wtykm0-_YGZxQEmtYjUmKH0BwORJm2L1itxH0nlUOEU2VEQyNFNMSUg5R1IyNkUwSUo5NUQxUS4u&amp;sharetoken=yErH1UR9ONoWDZKtz78C" TargetMode="External"/><Relationship Id="rId33" Type="http://schemas.openxmlformats.org/officeDocument/2006/relationships/hyperlink" Target="https://griffitheduau-17fe54b548405d.sharepoint.com/sites/contracts/ContractPortal/Pages/Default.aspx" TargetMode="External"/><Relationship Id="rId38" Type="http://schemas.openxmlformats.org/officeDocument/2006/relationships/hyperlink" Target="https://intranet.secure.griffith.edu.au/finance/spending-and-receiving-money/credit-cards" TargetMode="External"/><Relationship Id="rId46" Type="http://schemas.openxmlformats.org/officeDocument/2006/relationships/hyperlink" Target="https://www.legislation.gov.au/Details/C2017C00230" TargetMode="External"/><Relationship Id="rId5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ourier New"/>
    <w:charset w:val="00"/>
    <w:family w:val="auto"/>
    <w:pitch w:val="variable"/>
    <w:sig w:usb0="00000003" w:usb1="00000000" w:usb2="00000000" w:usb3="00000000" w:csb0="00000001" w:csb1="00000000"/>
  </w:font>
  <w:font w:name="Jotia">
    <w:altName w:val="Calibri"/>
    <w:panose1 w:val="00000000000000000000"/>
    <w:charset w:val="00"/>
    <w:family w:val="modern"/>
    <w:notTrueType/>
    <w:pitch w:val="variable"/>
    <w:sig w:usb0="00000007" w:usb1="00000000" w:usb2="00000000" w:usb3="00000000" w:csb0="00000093"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03ABF"/>
    <w:rsid w:val="00254AA5"/>
    <w:rsid w:val="002B6EE3"/>
    <w:rsid w:val="002D19FA"/>
    <w:rsid w:val="00531722"/>
    <w:rsid w:val="006E744F"/>
    <w:rsid w:val="008011BC"/>
    <w:rsid w:val="00810747"/>
    <w:rsid w:val="00887080"/>
    <w:rsid w:val="008B45A8"/>
    <w:rsid w:val="008E07F3"/>
    <w:rsid w:val="00A55F12"/>
    <w:rsid w:val="00A90320"/>
    <w:rsid w:val="00E4202B"/>
    <w:rsid w:val="00F25AAA"/>
    <w:rsid w:val="00FE753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Victoria Yantsch</DisplayName>
        <AccountId>12</AccountId>
        <AccountType/>
      </UserInfo>
      <UserInfo>
        <DisplayName>Jacob Wild</DisplayName>
        <AccountId>11</AccountId>
        <AccountType/>
      </UserInfo>
      <UserInfo>
        <DisplayName>Dayna Field</DisplayName>
        <AccountId>13</AccountId>
        <AccountType/>
      </UserInfo>
      <UserInfo>
        <DisplayName>Annaliese Jackson</DisplayName>
        <AccountId>57</AccountId>
        <AccountType/>
      </UserInfo>
      <UserInfo>
        <DisplayName>Bruce Pain</DisplayName>
        <AccountId>109</AccountId>
        <AccountType/>
      </UserInfo>
      <UserInfo>
        <DisplayName>Tracy Murphy</DisplayName>
        <AccountId>110</AccountId>
        <AccountType/>
      </UserInfo>
      <UserInfo>
        <DisplayName>Michelle Fowler</DisplayName>
        <AccountId>504</AccountId>
        <AccountType/>
      </UserInfo>
      <UserInfo>
        <DisplayName>Peter Bryant</DisplayName>
        <AccountId>205</AccountId>
        <AccountType/>
      </UserInfo>
      <UserInfo>
        <DisplayName>Michelle Clarke</DisplayName>
        <AccountId>141</AccountId>
        <AccountType/>
      </UserInfo>
      <UserInfo>
        <DisplayName>Jacques Liebenberg</DisplayName>
        <AccountId>99</AccountId>
        <AccountType/>
      </UserInfo>
      <UserInfo>
        <DisplayName>Emma Bayles</DisplayName>
        <AccountId>103</AccountId>
        <AccountType/>
      </UserInfo>
      <UserInfo>
        <DisplayName>Hilda Yu</DisplayName>
        <AccountId>24</AccountId>
        <AccountType/>
      </UserInfo>
      <UserInfo>
        <DisplayName>Mark Buckle</DisplayName>
        <AccountId>23</AccountId>
        <AccountType/>
      </UserInfo>
      <UserInfo>
        <DisplayName>Tom Slack</DisplayName>
        <AccountId>349</AccountId>
        <AccountType/>
      </UserInfo>
    </SharedWithUsers>
    <PublishOn xmlns="2f261a70-825f-4a37-b7b5-f6ecc2f4c5fa">2023-12-13T22:05:36+00:00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To establish roles and responsibilities associated with ensuring that independent contractors (commonly known at Griffith as ‘consultants’) are engaged and retained lawfully by Griffith; including that all arrangements are genuine (ie. not sham contracting), that contractors are paid superannuation when legally entitled, and that the University meets relevant tax liabilities.</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77</Value>
      <Value>522</Value>
      <Value>242</Value>
      <Value>114</Value>
      <Value>546</Value>
    </TaxCatchAll>
    <PolicyCategoryParent xmlns="2f261a70-825f-4a37-b7b5-f6ecc2f4c5fa" xsi:nil="true"/>
    <LastPublished xmlns="2f261a70-825f-4a37-b7b5-f6ecc2f4c5fa" xsi:nil="true"/>
    <doccomments xmlns="2f261a70-825f-4a37-b7b5-f6ecc2f4c5fa" xsi:nil="true"/>
    <datedeclared xmlns="2f261a70-825f-4a37-b7b5-f6ecc2f4c5fa">2023-12-12T14:00:00+00:00</datedeclared>
    <PrivatePolicy xmlns="2f261a70-825f-4a37-b7b5-f6ecc2f4c5fa">false</PrivatePolicy>
    <policyadvisor xmlns="2f261a70-825f-4a37-b7b5-f6ecc2f4c5fa">
      <UserInfo>
        <DisplayName>Bruce Pain</DisplayName>
        <AccountId>205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www.w3.org/2000/xmlns/"/>
    <ds:schemaRef ds:uri="0948b7b6-8788-4a45-adf7-89630e0916a9"/>
    <ds:schemaRef ds:uri="http://schemas.microsoft.com/sharepoint/v3"/>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D9EA2CCE-EA39-475A-B11D-967D602059A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8B633F17-9A50-489A-B5C8-1C199F790CBD}"/>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13</TotalTime>
  <Pages>10</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Engaging Contractors and Consultants Procedure</vt:lpstr>
    </vt:vector>
  </TitlesOfParts>
  <Company>Griffith University</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Contractors and Consultants Procedure</dc:title>
  <dc:subject/>
  <dc:creator>Jen Lofgren</dc:creator>
  <cp:keywords/>
  <cp:lastModifiedBy>John Montgomery</cp:lastModifiedBy>
  <cp:revision>3</cp:revision>
  <cp:lastPrinted>2023-11-20T17:02:00Z</cp:lastPrinted>
  <dcterms:created xsi:type="dcterms:W3CDTF">2024-02-28T02:19:00Z</dcterms:created>
  <dcterms:modified xsi:type="dcterms:W3CDTF">2024-03-06T04:49:00Z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546;#Chief Operating Officer|11706a4f-afb0-46bb-a734-c26b0b045f02</vt:lpwstr>
  </property>
  <property fmtid="{D5CDD505-2E9C-101B-9397-08002B2CF9AE}" pid="17" name="policycategory">
    <vt:lpwstr/>
  </property>
  <property fmtid="{D5CDD505-2E9C-101B-9397-08002B2CF9AE}" pid="18" name="officearea">
    <vt:lpwstr>114;#Finance|4aa22cf4-03a0-4167-aaa7-1894a1ac6b82</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review">
    <vt:lpwstr>242;#2026|0e39d474-4c22-40b4-8b37-f0e7c9e0e124</vt:lpwstr>
  </property>
  <property fmtid="{D5CDD505-2E9C-101B-9397-08002B2CF9AE}" pid="22" name="policyaudience">
    <vt:lpwstr>77;#Staff|45ee306d-49ae-43fa-a3ef-02f70754fd2d</vt:lpwstr>
  </property>
  <property fmtid="{D5CDD505-2E9C-101B-9397-08002B2CF9AE}" pid="23" name="Managed_Testing_Field">
    <vt:lpwstr/>
  </property>
</Properties>
</file>