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7F51" w14:textId="77777777" w:rsidR="001C2656" w:rsidRDefault="001C2656" w:rsidP="00B67268">
      <w:pPr>
        <w:pStyle w:val="ContentsHeading1"/>
        <w:pBdr>
          <w:bottom w:val="none" w:sz="0" w:space="0" w:color="auto"/>
        </w:pBdr>
        <w:rPr>
          <w:rFonts w:ascii="Arial" w:hAnsi="Arial" w:cs="Arial"/>
          <w:sz w:val="48"/>
          <w:szCs w:val="48"/>
        </w:rPr>
      </w:pPr>
    </w:p>
    <w:p w14:paraId="2287C7E9" w14:textId="22D238D2" w:rsidR="00B67268" w:rsidRPr="001C2656" w:rsidRDefault="001C2656" w:rsidP="001C2656">
      <w:pPr>
        <w:pStyle w:val="ContentsHeading1"/>
        <w:pBdr>
          <w:bottom w:val="none" w:sz="0" w:space="0" w:color="auto"/>
        </w:pBdr>
        <w:rPr>
          <w:rFonts w:ascii="Arial" w:hAnsi="Arial" w:cs="Arial"/>
          <w:sz w:val="48"/>
          <w:szCs w:val="48"/>
        </w:rPr>
        <w:sectPr w:rsidR="00B67268" w:rsidRPr="001C2656" w:rsidSect="00D87683">
          <w:headerReference w:type="default" r:id="rId11"/>
          <w:footerReference w:type="default" r:id="rId12"/>
          <w:type w:val="continuous"/>
          <w:pgSz w:w="11900" w:h="16840" w:code="9"/>
          <w:pgMar w:top="1985" w:right="680" w:bottom="851" w:left="680" w:header="680" w:footer="454" w:gutter="0"/>
          <w:cols w:space="454"/>
          <w:docGrid w:linePitch="360"/>
        </w:sectPr>
      </w:pPr>
      <w:r>
        <w:rPr>
          <w:rFonts w:ascii="Arial" w:hAnsi="Arial" w:cs="Arial"/>
          <w:sz w:val="48"/>
          <w:szCs w:val="48"/>
        </w:rPr>
        <w:t>Endowment Distribution and Investment</w:t>
      </w:r>
    </w:p>
    <w:p w14:paraId="7691036B" w14:textId="70E6B702" w:rsidR="00564685" w:rsidRDefault="00564685" w:rsidP="001D0DB6">
      <w:pPr>
        <w:spacing w:before="120" w:after="120"/>
        <w:rPr>
          <w:b/>
          <w:bCs/>
          <w:color w:val="000000" w:themeColor="text1"/>
          <w:szCs w:val="20"/>
        </w:rPr>
      </w:pPr>
    </w:p>
    <w:p w14:paraId="40CC1766" w14:textId="47CD5B77" w:rsidR="007C744D"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_Ref20321537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1.0 Purpose</w:t>
      </w:r>
      <w:r w:rsidRPr="00E86FBC">
        <w:rPr>
          <w:rFonts w:ascii="Copernicus Medium" w:hAnsi="Copernicus Medium"/>
          <w:b/>
          <w:bCs/>
          <w:color w:val="E30918"/>
          <w:sz w:val="24"/>
          <w:szCs w:val="24"/>
        </w:rPr>
        <w:fldChar w:fldCharType="end"/>
      </w:r>
    </w:p>
    <w:p w14:paraId="1EB10FBE" w14:textId="2C3AAE1C" w:rsidR="005C3DBA"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_Ref20318879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2.0 Scope</w:t>
      </w:r>
      <w:r w:rsidRPr="00E86FBC">
        <w:rPr>
          <w:rFonts w:ascii="Copernicus Medium" w:hAnsi="Copernicus Medium"/>
          <w:b/>
          <w:bCs/>
          <w:color w:val="E30918"/>
          <w:sz w:val="24"/>
          <w:szCs w:val="24"/>
        </w:rPr>
        <w:fldChar w:fldCharType="end"/>
      </w:r>
    </w:p>
    <w:p w14:paraId="67AAC309" w14:textId="3A66105B" w:rsidR="005C3DBA"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_Ref20318910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3.0 Policy statement</w:t>
      </w:r>
      <w:r w:rsidRPr="00E86FBC">
        <w:rPr>
          <w:rFonts w:ascii="Copernicus Medium" w:hAnsi="Copernicus Medium"/>
          <w:b/>
          <w:bCs/>
          <w:color w:val="E30918"/>
          <w:sz w:val="24"/>
          <w:szCs w:val="24"/>
        </w:rPr>
        <w:fldChar w:fldCharType="end"/>
      </w:r>
    </w:p>
    <w:p w14:paraId="788E5656" w14:textId="7C44F0DC" w:rsidR="00BF01F5" w:rsidRPr="00BF01F5" w:rsidRDefault="00BF01F5" w:rsidP="000E46E9">
      <w:pPr>
        <w:spacing w:after="0"/>
        <w:rPr>
          <w:rFonts w:ascii="Copernicus Medium" w:hAnsi="Copernicus Medium"/>
          <w:b/>
          <w:bCs/>
          <w:color w:val="E30918"/>
          <w:sz w:val="24"/>
          <w:szCs w:val="24"/>
        </w:rPr>
      </w:pPr>
      <w:r w:rsidRPr="00BF01F5">
        <w:rPr>
          <w:rFonts w:ascii="Copernicus Medium" w:hAnsi="Copernicus Medium"/>
          <w:b/>
          <w:bCs/>
          <w:color w:val="E30918"/>
          <w:sz w:val="24"/>
          <w:szCs w:val="24"/>
        </w:rPr>
        <w:fldChar w:fldCharType="begin"/>
      </w:r>
      <w:r w:rsidRPr="00BF01F5">
        <w:rPr>
          <w:rFonts w:ascii="Copernicus Medium" w:hAnsi="Copernicus Medium"/>
          <w:b/>
          <w:bCs/>
          <w:color w:val="E30918"/>
          <w:sz w:val="24"/>
          <w:szCs w:val="24"/>
        </w:rPr>
        <w:instrText xml:space="preserve"> REF _Ref21613385 \h  \* MERGEFORMAT </w:instrText>
      </w:r>
      <w:r w:rsidRPr="00BF01F5">
        <w:rPr>
          <w:rFonts w:ascii="Copernicus Medium" w:hAnsi="Copernicus Medium"/>
          <w:b/>
          <w:bCs/>
          <w:color w:val="E30918"/>
          <w:sz w:val="24"/>
          <w:szCs w:val="24"/>
        </w:rPr>
      </w:r>
      <w:r w:rsidRPr="00BF01F5">
        <w:rPr>
          <w:rFonts w:ascii="Copernicus Medium" w:hAnsi="Copernicus Medium"/>
          <w:b/>
          <w:bCs/>
          <w:color w:val="E30918"/>
          <w:sz w:val="24"/>
          <w:szCs w:val="24"/>
        </w:rPr>
        <w:fldChar w:fldCharType="separate"/>
      </w:r>
      <w:r w:rsidRPr="00BF01F5">
        <w:rPr>
          <w:rFonts w:ascii="Copernicus Medium" w:hAnsi="Copernicus Medium"/>
          <w:b/>
          <w:color w:val="E30918"/>
          <w:sz w:val="24"/>
          <w:szCs w:val="24"/>
        </w:rPr>
        <w:t xml:space="preserve">4.0 Roles, </w:t>
      </w:r>
      <w:proofErr w:type="gramStart"/>
      <w:r w:rsidRPr="00BF01F5">
        <w:rPr>
          <w:rFonts w:ascii="Copernicus Medium" w:hAnsi="Copernicus Medium"/>
          <w:b/>
          <w:color w:val="E30918"/>
          <w:sz w:val="24"/>
          <w:szCs w:val="24"/>
        </w:rPr>
        <w:t>responsibilities</w:t>
      </w:r>
      <w:proofErr w:type="gramEnd"/>
      <w:r w:rsidRPr="00BF01F5">
        <w:rPr>
          <w:rFonts w:ascii="Copernicus Medium" w:hAnsi="Copernicus Medium"/>
          <w:b/>
          <w:color w:val="E30918"/>
          <w:sz w:val="24"/>
          <w:szCs w:val="24"/>
        </w:rPr>
        <w:t xml:space="preserve"> and delegations</w:t>
      </w:r>
      <w:r w:rsidRPr="00BF01F5">
        <w:rPr>
          <w:rFonts w:ascii="Copernicus Medium" w:hAnsi="Copernicus Medium"/>
          <w:b/>
          <w:bCs/>
          <w:color w:val="E30918"/>
          <w:sz w:val="24"/>
          <w:szCs w:val="24"/>
        </w:rPr>
        <w:fldChar w:fldCharType="end"/>
      </w:r>
    </w:p>
    <w:p w14:paraId="765BCC2E" w14:textId="5A2846C3" w:rsidR="005C3DBA"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_Ref20320732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5.0 Definitions</w:t>
      </w:r>
      <w:r w:rsidRPr="00E86FBC">
        <w:rPr>
          <w:rFonts w:ascii="Copernicus Medium" w:hAnsi="Copernicus Medium"/>
          <w:b/>
          <w:bCs/>
          <w:color w:val="E30918"/>
          <w:sz w:val="24"/>
          <w:szCs w:val="24"/>
        </w:rPr>
        <w:fldChar w:fldCharType="end"/>
      </w:r>
    </w:p>
    <w:p w14:paraId="2E800012" w14:textId="62861BCA" w:rsidR="00BC55CF" w:rsidRPr="00902125" w:rsidRDefault="00902125" w:rsidP="00902125">
      <w:pPr>
        <w:pStyle w:val="Heading2"/>
      </w:pPr>
      <w:bookmarkStart w:id="0" w:name="_Ref20321537"/>
      <w:r w:rsidRPr="00902125">
        <w:t xml:space="preserve">1.0 </w:t>
      </w:r>
      <w:r w:rsidR="00BC55CF" w:rsidRPr="00902125">
        <w:t>Purpose</w:t>
      </w:r>
      <w:bookmarkEnd w:id="0"/>
    </w:p>
    <w:p w14:paraId="5252C091" w14:textId="7DC1F42B" w:rsidR="001C2656" w:rsidRDefault="001C2656" w:rsidP="001C2656">
      <w:pPr>
        <w:pStyle w:val="BodyText"/>
        <w:ind w:right="328"/>
        <w:jc w:val="both"/>
      </w:pPr>
      <w:bookmarkStart w:id="1" w:name="_Ref20318879"/>
      <w:r>
        <w:t>This</w:t>
      </w:r>
      <w:r>
        <w:rPr>
          <w:spacing w:val="1"/>
        </w:rPr>
        <w:t xml:space="preserve"> </w:t>
      </w:r>
      <w:r>
        <w:t>policy</w:t>
      </w:r>
      <w:r>
        <w:rPr>
          <w:spacing w:val="1"/>
        </w:rPr>
        <w:t xml:space="preserve"> </w:t>
      </w:r>
      <w:r>
        <w:t>outlines</w:t>
      </w:r>
      <w:r>
        <w:rPr>
          <w:spacing w:val="1"/>
        </w:rPr>
        <w:t xml:space="preserve"> </w:t>
      </w:r>
      <w:r>
        <w:t>the</w:t>
      </w:r>
      <w:r>
        <w:rPr>
          <w:spacing w:val="1"/>
        </w:rPr>
        <w:t xml:space="preserve"> </w:t>
      </w:r>
      <w:r>
        <w:t>University’s</w:t>
      </w:r>
      <w:r>
        <w:rPr>
          <w:spacing w:val="1"/>
        </w:rPr>
        <w:t xml:space="preserve"> </w:t>
      </w:r>
      <w:r w:rsidR="003907D9">
        <w:t xml:space="preserve">approach to the distribution of </w:t>
      </w:r>
      <w:r>
        <w:t>endowment</w:t>
      </w:r>
      <w:r>
        <w:rPr>
          <w:spacing w:val="1"/>
        </w:rPr>
        <w:t xml:space="preserve"> </w:t>
      </w:r>
      <w:r>
        <w:t>fund</w:t>
      </w:r>
      <w:r>
        <w:rPr>
          <w:spacing w:val="1"/>
        </w:rPr>
        <w:t xml:space="preserve"> </w:t>
      </w:r>
      <w:r>
        <w:t>investment</w:t>
      </w:r>
      <w:r>
        <w:rPr>
          <w:spacing w:val="1"/>
        </w:rPr>
        <w:t xml:space="preserve"> </w:t>
      </w:r>
      <w:r>
        <w:t>returns</w:t>
      </w:r>
      <w:r w:rsidR="1554F3DC">
        <w:t>.</w:t>
      </w:r>
    </w:p>
    <w:p w14:paraId="65297E40" w14:textId="155BFC5F" w:rsidR="00F97A5A" w:rsidRDefault="00902125" w:rsidP="00902125">
      <w:pPr>
        <w:pStyle w:val="Heading2"/>
      </w:pPr>
      <w:r w:rsidRPr="00902125">
        <w:t xml:space="preserve">2.0 </w:t>
      </w:r>
      <w:r w:rsidR="00F97A5A" w:rsidRPr="00902125">
        <w:t>Scope</w:t>
      </w:r>
      <w:bookmarkEnd w:id="1"/>
    </w:p>
    <w:p w14:paraId="04ED74CC" w14:textId="62AFB0BE" w:rsidR="001C2656" w:rsidRPr="001C2656" w:rsidRDefault="001C2656" w:rsidP="001C2656">
      <w:pPr>
        <w:rPr>
          <w:rFonts w:ascii="Arial" w:hAnsi="Arial" w:cs="Arial"/>
          <w:color w:val="000000" w:themeColor="text1"/>
          <w:u w:color="F04E45"/>
        </w:rPr>
      </w:pPr>
      <w:r w:rsidRPr="001C2656">
        <w:rPr>
          <w:rFonts w:ascii="Arial" w:hAnsi="Arial" w:cs="Arial"/>
          <w:color w:val="000000" w:themeColor="text1"/>
          <w:u w:color="F04E45"/>
        </w:rPr>
        <w:t>This policy applies to endowment fund investment returns</w:t>
      </w:r>
      <w:r w:rsidR="003907D9" w:rsidRPr="003907D9">
        <w:rPr>
          <w:rFonts w:ascii="Arial" w:hAnsi="Arial" w:cs="Arial"/>
          <w:color w:val="000000" w:themeColor="text1"/>
          <w:u w:color="F04E45"/>
        </w:rPr>
        <w:t xml:space="preserve"> to all endowment donations included in the fund (both capital preservation and amortising donations).</w:t>
      </w:r>
      <w:r w:rsidRPr="001C2656">
        <w:rPr>
          <w:rFonts w:ascii="Arial" w:hAnsi="Arial" w:cs="Arial"/>
          <w:color w:val="000000" w:themeColor="text1"/>
          <w:u w:color="F04E45"/>
        </w:rPr>
        <w:t xml:space="preserve"> </w:t>
      </w:r>
    </w:p>
    <w:p w14:paraId="6894350F" w14:textId="1D2DC749" w:rsidR="001C2656" w:rsidRPr="001C2656" w:rsidRDefault="001C2656" w:rsidP="001C2656">
      <w:pPr>
        <w:rPr>
          <w:rFonts w:ascii="Arial" w:hAnsi="Arial" w:cs="Arial"/>
          <w:color w:val="000000" w:themeColor="text1"/>
          <w:u w:color="F04E45"/>
        </w:rPr>
      </w:pPr>
      <w:r w:rsidRPr="001C2656">
        <w:rPr>
          <w:rFonts w:ascii="Arial" w:hAnsi="Arial" w:cs="Arial"/>
          <w:color w:val="000000" w:themeColor="text1"/>
          <w:u w:color="F04E45"/>
        </w:rPr>
        <w:t>It does not apply to gifts or donations made with the purpose of distributing the initial capital sum in the short-term.</w:t>
      </w:r>
    </w:p>
    <w:p w14:paraId="16734CDB" w14:textId="2098EED4" w:rsidR="00C91165" w:rsidRDefault="00902125" w:rsidP="00902125">
      <w:pPr>
        <w:pStyle w:val="Heading2"/>
      </w:pPr>
      <w:bookmarkStart w:id="2" w:name="_Ref20318910"/>
      <w:r w:rsidRPr="00902125">
        <w:t xml:space="preserve">3.0 </w:t>
      </w:r>
      <w:r w:rsidR="00C91165" w:rsidRPr="00902125">
        <w:t xml:space="preserve">Policy </w:t>
      </w:r>
      <w:r w:rsidR="00C655EF" w:rsidRPr="00902125">
        <w:t>s</w:t>
      </w:r>
      <w:r w:rsidR="00C91165" w:rsidRPr="00902125">
        <w:t>tatement</w:t>
      </w:r>
      <w:bookmarkEnd w:id="2"/>
    </w:p>
    <w:p w14:paraId="17FF9260" w14:textId="004307CD" w:rsidR="00996485" w:rsidRDefault="00996485" w:rsidP="001C2656">
      <w:pPr>
        <w:pStyle w:val="ListParagraph"/>
        <w:numPr>
          <w:ilvl w:val="0"/>
          <w:numId w:val="24"/>
        </w:numPr>
        <w:rPr>
          <w:rFonts w:ascii="Arial" w:eastAsia="Arial" w:hAnsi="Arial" w:cs="Arial"/>
          <w:szCs w:val="20"/>
          <w:lang w:eastAsia="en-US"/>
        </w:rPr>
      </w:pPr>
      <w:r w:rsidRPr="00996485">
        <w:rPr>
          <w:rFonts w:ascii="Arial" w:eastAsia="Arial" w:hAnsi="Arial" w:cs="Arial"/>
          <w:szCs w:val="20"/>
          <w:lang w:eastAsia="en-US"/>
        </w:rPr>
        <w:t>The University’s endowment</w:t>
      </w:r>
      <w:r>
        <w:rPr>
          <w:rFonts w:ascii="Arial" w:eastAsia="Arial" w:hAnsi="Arial" w:cs="Arial"/>
          <w:szCs w:val="20"/>
          <w:lang w:eastAsia="en-US"/>
        </w:rPr>
        <w:t xml:space="preserve"> funds</w:t>
      </w:r>
      <w:r w:rsidRPr="00996485">
        <w:rPr>
          <w:rFonts w:ascii="Arial" w:eastAsia="Arial" w:hAnsi="Arial" w:cs="Arial"/>
          <w:szCs w:val="20"/>
          <w:lang w:eastAsia="en-US"/>
        </w:rPr>
        <w:t xml:space="preserve"> exist to </w:t>
      </w:r>
      <w:r>
        <w:rPr>
          <w:rFonts w:ascii="Arial" w:eastAsia="Arial" w:hAnsi="Arial" w:cs="Arial"/>
          <w:szCs w:val="20"/>
          <w:lang w:eastAsia="en-US"/>
        </w:rPr>
        <w:t xml:space="preserve">receive, manage, </w:t>
      </w:r>
      <w:r w:rsidR="00886243">
        <w:rPr>
          <w:rFonts w:ascii="Arial" w:eastAsia="Arial" w:hAnsi="Arial" w:cs="Arial"/>
          <w:szCs w:val="20"/>
          <w:lang w:eastAsia="en-US"/>
        </w:rPr>
        <w:t xml:space="preserve">invest, </w:t>
      </w:r>
      <w:r>
        <w:rPr>
          <w:rFonts w:ascii="Arial" w:eastAsia="Arial" w:hAnsi="Arial" w:cs="Arial"/>
          <w:szCs w:val="20"/>
          <w:lang w:eastAsia="en-US"/>
        </w:rPr>
        <w:t>and distribute</w:t>
      </w:r>
      <w:r w:rsidR="00886243">
        <w:rPr>
          <w:rFonts w:ascii="Arial" w:eastAsia="Arial" w:hAnsi="Arial" w:cs="Arial"/>
          <w:szCs w:val="20"/>
          <w:lang w:eastAsia="en-US"/>
        </w:rPr>
        <w:t xml:space="preserve"> </w:t>
      </w:r>
      <w:r>
        <w:rPr>
          <w:rFonts w:ascii="Arial" w:eastAsia="Arial" w:hAnsi="Arial" w:cs="Arial"/>
          <w:szCs w:val="20"/>
          <w:lang w:eastAsia="en-US"/>
        </w:rPr>
        <w:t xml:space="preserve">income from financial contributions made by third parties, as well as contributions from </w:t>
      </w:r>
      <w:r w:rsidR="00886243">
        <w:rPr>
          <w:rFonts w:ascii="Arial" w:eastAsia="Arial" w:hAnsi="Arial" w:cs="Arial"/>
          <w:szCs w:val="20"/>
          <w:lang w:eastAsia="en-US"/>
        </w:rPr>
        <w:t>the University’s</w:t>
      </w:r>
      <w:r>
        <w:rPr>
          <w:rFonts w:ascii="Arial" w:eastAsia="Arial" w:hAnsi="Arial" w:cs="Arial"/>
          <w:szCs w:val="20"/>
          <w:lang w:eastAsia="en-US"/>
        </w:rPr>
        <w:t xml:space="preserve"> own reserves</w:t>
      </w:r>
      <w:r w:rsidR="00886243">
        <w:rPr>
          <w:rFonts w:ascii="Arial" w:eastAsia="Arial" w:hAnsi="Arial" w:cs="Arial"/>
          <w:szCs w:val="20"/>
          <w:lang w:eastAsia="en-US"/>
        </w:rPr>
        <w:t>.</w:t>
      </w:r>
    </w:p>
    <w:p w14:paraId="6D10B219" w14:textId="268EF381" w:rsidR="00996485" w:rsidRDefault="00996485" w:rsidP="001C2656">
      <w:pPr>
        <w:pStyle w:val="ListParagraph"/>
        <w:numPr>
          <w:ilvl w:val="0"/>
          <w:numId w:val="24"/>
        </w:numPr>
        <w:rPr>
          <w:rFonts w:ascii="Arial" w:eastAsia="Arial" w:hAnsi="Arial" w:cs="Arial"/>
          <w:szCs w:val="20"/>
          <w:lang w:eastAsia="en-US"/>
        </w:rPr>
      </w:pPr>
      <w:r>
        <w:rPr>
          <w:rFonts w:ascii="Arial" w:eastAsia="Arial" w:hAnsi="Arial" w:cs="Arial"/>
          <w:szCs w:val="20"/>
          <w:lang w:eastAsia="en-US"/>
        </w:rPr>
        <w:t xml:space="preserve">Endowment funds are intended to </w:t>
      </w:r>
      <w:r w:rsidRPr="00996485">
        <w:rPr>
          <w:rFonts w:ascii="Arial" w:eastAsia="Arial" w:hAnsi="Arial" w:cs="Arial"/>
          <w:szCs w:val="20"/>
          <w:lang w:eastAsia="en-US"/>
        </w:rPr>
        <w:t>support the mission and operations of the University over the long-term</w:t>
      </w:r>
      <w:r>
        <w:rPr>
          <w:rFonts w:ascii="Arial" w:eastAsia="Arial" w:hAnsi="Arial" w:cs="Arial"/>
          <w:szCs w:val="20"/>
          <w:lang w:eastAsia="en-US"/>
        </w:rPr>
        <w:t xml:space="preserve">. They may </w:t>
      </w:r>
      <w:r w:rsidRPr="00996485">
        <w:rPr>
          <w:rFonts w:ascii="Arial" w:eastAsia="Arial" w:hAnsi="Arial" w:cs="Arial"/>
          <w:szCs w:val="20"/>
          <w:lang w:eastAsia="en-US"/>
        </w:rPr>
        <w:t xml:space="preserve">support </w:t>
      </w:r>
      <w:r>
        <w:rPr>
          <w:rFonts w:ascii="Arial" w:eastAsia="Arial" w:hAnsi="Arial" w:cs="Arial"/>
          <w:szCs w:val="20"/>
          <w:lang w:eastAsia="en-US"/>
        </w:rPr>
        <w:t xml:space="preserve">a variety of </w:t>
      </w:r>
      <w:r w:rsidRPr="00996485">
        <w:rPr>
          <w:rFonts w:ascii="Arial" w:eastAsia="Arial" w:hAnsi="Arial" w:cs="Arial"/>
          <w:szCs w:val="20"/>
          <w:lang w:eastAsia="en-US"/>
        </w:rPr>
        <w:t>University programs and activities</w:t>
      </w:r>
      <w:r>
        <w:rPr>
          <w:rFonts w:ascii="Arial" w:eastAsia="Arial" w:hAnsi="Arial" w:cs="Arial"/>
          <w:szCs w:val="20"/>
          <w:lang w:eastAsia="en-US"/>
        </w:rPr>
        <w:t>, including the provision of University scholarships</w:t>
      </w:r>
      <w:r w:rsidRPr="00996485">
        <w:rPr>
          <w:rFonts w:ascii="Arial" w:eastAsia="Arial" w:hAnsi="Arial" w:cs="Arial"/>
          <w:szCs w:val="20"/>
          <w:lang w:eastAsia="en-US"/>
        </w:rPr>
        <w:t>.</w:t>
      </w:r>
    </w:p>
    <w:p w14:paraId="3938EE38" w14:textId="55205FE6" w:rsidR="001C2656" w:rsidRPr="001C2656" w:rsidRDefault="001C2656" w:rsidP="001C2656">
      <w:pPr>
        <w:pStyle w:val="ListParagraph"/>
        <w:numPr>
          <w:ilvl w:val="0"/>
          <w:numId w:val="24"/>
        </w:numPr>
        <w:rPr>
          <w:rFonts w:ascii="Arial" w:eastAsia="Arial" w:hAnsi="Arial" w:cs="Arial"/>
          <w:szCs w:val="20"/>
          <w:lang w:eastAsia="en-US"/>
        </w:rPr>
      </w:pPr>
      <w:r w:rsidRPr="001C2656">
        <w:rPr>
          <w:rFonts w:ascii="Arial" w:eastAsia="Arial" w:hAnsi="Arial" w:cs="Arial"/>
          <w:szCs w:val="20"/>
          <w:lang w:eastAsia="en-US"/>
        </w:rPr>
        <w:t xml:space="preserve">The strategy for endowments is to limit the number of funds established, leveraging existing   funds to gain scale and efficiency. </w:t>
      </w:r>
    </w:p>
    <w:p w14:paraId="51EC3D2C" w14:textId="639495B7" w:rsidR="00C10B87" w:rsidRDefault="001C2656" w:rsidP="00C10B87">
      <w:pPr>
        <w:pStyle w:val="ListParagraph"/>
        <w:numPr>
          <w:ilvl w:val="0"/>
          <w:numId w:val="24"/>
        </w:numPr>
        <w:rPr>
          <w:rFonts w:ascii="Arial" w:eastAsia="Arial" w:hAnsi="Arial" w:cs="Arial"/>
          <w:szCs w:val="20"/>
          <w:lang w:eastAsia="en-US"/>
        </w:rPr>
      </w:pPr>
      <w:r w:rsidRPr="001C2656">
        <w:rPr>
          <w:rFonts w:ascii="Arial" w:eastAsia="Arial" w:hAnsi="Arial" w:cs="Arial"/>
          <w:szCs w:val="20"/>
          <w:lang w:eastAsia="en-US"/>
        </w:rPr>
        <w:t xml:space="preserve">The </w:t>
      </w:r>
      <w:r w:rsidR="003136CE">
        <w:rPr>
          <w:rFonts w:ascii="Arial" w:eastAsia="Arial" w:hAnsi="Arial" w:cs="Arial"/>
          <w:szCs w:val="20"/>
          <w:lang w:eastAsia="en-US"/>
        </w:rPr>
        <w:t xml:space="preserve">required </w:t>
      </w:r>
      <w:r w:rsidRPr="001C2656">
        <w:rPr>
          <w:rFonts w:ascii="Arial" w:eastAsia="Arial" w:hAnsi="Arial" w:cs="Arial"/>
          <w:szCs w:val="20"/>
          <w:lang w:eastAsia="en-US"/>
        </w:rPr>
        <w:t xml:space="preserve">minimum </w:t>
      </w:r>
      <w:r w:rsidR="003136CE">
        <w:rPr>
          <w:rFonts w:ascii="Arial" w:eastAsia="Arial" w:hAnsi="Arial" w:cs="Arial"/>
          <w:szCs w:val="20"/>
          <w:lang w:eastAsia="en-US"/>
        </w:rPr>
        <w:t xml:space="preserve">value </w:t>
      </w:r>
      <w:r w:rsidRPr="001C2656">
        <w:rPr>
          <w:rFonts w:ascii="Arial" w:eastAsia="Arial" w:hAnsi="Arial" w:cs="Arial"/>
          <w:szCs w:val="20"/>
          <w:lang w:eastAsia="en-US"/>
        </w:rPr>
        <w:t xml:space="preserve">for establishing a </w:t>
      </w:r>
      <w:r w:rsidR="003136CE">
        <w:rPr>
          <w:rFonts w:ascii="Arial" w:eastAsia="Arial" w:hAnsi="Arial" w:cs="Arial"/>
          <w:szCs w:val="20"/>
          <w:lang w:eastAsia="en-US"/>
        </w:rPr>
        <w:t>capital preserved</w:t>
      </w:r>
      <w:r w:rsidRPr="001C2656">
        <w:rPr>
          <w:rFonts w:ascii="Arial" w:eastAsia="Arial" w:hAnsi="Arial" w:cs="Arial"/>
          <w:szCs w:val="20"/>
          <w:lang w:eastAsia="en-US"/>
        </w:rPr>
        <w:t xml:space="preserve"> endowment fund is $100,000, </w:t>
      </w:r>
      <w:r w:rsidR="003136CE">
        <w:rPr>
          <w:rFonts w:ascii="Arial" w:eastAsia="Arial" w:hAnsi="Arial" w:cs="Arial"/>
          <w:szCs w:val="20"/>
          <w:lang w:eastAsia="en-US"/>
        </w:rPr>
        <w:t xml:space="preserve">with a $50,000 </w:t>
      </w:r>
      <w:r w:rsidR="00726339">
        <w:rPr>
          <w:rFonts w:ascii="Arial" w:eastAsia="Arial" w:hAnsi="Arial" w:cs="Arial"/>
          <w:szCs w:val="20"/>
          <w:lang w:eastAsia="en-US"/>
        </w:rPr>
        <w:t>minimum value</w:t>
      </w:r>
      <w:r w:rsidR="003136CE">
        <w:rPr>
          <w:rFonts w:ascii="Arial" w:eastAsia="Arial" w:hAnsi="Arial" w:cs="Arial"/>
          <w:szCs w:val="20"/>
          <w:lang w:eastAsia="en-US"/>
        </w:rPr>
        <w:t xml:space="preserve"> for amortising endowments.</w:t>
      </w:r>
    </w:p>
    <w:p w14:paraId="390E80C5" w14:textId="564087EA" w:rsidR="00C10B87" w:rsidRPr="00C10B87" w:rsidRDefault="00C10B87" w:rsidP="00C10B87">
      <w:pPr>
        <w:pStyle w:val="ListParagraph"/>
        <w:numPr>
          <w:ilvl w:val="0"/>
          <w:numId w:val="24"/>
        </w:numPr>
        <w:rPr>
          <w:rFonts w:ascii="Arial" w:eastAsia="Arial" w:hAnsi="Arial" w:cs="Arial"/>
          <w:szCs w:val="20"/>
          <w:lang w:eastAsia="en-US"/>
        </w:rPr>
      </w:pPr>
      <w:r w:rsidRPr="00C10B87">
        <w:rPr>
          <w:rFonts w:ascii="Arial" w:eastAsia="Arial" w:hAnsi="Arial" w:cs="Arial"/>
          <w:szCs w:val="20"/>
          <w:lang w:eastAsia="en-US"/>
        </w:rPr>
        <w:t xml:space="preserve">Endowment Funds are invested in </w:t>
      </w:r>
      <w:r>
        <w:rPr>
          <w:rFonts w:ascii="Arial" w:eastAsia="Arial" w:hAnsi="Arial" w:cs="Arial"/>
          <w:szCs w:val="20"/>
          <w:lang w:eastAsia="en-US"/>
        </w:rPr>
        <w:t>accordance</w:t>
      </w:r>
      <w:r w:rsidRPr="00C10B87">
        <w:rPr>
          <w:rFonts w:ascii="Arial" w:eastAsia="Arial" w:hAnsi="Arial" w:cs="Arial"/>
          <w:szCs w:val="20"/>
          <w:lang w:eastAsia="en-US"/>
        </w:rPr>
        <w:t xml:space="preserve"> with the Treasury Policy.</w:t>
      </w:r>
    </w:p>
    <w:p w14:paraId="78EBE171" w14:textId="465927C6" w:rsidR="007E7482" w:rsidRDefault="00902125" w:rsidP="00902125">
      <w:pPr>
        <w:pStyle w:val="Heading3"/>
      </w:pPr>
      <w:r w:rsidRPr="00902125">
        <w:t xml:space="preserve">3.1 </w:t>
      </w:r>
      <w:r w:rsidR="00C10B87">
        <w:t>Annual distributions from endowment funds</w:t>
      </w:r>
      <w:r w:rsidR="007E7482" w:rsidRPr="00902125">
        <w:t xml:space="preserve"> </w:t>
      </w:r>
    </w:p>
    <w:p w14:paraId="32BA7F9E" w14:textId="7B089C27" w:rsidR="00C10B87" w:rsidRPr="00C10B87" w:rsidRDefault="00C10B87" w:rsidP="00C10B87">
      <w:pPr>
        <w:pStyle w:val="ListParagraph"/>
        <w:numPr>
          <w:ilvl w:val="0"/>
          <w:numId w:val="24"/>
        </w:numPr>
        <w:rPr>
          <w:rFonts w:ascii="Arial" w:eastAsia="Arial" w:hAnsi="Arial" w:cs="Arial"/>
          <w:szCs w:val="20"/>
          <w:lang w:eastAsia="en-US"/>
        </w:rPr>
      </w:pPr>
      <w:r w:rsidRPr="00C10B87">
        <w:rPr>
          <w:rFonts w:ascii="Arial" w:eastAsia="Arial" w:hAnsi="Arial" w:cs="Arial"/>
          <w:szCs w:val="20"/>
          <w:lang w:eastAsia="en-US"/>
        </w:rPr>
        <w:t xml:space="preserve">The Distribution Rate is </w:t>
      </w:r>
      <w:r w:rsidR="00C83586">
        <w:rPr>
          <w:rFonts w:ascii="Arial" w:eastAsia="Arial" w:hAnsi="Arial" w:cs="Arial"/>
          <w:szCs w:val="20"/>
          <w:lang w:eastAsia="en-US"/>
        </w:rPr>
        <w:t>approved</w:t>
      </w:r>
      <w:r w:rsidRPr="00C10B87">
        <w:rPr>
          <w:rFonts w:ascii="Arial" w:eastAsia="Arial" w:hAnsi="Arial" w:cs="Arial"/>
          <w:szCs w:val="20"/>
          <w:lang w:eastAsia="en-US"/>
        </w:rPr>
        <w:t xml:space="preserve"> annually by the Finance, Resources and Risk Committee</w:t>
      </w:r>
      <w:r w:rsidR="00C83586">
        <w:rPr>
          <w:rFonts w:ascii="Arial" w:eastAsia="Arial" w:hAnsi="Arial" w:cs="Arial"/>
          <w:szCs w:val="20"/>
          <w:lang w:eastAsia="en-US"/>
        </w:rPr>
        <w:t>. Only in exceptional circumstances will an alternative rate be considered and requires prior approval from the Vice President (Advancement)</w:t>
      </w:r>
      <w:r w:rsidR="00726339">
        <w:rPr>
          <w:rFonts w:ascii="Arial" w:eastAsia="Arial" w:hAnsi="Arial" w:cs="Arial"/>
          <w:szCs w:val="20"/>
          <w:lang w:eastAsia="en-US"/>
        </w:rPr>
        <w:t xml:space="preserve"> and Chief Financial Officer</w:t>
      </w:r>
      <w:r w:rsidR="00AC1353">
        <w:rPr>
          <w:rFonts w:ascii="Arial" w:eastAsia="Arial" w:hAnsi="Arial" w:cs="Arial"/>
          <w:szCs w:val="20"/>
          <w:lang w:eastAsia="en-US"/>
        </w:rPr>
        <w:t>, with subsequent reporting to the Finance, Resources and Risk Committee.</w:t>
      </w:r>
    </w:p>
    <w:p w14:paraId="2545BDFC" w14:textId="15F20243" w:rsidR="00C10B87" w:rsidRPr="00C10B87" w:rsidRDefault="00C10B87" w:rsidP="00C10B87">
      <w:pPr>
        <w:pStyle w:val="ListParagraph"/>
        <w:numPr>
          <w:ilvl w:val="0"/>
          <w:numId w:val="24"/>
        </w:numPr>
        <w:rPr>
          <w:rFonts w:ascii="Arial" w:eastAsia="Arial" w:hAnsi="Arial" w:cs="Arial"/>
          <w:szCs w:val="20"/>
          <w:lang w:eastAsia="en-US"/>
        </w:rPr>
      </w:pPr>
      <w:r w:rsidRPr="00C10B87">
        <w:rPr>
          <w:rFonts w:ascii="Arial" w:eastAsia="Arial" w:hAnsi="Arial" w:cs="Arial"/>
          <w:szCs w:val="20"/>
          <w:lang w:eastAsia="en-US"/>
        </w:rPr>
        <w:t xml:space="preserve">The rate balances the objectives of preserving the real value of endowments over time </w:t>
      </w:r>
      <w:r w:rsidR="008C0B37">
        <w:rPr>
          <w:rFonts w:ascii="Arial" w:eastAsia="Arial" w:hAnsi="Arial" w:cs="Arial"/>
          <w:szCs w:val="20"/>
          <w:lang w:eastAsia="en-US"/>
        </w:rPr>
        <w:t>while</w:t>
      </w:r>
      <w:r w:rsidR="008C0B37" w:rsidRPr="00C10B87">
        <w:rPr>
          <w:rFonts w:ascii="Arial" w:eastAsia="Arial" w:hAnsi="Arial" w:cs="Arial"/>
          <w:szCs w:val="20"/>
          <w:lang w:eastAsia="en-US"/>
        </w:rPr>
        <w:t xml:space="preserve"> </w:t>
      </w:r>
      <w:r w:rsidRPr="00C10B87">
        <w:rPr>
          <w:rFonts w:ascii="Arial" w:eastAsia="Arial" w:hAnsi="Arial" w:cs="Arial"/>
          <w:szCs w:val="20"/>
          <w:lang w:eastAsia="en-US"/>
        </w:rPr>
        <w:t>providing a stable flow of income for the activities specified by the initial donation</w:t>
      </w:r>
      <w:r w:rsidR="008C0B37">
        <w:rPr>
          <w:rFonts w:ascii="Arial" w:eastAsia="Arial" w:hAnsi="Arial" w:cs="Arial"/>
          <w:szCs w:val="20"/>
          <w:lang w:eastAsia="en-US"/>
        </w:rPr>
        <w:t>/s</w:t>
      </w:r>
      <w:r w:rsidRPr="00C10B87">
        <w:rPr>
          <w:rFonts w:ascii="Arial" w:eastAsia="Arial" w:hAnsi="Arial" w:cs="Arial"/>
          <w:szCs w:val="20"/>
          <w:lang w:eastAsia="en-US"/>
        </w:rPr>
        <w:t xml:space="preserve">. </w:t>
      </w:r>
    </w:p>
    <w:p w14:paraId="13E09023" w14:textId="09623BBD" w:rsidR="00C10B87" w:rsidRPr="00C10B87" w:rsidRDefault="00C10B87" w:rsidP="00C10B87">
      <w:pPr>
        <w:pStyle w:val="ListParagraph"/>
        <w:numPr>
          <w:ilvl w:val="0"/>
          <w:numId w:val="24"/>
        </w:numPr>
        <w:rPr>
          <w:rFonts w:ascii="Arial" w:eastAsia="Arial" w:hAnsi="Arial" w:cs="Arial"/>
          <w:szCs w:val="20"/>
          <w:lang w:eastAsia="en-US"/>
        </w:rPr>
      </w:pPr>
      <w:r w:rsidRPr="00C10B87">
        <w:rPr>
          <w:rFonts w:ascii="Arial" w:eastAsia="Arial" w:hAnsi="Arial" w:cs="Arial"/>
          <w:szCs w:val="20"/>
          <w:lang w:eastAsia="en-US"/>
        </w:rPr>
        <w:t>A conservative but stable rate is calculated to smooth Endowment Fund distributions. Distributions will be transferred monthly to each endowment, based on the prior month</w:t>
      </w:r>
      <w:r w:rsidR="008C0B37">
        <w:rPr>
          <w:rFonts w:ascii="Arial" w:eastAsia="Arial" w:hAnsi="Arial" w:cs="Arial"/>
          <w:szCs w:val="20"/>
          <w:lang w:eastAsia="en-US"/>
        </w:rPr>
        <w:t>’s</w:t>
      </w:r>
      <w:r w:rsidRPr="00C10B87">
        <w:rPr>
          <w:rFonts w:ascii="Arial" w:eastAsia="Arial" w:hAnsi="Arial" w:cs="Arial"/>
          <w:szCs w:val="20"/>
          <w:lang w:eastAsia="en-US"/>
        </w:rPr>
        <w:t xml:space="preserve"> balance.</w:t>
      </w:r>
    </w:p>
    <w:p w14:paraId="29065633" w14:textId="48394F99" w:rsidR="00C10B87" w:rsidRPr="00C10B87" w:rsidRDefault="00C10B87" w:rsidP="00C10B87">
      <w:pPr>
        <w:pStyle w:val="ListParagraph"/>
        <w:numPr>
          <w:ilvl w:val="0"/>
          <w:numId w:val="24"/>
        </w:numPr>
        <w:rPr>
          <w:rFonts w:ascii="Arial" w:eastAsia="Arial" w:hAnsi="Arial" w:cs="Arial"/>
          <w:szCs w:val="20"/>
          <w:lang w:eastAsia="en-US"/>
        </w:rPr>
      </w:pPr>
      <w:r w:rsidRPr="00C10B87">
        <w:rPr>
          <w:rFonts w:ascii="Arial" w:eastAsia="Arial" w:hAnsi="Arial" w:cs="Arial"/>
          <w:szCs w:val="20"/>
          <w:lang w:eastAsia="en-US"/>
        </w:rPr>
        <w:lastRenderedPageBreak/>
        <w:t xml:space="preserve">The </w:t>
      </w:r>
      <w:r w:rsidR="001A7E08">
        <w:rPr>
          <w:rFonts w:ascii="Arial" w:eastAsia="Arial" w:hAnsi="Arial" w:cs="Arial"/>
          <w:szCs w:val="20"/>
          <w:lang w:eastAsia="en-US"/>
        </w:rPr>
        <w:t xml:space="preserve">annual </w:t>
      </w:r>
      <w:r w:rsidRPr="00C10B87">
        <w:rPr>
          <w:rFonts w:ascii="Arial" w:eastAsia="Arial" w:hAnsi="Arial" w:cs="Arial"/>
          <w:szCs w:val="20"/>
          <w:lang w:eastAsia="en-US"/>
        </w:rPr>
        <w:t xml:space="preserve">rate is </w:t>
      </w:r>
      <w:r w:rsidR="001A7E08">
        <w:rPr>
          <w:rFonts w:ascii="Arial" w:eastAsia="Arial" w:hAnsi="Arial" w:cs="Arial"/>
          <w:szCs w:val="20"/>
          <w:lang w:eastAsia="en-US"/>
        </w:rPr>
        <w:t>approved</w:t>
      </w:r>
      <w:r w:rsidRPr="00C10B87">
        <w:rPr>
          <w:rFonts w:ascii="Arial" w:eastAsia="Arial" w:hAnsi="Arial" w:cs="Arial"/>
          <w:szCs w:val="20"/>
          <w:lang w:eastAsia="en-US"/>
        </w:rPr>
        <w:t xml:space="preserve"> </w:t>
      </w:r>
      <w:r w:rsidR="001A7E08">
        <w:rPr>
          <w:rFonts w:ascii="Arial" w:eastAsia="Arial" w:hAnsi="Arial" w:cs="Arial"/>
          <w:szCs w:val="20"/>
          <w:lang w:eastAsia="en-US"/>
        </w:rPr>
        <w:t>by</w:t>
      </w:r>
      <w:r w:rsidRPr="00C10B87">
        <w:rPr>
          <w:rFonts w:ascii="Arial" w:eastAsia="Arial" w:hAnsi="Arial" w:cs="Arial"/>
          <w:szCs w:val="20"/>
          <w:lang w:eastAsia="en-US"/>
        </w:rPr>
        <w:t xml:space="preserve"> 30 June each </w:t>
      </w:r>
      <w:r w:rsidR="001A7E08">
        <w:rPr>
          <w:rFonts w:ascii="Arial" w:eastAsia="Arial" w:hAnsi="Arial" w:cs="Arial"/>
          <w:szCs w:val="20"/>
          <w:lang w:eastAsia="en-US"/>
        </w:rPr>
        <w:t xml:space="preserve">prior </w:t>
      </w:r>
      <w:r w:rsidRPr="00C10B87">
        <w:rPr>
          <w:rFonts w:ascii="Arial" w:eastAsia="Arial" w:hAnsi="Arial" w:cs="Arial"/>
          <w:szCs w:val="20"/>
          <w:lang w:eastAsia="en-US"/>
        </w:rPr>
        <w:t>year</w:t>
      </w:r>
      <w:r w:rsidR="00EC73B0">
        <w:rPr>
          <w:rFonts w:ascii="Arial" w:eastAsia="Arial" w:hAnsi="Arial" w:cs="Arial"/>
          <w:szCs w:val="20"/>
          <w:lang w:eastAsia="en-US"/>
        </w:rPr>
        <w:t>.</w:t>
      </w:r>
      <w:r w:rsidR="001A7E08">
        <w:rPr>
          <w:rFonts w:ascii="Arial" w:eastAsia="Arial" w:hAnsi="Arial" w:cs="Arial"/>
          <w:szCs w:val="20"/>
          <w:lang w:eastAsia="en-US"/>
        </w:rPr>
        <w:t xml:space="preserve"> </w:t>
      </w:r>
      <w:r w:rsidR="00EC73B0" w:rsidRPr="00EC73B0">
        <w:rPr>
          <w:rFonts w:ascii="Arial" w:eastAsia="Arial" w:hAnsi="Arial" w:cs="Arial"/>
          <w:szCs w:val="20"/>
          <w:lang w:eastAsia="en-US"/>
        </w:rPr>
        <w:t xml:space="preserve">A </w:t>
      </w:r>
      <w:r w:rsidR="00EC73B0">
        <w:rPr>
          <w:rFonts w:ascii="Arial" w:eastAsia="Arial" w:hAnsi="Arial" w:cs="Arial"/>
          <w:szCs w:val="20"/>
          <w:lang w:eastAsia="en-US"/>
        </w:rPr>
        <w:t>portion</w:t>
      </w:r>
      <w:r w:rsidR="00EC73B0" w:rsidRPr="00EC73B0">
        <w:rPr>
          <w:rFonts w:ascii="Arial" w:eastAsia="Arial" w:hAnsi="Arial" w:cs="Arial"/>
          <w:szCs w:val="20"/>
          <w:lang w:eastAsia="en-US"/>
        </w:rPr>
        <w:t xml:space="preserve"> of the approved rate (to compensate for and in line with CPI) is invested back into the endowment to preserve the original donated value.  The remaining rate earned is used for the endowment’s stated purpose.</w:t>
      </w:r>
    </w:p>
    <w:p w14:paraId="6557B44A" w14:textId="096D324C" w:rsidR="00C10B87" w:rsidRPr="00C10B87" w:rsidRDefault="00C10B87" w:rsidP="00C10B87">
      <w:pPr>
        <w:pStyle w:val="ListParagraph"/>
        <w:numPr>
          <w:ilvl w:val="0"/>
          <w:numId w:val="24"/>
        </w:numPr>
        <w:rPr>
          <w:rFonts w:ascii="Arial" w:eastAsia="Arial" w:hAnsi="Arial" w:cs="Arial"/>
          <w:szCs w:val="20"/>
          <w:lang w:eastAsia="en-US"/>
        </w:rPr>
      </w:pPr>
      <w:r w:rsidRPr="00C10B87">
        <w:rPr>
          <w:rFonts w:ascii="Arial" w:eastAsia="Arial" w:hAnsi="Arial" w:cs="Arial"/>
          <w:szCs w:val="20"/>
          <w:lang w:eastAsia="en-US"/>
        </w:rPr>
        <w:t>Any unallocated distribution at the end of each year will be retained in each endowment to be redrawn in future years as required.</w:t>
      </w:r>
    </w:p>
    <w:p w14:paraId="06F961CF" w14:textId="61BFDD27" w:rsidR="00676E5C" w:rsidRPr="008C0B37" w:rsidRDefault="00902125" w:rsidP="008C0B37">
      <w:pPr>
        <w:pStyle w:val="Heading2"/>
      </w:pPr>
      <w:bookmarkStart w:id="3" w:name="_Ref20320710"/>
      <w:bookmarkStart w:id="4" w:name="_Ref21613385"/>
      <w:r w:rsidRPr="00902125">
        <w:t xml:space="preserve">4.0 </w:t>
      </w:r>
      <w:r w:rsidR="00DA348D" w:rsidRPr="00902125">
        <w:t>Roles</w:t>
      </w:r>
      <w:r w:rsidR="00AB5659">
        <w:t>,</w:t>
      </w:r>
      <w:r w:rsidR="00DA348D" w:rsidRPr="00902125">
        <w:t xml:space="preserve"> </w:t>
      </w:r>
      <w:proofErr w:type="gramStart"/>
      <w:r w:rsidR="00DA348D" w:rsidRPr="00902125">
        <w:t>responsibilities</w:t>
      </w:r>
      <w:bookmarkEnd w:id="3"/>
      <w:proofErr w:type="gramEnd"/>
      <w:r w:rsidR="00AB5659">
        <w:t xml:space="preserve"> and delegations</w:t>
      </w:r>
      <w:bookmarkEnd w:id="4"/>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8708BC" w:rsidRPr="00BA6219" w14:paraId="0D9BCA1F" w14:textId="77777777" w:rsidTr="008708BC">
        <w:trPr>
          <w:trHeight w:val="454"/>
        </w:trPr>
        <w:tc>
          <w:tcPr>
            <w:tcW w:w="2500" w:type="pct"/>
            <w:tcBorders>
              <w:bottom w:val="single" w:sz="8" w:space="0" w:color="E30918"/>
            </w:tcBorders>
            <w:shd w:val="clear" w:color="auto" w:fill="auto"/>
          </w:tcPr>
          <w:p w14:paraId="25DE701F" w14:textId="77777777" w:rsidR="008708BC" w:rsidRPr="00BA6219" w:rsidRDefault="008708BC" w:rsidP="006D0DD5">
            <w:pPr>
              <w:spacing w:before="120" w:after="120"/>
              <w:rPr>
                <w:rFonts w:cs="Arial"/>
                <w:color w:val="000000" w:themeColor="text1"/>
                <w:szCs w:val="20"/>
              </w:rPr>
            </w:pPr>
          </w:p>
        </w:tc>
        <w:tc>
          <w:tcPr>
            <w:tcW w:w="2500" w:type="pct"/>
            <w:tcBorders>
              <w:bottom w:val="single" w:sz="8" w:space="0" w:color="E30918"/>
            </w:tcBorders>
            <w:shd w:val="clear" w:color="auto" w:fill="auto"/>
          </w:tcPr>
          <w:p w14:paraId="61802F19" w14:textId="77777777" w:rsidR="008708BC" w:rsidRPr="00BA6219" w:rsidRDefault="008708BC" w:rsidP="006D0DD5">
            <w:pPr>
              <w:spacing w:before="120" w:after="120"/>
              <w:rPr>
                <w:rFonts w:cs="Arial"/>
                <w:color w:val="000000" w:themeColor="text1"/>
                <w:szCs w:val="20"/>
              </w:rPr>
            </w:pPr>
          </w:p>
        </w:tc>
      </w:tr>
      <w:tr w:rsidR="008708BC" w14:paraId="614AA826" w14:textId="77777777" w:rsidTr="008708BC">
        <w:tc>
          <w:tcPr>
            <w:tcW w:w="2500" w:type="pct"/>
            <w:tcBorders>
              <w:top w:val="single" w:sz="8" w:space="0" w:color="E30918"/>
            </w:tcBorders>
            <w:shd w:val="clear" w:color="auto" w:fill="E6E7E8"/>
          </w:tcPr>
          <w:p w14:paraId="6CE8771B" w14:textId="0347C81D" w:rsidR="008708BC" w:rsidRPr="00C10B87" w:rsidRDefault="00C10B87" w:rsidP="006D0DD5">
            <w:pPr>
              <w:spacing w:before="120" w:after="120"/>
              <w:rPr>
                <w:rFonts w:ascii="Arial" w:hAnsi="Arial" w:cs="Arial"/>
                <w:b/>
                <w:bCs/>
                <w:szCs w:val="20"/>
              </w:rPr>
            </w:pPr>
            <w:r w:rsidRPr="00C10B87">
              <w:rPr>
                <w:rFonts w:ascii="Arial" w:hAnsi="Arial" w:cs="Arial"/>
                <w:b/>
                <w:bCs/>
                <w:szCs w:val="20"/>
              </w:rPr>
              <w:t>Role</w:t>
            </w:r>
          </w:p>
        </w:tc>
        <w:tc>
          <w:tcPr>
            <w:tcW w:w="2500" w:type="pct"/>
            <w:tcBorders>
              <w:top w:val="single" w:sz="8" w:space="0" w:color="E30918"/>
            </w:tcBorders>
            <w:shd w:val="clear" w:color="auto" w:fill="E6E7E8"/>
          </w:tcPr>
          <w:p w14:paraId="2D2E38ED" w14:textId="24AC5BBB" w:rsidR="008708BC" w:rsidRPr="00C10B87" w:rsidRDefault="00C10B87" w:rsidP="006D0DD5">
            <w:pPr>
              <w:spacing w:before="120" w:after="120"/>
              <w:rPr>
                <w:rFonts w:ascii="Arial" w:hAnsi="Arial" w:cs="Arial"/>
                <w:b/>
                <w:bCs/>
                <w:szCs w:val="20"/>
              </w:rPr>
            </w:pPr>
            <w:r w:rsidRPr="00C10B87">
              <w:rPr>
                <w:rFonts w:ascii="Arial" w:hAnsi="Arial" w:cs="Arial"/>
                <w:b/>
                <w:bCs/>
                <w:szCs w:val="20"/>
              </w:rPr>
              <w:t>Responsibilities</w:t>
            </w:r>
          </w:p>
        </w:tc>
      </w:tr>
      <w:tr w:rsidR="008708BC" w14:paraId="0FEB9BBE" w14:textId="77777777" w:rsidTr="008708BC">
        <w:tc>
          <w:tcPr>
            <w:tcW w:w="2500" w:type="pct"/>
          </w:tcPr>
          <w:p w14:paraId="0D437A6F" w14:textId="63F80B8B" w:rsidR="008708BC" w:rsidRPr="00C10B87" w:rsidRDefault="00C10B87" w:rsidP="006D0DD5">
            <w:pPr>
              <w:spacing w:before="120" w:after="120"/>
              <w:rPr>
                <w:rFonts w:ascii="Arial" w:eastAsia="Arial" w:hAnsi="Arial" w:cs="Arial"/>
                <w:szCs w:val="20"/>
                <w:lang w:eastAsia="en-US"/>
              </w:rPr>
            </w:pPr>
            <w:r w:rsidRPr="00C10B87">
              <w:rPr>
                <w:rFonts w:ascii="Arial" w:eastAsia="Arial" w:hAnsi="Arial" w:cs="Arial"/>
                <w:szCs w:val="20"/>
                <w:lang w:eastAsia="en-US"/>
              </w:rPr>
              <w:t>Finance</w:t>
            </w:r>
          </w:p>
        </w:tc>
        <w:tc>
          <w:tcPr>
            <w:tcW w:w="2500" w:type="pct"/>
          </w:tcPr>
          <w:p w14:paraId="0740B638" w14:textId="77777777" w:rsidR="00C10B87" w:rsidRPr="00C10B87" w:rsidRDefault="00C10B87" w:rsidP="00C10B87">
            <w:pPr>
              <w:widowControl w:val="0"/>
              <w:tabs>
                <w:tab w:val="left" w:pos="1541"/>
                <w:tab w:val="left" w:pos="1542"/>
              </w:tabs>
              <w:autoSpaceDE w:val="0"/>
              <w:autoSpaceDN w:val="0"/>
              <w:spacing w:before="122" w:after="0" w:line="240" w:lineRule="auto"/>
              <w:rPr>
                <w:rFonts w:ascii="Arial" w:eastAsia="Arial" w:hAnsi="Arial" w:cs="Arial"/>
                <w:szCs w:val="20"/>
                <w:lang w:eastAsia="en-US"/>
              </w:rPr>
            </w:pPr>
            <w:r w:rsidRPr="00C10B87">
              <w:rPr>
                <w:rFonts w:ascii="Arial" w:eastAsia="Arial" w:hAnsi="Arial" w:cs="Arial"/>
                <w:szCs w:val="20"/>
                <w:lang w:eastAsia="en-US"/>
              </w:rPr>
              <w:t xml:space="preserve">Ensuring appropriate records are </w:t>
            </w:r>
            <w:proofErr w:type="gramStart"/>
            <w:r w:rsidRPr="00C10B87">
              <w:rPr>
                <w:rFonts w:ascii="Arial" w:eastAsia="Arial" w:hAnsi="Arial" w:cs="Arial"/>
                <w:szCs w:val="20"/>
                <w:lang w:eastAsia="en-US"/>
              </w:rPr>
              <w:t>kept;</w:t>
            </w:r>
            <w:proofErr w:type="gramEnd"/>
          </w:p>
          <w:p w14:paraId="589B44CE" w14:textId="77777777" w:rsidR="00C10B87" w:rsidRPr="00C10B87" w:rsidRDefault="00C10B87" w:rsidP="00C10B87">
            <w:pPr>
              <w:widowControl w:val="0"/>
              <w:tabs>
                <w:tab w:val="left" w:pos="1541"/>
                <w:tab w:val="left" w:pos="1542"/>
              </w:tabs>
              <w:autoSpaceDE w:val="0"/>
              <w:autoSpaceDN w:val="0"/>
              <w:spacing w:before="153" w:after="0" w:line="240" w:lineRule="auto"/>
              <w:rPr>
                <w:rFonts w:ascii="Arial" w:eastAsia="Arial" w:hAnsi="Arial" w:cs="Arial"/>
                <w:szCs w:val="20"/>
                <w:lang w:eastAsia="en-US"/>
              </w:rPr>
            </w:pPr>
            <w:r w:rsidRPr="00C10B87">
              <w:rPr>
                <w:rFonts w:ascii="Arial" w:eastAsia="Arial" w:hAnsi="Arial" w:cs="Arial"/>
                <w:szCs w:val="20"/>
                <w:lang w:eastAsia="en-US"/>
              </w:rPr>
              <w:t xml:space="preserve">Calculating distributions to be made </w:t>
            </w:r>
            <w:proofErr w:type="gramStart"/>
            <w:r w:rsidRPr="00C10B87">
              <w:rPr>
                <w:rFonts w:ascii="Arial" w:eastAsia="Arial" w:hAnsi="Arial" w:cs="Arial"/>
                <w:szCs w:val="20"/>
                <w:lang w:eastAsia="en-US"/>
              </w:rPr>
              <w:t>periodically;</w:t>
            </w:r>
            <w:proofErr w:type="gramEnd"/>
          </w:p>
          <w:p w14:paraId="57AB7118" w14:textId="77777777" w:rsidR="00C10B87" w:rsidRPr="00C10B87" w:rsidRDefault="00C10B87" w:rsidP="00C10B87">
            <w:pPr>
              <w:widowControl w:val="0"/>
              <w:tabs>
                <w:tab w:val="left" w:pos="1541"/>
                <w:tab w:val="left" w:pos="1542"/>
              </w:tabs>
              <w:autoSpaceDE w:val="0"/>
              <w:autoSpaceDN w:val="0"/>
              <w:spacing w:before="151" w:after="0" w:line="240" w:lineRule="auto"/>
              <w:rPr>
                <w:rFonts w:ascii="Arial" w:eastAsia="Arial" w:hAnsi="Arial" w:cs="Arial"/>
                <w:szCs w:val="20"/>
                <w:lang w:eastAsia="en-US"/>
              </w:rPr>
            </w:pPr>
            <w:r w:rsidRPr="00C10B87">
              <w:rPr>
                <w:rFonts w:ascii="Arial" w:eastAsia="Arial" w:hAnsi="Arial" w:cs="Arial"/>
                <w:szCs w:val="20"/>
                <w:lang w:eastAsia="en-US"/>
              </w:rPr>
              <w:t xml:space="preserve">Ensuring distributions are allocated to the correct departments across the </w:t>
            </w:r>
            <w:proofErr w:type="gramStart"/>
            <w:r w:rsidRPr="00C10B87">
              <w:rPr>
                <w:rFonts w:ascii="Arial" w:eastAsia="Arial" w:hAnsi="Arial" w:cs="Arial"/>
                <w:szCs w:val="20"/>
                <w:lang w:eastAsia="en-US"/>
              </w:rPr>
              <w:t>University;</w:t>
            </w:r>
            <w:proofErr w:type="gramEnd"/>
          </w:p>
          <w:p w14:paraId="671E92E3" w14:textId="77777777" w:rsidR="00C10B87" w:rsidRPr="00C10B87" w:rsidRDefault="00C10B87" w:rsidP="00C10B87">
            <w:pPr>
              <w:widowControl w:val="0"/>
              <w:tabs>
                <w:tab w:val="left" w:pos="1541"/>
                <w:tab w:val="left" w:pos="1542"/>
              </w:tabs>
              <w:autoSpaceDE w:val="0"/>
              <w:autoSpaceDN w:val="0"/>
              <w:spacing w:before="154" w:after="0" w:line="240" w:lineRule="auto"/>
              <w:rPr>
                <w:rFonts w:ascii="Arial" w:eastAsia="Arial" w:hAnsi="Arial" w:cs="Arial"/>
                <w:szCs w:val="20"/>
                <w:lang w:eastAsia="en-US"/>
              </w:rPr>
            </w:pPr>
            <w:r w:rsidRPr="00C10B87">
              <w:rPr>
                <w:rFonts w:ascii="Arial" w:eastAsia="Arial" w:hAnsi="Arial" w:cs="Arial"/>
                <w:szCs w:val="20"/>
                <w:lang w:eastAsia="en-US"/>
              </w:rPr>
              <w:t>Ensuring investment practices comply with the University’s Treasury Policy.</w:t>
            </w:r>
          </w:p>
          <w:p w14:paraId="6DC4821C" w14:textId="77777777" w:rsidR="008708BC" w:rsidRDefault="00C10B87" w:rsidP="00C10B87">
            <w:pPr>
              <w:widowControl w:val="0"/>
              <w:tabs>
                <w:tab w:val="left" w:pos="1542"/>
              </w:tabs>
              <w:autoSpaceDE w:val="0"/>
              <w:autoSpaceDN w:val="0"/>
              <w:spacing w:before="153" w:after="0" w:line="273" w:lineRule="auto"/>
              <w:ind w:right="342"/>
              <w:jc w:val="both"/>
              <w:rPr>
                <w:rFonts w:ascii="Arial" w:eastAsia="Arial" w:hAnsi="Arial" w:cs="Arial"/>
                <w:szCs w:val="20"/>
                <w:lang w:eastAsia="en-US"/>
              </w:rPr>
            </w:pPr>
            <w:r w:rsidRPr="00C10B87">
              <w:rPr>
                <w:rFonts w:ascii="Arial" w:eastAsia="Arial" w:hAnsi="Arial" w:cs="Arial"/>
                <w:szCs w:val="20"/>
                <w:lang w:eastAsia="en-US"/>
              </w:rPr>
              <w:t>Reporting to Finance, Resources and Risk Committee on distributions made from the endowment fund.</w:t>
            </w:r>
          </w:p>
          <w:p w14:paraId="70BCA3FA" w14:textId="1DBCC454" w:rsidR="00C10B87" w:rsidRPr="00C10B87" w:rsidRDefault="00C10B87" w:rsidP="00C10B87">
            <w:pPr>
              <w:widowControl w:val="0"/>
              <w:tabs>
                <w:tab w:val="left" w:pos="1542"/>
              </w:tabs>
              <w:autoSpaceDE w:val="0"/>
              <w:autoSpaceDN w:val="0"/>
              <w:spacing w:before="153" w:after="0" w:line="273" w:lineRule="auto"/>
              <w:ind w:right="342"/>
              <w:jc w:val="both"/>
              <w:rPr>
                <w:rFonts w:ascii="Arial" w:eastAsia="Arial" w:hAnsi="Arial" w:cs="Arial"/>
                <w:szCs w:val="20"/>
                <w:lang w:eastAsia="en-US"/>
              </w:rPr>
            </w:pPr>
          </w:p>
        </w:tc>
      </w:tr>
      <w:tr w:rsidR="00996485" w14:paraId="6CDCAA81" w14:textId="77777777" w:rsidTr="008708BC">
        <w:tc>
          <w:tcPr>
            <w:tcW w:w="2500" w:type="pct"/>
            <w:shd w:val="clear" w:color="auto" w:fill="E6E7E8"/>
          </w:tcPr>
          <w:p w14:paraId="4EC5F445" w14:textId="79AE8A40" w:rsidR="00996485" w:rsidRPr="00C10B87" w:rsidRDefault="00996485" w:rsidP="00C10B87">
            <w:pPr>
              <w:widowControl w:val="0"/>
              <w:tabs>
                <w:tab w:val="left" w:pos="1541"/>
                <w:tab w:val="left" w:pos="1542"/>
              </w:tabs>
              <w:autoSpaceDE w:val="0"/>
              <w:autoSpaceDN w:val="0"/>
              <w:spacing w:before="153" w:after="0" w:line="240" w:lineRule="auto"/>
              <w:rPr>
                <w:rFonts w:ascii="Arial" w:eastAsia="Arial" w:hAnsi="Arial" w:cs="Arial"/>
                <w:szCs w:val="20"/>
                <w:lang w:eastAsia="en-US"/>
              </w:rPr>
            </w:pPr>
            <w:r w:rsidRPr="001C2656">
              <w:rPr>
                <w:rFonts w:ascii="Arial" w:eastAsia="Arial" w:hAnsi="Arial" w:cs="Arial"/>
                <w:szCs w:val="20"/>
                <w:lang w:eastAsia="en-US"/>
              </w:rPr>
              <w:t>Vice President (Advancement)</w:t>
            </w:r>
          </w:p>
        </w:tc>
        <w:tc>
          <w:tcPr>
            <w:tcW w:w="2500" w:type="pct"/>
            <w:shd w:val="clear" w:color="auto" w:fill="E6E7E8"/>
          </w:tcPr>
          <w:p w14:paraId="75BFC225" w14:textId="77777777" w:rsidR="00726339" w:rsidRDefault="00996485" w:rsidP="006D0DD5">
            <w:pPr>
              <w:spacing w:before="120" w:after="120"/>
              <w:rPr>
                <w:rFonts w:ascii="Arial" w:eastAsia="Arial" w:hAnsi="Arial" w:cs="Arial"/>
                <w:szCs w:val="20"/>
                <w:lang w:eastAsia="en-US"/>
              </w:rPr>
            </w:pPr>
            <w:r>
              <w:rPr>
                <w:rFonts w:ascii="Arial" w:eastAsia="Arial" w:hAnsi="Arial" w:cs="Arial"/>
                <w:szCs w:val="20"/>
                <w:lang w:eastAsia="en-US"/>
              </w:rPr>
              <w:t>Approval of the establishment of a new Endowment Fund</w:t>
            </w:r>
            <w:r w:rsidR="00726339">
              <w:rPr>
                <w:rFonts w:ascii="Arial" w:eastAsia="Arial" w:hAnsi="Arial" w:cs="Arial"/>
                <w:szCs w:val="20"/>
                <w:lang w:eastAsia="en-US"/>
              </w:rPr>
              <w:t>.</w:t>
            </w:r>
          </w:p>
          <w:p w14:paraId="1B38CB51" w14:textId="6DA48653" w:rsidR="00996485" w:rsidRPr="00C10B87" w:rsidRDefault="00726339" w:rsidP="006D0DD5">
            <w:pPr>
              <w:spacing w:before="120" w:after="120"/>
              <w:rPr>
                <w:rFonts w:ascii="Arial" w:eastAsia="Arial" w:hAnsi="Arial" w:cs="Arial"/>
                <w:szCs w:val="20"/>
                <w:lang w:eastAsia="en-US"/>
              </w:rPr>
            </w:pPr>
            <w:r>
              <w:rPr>
                <w:rFonts w:ascii="Arial" w:eastAsia="Arial" w:hAnsi="Arial" w:cs="Arial"/>
                <w:szCs w:val="20"/>
                <w:lang w:eastAsia="en-US"/>
              </w:rPr>
              <w:t>Approval of</w:t>
            </w:r>
            <w:r w:rsidR="00C83586">
              <w:rPr>
                <w:rFonts w:ascii="Arial" w:eastAsia="Arial" w:hAnsi="Arial" w:cs="Arial"/>
                <w:szCs w:val="20"/>
                <w:lang w:eastAsia="en-US"/>
              </w:rPr>
              <w:t xml:space="preserve"> any exception to the distribution rate</w:t>
            </w:r>
            <w:r>
              <w:rPr>
                <w:rFonts w:ascii="Arial" w:eastAsia="Arial" w:hAnsi="Arial" w:cs="Arial"/>
                <w:szCs w:val="20"/>
                <w:lang w:eastAsia="en-US"/>
              </w:rPr>
              <w:t xml:space="preserve"> (with Chief Financial Officer)</w:t>
            </w:r>
          </w:p>
        </w:tc>
      </w:tr>
      <w:tr w:rsidR="00726339" w14:paraId="1987C849" w14:textId="77777777" w:rsidTr="00AE3D9B">
        <w:tc>
          <w:tcPr>
            <w:tcW w:w="2500" w:type="pct"/>
            <w:shd w:val="clear" w:color="auto" w:fill="FFFFFF" w:themeFill="background1"/>
          </w:tcPr>
          <w:p w14:paraId="4CA71493" w14:textId="207FF9C5" w:rsidR="00726339" w:rsidRPr="001C2656" w:rsidRDefault="00726339" w:rsidP="00C10B87">
            <w:pPr>
              <w:widowControl w:val="0"/>
              <w:tabs>
                <w:tab w:val="left" w:pos="1541"/>
                <w:tab w:val="left" w:pos="1542"/>
              </w:tabs>
              <w:autoSpaceDE w:val="0"/>
              <w:autoSpaceDN w:val="0"/>
              <w:spacing w:before="153" w:after="0" w:line="240" w:lineRule="auto"/>
              <w:rPr>
                <w:rFonts w:ascii="Arial" w:eastAsia="Arial" w:hAnsi="Arial" w:cs="Arial"/>
                <w:szCs w:val="20"/>
                <w:lang w:eastAsia="en-US"/>
              </w:rPr>
            </w:pPr>
            <w:r>
              <w:rPr>
                <w:rFonts w:ascii="Arial" w:eastAsia="Arial" w:hAnsi="Arial" w:cs="Arial"/>
                <w:szCs w:val="20"/>
                <w:lang w:eastAsia="en-US"/>
              </w:rPr>
              <w:t>Chief Financial Officer</w:t>
            </w:r>
          </w:p>
        </w:tc>
        <w:tc>
          <w:tcPr>
            <w:tcW w:w="2500" w:type="pct"/>
            <w:shd w:val="clear" w:color="auto" w:fill="FFFFFF" w:themeFill="background1"/>
          </w:tcPr>
          <w:p w14:paraId="40CD2817" w14:textId="50A258F7" w:rsidR="00726339" w:rsidRDefault="00726339" w:rsidP="006D0DD5">
            <w:pPr>
              <w:spacing w:before="120" w:after="120"/>
              <w:rPr>
                <w:rFonts w:ascii="Arial" w:eastAsia="Arial" w:hAnsi="Arial" w:cs="Arial"/>
                <w:szCs w:val="20"/>
                <w:lang w:eastAsia="en-US"/>
              </w:rPr>
            </w:pPr>
            <w:r>
              <w:rPr>
                <w:rFonts w:ascii="Arial" w:eastAsia="Arial" w:hAnsi="Arial" w:cs="Arial"/>
                <w:szCs w:val="20"/>
                <w:lang w:eastAsia="en-US"/>
              </w:rPr>
              <w:t>Approval of any exception to the distribution rate (with Vice President (Advancement))</w:t>
            </w:r>
          </w:p>
        </w:tc>
      </w:tr>
      <w:tr w:rsidR="008708BC" w14:paraId="7880D5C3" w14:textId="77777777" w:rsidTr="00AE3D9B">
        <w:tc>
          <w:tcPr>
            <w:tcW w:w="2500" w:type="pct"/>
            <w:shd w:val="clear" w:color="auto" w:fill="E7E6E6" w:themeFill="background2"/>
          </w:tcPr>
          <w:p w14:paraId="2EBA9023" w14:textId="29652965" w:rsidR="008708BC" w:rsidRPr="000209B9" w:rsidRDefault="00C10B87" w:rsidP="00C10B87">
            <w:pPr>
              <w:widowControl w:val="0"/>
              <w:tabs>
                <w:tab w:val="left" w:pos="1541"/>
                <w:tab w:val="left" w:pos="1542"/>
              </w:tabs>
              <w:autoSpaceDE w:val="0"/>
              <w:autoSpaceDN w:val="0"/>
              <w:spacing w:before="153" w:after="0" w:line="240" w:lineRule="auto"/>
              <w:rPr>
                <w:rFonts w:ascii="Arial" w:hAnsi="Arial" w:cs="Arial"/>
                <w:szCs w:val="20"/>
              </w:rPr>
            </w:pPr>
            <w:r w:rsidRPr="00C10B87">
              <w:rPr>
                <w:rFonts w:ascii="Arial" w:eastAsia="Arial" w:hAnsi="Arial" w:cs="Arial"/>
                <w:szCs w:val="20"/>
                <w:lang w:eastAsia="en-US"/>
              </w:rPr>
              <w:t>Finance, Resources and Risk Committee</w:t>
            </w:r>
          </w:p>
        </w:tc>
        <w:tc>
          <w:tcPr>
            <w:tcW w:w="2500" w:type="pct"/>
            <w:shd w:val="clear" w:color="auto" w:fill="E7E6E6" w:themeFill="background2"/>
          </w:tcPr>
          <w:p w14:paraId="56F2A36E" w14:textId="2C2D726D" w:rsidR="00C10B87" w:rsidRPr="00C10B87" w:rsidRDefault="00C10B87" w:rsidP="006D0DD5">
            <w:pPr>
              <w:spacing w:before="120" w:after="120"/>
              <w:rPr>
                <w:rFonts w:ascii="Arial" w:eastAsia="Arial" w:hAnsi="Arial" w:cs="Arial"/>
                <w:szCs w:val="20"/>
                <w:lang w:eastAsia="en-US"/>
              </w:rPr>
            </w:pPr>
            <w:r w:rsidRPr="00C10B87">
              <w:rPr>
                <w:rFonts w:ascii="Arial" w:eastAsia="Arial" w:hAnsi="Arial" w:cs="Arial"/>
                <w:szCs w:val="20"/>
                <w:lang w:eastAsia="en-US"/>
              </w:rPr>
              <w:t>Approval of the annual Distribution Rate</w:t>
            </w:r>
            <w:r w:rsidR="00AC1353">
              <w:rPr>
                <w:rFonts w:ascii="Arial" w:eastAsia="Arial" w:hAnsi="Arial" w:cs="Arial"/>
                <w:szCs w:val="20"/>
                <w:lang w:eastAsia="en-US"/>
              </w:rPr>
              <w:t xml:space="preserve"> (including noting any exceptions as approved by the Vice President (Advancement) and Chief Financial Officer)</w:t>
            </w:r>
          </w:p>
          <w:p w14:paraId="0F83A096" w14:textId="77777777" w:rsidR="00C10B87" w:rsidRDefault="00C10B87" w:rsidP="006D0DD5">
            <w:pPr>
              <w:spacing w:before="120" w:after="120"/>
              <w:rPr>
                <w:rFonts w:ascii="Arial" w:eastAsia="Arial" w:hAnsi="Arial" w:cs="Arial"/>
                <w:szCs w:val="20"/>
                <w:lang w:eastAsia="en-US"/>
              </w:rPr>
            </w:pPr>
            <w:r w:rsidRPr="00C10B87">
              <w:rPr>
                <w:rFonts w:ascii="Arial" w:eastAsia="Arial" w:hAnsi="Arial" w:cs="Arial"/>
                <w:szCs w:val="20"/>
                <w:lang w:eastAsia="en-US"/>
              </w:rPr>
              <w:t>Approval</w:t>
            </w:r>
            <w:r>
              <w:rPr>
                <w:rFonts w:ascii="Arial" w:eastAsia="Arial" w:hAnsi="Arial" w:cs="Arial"/>
                <w:szCs w:val="20"/>
                <w:lang w:eastAsia="en-US"/>
              </w:rPr>
              <w:t xml:space="preserve"> of</w:t>
            </w:r>
            <w:r w:rsidRPr="00C10B87">
              <w:rPr>
                <w:rFonts w:ascii="Arial" w:eastAsia="Arial" w:hAnsi="Arial" w:cs="Arial"/>
                <w:szCs w:val="20"/>
                <w:lang w:eastAsia="en-US"/>
              </w:rPr>
              <w:t xml:space="preserve"> the asset allocation </w:t>
            </w:r>
          </w:p>
          <w:p w14:paraId="46384A22" w14:textId="56C675D5" w:rsidR="008708BC" w:rsidRPr="000209B9" w:rsidRDefault="00C10B87" w:rsidP="006D0DD5">
            <w:pPr>
              <w:spacing w:before="120" w:after="120"/>
              <w:rPr>
                <w:rFonts w:ascii="Arial" w:hAnsi="Arial" w:cs="Arial"/>
                <w:szCs w:val="20"/>
              </w:rPr>
            </w:pPr>
            <w:r>
              <w:rPr>
                <w:rFonts w:ascii="Arial" w:eastAsia="Arial" w:hAnsi="Arial" w:cs="Arial"/>
                <w:szCs w:val="20"/>
                <w:lang w:eastAsia="en-US"/>
              </w:rPr>
              <w:t>A</w:t>
            </w:r>
            <w:r w:rsidRPr="00C10B87">
              <w:rPr>
                <w:rFonts w:ascii="Arial" w:eastAsia="Arial" w:hAnsi="Arial" w:cs="Arial"/>
                <w:szCs w:val="20"/>
                <w:lang w:eastAsia="en-US"/>
              </w:rPr>
              <w:t>ssessment of investment performance and strategy to support the objectives of the Universit</w:t>
            </w:r>
            <w:r>
              <w:rPr>
                <w:rFonts w:ascii="Arial" w:eastAsia="Arial" w:hAnsi="Arial" w:cs="Arial"/>
                <w:szCs w:val="20"/>
                <w:lang w:eastAsia="en-US"/>
              </w:rPr>
              <w:t>y</w:t>
            </w:r>
          </w:p>
        </w:tc>
      </w:tr>
    </w:tbl>
    <w:p w14:paraId="43D7235D" w14:textId="77777777" w:rsidR="00676E5C" w:rsidRPr="00557E43" w:rsidRDefault="00676E5C" w:rsidP="00B43C60">
      <w:pPr>
        <w:rPr>
          <w:szCs w:val="20"/>
        </w:rPr>
      </w:pPr>
    </w:p>
    <w:p w14:paraId="34009791" w14:textId="54CB7D04" w:rsidR="003E0B6D" w:rsidRPr="00902125" w:rsidRDefault="00DA348D" w:rsidP="00902125">
      <w:pPr>
        <w:pStyle w:val="Heading2"/>
      </w:pPr>
      <w:bookmarkStart w:id="5" w:name="_Ref20320732"/>
      <w:r w:rsidRPr="00902125">
        <w:lastRenderedPageBreak/>
        <w:t>5</w:t>
      </w:r>
      <w:r w:rsidR="003E0B6D" w:rsidRPr="00902125">
        <w:t>.0 Definitions</w:t>
      </w:r>
      <w:bookmarkEnd w:id="5"/>
    </w:p>
    <w:p w14:paraId="33C1733A" w14:textId="01694BED" w:rsidR="008708BC" w:rsidRPr="008708BC" w:rsidRDefault="008708BC" w:rsidP="008708BC">
      <w:pPr>
        <w:pStyle w:val="Heading2"/>
        <w:tabs>
          <w:tab w:val="left" w:pos="1241"/>
          <w:tab w:val="left" w:pos="1242"/>
        </w:tabs>
        <w:rPr>
          <w:rFonts w:ascii="Arial" w:eastAsiaTheme="minorHAnsi" w:hAnsi="Arial" w:cs="Arial"/>
          <w:color w:val="auto"/>
          <w:sz w:val="20"/>
          <w:szCs w:val="20"/>
        </w:rPr>
      </w:pPr>
      <w:r w:rsidRPr="008708BC">
        <w:rPr>
          <w:rFonts w:ascii="Arial" w:eastAsiaTheme="minorHAnsi" w:hAnsi="Arial" w:cs="Arial"/>
          <w:b/>
          <w:bCs/>
          <w:color w:val="auto"/>
          <w:sz w:val="20"/>
          <w:szCs w:val="20"/>
        </w:rPr>
        <w:t>Endowment Fund</w:t>
      </w:r>
      <w:r>
        <w:rPr>
          <w:rFonts w:ascii="Arial" w:eastAsiaTheme="minorHAnsi" w:hAnsi="Arial" w:cs="Arial"/>
          <w:color w:val="auto"/>
          <w:sz w:val="20"/>
          <w:szCs w:val="20"/>
        </w:rPr>
        <w:t xml:space="preserve"> </w:t>
      </w:r>
      <w:r w:rsidRPr="008708BC">
        <w:rPr>
          <w:rFonts w:ascii="Arial" w:eastAsiaTheme="minorHAnsi" w:hAnsi="Arial" w:cs="Arial"/>
          <w:color w:val="auto"/>
          <w:sz w:val="20"/>
          <w:szCs w:val="20"/>
        </w:rPr>
        <w:t>is an investment fund established by the University for receiving third party donations as well as contributions from the University’s own reserves</w:t>
      </w:r>
      <w:r w:rsidR="00996485">
        <w:rPr>
          <w:rFonts w:ascii="Arial" w:eastAsiaTheme="minorHAnsi" w:hAnsi="Arial" w:cs="Arial"/>
          <w:color w:val="auto"/>
          <w:sz w:val="20"/>
          <w:szCs w:val="20"/>
        </w:rPr>
        <w:t>,</w:t>
      </w:r>
      <w:r w:rsidRPr="008708BC">
        <w:rPr>
          <w:rFonts w:ascii="Arial" w:eastAsiaTheme="minorHAnsi" w:hAnsi="Arial" w:cs="Arial"/>
          <w:color w:val="auto"/>
          <w:sz w:val="20"/>
          <w:szCs w:val="20"/>
        </w:rPr>
        <w:t xml:space="preserve"> specifically with the purpose of generating operating income for specific or general purposes (normally to support scholarships), whilst preserving the capital base (except for amortising endowments where the capital decreases over time).</w:t>
      </w:r>
    </w:p>
    <w:p w14:paraId="658891FB" w14:textId="67192E33" w:rsidR="008708BC" w:rsidRPr="008708BC" w:rsidRDefault="008708BC" w:rsidP="008708BC">
      <w:pPr>
        <w:pStyle w:val="Heading2"/>
        <w:tabs>
          <w:tab w:val="left" w:pos="1241"/>
          <w:tab w:val="left" w:pos="1242"/>
        </w:tabs>
        <w:spacing w:before="120"/>
        <w:rPr>
          <w:rFonts w:ascii="Arial" w:eastAsiaTheme="minorHAnsi" w:hAnsi="Arial" w:cs="Arial"/>
          <w:color w:val="auto"/>
          <w:sz w:val="20"/>
          <w:szCs w:val="20"/>
        </w:rPr>
      </w:pPr>
      <w:r w:rsidRPr="008708BC">
        <w:rPr>
          <w:rFonts w:ascii="Arial" w:eastAsiaTheme="minorHAnsi" w:hAnsi="Arial" w:cs="Arial"/>
          <w:b/>
          <w:bCs/>
          <w:color w:val="auto"/>
          <w:sz w:val="20"/>
          <w:szCs w:val="20"/>
        </w:rPr>
        <w:t>Consumer Price Index (CPI)</w:t>
      </w:r>
      <w:r>
        <w:rPr>
          <w:rFonts w:ascii="Arial" w:eastAsiaTheme="minorHAnsi" w:hAnsi="Arial" w:cs="Arial"/>
          <w:color w:val="auto"/>
          <w:sz w:val="20"/>
          <w:szCs w:val="20"/>
        </w:rPr>
        <w:t xml:space="preserve"> </w:t>
      </w:r>
      <w:r w:rsidRPr="008708BC">
        <w:rPr>
          <w:rFonts w:ascii="Arial" w:eastAsiaTheme="minorHAnsi" w:hAnsi="Arial" w:cs="Arial"/>
          <w:color w:val="auto"/>
          <w:sz w:val="20"/>
          <w:szCs w:val="20"/>
        </w:rPr>
        <w:t>is the Australian All Groups CPI (Percentage Change from Corresponding Quarter of Previous Year), for the 12 months ending December, published by the Australian Bureau of Statistics.</w:t>
      </w:r>
    </w:p>
    <w:p w14:paraId="79E18F32" w14:textId="5BFB1DC7" w:rsidR="008708BC" w:rsidRPr="008708BC" w:rsidRDefault="008708BC" w:rsidP="008708BC">
      <w:pPr>
        <w:pStyle w:val="Heading2"/>
        <w:tabs>
          <w:tab w:val="left" w:pos="1241"/>
          <w:tab w:val="left" w:pos="1242"/>
        </w:tabs>
        <w:spacing w:before="187"/>
        <w:rPr>
          <w:rFonts w:ascii="Arial" w:eastAsiaTheme="minorHAnsi" w:hAnsi="Arial" w:cs="Arial"/>
          <w:color w:val="auto"/>
          <w:sz w:val="20"/>
          <w:szCs w:val="20"/>
        </w:rPr>
      </w:pPr>
      <w:r w:rsidRPr="008708BC">
        <w:rPr>
          <w:rFonts w:ascii="Arial" w:eastAsiaTheme="minorHAnsi" w:hAnsi="Arial" w:cs="Arial"/>
          <w:b/>
          <w:bCs/>
          <w:color w:val="auto"/>
          <w:sz w:val="20"/>
          <w:szCs w:val="20"/>
        </w:rPr>
        <w:t>Real value</w:t>
      </w:r>
      <w:r w:rsidRPr="008708BC">
        <w:rPr>
          <w:rFonts w:ascii="Arial" w:eastAsiaTheme="minorHAnsi" w:hAnsi="Arial" w:cs="Arial"/>
          <w:color w:val="auto"/>
          <w:sz w:val="20"/>
          <w:szCs w:val="20"/>
        </w:rPr>
        <w:t xml:space="preserve"> is the value of an initial sum of money which has been adjusted for inflation as measured by the CPI so that purchasing power remains constant.</w:t>
      </w:r>
    </w:p>
    <w:p w14:paraId="63C50DB9" w14:textId="35B6A5DA" w:rsidR="008708BC" w:rsidRPr="008708BC" w:rsidRDefault="008708BC" w:rsidP="008708BC">
      <w:pPr>
        <w:pStyle w:val="Heading2"/>
        <w:tabs>
          <w:tab w:val="left" w:pos="1241"/>
          <w:tab w:val="left" w:pos="1242"/>
        </w:tabs>
        <w:spacing w:before="116"/>
        <w:rPr>
          <w:rFonts w:ascii="Arial" w:eastAsiaTheme="minorHAnsi" w:hAnsi="Arial" w:cs="Arial"/>
          <w:color w:val="auto"/>
          <w:sz w:val="20"/>
          <w:szCs w:val="20"/>
        </w:rPr>
      </w:pPr>
      <w:r w:rsidRPr="008708BC">
        <w:rPr>
          <w:rFonts w:ascii="Arial" w:eastAsiaTheme="minorHAnsi" w:hAnsi="Arial" w:cs="Arial"/>
          <w:b/>
          <w:bCs/>
          <w:color w:val="auto"/>
          <w:sz w:val="20"/>
          <w:szCs w:val="20"/>
        </w:rPr>
        <w:t>Distribution Rate</w:t>
      </w:r>
      <w:r w:rsidRPr="008708BC">
        <w:rPr>
          <w:rFonts w:ascii="Arial" w:eastAsiaTheme="minorHAnsi" w:hAnsi="Arial" w:cs="Arial"/>
          <w:color w:val="auto"/>
          <w:sz w:val="20"/>
          <w:szCs w:val="20"/>
        </w:rPr>
        <w:t xml:space="preserve"> is the annual distribution from the Endowment Fund and reflects the </w:t>
      </w:r>
      <w:proofErr w:type="gramStart"/>
      <w:r w:rsidRPr="008708BC">
        <w:rPr>
          <w:rFonts w:ascii="Arial" w:eastAsiaTheme="minorHAnsi" w:hAnsi="Arial" w:cs="Arial"/>
          <w:color w:val="auto"/>
          <w:sz w:val="20"/>
          <w:szCs w:val="20"/>
        </w:rPr>
        <w:t>long term</w:t>
      </w:r>
      <w:proofErr w:type="gramEnd"/>
      <w:r w:rsidRPr="008708BC">
        <w:rPr>
          <w:rFonts w:ascii="Arial" w:eastAsiaTheme="minorHAnsi" w:hAnsi="Arial" w:cs="Arial"/>
          <w:color w:val="auto"/>
          <w:sz w:val="20"/>
          <w:szCs w:val="20"/>
        </w:rPr>
        <w:t xml:space="preserve"> targeted return on invested funds. This rate is set annually by the Finance, Resources and Risk Committee. For amortising endowments, CPI is added to the approved distribution rate.</w:t>
      </w:r>
    </w:p>
    <w:p w14:paraId="19AC6A8B" w14:textId="77777777" w:rsidR="008708BC" w:rsidRDefault="008708BC" w:rsidP="008708BC">
      <w:pPr>
        <w:pStyle w:val="BodyText"/>
      </w:pPr>
    </w:p>
    <w:p w14:paraId="57188A35" w14:textId="0F749623" w:rsidR="00FB6309" w:rsidRPr="00D87A3F" w:rsidRDefault="0037658D" w:rsidP="00F035C0">
      <w:pPr>
        <w:spacing w:after="120"/>
        <w:rPr>
          <w:rFonts w:cs="Arial"/>
          <w:b/>
          <w:bCs/>
          <w:color w:val="000000"/>
          <w:spacing w:val="2"/>
          <w:szCs w:val="20"/>
          <w:shd w:val="clear" w:color="auto" w:fill="FFFFFF"/>
        </w:rPr>
        <w:sectPr w:rsidR="00FB6309" w:rsidRPr="00D87A3F" w:rsidSect="00D87683">
          <w:headerReference w:type="default" r:id="rId13"/>
          <w:type w:val="continuous"/>
          <w:pgSz w:w="11900" w:h="16840" w:code="9"/>
          <w:pgMar w:top="1985" w:right="1021" w:bottom="1021" w:left="1021" w:header="680" w:footer="567" w:gutter="0"/>
          <w:cols w:space="454"/>
          <w:docGrid w:linePitch="360"/>
        </w:sectPr>
      </w:pPr>
      <w:r>
        <w:rPr>
          <w:rFonts w:cs="Arial"/>
          <w:color w:val="000000"/>
          <w:spacing w:val="2"/>
          <w:szCs w:val="20"/>
          <w:shd w:val="clear" w:color="auto" w:fill="FFFFFF"/>
        </w:rPr>
        <w:br w:type="page"/>
      </w:r>
    </w:p>
    <w:tbl>
      <w:tblPr>
        <w:tblStyle w:val="TableGrid"/>
        <w:tblpPr w:leftFromText="180" w:rightFromText="180" w:tblpY="103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CB102C" w:rsidRPr="00CB102C" w14:paraId="7B3FD078" w14:textId="77777777" w:rsidTr="005E2BCC">
        <w:tc>
          <w:tcPr>
            <w:tcW w:w="1222" w:type="pct"/>
            <w:shd w:val="clear" w:color="auto" w:fill="595959" w:themeFill="text1" w:themeFillTint="A6"/>
          </w:tcPr>
          <w:p w14:paraId="48544CF1" w14:textId="77777777" w:rsidR="006D1A97" w:rsidRPr="00FC5552" w:rsidRDefault="006D1A97" w:rsidP="00140E32">
            <w:pPr>
              <w:spacing w:before="120" w:after="120"/>
              <w:rPr>
                <w:rFonts w:ascii="Arial" w:hAnsi="Arial" w:cs="Arial"/>
                <w:b/>
                <w:bCs/>
                <w:color w:val="FFFFFF" w:themeColor="background1"/>
                <w:sz w:val="24"/>
                <w:szCs w:val="24"/>
              </w:rPr>
            </w:pPr>
            <w:r w:rsidRPr="00FC5552">
              <w:rPr>
                <w:rFonts w:ascii="Arial" w:hAnsi="Arial" w:cs="Arial"/>
                <w:b/>
                <w:bCs/>
                <w:caps/>
                <w:color w:val="FFFFFF" w:themeColor="background1"/>
                <w:sz w:val="24"/>
                <w:szCs w:val="24"/>
              </w:rPr>
              <w:lastRenderedPageBreak/>
              <w:t>INFORMATION</w:t>
            </w:r>
          </w:p>
        </w:tc>
        <w:tc>
          <w:tcPr>
            <w:tcW w:w="3778" w:type="pct"/>
            <w:shd w:val="clear" w:color="auto" w:fill="595959" w:themeFill="text1" w:themeFillTint="A6"/>
          </w:tcPr>
          <w:p w14:paraId="65189603" w14:textId="77777777" w:rsidR="006D1A97" w:rsidRPr="00FC5552" w:rsidRDefault="006D1A97" w:rsidP="00140E32">
            <w:pPr>
              <w:spacing w:before="120" w:after="120"/>
              <w:jc w:val="right"/>
              <w:rPr>
                <w:rFonts w:ascii="Arial" w:hAnsi="Arial" w:cs="Arial"/>
                <w:color w:val="FFFFFF" w:themeColor="background1"/>
              </w:rPr>
            </w:pPr>
            <w:r w:rsidRPr="00FC5552">
              <w:rPr>
                <w:rFonts w:ascii="Arial" w:hAnsi="Arial" w:cs="Arial"/>
                <w:color w:val="FFFFFF" w:themeColor="background1"/>
              </w:rPr>
              <w:t>Printable version (PDF) Downloadable version (Word)</w:t>
            </w:r>
          </w:p>
        </w:tc>
      </w:tr>
      <w:tr w:rsidR="006D1A97" w14:paraId="732F5140" w14:textId="77777777" w:rsidTr="005E2BCC">
        <w:tc>
          <w:tcPr>
            <w:tcW w:w="1222" w:type="pct"/>
            <w:shd w:val="clear" w:color="auto" w:fill="auto"/>
          </w:tcPr>
          <w:p w14:paraId="5A2D9490" w14:textId="77777777" w:rsidR="006D1A97" w:rsidRPr="000209B9" w:rsidRDefault="006D1A97" w:rsidP="00140E32">
            <w:pPr>
              <w:spacing w:before="120" w:after="120"/>
              <w:rPr>
                <w:rFonts w:ascii="Arial" w:hAnsi="Arial" w:cs="Arial"/>
                <w:szCs w:val="20"/>
              </w:rPr>
            </w:pPr>
            <w:r w:rsidRPr="000209B9">
              <w:rPr>
                <w:rFonts w:ascii="Arial" w:hAnsi="Arial" w:cs="Arial"/>
                <w:szCs w:val="20"/>
              </w:rPr>
              <w:t>Title</w:t>
            </w:r>
          </w:p>
        </w:tc>
        <w:tc>
          <w:tcPr>
            <w:tcW w:w="3778" w:type="pct"/>
            <w:shd w:val="clear" w:color="auto" w:fill="auto"/>
          </w:tcPr>
          <w:p w14:paraId="21A933A7" w14:textId="21C3F343" w:rsidR="006D1A97" w:rsidRPr="000209B9" w:rsidRDefault="00C10B87" w:rsidP="00140E32">
            <w:pPr>
              <w:spacing w:before="120" w:after="120"/>
              <w:rPr>
                <w:rFonts w:ascii="Arial" w:hAnsi="Arial" w:cs="Arial"/>
                <w:szCs w:val="20"/>
              </w:rPr>
            </w:pPr>
            <w:r>
              <w:rPr>
                <w:rFonts w:ascii="Arial" w:hAnsi="Arial" w:cs="Arial"/>
                <w:szCs w:val="20"/>
              </w:rPr>
              <w:t>Endowment Distribution and Investment Policy</w:t>
            </w:r>
          </w:p>
        </w:tc>
      </w:tr>
      <w:tr w:rsidR="006D1A97" w14:paraId="3397A4DD" w14:textId="77777777" w:rsidTr="005E2BCC">
        <w:tc>
          <w:tcPr>
            <w:tcW w:w="1222" w:type="pct"/>
            <w:shd w:val="clear" w:color="auto" w:fill="E6E7E8"/>
          </w:tcPr>
          <w:p w14:paraId="794CFE4E" w14:textId="77777777" w:rsidR="006D1A97" w:rsidRPr="000209B9" w:rsidRDefault="006D1A97" w:rsidP="00140E32">
            <w:pPr>
              <w:spacing w:before="120" w:after="120"/>
              <w:rPr>
                <w:rFonts w:ascii="Arial" w:hAnsi="Arial" w:cs="Arial"/>
                <w:szCs w:val="20"/>
              </w:rPr>
            </w:pPr>
            <w:r w:rsidRPr="000209B9">
              <w:rPr>
                <w:rFonts w:ascii="Arial" w:hAnsi="Arial" w:cs="Arial"/>
                <w:szCs w:val="20"/>
              </w:rPr>
              <w:t>Document number</w:t>
            </w:r>
          </w:p>
        </w:tc>
        <w:tc>
          <w:tcPr>
            <w:tcW w:w="3778" w:type="pct"/>
            <w:shd w:val="clear" w:color="auto" w:fill="E6E7E8"/>
          </w:tcPr>
          <w:p w14:paraId="19C4F27F" w14:textId="570BAABF" w:rsidR="006D1A97" w:rsidRPr="000209B9" w:rsidRDefault="00A83786" w:rsidP="00F10BF1">
            <w:pPr>
              <w:spacing w:before="120" w:after="120"/>
              <w:rPr>
                <w:rFonts w:ascii="Arial" w:hAnsi="Arial" w:cs="Arial"/>
                <w:szCs w:val="20"/>
              </w:rPr>
            </w:pPr>
            <w:r w:rsidRPr="00A83786">
              <w:rPr>
                <w:rFonts w:ascii="Arial" w:hAnsi="Arial" w:cs="Arial"/>
                <w:szCs w:val="20"/>
              </w:rPr>
              <w:t>2023/0001166</w:t>
            </w:r>
          </w:p>
        </w:tc>
      </w:tr>
      <w:tr w:rsidR="006D1A97" w14:paraId="0CF1FDA4" w14:textId="77777777" w:rsidTr="005E2BCC">
        <w:tc>
          <w:tcPr>
            <w:tcW w:w="1222" w:type="pct"/>
            <w:shd w:val="clear" w:color="auto" w:fill="auto"/>
          </w:tcPr>
          <w:p w14:paraId="5B9C8B00" w14:textId="77777777" w:rsidR="006D1A97" w:rsidRPr="000209B9" w:rsidRDefault="006D1A97" w:rsidP="00140E32">
            <w:pPr>
              <w:spacing w:before="120" w:after="120"/>
              <w:rPr>
                <w:rFonts w:ascii="Arial" w:hAnsi="Arial" w:cs="Arial"/>
                <w:szCs w:val="20"/>
              </w:rPr>
            </w:pPr>
            <w:r w:rsidRPr="000209B9">
              <w:rPr>
                <w:rFonts w:ascii="Arial" w:hAnsi="Arial" w:cs="Arial"/>
                <w:szCs w:val="20"/>
              </w:rPr>
              <w:t>Purpose</w:t>
            </w:r>
          </w:p>
        </w:tc>
        <w:tc>
          <w:tcPr>
            <w:tcW w:w="3778" w:type="pct"/>
            <w:shd w:val="clear" w:color="auto" w:fill="auto"/>
          </w:tcPr>
          <w:p w14:paraId="1F8D5B3D" w14:textId="5A1316DA" w:rsidR="006D1A97" w:rsidRPr="000209B9" w:rsidRDefault="00150BF4" w:rsidP="00140E32">
            <w:pPr>
              <w:spacing w:before="120" w:after="120"/>
              <w:rPr>
                <w:rFonts w:ascii="Arial" w:hAnsi="Arial" w:cs="Arial"/>
                <w:szCs w:val="20"/>
              </w:rPr>
            </w:pPr>
            <w:r w:rsidRPr="00150BF4">
              <w:rPr>
                <w:rFonts w:ascii="Arial" w:hAnsi="Arial" w:cs="Arial"/>
                <w:szCs w:val="20"/>
              </w:rPr>
              <w:t>This policy outlines the University’s approach to the distribution of endowment fund investment returns.</w:t>
            </w:r>
          </w:p>
        </w:tc>
      </w:tr>
      <w:tr w:rsidR="006D1A97" w14:paraId="43F34308" w14:textId="77777777" w:rsidTr="005E2BCC">
        <w:tc>
          <w:tcPr>
            <w:tcW w:w="1222" w:type="pct"/>
            <w:shd w:val="clear" w:color="auto" w:fill="E6E7E8"/>
          </w:tcPr>
          <w:p w14:paraId="3A9C452F" w14:textId="77777777" w:rsidR="006D1A97" w:rsidRPr="000209B9" w:rsidRDefault="006D1A97" w:rsidP="00140E32">
            <w:pPr>
              <w:spacing w:before="120" w:after="120"/>
              <w:rPr>
                <w:rFonts w:ascii="Arial" w:hAnsi="Arial" w:cs="Arial"/>
                <w:szCs w:val="20"/>
              </w:rPr>
            </w:pPr>
            <w:r w:rsidRPr="000209B9">
              <w:rPr>
                <w:rFonts w:ascii="Arial" w:hAnsi="Arial" w:cs="Arial"/>
                <w:szCs w:val="20"/>
              </w:rPr>
              <w:t>Audience</w:t>
            </w:r>
          </w:p>
        </w:tc>
        <w:tc>
          <w:tcPr>
            <w:tcW w:w="3778" w:type="pct"/>
            <w:shd w:val="clear" w:color="auto" w:fill="E6E7E8"/>
          </w:tcPr>
          <w:p w14:paraId="1816F64A" w14:textId="0AC63C72" w:rsidR="006D1A97" w:rsidRPr="000209B9" w:rsidRDefault="003136CE" w:rsidP="00140E32">
            <w:pPr>
              <w:spacing w:before="120" w:after="120"/>
              <w:rPr>
                <w:rFonts w:ascii="Arial" w:hAnsi="Arial" w:cs="Arial"/>
                <w:szCs w:val="20"/>
              </w:rPr>
            </w:pPr>
            <w:r>
              <w:rPr>
                <w:rFonts w:ascii="Arial" w:hAnsi="Arial" w:cs="Arial"/>
                <w:szCs w:val="20"/>
              </w:rPr>
              <w:t>Staff only</w:t>
            </w:r>
          </w:p>
        </w:tc>
      </w:tr>
      <w:tr w:rsidR="006D1A97" w14:paraId="4B686D95" w14:textId="77777777" w:rsidTr="005E2BCC">
        <w:tc>
          <w:tcPr>
            <w:tcW w:w="1222" w:type="pct"/>
            <w:shd w:val="clear" w:color="auto" w:fill="auto"/>
          </w:tcPr>
          <w:p w14:paraId="665F750D" w14:textId="77777777" w:rsidR="006D1A97" w:rsidRPr="000209B9" w:rsidRDefault="006D1A97" w:rsidP="00140E32">
            <w:pPr>
              <w:spacing w:before="120" w:after="120"/>
              <w:rPr>
                <w:rFonts w:ascii="Arial" w:hAnsi="Arial" w:cs="Arial"/>
                <w:szCs w:val="20"/>
              </w:rPr>
            </w:pPr>
            <w:r w:rsidRPr="000209B9">
              <w:rPr>
                <w:rFonts w:ascii="Arial" w:hAnsi="Arial" w:cs="Arial"/>
                <w:szCs w:val="20"/>
              </w:rPr>
              <w:t>Category</w:t>
            </w:r>
          </w:p>
        </w:tc>
        <w:tc>
          <w:tcPr>
            <w:tcW w:w="3778" w:type="pct"/>
            <w:shd w:val="clear" w:color="auto" w:fill="auto"/>
          </w:tcPr>
          <w:p w14:paraId="771A6A2E" w14:textId="48F58244" w:rsidR="006D1A97" w:rsidRPr="000209B9" w:rsidRDefault="003136CE" w:rsidP="00140E32">
            <w:pPr>
              <w:spacing w:before="120" w:after="120"/>
              <w:rPr>
                <w:rFonts w:ascii="Arial" w:hAnsi="Arial" w:cs="Arial"/>
                <w:szCs w:val="20"/>
              </w:rPr>
            </w:pPr>
            <w:r>
              <w:rPr>
                <w:rFonts w:ascii="Arial" w:hAnsi="Arial" w:cs="Arial"/>
                <w:szCs w:val="20"/>
              </w:rPr>
              <w:t>Governance</w:t>
            </w:r>
          </w:p>
        </w:tc>
      </w:tr>
      <w:tr w:rsidR="006D1A97" w14:paraId="5003F038" w14:textId="77777777" w:rsidTr="005E2BCC">
        <w:tc>
          <w:tcPr>
            <w:tcW w:w="1222" w:type="pct"/>
            <w:shd w:val="clear" w:color="auto" w:fill="E6E7E8"/>
          </w:tcPr>
          <w:p w14:paraId="0040C52D" w14:textId="65A3D833" w:rsidR="006D1A97" w:rsidRPr="000209B9" w:rsidRDefault="006D1A97" w:rsidP="00140E32">
            <w:pPr>
              <w:spacing w:before="120" w:after="120"/>
              <w:rPr>
                <w:rFonts w:ascii="Arial" w:hAnsi="Arial" w:cs="Arial"/>
                <w:szCs w:val="20"/>
              </w:rPr>
            </w:pPr>
            <w:r w:rsidRPr="000209B9">
              <w:rPr>
                <w:rFonts w:ascii="Arial" w:hAnsi="Arial" w:cs="Arial"/>
                <w:szCs w:val="20"/>
              </w:rPr>
              <w:t>Sub</w:t>
            </w:r>
            <w:r w:rsidR="00AB30DD" w:rsidRPr="000209B9">
              <w:rPr>
                <w:rFonts w:ascii="Arial" w:hAnsi="Arial" w:cs="Arial"/>
                <w:szCs w:val="20"/>
              </w:rPr>
              <w:t>category</w:t>
            </w:r>
          </w:p>
        </w:tc>
        <w:tc>
          <w:tcPr>
            <w:tcW w:w="3778" w:type="pct"/>
            <w:shd w:val="clear" w:color="auto" w:fill="E6E7E8"/>
          </w:tcPr>
          <w:p w14:paraId="4FD8ECDE" w14:textId="792C6DDE" w:rsidR="006D1A97" w:rsidRPr="000209B9" w:rsidRDefault="003136CE" w:rsidP="00140E32">
            <w:pPr>
              <w:spacing w:before="120" w:after="120"/>
              <w:rPr>
                <w:rFonts w:ascii="Arial" w:hAnsi="Arial" w:cs="Arial"/>
                <w:szCs w:val="20"/>
              </w:rPr>
            </w:pPr>
            <w:r>
              <w:rPr>
                <w:rFonts w:ascii="Arial" w:hAnsi="Arial" w:cs="Arial"/>
                <w:szCs w:val="20"/>
              </w:rPr>
              <w:t>Finance</w:t>
            </w:r>
          </w:p>
        </w:tc>
      </w:tr>
      <w:tr w:rsidR="006D1A97" w14:paraId="4B3B6DDA" w14:textId="77777777" w:rsidTr="005E2BCC">
        <w:tc>
          <w:tcPr>
            <w:tcW w:w="1222" w:type="pct"/>
            <w:shd w:val="clear" w:color="auto" w:fill="auto"/>
          </w:tcPr>
          <w:p w14:paraId="422367F7" w14:textId="77777777" w:rsidR="006D1A97" w:rsidRPr="000209B9" w:rsidRDefault="006D1A97" w:rsidP="00140E32">
            <w:pPr>
              <w:spacing w:before="120" w:after="120"/>
              <w:rPr>
                <w:rFonts w:ascii="Arial" w:hAnsi="Arial" w:cs="Arial"/>
                <w:szCs w:val="20"/>
              </w:rPr>
            </w:pPr>
            <w:r w:rsidRPr="000209B9">
              <w:rPr>
                <w:rFonts w:ascii="Arial" w:hAnsi="Arial" w:cs="Arial"/>
                <w:szCs w:val="20"/>
              </w:rPr>
              <w:t>Effective date</w:t>
            </w:r>
          </w:p>
        </w:tc>
        <w:tc>
          <w:tcPr>
            <w:tcW w:w="3778" w:type="pct"/>
            <w:shd w:val="clear" w:color="auto" w:fill="auto"/>
          </w:tcPr>
          <w:p w14:paraId="63583D7A" w14:textId="14BD51AB" w:rsidR="006D1A97" w:rsidRPr="000209B9" w:rsidRDefault="003136CE" w:rsidP="00140E32">
            <w:pPr>
              <w:spacing w:before="120" w:after="120"/>
              <w:rPr>
                <w:rFonts w:ascii="Arial" w:hAnsi="Arial" w:cs="Arial"/>
                <w:szCs w:val="20"/>
              </w:rPr>
            </w:pPr>
            <w:r>
              <w:rPr>
                <w:rFonts w:ascii="Arial" w:hAnsi="Arial" w:cs="Arial"/>
                <w:szCs w:val="20"/>
              </w:rPr>
              <w:t>November 2021</w:t>
            </w:r>
          </w:p>
        </w:tc>
      </w:tr>
      <w:tr w:rsidR="006D1A97" w14:paraId="76DDC947" w14:textId="77777777" w:rsidTr="005E2BCC">
        <w:tc>
          <w:tcPr>
            <w:tcW w:w="1222" w:type="pct"/>
            <w:shd w:val="clear" w:color="auto" w:fill="E6E7E8"/>
          </w:tcPr>
          <w:p w14:paraId="41F219B0" w14:textId="77777777" w:rsidR="006D1A97" w:rsidRPr="000209B9" w:rsidRDefault="006D1A97" w:rsidP="00140E32">
            <w:pPr>
              <w:spacing w:before="120" w:after="120"/>
              <w:rPr>
                <w:rFonts w:ascii="Arial" w:hAnsi="Arial" w:cs="Arial"/>
                <w:szCs w:val="20"/>
              </w:rPr>
            </w:pPr>
            <w:r w:rsidRPr="000209B9">
              <w:rPr>
                <w:rFonts w:ascii="Arial" w:hAnsi="Arial" w:cs="Arial"/>
                <w:szCs w:val="20"/>
              </w:rPr>
              <w:t>Review date</w:t>
            </w:r>
          </w:p>
        </w:tc>
        <w:tc>
          <w:tcPr>
            <w:tcW w:w="3778" w:type="pct"/>
            <w:shd w:val="clear" w:color="auto" w:fill="E6E7E8"/>
          </w:tcPr>
          <w:p w14:paraId="7FD05870" w14:textId="62A94C8E" w:rsidR="006D1A97" w:rsidRPr="000209B9" w:rsidRDefault="003136CE" w:rsidP="00140E32">
            <w:pPr>
              <w:spacing w:before="120" w:after="120"/>
              <w:rPr>
                <w:rFonts w:ascii="Arial" w:hAnsi="Arial" w:cs="Arial"/>
                <w:szCs w:val="20"/>
              </w:rPr>
            </w:pPr>
            <w:proofErr w:type="gramStart"/>
            <w:r>
              <w:rPr>
                <w:rFonts w:ascii="Arial" w:hAnsi="Arial" w:cs="Arial"/>
                <w:szCs w:val="20"/>
              </w:rPr>
              <w:t>2024</w:t>
            </w:r>
            <w:r w:rsidR="000D3184">
              <w:rPr>
                <w:rFonts w:ascii="Arial" w:hAnsi="Arial" w:cs="Arial"/>
                <w:szCs w:val="20"/>
              </w:rPr>
              <w:t xml:space="preserve"> </w:t>
            </w:r>
            <w:r w:rsidR="000D3184" w:rsidRPr="000D3184">
              <w:rPr>
                <w:rFonts w:ascii="Arial" w:hAnsi="Arial" w:cs="Arial"/>
                <w:szCs w:val="20"/>
              </w:rPr>
              <w:t xml:space="preserve"> (</w:t>
            </w:r>
            <w:proofErr w:type="gramEnd"/>
            <w:r w:rsidR="000D3184" w:rsidRPr="000D3184">
              <w:rPr>
                <w:rFonts w:ascii="Arial" w:hAnsi="Arial" w:cs="Arial"/>
                <w:szCs w:val="20"/>
              </w:rPr>
              <w:t>Currently under review)</w:t>
            </w:r>
          </w:p>
        </w:tc>
      </w:tr>
      <w:tr w:rsidR="006D1A97" w14:paraId="72CC8086" w14:textId="77777777" w:rsidTr="005E2BCC">
        <w:tc>
          <w:tcPr>
            <w:tcW w:w="1222" w:type="pct"/>
            <w:shd w:val="clear" w:color="auto" w:fill="auto"/>
          </w:tcPr>
          <w:p w14:paraId="357FAE17" w14:textId="28F73799" w:rsidR="006D1A97" w:rsidRPr="000209B9" w:rsidRDefault="00AA227D" w:rsidP="00140E32">
            <w:pPr>
              <w:spacing w:before="120" w:after="120"/>
              <w:rPr>
                <w:rFonts w:ascii="Arial" w:hAnsi="Arial" w:cs="Arial"/>
                <w:szCs w:val="20"/>
              </w:rPr>
            </w:pPr>
            <w:r w:rsidRPr="000209B9">
              <w:rPr>
                <w:rFonts w:ascii="Arial" w:hAnsi="Arial" w:cs="Arial"/>
                <w:szCs w:val="20"/>
              </w:rPr>
              <w:t xml:space="preserve">Policy </w:t>
            </w:r>
            <w:r w:rsidR="005E4006" w:rsidRPr="000209B9">
              <w:rPr>
                <w:rFonts w:ascii="Arial" w:hAnsi="Arial" w:cs="Arial"/>
                <w:szCs w:val="20"/>
              </w:rPr>
              <w:t>a</w:t>
            </w:r>
            <w:r w:rsidRPr="000209B9">
              <w:rPr>
                <w:rFonts w:ascii="Arial" w:hAnsi="Arial" w:cs="Arial"/>
                <w:szCs w:val="20"/>
              </w:rPr>
              <w:t>dvisor</w:t>
            </w:r>
          </w:p>
        </w:tc>
        <w:tc>
          <w:tcPr>
            <w:tcW w:w="3778" w:type="pct"/>
            <w:shd w:val="clear" w:color="auto" w:fill="auto"/>
          </w:tcPr>
          <w:p w14:paraId="7E468796" w14:textId="06C8BD51" w:rsidR="006D1A97" w:rsidRPr="000209B9" w:rsidRDefault="00C10B87" w:rsidP="00140E32">
            <w:pPr>
              <w:spacing w:before="120" w:after="120"/>
              <w:rPr>
                <w:rFonts w:ascii="Arial" w:hAnsi="Arial" w:cs="Arial"/>
                <w:szCs w:val="20"/>
              </w:rPr>
            </w:pPr>
            <w:r w:rsidRPr="00C10B87">
              <w:rPr>
                <w:rFonts w:ascii="Arial" w:hAnsi="Arial" w:cs="Arial"/>
              </w:rPr>
              <w:t>Manager, Accounting Tax &amp; Treasury, Finance</w:t>
            </w:r>
          </w:p>
        </w:tc>
      </w:tr>
      <w:tr w:rsidR="006D1A97" w14:paraId="5F52FDBC" w14:textId="77777777" w:rsidTr="005E2BCC">
        <w:tc>
          <w:tcPr>
            <w:tcW w:w="1222" w:type="pct"/>
            <w:shd w:val="clear" w:color="auto" w:fill="E6E7E8"/>
          </w:tcPr>
          <w:p w14:paraId="2A6B7869" w14:textId="77777777" w:rsidR="006D1A97" w:rsidRPr="000209B9" w:rsidRDefault="006D1A97" w:rsidP="00140E32">
            <w:pPr>
              <w:spacing w:before="120" w:after="120"/>
              <w:rPr>
                <w:rFonts w:ascii="Arial" w:hAnsi="Arial" w:cs="Arial"/>
                <w:szCs w:val="20"/>
              </w:rPr>
            </w:pPr>
            <w:r w:rsidRPr="000209B9">
              <w:rPr>
                <w:rFonts w:ascii="Arial" w:hAnsi="Arial" w:cs="Arial"/>
                <w:szCs w:val="20"/>
              </w:rPr>
              <w:t>Approving authority</w:t>
            </w:r>
          </w:p>
        </w:tc>
        <w:tc>
          <w:tcPr>
            <w:tcW w:w="3778" w:type="pct"/>
            <w:shd w:val="clear" w:color="auto" w:fill="E6E7E8"/>
          </w:tcPr>
          <w:p w14:paraId="77F724FD" w14:textId="170390AA" w:rsidR="006D1A97" w:rsidRPr="000209B9" w:rsidRDefault="00A83786" w:rsidP="00140E32">
            <w:pPr>
              <w:spacing w:before="120" w:after="120"/>
              <w:rPr>
                <w:rFonts w:ascii="Arial" w:hAnsi="Arial" w:cs="Arial"/>
                <w:szCs w:val="20"/>
              </w:rPr>
            </w:pPr>
            <w:r>
              <w:rPr>
                <w:rFonts w:ascii="Arial" w:hAnsi="Arial" w:cs="Arial"/>
              </w:rPr>
              <w:t>Chief Operating Officer</w:t>
            </w:r>
          </w:p>
        </w:tc>
      </w:tr>
    </w:tbl>
    <w:p w14:paraId="4CC3765B" w14:textId="33575F92" w:rsidR="0037658D" w:rsidRDefault="0037658D">
      <w:pPr>
        <w:spacing w:after="0" w:line="240" w:lineRule="auto"/>
        <w:rPr>
          <w:rFonts w:cs="Arial"/>
          <w:color w:val="000000"/>
          <w:spacing w:val="2"/>
          <w:szCs w:val="20"/>
          <w:shd w:val="clear" w:color="auto" w:fill="FFFFFF"/>
        </w:rPr>
      </w:pPr>
    </w:p>
    <w:p w14:paraId="39FA22AE" w14:textId="4C11415B" w:rsidR="00CB102C" w:rsidRDefault="00CB102C">
      <w:pPr>
        <w:spacing w:after="0" w:line="240" w:lineRule="auto"/>
        <w:rPr>
          <w:rFonts w:cs="Arial"/>
          <w:color w:val="000000"/>
          <w:spacing w:val="2"/>
          <w:szCs w:val="20"/>
          <w:shd w:val="clear" w:color="auto" w:fill="FFFFFF"/>
        </w:rPr>
      </w:pPr>
    </w:p>
    <w:p w14:paraId="4D051939" w14:textId="249B682B" w:rsidR="00CB102C" w:rsidRDefault="00CB102C">
      <w:pPr>
        <w:spacing w:after="0" w:line="240" w:lineRule="auto"/>
        <w:rPr>
          <w:rFonts w:cs="Arial"/>
          <w:color w:val="000000"/>
          <w:spacing w:val="2"/>
          <w:szCs w:val="20"/>
          <w:shd w:val="clear" w:color="auto" w:fill="FFFFFF"/>
        </w:rPr>
      </w:pPr>
    </w:p>
    <w:p w14:paraId="138C5A13" w14:textId="77777777" w:rsidR="00140E32" w:rsidRDefault="00140E32">
      <w:pPr>
        <w:spacing w:after="0" w:line="240" w:lineRule="auto"/>
        <w:rPr>
          <w:rFonts w:cs="Arial"/>
          <w:color w:val="000000"/>
          <w:spacing w:val="2"/>
          <w:szCs w:val="20"/>
          <w:shd w:val="clear" w:color="auto" w:fill="FFFFFF"/>
        </w:rPr>
      </w:pPr>
    </w:p>
    <w:p w14:paraId="14A8B3BD" w14:textId="77777777" w:rsidR="003664F0" w:rsidRDefault="003664F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CB102C" w:rsidRPr="00CB102C" w14:paraId="5799C027" w14:textId="77777777" w:rsidTr="52709626">
        <w:tc>
          <w:tcPr>
            <w:tcW w:w="5000" w:type="pct"/>
            <w:gridSpan w:val="2"/>
            <w:shd w:val="clear" w:color="auto" w:fill="595959" w:themeFill="text1" w:themeFillTint="A6"/>
          </w:tcPr>
          <w:p w14:paraId="78AB1D8E" w14:textId="77777777" w:rsidR="00AA227D" w:rsidRPr="00FC5552" w:rsidRDefault="00AA227D" w:rsidP="000E2A8A">
            <w:pPr>
              <w:spacing w:before="120" w:after="120"/>
              <w:rPr>
                <w:rFonts w:ascii="Arial" w:hAnsi="Arial" w:cs="Arial"/>
                <w:b/>
                <w:bCs/>
                <w:color w:val="FFFFFF" w:themeColor="background1"/>
                <w:sz w:val="24"/>
                <w:szCs w:val="24"/>
              </w:rPr>
            </w:pPr>
            <w:r w:rsidRPr="00FC5552">
              <w:rPr>
                <w:rFonts w:ascii="Arial" w:hAnsi="Arial" w:cs="Arial"/>
                <w:b/>
                <w:bCs/>
                <w:caps/>
                <w:color w:val="FFFFFF" w:themeColor="background1"/>
                <w:sz w:val="24"/>
                <w:szCs w:val="24"/>
              </w:rPr>
              <w:t>RELATED POLICY DOCUMENTS AND supporting documents</w:t>
            </w:r>
          </w:p>
        </w:tc>
      </w:tr>
      <w:tr w:rsidR="00A24E55" w14:paraId="6B2D8946" w14:textId="77777777" w:rsidTr="52709626">
        <w:tc>
          <w:tcPr>
            <w:tcW w:w="1222" w:type="pct"/>
            <w:shd w:val="clear" w:color="auto" w:fill="auto"/>
          </w:tcPr>
          <w:p w14:paraId="4EA57448" w14:textId="7F3F95B5" w:rsidR="00A24E55" w:rsidRPr="000209B9" w:rsidRDefault="00A24E55" w:rsidP="000E2A8A">
            <w:pPr>
              <w:spacing w:before="120" w:after="120"/>
              <w:rPr>
                <w:rFonts w:ascii="Arial" w:hAnsi="Arial" w:cs="Arial"/>
                <w:szCs w:val="20"/>
              </w:rPr>
            </w:pPr>
            <w:r w:rsidRPr="000209B9">
              <w:rPr>
                <w:rFonts w:ascii="Arial" w:hAnsi="Arial" w:cs="Arial"/>
                <w:szCs w:val="20"/>
              </w:rPr>
              <w:t xml:space="preserve">Legislation </w:t>
            </w:r>
          </w:p>
        </w:tc>
        <w:tc>
          <w:tcPr>
            <w:tcW w:w="3778" w:type="pct"/>
            <w:shd w:val="clear" w:color="auto" w:fill="auto"/>
          </w:tcPr>
          <w:p w14:paraId="3C6AE059" w14:textId="2CBB0554" w:rsidR="00A24E55" w:rsidRPr="000209B9" w:rsidRDefault="00C10B87" w:rsidP="000E2A8A">
            <w:pPr>
              <w:spacing w:before="120" w:after="120"/>
              <w:rPr>
                <w:rFonts w:ascii="Arial" w:hAnsi="Arial" w:cs="Arial"/>
              </w:rPr>
            </w:pPr>
            <w:r>
              <w:rPr>
                <w:rFonts w:ascii="Arial" w:hAnsi="Arial" w:cs="Arial"/>
              </w:rPr>
              <w:t>N/A</w:t>
            </w:r>
          </w:p>
        </w:tc>
      </w:tr>
      <w:tr w:rsidR="00AA227D" w14:paraId="39FA95E6" w14:textId="77777777" w:rsidTr="52709626">
        <w:tc>
          <w:tcPr>
            <w:tcW w:w="1222" w:type="pct"/>
            <w:shd w:val="clear" w:color="auto" w:fill="E6E7E8"/>
          </w:tcPr>
          <w:p w14:paraId="406D83D7" w14:textId="77777777" w:rsidR="00AA227D" w:rsidRPr="000209B9" w:rsidRDefault="00AA227D" w:rsidP="000E2A8A">
            <w:pPr>
              <w:spacing w:before="120" w:after="120"/>
              <w:rPr>
                <w:rFonts w:ascii="Arial" w:hAnsi="Arial" w:cs="Arial"/>
                <w:szCs w:val="20"/>
              </w:rPr>
            </w:pPr>
            <w:r w:rsidRPr="000209B9">
              <w:rPr>
                <w:rFonts w:ascii="Arial" w:hAnsi="Arial" w:cs="Arial"/>
                <w:szCs w:val="20"/>
              </w:rPr>
              <w:t>Policy</w:t>
            </w:r>
          </w:p>
        </w:tc>
        <w:tc>
          <w:tcPr>
            <w:tcW w:w="3778" w:type="pct"/>
            <w:shd w:val="clear" w:color="auto" w:fill="E6E7E8"/>
          </w:tcPr>
          <w:p w14:paraId="1F7E521E" w14:textId="27DD3F3A" w:rsidR="00AA227D" w:rsidRDefault="000D3184" w:rsidP="000E2A8A">
            <w:pPr>
              <w:spacing w:before="120" w:after="120"/>
              <w:rPr>
                <w:rFonts w:ascii="Arial" w:hAnsi="Arial" w:cs="Arial"/>
              </w:rPr>
            </w:pPr>
            <w:hyperlink r:id="rId14">
              <w:r w:rsidR="00C10B87" w:rsidRPr="0EBB4F0D">
                <w:rPr>
                  <w:rStyle w:val="Hyperlink"/>
                  <w:rFonts w:ascii="Arial" w:hAnsi="Arial" w:cs="Arial"/>
                </w:rPr>
                <w:t>Treasury Policy</w:t>
              </w:r>
            </w:hyperlink>
          </w:p>
          <w:p w14:paraId="57E2FC6C" w14:textId="5E1388BE" w:rsidR="00C10B87" w:rsidRPr="000209B9" w:rsidRDefault="000D3184" w:rsidP="0EBB4F0D">
            <w:pPr>
              <w:spacing w:before="120" w:after="120"/>
              <w:rPr>
                <w:rFonts w:ascii="Arial" w:hAnsi="Arial" w:cs="Arial"/>
                <w:color w:val="E30918"/>
                <w:u w:val="single"/>
              </w:rPr>
            </w:pPr>
            <w:hyperlink r:id="rId15">
              <w:r w:rsidR="002F2CC2" w:rsidRPr="0EBB4F0D">
                <w:rPr>
                  <w:rStyle w:val="Hyperlink"/>
                  <w:rFonts w:ascii="Arial" w:hAnsi="Arial" w:cs="Arial"/>
                </w:rPr>
                <w:t>Philanthropy</w:t>
              </w:r>
              <w:r w:rsidR="00C96B8C" w:rsidRPr="0EBB4F0D">
                <w:rPr>
                  <w:rStyle w:val="Hyperlink"/>
                  <w:rFonts w:ascii="Arial" w:hAnsi="Arial" w:cs="Arial"/>
                </w:rPr>
                <w:t xml:space="preserve"> and </w:t>
              </w:r>
              <w:r w:rsidR="002F2CC2" w:rsidRPr="0EBB4F0D">
                <w:rPr>
                  <w:rStyle w:val="Hyperlink"/>
                  <w:rFonts w:ascii="Arial" w:hAnsi="Arial" w:cs="Arial"/>
                </w:rPr>
                <w:t>Fundraising Policy</w:t>
              </w:r>
            </w:hyperlink>
          </w:p>
        </w:tc>
      </w:tr>
      <w:tr w:rsidR="00AA227D" w14:paraId="4F2E48CD" w14:textId="77777777" w:rsidTr="52709626">
        <w:tc>
          <w:tcPr>
            <w:tcW w:w="1222" w:type="pct"/>
            <w:shd w:val="clear" w:color="auto" w:fill="auto"/>
          </w:tcPr>
          <w:p w14:paraId="04ABE946" w14:textId="77777777" w:rsidR="00AA227D" w:rsidRPr="003136CE" w:rsidRDefault="00AA227D" w:rsidP="000E2A8A">
            <w:pPr>
              <w:spacing w:before="120" w:after="120"/>
              <w:rPr>
                <w:rFonts w:ascii="Arial" w:hAnsi="Arial" w:cs="Arial"/>
                <w:szCs w:val="20"/>
              </w:rPr>
            </w:pPr>
            <w:r w:rsidRPr="003136CE">
              <w:rPr>
                <w:rFonts w:ascii="Arial" w:hAnsi="Arial" w:cs="Arial"/>
                <w:szCs w:val="20"/>
              </w:rPr>
              <w:t>Procedures</w:t>
            </w:r>
          </w:p>
        </w:tc>
        <w:tc>
          <w:tcPr>
            <w:tcW w:w="3778" w:type="pct"/>
            <w:shd w:val="clear" w:color="auto" w:fill="auto"/>
          </w:tcPr>
          <w:p w14:paraId="5220CB91" w14:textId="28BB0ABF" w:rsidR="00AA227D" w:rsidRPr="003136CE" w:rsidRDefault="569143CD" w:rsidP="52709626">
            <w:pPr>
              <w:spacing w:before="120" w:after="120"/>
              <w:rPr>
                <w:rFonts w:eastAsia="Calibri" w:cs="Arial"/>
                <w:szCs w:val="20"/>
              </w:rPr>
            </w:pPr>
            <w:r w:rsidRPr="52709626">
              <w:rPr>
                <w:rFonts w:ascii="Arial" w:hAnsi="Arial" w:cs="Arial"/>
              </w:rPr>
              <w:t>N/A</w:t>
            </w:r>
          </w:p>
        </w:tc>
      </w:tr>
      <w:tr w:rsidR="00EB67EB" w14:paraId="443C994C" w14:textId="77777777" w:rsidTr="52709626">
        <w:tc>
          <w:tcPr>
            <w:tcW w:w="1222" w:type="pct"/>
            <w:shd w:val="clear" w:color="auto" w:fill="E6E7E8"/>
          </w:tcPr>
          <w:p w14:paraId="178A20A1" w14:textId="50A15EEA" w:rsidR="00EB67EB" w:rsidRPr="000209B9" w:rsidRDefault="00EB67EB" w:rsidP="000E2A8A">
            <w:pPr>
              <w:spacing w:before="120" w:after="120"/>
              <w:rPr>
                <w:rFonts w:ascii="Arial" w:hAnsi="Arial" w:cs="Arial"/>
                <w:szCs w:val="20"/>
              </w:rPr>
            </w:pPr>
            <w:r w:rsidRPr="000209B9">
              <w:rPr>
                <w:rFonts w:ascii="Arial" w:hAnsi="Arial" w:cs="Arial"/>
                <w:szCs w:val="20"/>
              </w:rPr>
              <w:t>Local protocols</w:t>
            </w:r>
          </w:p>
        </w:tc>
        <w:tc>
          <w:tcPr>
            <w:tcW w:w="3778" w:type="pct"/>
            <w:shd w:val="clear" w:color="auto" w:fill="E6E7E8"/>
          </w:tcPr>
          <w:p w14:paraId="291275C4" w14:textId="319F4D6C" w:rsidR="00EB67EB" w:rsidRPr="000209B9" w:rsidRDefault="00C10B87" w:rsidP="000E2A8A">
            <w:pPr>
              <w:spacing w:before="120" w:after="120"/>
              <w:rPr>
                <w:rFonts w:ascii="Arial" w:hAnsi="Arial" w:cs="Arial"/>
                <w:szCs w:val="20"/>
              </w:rPr>
            </w:pPr>
            <w:r>
              <w:rPr>
                <w:rFonts w:ascii="Arial" w:hAnsi="Arial" w:cs="Arial"/>
                <w:szCs w:val="20"/>
              </w:rPr>
              <w:t>N/A</w:t>
            </w:r>
          </w:p>
        </w:tc>
      </w:tr>
      <w:tr w:rsidR="00AA227D" w14:paraId="404524B8" w14:textId="77777777" w:rsidTr="52709626">
        <w:tc>
          <w:tcPr>
            <w:tcW w:w="1222" w:type="pct"/>
            <w:shd w:val="clear" w:color="auto" w:fill="auto"/>
          </w:tcPr>
          <w:p w14:paraId="072FB676" w14:textId="77777777" w:rsidR="00AA227D" w:rsidRPr="000209B9" w:rsidRDefault="00AA227D" w:rsidP="000E2A8A">
            <w:pPr>
              <w:spacing w:before="120" w:after="120"/>
              <w:rPr>
                <w:rFonts w:ascii="Arial" w:hAnsi="Arial" w:cs="Arial"/>
                <w:szCs w:val="20"/>
              </w:rPr>
            </w:pPr>
            <w:r w:rsidRPr="000209B9">
              <w:rPr>
                <w:rFonts w:ascii="Arial" w:hAnsi="Arial" w:cs="Arial"/>
                <w:szCs w:val="20"/>
              </w:rPr>
              <w:t>Forms</w:t>
            </w:r>
          </w:p>
        </w:tc>
        <w:tc>
          <w:tcPr>
            <w:tcW w:w="3778" w:type="pct"/>
            <w:shd w:val="clear" w:color="auto" w:fill="auto"/>
          </w:tcPr>
          <w:p w14:paraId="200D7B6F" w14:textId="4FE536B4" w:rsidR="00AA227D" w:rsidRPr="000209B9" w:rsidRDefault="003136CE" w:rsidP="000E2A8A">
            <w:pPr>
              <w:spacing w:before="120" w:after="120"/>
              <w:rPr>
                <w:rFonts w:ascii="Arial" w:hAnsi="Arial" w:cs="Arial"/>
                <w:szCs w:val="20"/>
              </w:rPr>
            </w:pPr>
            <w:r>
              <w:rPr>
                <w:rFonts w:ascii="Arial" w:hAnsi="Arial" w:cs="Arial"/>
                <w:szCs w:val="20"/>
              </w:rPr>
              <w:t>N/A</w:t>
            </w:r>
            <w:r w:rsidR="00831703" w:rsidRPr="000209B9">
              <w:rPr>
                <w:rFonts w:ascii="Arial" w:hAnsi="Arial" w:cs="Arial"/>
                <w:szCs w:val="20"/>
              </w:rPr>
              <w:t xml:space="preserve"> </w:t>
            </w:r>
          </w:p>
        </w:tc>
      </w:tr>
    </w:tbl>
    <w:p w14:paraId="680A8379" w14:textId="03BA350E" w:rsidR="00DA3C93" w:rsidRPr="00DA3C93" w:rsidRDefault="00DA3C93" w:rsidP="00140E32">
      <w:pPr>
        <w:tabs>
          <w:tab w:val="left" w:pos="8550"/>
        </w:tabs>
        <w:rPr>
          <w:szCs w:val="20"/>
        </w:rPr>
      </w:pPr>
    </w:p>
    <w:sectPr w:rsidR="00DA3C93" w:rsidRPr="00DA3C93" w:rsidSect="00350DE3">
      <w:pgSz w:w="11900" w:h="16820"/>
      <w:pgMar w:top="1985" w:right="1021" w:bottom="1021" w:left="1021" w:header="680" w:footer="510"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D545" w14:textId="77777777" w:rsidR="001467D3" w:rsidRDefault="001467D3" w:rsidP="00F45E9C">
      <w:r>
        <w:separator/>
      </w:r>
    </w:p>
  </w:endnote>
  <w:endnote w:type="continuationSeparator" w:id="0">
    <w:p w14:paraId="2DC86E89" w14:textId="77777777" w:rsidR="001467D3" w:rsidRDefault="001467D3" w:rsidP="00F45E9C">
      <w:r>
        <w:continuationSeparator/>
      </w:r>
    </w:p>
  </w:endnote>
  <w:endnote w:type="continuationNotice" w:id="1">
    <w:p w14:paraId="68476CF4" w14:textId="77777777" w:rsidR="001467D3" w:rsidRDefault="001467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800000EF" w:usb1="500160FB" w:usb2="00000010" w:usb3="00000000" w:csb0="0000009B" w:csb1="00000000"/>
  </w:font>
  <w:font w:name="Yu Mincho">
    <w:altName w:val="游明朝"/>
    <w:charset w:val="80"/>
    <w:family w:val="roman"/>
    <w:pitch w:val="variable"/>
    <w:sig w:usb0="800002E7" w:usb1="2AC7FCFF" w:usb2="00000012" w:usb3="00000000" w:csb0="0002009F" w:csb1="00000000"/>
  </w:font>
  <w:font w:name="FoundrySterling-Book">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default"/>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66D2" w14:textId="0718A4F8" w:rsidR="00D87A3F" w:rsidRDefault="001D0C8A" w:rsidP="00D87A3F">
    <w:pPr>
      <w:spacing w:after="0" w:line="240" w:lineRule="auto"/>
      <w:jc w:val="right"/>
      <w:rPr>
        <w:rFonts w:asciiTheme="minorHAnsi" w:hAnsiTheme="minorHAnsi" w:cstheme="minorHAnsi"/>
        <w:color w:val="70787B"/>
        <w:sz w:val="15"/>
        <w:szCs w:val="15"/>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0" behindDoc="0" locked="0" layoutInCell="1" allowOverlap="1" wp14:anchorId="46C66B63" wp14:editId="5DBE28E1">
              <wp:simplePos x="0" y="0"/>
              <wp:positionH relativeFrom="page">
                <wp:align>left</wp:align>
              </wp:positionH>
              <wp:positionV relativeFrom="paragraph">
                <wp:posOffset>-2988945</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w14:anchorId="3779C746">
            <v:group id="Group 3" style="position:absolute;margin-left:0;margin-top:-235.35pt;width:280.7pt;height:280.65pt;z-index:251656192;mso-position-horizontal:left;mso-position-horizontal-relative:page;mso-width-relative:margin;mso-height-relative:margin" coordsize="39606,39598" o:spid="_x0000_s1026" w14:anchorId="29D5A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w10:wrap anchorx="page"/>
            </v:group>
          </w:pict>
        </mc:Fallback>
      </mc:AlternateContent>
    </w:r>
    <w:r w:rsidR="009A57BF" w:rsidRPr="009A57BF">
      <w:t xml:space="preserve"> </w:t>
    </w:r>
    <w:r w:rsidR="009A57BF" w:rsidRPr="009A57BF">
      <w:rPr>
        <w:rFonts w:asciiTheme="minorHAnsi" w:hAnsiTheme="minorHAnsi" w:cstheme="minorHAnsi"/>
        <w:noProof/>
        <w:color w:val="70787B"/>
        <w:sz w:val="15"/>
        <w:szCs w:val="15"/>
      </w:rPr>
      <w:t>Endowment Distribution and Investment Policy</w:t>
    </w:r>
    <w:r w:rsidRPr="000209B9">
      <w:rPr>
        <w:rFonts w:asciiTheme="minorHAnsi" w:hAnsiTheme="minorHAnsi" w:cstheme="minorHAnsi"/>
        <w:color w:val="70787B"/>
        <w:sz w:val="15"/>
        <w:szCs w:val="15"/>
      </w:rPr>
      <w:t xml:space="preserve"> | </w:t>
    </w:r>
    <w:r w:rsidR="009A57BF">
      <w:rPr>
        <w:rFonts w:asciiTheme="minorHAnsi" w:hAnsiTheme="minorHAnsi" w:cstheme="minorHAnsi"/>
        <w:color w:val="70787B"/>
        <w:sz w:val="15"/>
        <w:szCs w:val="15"/>
      </w:rPr>
      <w:t>November 2021</w:t>
    </w:r>
    <w:r w:rsidR="00871013" w:rsidRPr="000209B9">
      <w:rPr>
        <w:rFonts w:asciiTheme="minorHAnsi" w:hAnsiTheme="minorHAnsi" w:cstheme="minorHAnsi"/>
        <w:color w:val="70787B"/>
        <w:sz w:val="15"/>
        <w:szCs w:val="15"/>
      </w:rPr>
      <w:t xml:space="preserve"> </w:t>
    </w:r>
  </w:p>
  <w:p w14:paraId="18669A52" w14:textId="4F9A80CD" w:rsidR="003C3AC0" w:rsidRPr="000209B9" w:rsidRDefault="003C3AC0" w:rsidP="00D87A3F">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 </w:t>
    </w:r>
    <w:r w:rsidRPr="003C3AC0">
      <w:rPr>
        <w:rFonts w:asciiTheme="minorHAnsi" w:hAnsiTheme="minorHAnsi" w:cstheme="minorHAnsi"/>
        <w:color w:val="70787B"/>
        <w:sz w:val="15"/>
        <w:szCs w:val="15"/>
      </w:rPr>
      <w:t>2023/0001166</w:t>
    </w:r>
  </w:p>
  <w:p w14:paraId="59A619E6" w14:textId="5D2E01AE" w:rsidR="00152D7D" w:rsidRPr="000209B9" w:rsidRDefault="00D87A3F" w:rsidP="00D87A3F">
    <w:pPr>
      <w:spacing w:after="0" w:line="240" w:lineRule="auto"/>
      <w:jc w:val="right"/>
      <w:rPr>
        <w:rFonts w:asciiTheme="minorHAnsi" w:eastAsia="Times New Roman" w:hAnsiTheme="minorHAnsi" w:cstheme="minorHAnsi"/>
        <w:sz w:val="15"/>
        <w:szCs w:val="15"/>
        <w:lang w:eastAsia="en-GB"/>
      </w:rPr>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F05C" w14:textId="77777777" w:rsidR="001467D3" w:rsidRDefault="001467D3" w:rsidP="00F45E9C">
      <w:r>
        <w:separator/>
      </w:r>
    </w:p>
  </w:footnote>
  <w:footnote w:type="continuationSeparator" w:id="0">
    <w:p w14:paraId="7530EBAC" w14:textId="77777777" w:rsidR="001467D3" w:rsidRDefault="001467D3" w:rsidP="00F45E9C">
      <w:r>
        <w:continuationSeparator/>
      </w:r>
    </w:p>
  </w:footnote>
  <w:footnote w:type="continuationNotice" w:id="1">
    <w:p w14:paraId="309C9645" w14:textId="77777777" w:rsidR="001467D3" w:rsidRDefault="001467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254A43A4" w:rsidR="00F45E9C" w:rsidRPr="00577FA9" w:rsidRDefault="00D87683" w:rsidP="00D87683">
    <w:pPr>
      <w:pStyle w:val="Header"/>
      <w:ind w:right="50"/>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8242" behindDoc="1" locked="0" layoutInCell="1" allowOverlap="1" wp14:anchorId="34461DEB" wp14:editId="5F4BCD63">
          <wp:simplePos x="0" y="0"/>
          <wp:positionH relativeFrom="margin">
            <wp:align>left</wp:align>
          </wp:positionH>
          <wp:positionV relativeFrom="paragraph">
            <wp:posOffset>-61595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001D0C8A" w:rsidRPr="00577FA9">
      <w:rPr>
        <w:rFonts w:ascii="Arial" w:hAnsi="Arial" w:cs="Arial"/>
        <w:b/>
        <w:bCs/>
        <w:noProof/>
        <w:color w:val="70787B"/>
        <w:sz w:val="52"/>
        <w:szCs w:val="52"/>
      </w:rPr>
      <mc:AlternateContent>
        <mc:Choice Requires="wps">
          <w:drawing>
            <wp:anchor distT="0" distB="0" distL="114300" distR="114300" simplePos="0" relativeHeight="251658241" behindDoc="1" locked="0" layoutInCell="1" allowOverlap="1" wp14:anchorId="01CC7B95" wp14:editId="24039BDC">
              <wp:simplePos x="0" y="0"/>
              <wp:positionH relativeFrom="column">
                <wp:posOffset>3850640</wp:posOffset>
              </wp:positionH>
              <wp:positionV relativeFrom="paragraph">
                <wp:posOffset>-781685</wp:posOffset>
              </wp:positionV>
              <wp:extent cx="4583486" cy="2280212"/>
              <wp:effectExtent l="0" t="0" r="1270" b="6350"/>
              <wp:wrapNone/>
              <wp:docPr id="2" name="Isosceles Triangle 2"/>
              <wp:cNvGraphicFramePr/>
              <a:graphic xmlns:a="http://schemas.openxmlformats.org/drawingml/2006/main">
                <a:graphicData uri="http://schemas.microsoft.com/office/word/2010/wordprocessingShape">
                  <wps:wsp>
                    <wps:cNvSpPr/>
                    <wps:spPr>
                      <a:xfrm flipV="1">
                        <a:off x="0" y="0"/>
                        <a:ext cx="4583486" cy="2280212"/>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BA679C5">
            <v:shapetype id="_x0000_t5" coordsize="21600,21600" o:spt="5" adj="10800" path="m@0,l,21600r21600,xe" w14:anchorId="30B9882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303.2pt;margin-top:-61.55pt;width:360.9pt;height:179.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c1d24"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"/>
          </w:pict>
        </mc:Fallback>
      </mc:AlternateContent>
    </w:r>
    <w:r w:rsidR="00CC69B4" w:rsidRPr="00577FA9">
      <w:rPr>
        <w:rFonts w:ascii="Arial" w:hAnsi="Arial" w:cs="Arial"/>
        <w:b/>
        <w:color w:val="FFFFFF" w:themeColor="background1"/>
        <w:sz w:val="52"/>
        <w:szCs w:val="52"/>
      </w:rPr>
      <w:t xml:space="preserve">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36B1B46C" w:rsidR="00D87683" w:rsidRPr="00577FA9" w:rsidRDefault="00D87683" w:rsidP="00D87683">
    <w:pPr>
      <w:pStyle w:val="Header"/>
      <w:ind w:right="-348"/>
      <w:jc w:val="right"/>
      <w:rPr>
        <w:rFonts w:ascii="Arial" w:hAnsi="Arial" w:cs="Arial"/>
        <w:b/>
        <w:color w:val="FFFFFF" w:themeColor="background1"/>
        <w:sz w:val="52"/>
        <w:szCs w:val="52"/>
      </w:rPr>
    </w:pPr>
    <w:r w:rsidRPr="00577FA9">
      <w:rPr>
        <w:rFonts w:ascii="Arial" w:hAnsi="Arial" w:cs="Arial"/>
        <w:b/>
        <w:bCs/>
        <w:noProof/>
        <w:color w:val="70787B"/>
        <w:sz w:val="52"/>
        <w:szCs w:val="52"/>
      </w:rPr>
      <mc:AlternateContent>
        <mc:Choice Requires="wps">
          <w:drawing>
            <wp:anchor distT="0" distB="0" distL="114300" distR="114300" simplePos="0" relativeHeight="251658243" behindDoc="1" locked="0" layoutInCell="1" allowOverlap="1" wp14:anchorId="472AE9DE" wp14:editId="3DE9924A">
              <wp:simplePos x="0" y="0"/>
              <wp:positionH relativeFrom="column">
                <wp:posOffset>3726815</wp:posOffset>
              </wp:positionH>
              <wp:positionV relativeFrom="paragraph">
                <wp:posOffset>-800735</wp:posOffset>
              </wp:positionV>
              <wp:extent cx="4583486" cy="2280212"/>
              <wp:effectExtent l="0" t="0" r="1270" b="6350"/>
              <wp:wrapNone/>
              <wp:docPr id="1" name="Isosceles Triangle 1"/>
              <wp:cNvGraphicFramePr/>
              <a:graphic xmlns:a="http://schemas.openxmlformats.org/drawingml/2006/main">
                <a:graphicData uri="http://schemas.microsoft.com/office/word/2010/wordprocessingShape">
                  <wps:wsp>
                    <wps:cNvSpPr/>
                    <wps:spPr>
                      <a:xfrm flipV="1">
                        <a:off x="0" y="0"/>
                        <a:ext cx="4583486" cy="2280212"/>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6103AD6">
            <v:shapetype id="_x0000_t5" coordsize="21600,21600" o:spt="5" adj="10800" path="m@0,l,21600r21600,xe" w14:anchorId="570EFAA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 style="position:absolute;margin-left:293.45pt;margin-top:-63.05pt;width:360.9pt;height:179.5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c1d24"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"/>
          </w:pict>
        </mc:Fallback>
      </mc:AlternateContent>
    </w:r>
    <w:r w:rsidRPr="00577FA9">
      <w:rPr>
        <w:rFonts w:ascii="Arial" w:hAnsi="Arial" w:cs="Arial"/>
        <w:b/>
        <w:noProof/>
        <w:color w:val="E30918"/>
        <w:sz w:val="52"/>
        <w:szCs w:val="52"/>
      </w:rPr>
      <w:drawing>
        <wp:anchor distT="0" distB="0" distL="114300" distR="114300" simplePos="0" relativeHeight="251658244" behindDoc="1" locked="0" layoutInCell="1" allowOverlap="1" wp14:anchorId="0790D813" wp14:editId="1541C52D">
          <wp:simplePos x="0" y="0"/>
          <wp:positionH relativeFrom="margin">
            <wp:posOffset>-142875</wp:posOffset>
          </wp:positionH>
          <wp:positionV relativeFrom="paragraph">
            <wp:posOffset>-23495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Pr="00577FA9">
      <w:rPr>
        <w:rFonts w:ascii="Arial" w:hAnsi="Arial" w:cs="Arial"/>
        <w:b/>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2D8"/>
    <w:multiLevelType w:val="multilevel"/>
    <w:tmpl w:val="E8602E66"/>
    <w:lvl w:ilvl="0">
      <w:start w:val="1"/>
      <w:numFmt w:val="decimal"/>
      <w:lvlText w:val="%1."/>
      <w:lvlJc w:val="left"/>
      <w:pPr>
        <w:ind w:left="674" w:hanging="567"/>
      </w:pPr>
      <w:rPr>
        <w:rFonts w:ascii="Arial" w:eastAsia="Arial" w:hAnsi="Arial" w:cs="Arial" w:hint="default"/>
        <w:b/>
        <w:bCs/>
        <w:i w:val="0"/>
        <w:iCs w:val="0"/>
        <w:w w:val="99"/>
        <w:sz w:val="24"/>
        <w:szCs w:val="24"/>
        <w:lang w:val="en-AU" w:eastAsia="en-US" w:bidi="ar-SA"/>
      </w:rPr>
    </w:lvl>
    <w:lvl w:ilvl="1">
      <w:start w:val="1"/>
      <w:numFmt w:val="decimal"/>
      <w:lvlText w:val="%1.%2"/>
      <w:lvlJc w:val="left"/>
      <w:pPr>
        <w:ind w:left="1241" w:hanging="569"/>
      </w:pPr>
      <w:rPr>
        <w:rFonts w:ascii="Arial" w:eastAsia="Arial" w:hAnsi="Arial" w:cs="Arial" w:hint="default"/>
        <w:b/>
        <w:bCs/>
        <w:i w:val="0"/>
        <w:iCs w:val="0"/>
        <w:spacing w:val="-1"/>
        <w:w w:val="99"/>
        <w:sz w:val="20"/>
        <w:szCs w:val="20"/>
        <w:lang w:val="en-AU" w:eastAsia="en-US" w:bidi="ar-SA"/>
      </w:rPr>
    </w:lvl>
    <w:lvl w:ilvl="2">
      <w:numFmt w:val="bullet"/>
      <w:lvlText w:val="•"/>
      <w:lvlJc w:val="left"/>
      <w:pPr>
        <w:ind w:left="2209" w:hanging="569"/>
      </w:pPr>
      <w:rPr>
        <w:rFonts w:hint="default"/>
        <w:lang w:val="en-AU" w:eastAsia="en-US" w:bidi="ar-SA"/>
      </w:rPr>
    </w:lvl>
    <w:lvl w:ilvl="3">
      <w:numFmt w:val="bullet"/>
      <w:lvlText w:val="•"/>
      <w:lvlJc w:val="left"/>
      <w:pPr>
        <w:ind w:left="3179" w:hanging="569"/>
      </w:pPr>
      <w:rPr>
        <w:rFonts w:hint="default"/>
        <w:lang w:val="en-AU" w:eastAsia="en-US" w:bidi="ar-SA"/>
      </w:rPr>
    </w:lvl>
    <w:lvl w:ilvl="4">
      <w:numFmt w:val="bullet"/>
      <w:lvlText w:val="•"/>
      <w:lvlJc w:val="left"/>
      <w:pPr>
        <w:ind w:left="4148" w:hanging="569"/>
      </w:pPr>
      <w:rPr>
        <w:rFonts w:hint="default"/>
        <w:lang w:val="en-AU" w:eastAsia="en-US" w:bidi="ar-SA"/>
      </w:rPr>
    </w:lvl>
    <w:lvl w:ilvl="5">
      <w:numFmt w:val="bullet"/>
      <w:lvlText w:val="•"/>
      <w:lvlJc w:val="left"/>
      <w:pPr>
        <w:ind w:left="5118" w:hanging="569"/>
      </w:pPr>
      <w:rPr>
        <w:rFonts w:hint="default"/>
        <w:lang w:val="en-AU" w:eastAsia="en-US" w:bidi="ar-SA"/>
      </w:rPr>
    </w:lvl>
    <w:lvl w:ilvl="6">
      <w:numFmt w:val="bullet"/>
      <w:lvlText w:val="•"/>
      <w:lvlJc w:val="left"/>
      <w:pPr>
        <w:ind w:left="6088" w:hanging="569"/>
      </w:pPr>
      <w:rPr>
        <w:rFonts w:hint="default"/>
        <w:lang w:val="en-AU" w:eastAsia="en-US" w:bidi="ar-SA"/>
      </w:rPr>
    </w:lvl>
    <w:lvl w:ilvl="7">
      <w:numFmt w:val="bullet"/>
      <w:lvlText w:val="•"/>
      <w:lvlJc w:val="left"/>
      <w:pPr>
        <w:ind w:left="7057" w:hanging="569"/>
      </w:pPr>
      <w:rPr>
        <w:rFonts w:hint="default"/>
        <w:lang w:val="en-AU" w:eastAsia="en-US" w:bidi="ar-SA"/>
      </w:rPr>
    </w:lvl>
    <w:lvl w:ilvl="8">
      <w:numFmt w:val="bullet"/>
      <w:lvlText w:val="•"/>
      <w:lvlJc w:val="left"/>
      <w:pPr>
        <w:ind w:left="8027" w:hanging="569"/>
      </w:pPr>
      <w:rPr>
        <w:rFonts w:hint="default"/>
        <w:lang w:val="en-AU" w:eastAsia="en-US" w:bidi="ar-SA"/>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115060B9"/>
    <w:multiLevelType w:val="hybridMultilevel"/>
    <w:tmpl w:val="BB7E7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A2AF1"/>
    <w:multiLevelType w:val="hybridMultilevel"/>
    <w:tmpl w:val="49300F12"/>
    <w:lvl w:ilvl="0" w:tplc="960CC578">
      <w:numFmt w:val="bullet"/>
      <w:lvlText w:val=""/>
      <w:lvlJc w:val="left"/>
      <w:pPr>
        <w:ind w:left="1541" w:hanging="356"/>
      </w:pPr>
      <w:rPr>
        <w:rFonts w:ascii="Symbol" w:eastAsia="Symbol" w:hAnsi="Symbol" w:cs="Symbol" w:hint="default"/>
        <w:b w:val="0"/>
        <w:bCs w:val="0"/>
        <w:i w:val="0"/>
        <w:iCs w:val="0"/>
        <w:w w:val="99"/>
        <w:sz w:val="20"/>
        <w:szCs w:val="20"/>
        <w:lang w:val="en-AU" w:eastAsia="en-US" w:bidi="ar-SA"/>
      </w:rPr>
    </w:lvl>
    <w:lvl w:ilvl="1" w:tplc="40DA38F2">
      <w:numFmt w:val="bullet"/>
      <w:lvlText w:val="•"/>
      <w:lvlJc w:val="left"/>
      <w:pPr>
        <w:ind w:left="2382" w:hanging="356"/>
      </w:pPr>
      <w:rPr>
        <w:rFonts w:hint="default"/>
        <w:lang w:val="en-AU" w:eastAsia="en-US" w:bidi="ar-SA"/>
      </w:rPr>
    </w:lvl>
    <w:lvl w:ilvl="2" w:tplc="FEC67622">
      <w:numFmt w:val="bullet"/>
      <w:lvlText w:val="•"/>
      <w:lvlJc w:val="left"/>
      <w:pPr>
        <w:ind w:left="3225" w:hanging="356"/>
      </w:pPr>
      <w:rPr>
        <w:rFonts w:hint="default"/>
        <w:lang w:val="en-AU" w:eastAsia="en-US" w:bidi="ar-SA"/>
      </w:rPr>
    </w:lvl>
    <w:lvl w:ilvl="3" w:tplc="8CA07980">
      <w:numFmt w:val="bullet"/>
      <w:lvlText w:val="•"/>
      <w:lvlJc w:val="left"/>
      <w:pPr>
        <w:ind w:left="4067" w:hanging="356"/>
      </w:pPr>
      <w:rPr>
        <w:rFonts w:hint="default"/>
        <w:lang w:val="en-AU" w:eastAsia="en-US" w:bidi="ar-SA"/>
      </w:rPr>
    </w:lvl>
    <w:lvl w:ilvl="4" w:tplc="C52CD7A2">
      <w:numFmt w:val="bullet"/>
      <w:lvlText w:val="•"/>
      <w:lvlJc w:val="left"/>
      <w:pPr>
        <w:ind w:left="4910" w:hanging="356"/>
      </w:pPr>
      <w:rPr>
        <w:rFonts w:hint="default"/>
        <w:lang w:val="en-AU" w:eastAsia="en-US" w:bidi="ar-SA"/>
      </w:rPr>
    </w:lvl>
    <w:lvl w:ilvl="5" w:tplc="1830325E">
      <w:numFmt w:val="bullet"/>
      <w:lvlText w:val="•"/>
      <w:lvlJc w:val="left"/>
      <w:pPr>
        <w:ind w:left="5753" w:hanging="356"/>
      </w:pPr>
      <w:rPr>
        <w:rFonts w:hint="default"/>
        <w:lang w:val="en-AU" w:eastAsia="en-US" w:bidi="ar-SA"/>
      </w:rPr>
    </w:lvl>
    <w:lvl w:ilvl="6" w:tplc="98F46CB4">
      <w:numFmt w:val="bullet"/>
      <w:lvlText w:val="•"/>
      <w:lvlJc w:val="left"/>
      <w:pPr>
        <w:ind w:left="6595" w:hanging="356"/>
      </w:pPr>
      <w:rPr>
        <w:rFonts w:hint="default"/>
        <w:lang w:val="en-AU" w:eastAsia="en-US" w:bidi="ar-SA"/>
      </w:rPr>
    </w:lvl>
    <w:lvl w:ilvl="7" w:tplc="C32C0578">
      <w:numFmt w:val="bullet"/>
      <w:lvlText w:val="•"/>
      <w:lvlJc w:val="left"/>
      <w:pPr>
        <w:ind w:left="7438" w:hanging="356"/>
      </w:pPr>
      <w:rPr>
        <w:rFonts w:hint="default"/>
        <w:lang w:val="en-AU" w:eastAsia="en-US" w:bidi="ar-SA"/>
      </w:rPr>
    </w:lvl>
    <w:lvl w:ilvl="8" w:tplc="13E6B12A">
      <w:numFmt w:val="bullet"/>
      <w:lvlText w:val="•"/>
      <w:lvlJc w:val="left"/>
      <w:pPr>
        <w:ind w:left="8281" w:hanging="356"/>
      </w:pPr>
      <w:rPr>
        <w:rFonts w:hint="default"/>
        <w:lang w:val="en-AU" w:eastAsia="en-US" w:bidi="ar-SA"/>
      </w:rPr>
    </w:lvl>
  </w:abstractNum>
  <w:abstractNum w:abstractNumId="9"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B675B3"/>
    <w:multiLevelType w:val="hybridMultilevel"/>
    <w:tmpl w:val="412ED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637B2556"/>
    <w:multiLevelType w:val="hybridMultilevel"/>
    <w:tmpl w:val="7AB866D6"/>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26887908">
    <w:abstractNumId w:val="7"/>
  </w:num>
  <w:num w:numId="2" w16cid:durableId="521479177">
    <w:abstractNumId w:val="4"/>
  </w:num>
  <w:num w:numId="3" w16cid:durableId="995911630">
    <w:abstractNumId w:val="16"/>
  </w:num>
  <w:num w:numId="4" w16cid:durableId="399714223">
    <w:abstractNumId w:val="26"/>
  </w:num>
  <w:num w:numId="5" w16cid:durableId="13386159">
    <w:abstractNumId w:val="19"/>
  </w:num>
  <w:num w:numId="6" w16cid:durableId="975914522">
    <w:abstractNumId w:val="17"/>
  </w:num>
  <w:num w:numId="7" w16cid:durableId="406265999">
    <w:abstractNumId w:val="22"/>
  </w:num>
  <w:num w:numId="8" w16cid:durableId="2113544517">
    <w:abstractNumId w:val="6"/>
  </w:num>
  <w:num w:numId="9" w16cid:durableId="4748635">
    <w:abstractNumId w:val="9"/>
  </w:num>
  <w:num w:numId="10" w16cid:durableId="2098358403">
    <w:abstractNumId w:val="25"/>
  </w:num>
  <w:num w:numId="11" w16cid:durableId="129979514">
    <w:abstractNumId w:val="14"/>
  </w:num>
  <w:num w:numId="12" w16cid:durableId="1354963969">
    <w:abstractNumId w:val="23"/>
  </w:num>
  <w:num w:numId="13" w16cid:durableId="1799176886">
    <w:abstractNumId w:val="5"/>
  </w:num>
  <w:num w:numId="14" w16cid:durableId="1079449998">
    <w:abstractNumId w:val="24"/>
  </w:num>
  <w:num w:numId="15" w16cid:durableId="295180554">
    <w:abstractNumId w:val="3"/>
  </w:num>
  <w:num w:numId="16" w16cid:durableId="366221136">
    <w:abstractNumId w:val="11"/>
  </w:num>
  <w:num w:numId="17" w16cid:durableId="422533494">
    <w:abstractNumId w:val="1"/>
  </w:num>
  <w:num w:numId="18" w16cid:durableId="1189026444">
    <w:abstractNumId w:val="18"/>
  </w:num>
  <w:num w:numId="19" w16cid:durableId="1631477641">
    <w:abstractNumId w:val="20"/>
  </w:num>
  <w:num w:numId="20" w16cid:durableId="698971369">
    <w:abstractNumId w:val="15"/>
  </w:num>
  <w:num w:numId="21" w16cid:durableId="927343793">
    <w:abstractNumId w:val="13"/>
  </w:num>
  <w:num w:numId="22" w16cid:durableId="1627659492">
    <w:abstractNumId w:val="12"/>
  </w:num>
  <w:num w:numId="23" w16cid:durableId="1655377787">
    <w:abstractNumId w:val="21"/>
  </w:num>
  <w:num w:numId="24" w16cid:durableId="981233689">
    <w:abstractNumId w:val="10"/>
  </w:num>
  <w:num w:numId="25" w16cid:durableId="76249305">
    <w:abstractNumId w:val="0"/>
  </w:num>
  <w:num w:numId="26" w16cid:durableId="1922133675">
    <w:abstractNumId w:val="8"/>
  </w:num>
  <w:num w:numId="27" w16cid:durableId="1329792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1254D"/>
    <w:rsid w:val="000209B9"/>
    <w:rsid w:val="000214B8"/>
    <w:rsid w:val="00023997"/>
    <w:rsid w:val="000372F6"/>
    <w:rsid w:val="00037E6F"/>
    <w:rsid w:val="000408E3"/>
    <w:rsid w:val="00040BB8"/>
    <w:rsid w:val="00041B5B"/>
    <w:rsid w:val="00042E2C"/>
    <w:rsid w:val="00045D5F"/>
    <w:rsid w:val="00050910"/>
    <w:rsid w:val="00051573"/>
    <w:rsid w:val="00051945"/>
    <w:rsid w:val="00052E7B"/>
    <w:rsid w:val="00053A5F"/>
    <w:rsid w:val="000576DF"/>
    <w:rsid w:val="000674C0"/>
    <w:rsid w:val="00071436"/>
    <w:rsid w:val="00081FC0"/>
    <w:rsid w:val="000B3767"/>
    <w:rsid w:val="000B7D0C"/>
    <w:rsid w:val="000D3184"/>
    <w:rsid w:val="000D5843"/>
    <w:rsid w:val="000E2A8A"/>
    <w:rsid w:val="000E46E9"/>
    <w:rsid w:val="000E4CBE"/>
    <w:rsid w:val="000E5D52"/>
    <w:rsid w:val="000E5D83"/>
    <w:rsid w:val="000F0714"/>
    <w:rsid w:val="00102763"/>
    <w:rsid w:val="00102D19"/>
    <w:rsid w:val="001040E4"/>
    <w:rsid w:val="00105063"/>
    <w:rsid w:val="0010768E"/>
    <w:rsid w:val="00122CF0"/>
    <w:rsid w:val="001254E2"/>
    <w:rsid w:val="0013141E"/>
    <w:rsid w:val="00140E32"/>
    <w:rsid w:val="001467D3"/>
    <w:rsid w:val="00147A35"/>
    <w:rsid w:val="00147B11"/>
    <w:rsid w:val="00150BF4"/>
    <w:rsid w:val="00152D7D"/>
    <w:rsid w:val="001537D5"/>
    <w:rsid w:val="00162972"/>
    <w:rsid w:val="001735D3"/>
    <w:rsid w:val="0017412E"/>
    <w:rsid w:val="00180673"/>
    <w:rsid w:val="00180A28"/>
    <w:rsid w:val="00181BF5"/>
    <w:rsid w:val="00192ACD"/>
    <w:rsid w:val="001A0DF5"/>
    <w:rsid w:val="001A138A"/>
    <w:rsid w:val="001A1ABF"/>
    <w:rsid w:val="001A1FEC"/>
    <w:rsid w:val="001A7E08"/>
    <w:rsid w:val="001C2656"/>
    <w:rsid w:val="001D0C8A"/>
    <w:rsid w:val="001D0DB6"/>
    <w:rsid w:val="001D2660"/>
    <w:rsid w:val="001E6438"/>
    <w:rsid w:val="002015FA"/>
    <w:rsid w:val="002043F8"/>
    <w:rsid w:val="00224B0B"/>
    <w:rsid w:val="00231E7F"/>
    <w:rsid w:val="00246CB4"/>
    <w:rsid w:val="00257E43"/>
    <w:rsid w:val="0027526D"/>
    <w:rsid w:val="00275B4B"/>
    <w:rsid w:val="00292052"/>
    <w:rsid w:val="002A035B"/>
    <w:rsid w:val="002A1DE8"/>
    <w:rsid w:val="002A78A0"/>
    <w:rsid w:val="002B02ED"/>
    <w:rsid w:val="002B100C"/>
    <w:rsid w:val="002B5AE6"/>
    <w:rsid w:val="002C4450"/>
    <w:rsid w:val="002D64A4"/>
    <w:rsid w:val="002E1C61"/>
    <w:rsid w:val="002E4FA8"/>
    <w:rsid w:val="002F13EA"/>
    <w:rsid w:val="002F2CC2"/>
    <w:rsid w:val="002F2CDF"/>
    <w:rsid w:val="002F5132"/>
    <w:rsid w:val="002F52A9"/>
    <w:rsid w:val="003045F8"/>
    <w:rsid w:val="003136CE"/>
    <w:rsid w:val="00322FF9"/>
    <w:rsid w:val="00332215"/>
    <w:rsid w:val="00332EC1"/>
    <w:rsid w:val="00333B53"/>
    <w:rsid w:val="00335D26"/>
    <w:rsid w:val="003504C4"/>
    <w:rsid w:val="00350CB0"/>
    <w:rsid w:val="00350DE3"/>
    <w:rsid w:val="003664F0"/>
    <w:rsid w:val="0037658D"/>
    <w:rsid w:val="00376FB2"/>
    <w:rsid w:val="00382F39"/>
    <w:rsid w:val="003873FF"/>
    <w:rsid w:val="003905A9"/>
    <w:rsid w:val="003907D9"/>
    <w:rsid w:val="003B0C9A"/>
    <w:rsid w:val="003B1D32"/>
    <w:rsid w:val="003C20B4"/>
    <w:rsid w:val="003C3AC0"/>
    <w:rsid w:val="003C4CA3"/>
    <w:rsid w:val="003D0FE4"/>
    <w:rsid w:val="003D418D"/>
    <w:rsid w:val="003D51F2"/>
    <w:rsid w:val="003D5267"/>
    <w:rsid w:val="003E0B6D"/>
    <w:rsid w:val="003E1E69"/>
    <w:rsid w:val="003E514B"/>
    <w:rsid w:val="004127D7"/>
    <w:rsid w:val="00413A8A"/>
    <w:rsid w:val="004144E6"/>
    <w:rsid w:val="00414B79"/>
    <w:rsid w:val="00427588"/>
    <w:rsid w:val="00441014"/>
    <w:rsid w:val="004415B7"/>
    <w:rsid w:val="004430BB"/>
    <w:rsid w:val="00452F4C"/>
    <w:rsid w:val="00457151"/>
    <w:rsid w:val="00463053"/>
    <w:rsid w:val="00464423"/>
    <w:rsid w:val="00470DC3"/>
    <w:rsid w:val="004723ED"/>
    <w:rsid w:val="00473800"/>
    <w:rsid w:val="004B25E1"/>
    <w:rsid w:val="004B38E1"/>
    <w:rsid w:val="004C49E3"/>
    <w:rsid w:val="004D2BE0"/>
    <w:rsid w:val="004D7998"/>
    <w:rsid w:val="004F3E9A"/>
    <w:rsid w:val="0050415F"/>
    <w:rsid w:val="005104A1"/>
    <w:rsid w:val="00511137"/>
    <w:rsid w:val="00525C75"/>
    <w:rsid w:val="00541F5A"/>
    <w:rsid w:val="00545FF8"/>
    <w:rsid w:val="00547ADF"/>
    <w:rsid w:val="00553B87"/>
    <w:rsid w:val="0055651E"/>
    <w:rsid w:val="00557E43"/>
    <w:rsid w:val="00560079"/>
    <w:rsid w:val="00564685"/>
    <w:rsid w:val="005649EC"/>
    <w:rsid w:val="005703AB"/>
    <w:rsid w:val="005738ED"/>
    <w:rsid w:val="00573A3D"/>
    <w:rsid w:val="005758D8"/>
    <w:rsid w:val="00577FA9"/>
    <w:rsid w:val="00590C60"/>
    <w:rsid w:val="005A03C1"/>
    <w:rsid w:val="005A09EF"/>
    <w:rsid w:val="005A612B"/>
    <w:rsid w:val="005B3562"/>
    <w:rsid w:val="005B5914"/>
    <w:rsid w:val="005B5C34"/>
    <w:rsid w:val="005C15C5"/>
    <w:rsid w:val="005C3DBA"/>
    <w:rsid w:val="005E2BCC"/>
    <w:rsid w:val="005E4006"/>
    <w:rsid w:val="00611E7C"/>
    <w:rsid w:val="00620C28"/>
    <w:rsid w:val="00647006"/>
    <w:rsid w:val="00650F00"/>
    <w:rsid w:val="0065542A"/>
    <w:rsid w:val="006626D7"/>
    <w:rsid w:val="00667F87"/>
    <w:rsid w:val="006724AD"/>
    <w:rsid w:val="00674AC7"/>
    <w:rsid w:val="00676E5C"/>
    <w:rsid w:val="00686AED"/>
    <w:rsid w:val="006948C4"/>
    <w:rsid w:val="00696054"/>
    <w:rsid w:val="006A4F70"/>
    <w:rsid w:val="006B5D3A"/>
    <w:rsid w:val="006C182A"/>
    <w:rsid w:val="006C1FBC"/>
    <w:rsid w:val="006C2418"/>
    <w:rsid w:val="006D1A97"/>
    <w:rsid w:val="006D2066"/>
    <w:rsid w:val="00701F3E"/>
    <w:rsid w:val="00702795"/>
    <w:rsid w:val="00704A2C"/>
    <w:rsid w:val="00707E82"/>
    <w:rsid w:val="0071121B"/>
    <w:rsid w:val="007176E3"/>
    <w:rsid w:val="0072491E"/>
    <w:rsid w:val="00726339"/>
    <w:rsid w:val="00742899"/>
    <w:rsid w:val="007527C8"/>
    <w:rsid w:val="0075505C"/>
    <w:rsid w:val="0075730D"/>
    <w:rsid w:val="007706AB"/>
    <w:rsid w:val="00771F35"/>
    <w:rsid w:val="00773B30"/>
    <w:rsid w:val="00776C5D"/>
    <w:rsid w:val="00784315"/>
    <w:rsid w:val="007866BC"/>
    <w:rsid w:val="0078767D"/>
    <w:rsid w:val="0079386C"/>
    <w:rsid w:val="00797551"/>
    <w:rsid w:val="007A3046"/>
    <w:rsid w:val="007A578C"/>
    <w:rsid w:val="007B685A"/>
    <w:rsid w:val="007C00D0"/>
    <w:rsid w:val="007C744D"/>
    <w:rsid w:val="007D2C38"/>
    <w:rsid w:val="007E7482"/>
    <w:rsid w:val="007F12EA"/>
    <w:rsid w:val="007F1C81"/>
    <w:rsid w:val="00807345"/>
    <w:rsid w:val="008075B2"/>
    <w:rsid w:val="00813D87"/>
    <w:rsid w:val="008152AD"/>
    <w:rsid w:val="00823301"/>
    <w:rsid w:val="00825110"/>
    <w:rsid w:val="008267C5"/>
    <w:rsid w:val="00830E02"/>
    <w:rsid w:val="00831703"/>
    <w:rsid w:val="00834839"/>
    <w:rsid w:val="00841A95"/>
    <w:rsid w:val="00843997"/>
    <w:rsid w:val="0084695A"/>
    <w:rsid w:val="008510EC"/>
    <w:rsid w:val="008542C4"/>
    <w:rsid w:val="00854ED8"/>
    <w:rsid w:val="0086273D"/>
    <w:rsid w:val="00863385"/>
    <w:rsid w:val="008708BC"/>
    <w:rsid w:val="00871013"/>
    <w:rsid w:val="00886243"/>
    <w:rsid w:val="008C0B37"/>
    <w:rsid w:val="008C56C6"/>
    <w:rsid w:val="008D7972"/>
    <w:rsid w:val="008E4C9F"/>
    <w:rsid w:val="008E5D69"/>
    <w:rsid w:val="008E7228"/>
    <w:rsid w:val="008F5D03"/>
    <w:rsid w:val="00902125"/>
    <w:rsid w:val="00911012"/>
    <w:rsid w:val="00911B41"/>
    <w:rsid w:val="0091205A"/>
    <w:rsid w:val="009133A5"/>
    <w:rsid w:val="009252DB"/>
    <w:rsid w:val="0092637C"/>
    <w:rsid w:val="00926581"/>
    <w:rsid w:val="00933D23"/>
    <w:rsid w:val="009459B4"/>
    <w:rsid w:val="00945B70"/>
    <w:rsid w:val="00946B2D"/>
    <w:rsid w:val="00952C4D"/>
    <w:rsid w:val="00954F24"/>
    <w:rsid w:val="00960E56"/>
    <w:rsid w:val="0096474B"/>
    <w:rsid w:val="0097437D"/>
    <w:rsid w:val="00974484"/>
    <w:rsid w:val="00974E55"/>
    <w:rsid w:val="00980F8E"/>
    <w:rsid w:val="00983C8A"/>
    <w:rsid w:val="0098690D"/>
    <w:rsid w:val="0098747B"/>
    <w:rsid w:val="00990C3D"/>
    <w:rsid w:val="0099187B"/>
    <w:rsid w:val="00996485"/>
    <w:rsid w:val="0099689E"/>
    <w:rsid w:val="00997D62"/>
    <w:rsid w:val="009A57BF"/>
    <w:rsid w:val="009B3179"/>
    <w:rsid w:val="009B7685"/>
    <w:rsid w:val="009C3D6A"/>
    <w:rsid w:val="009C5C2C"/>
    <w:rsid w:val="009E2F2F"/>
    <w:rsid w:val="009F15CB"/>
    <w:rsid w:val="009F313A"/>
    <w:rsid w:val="00A02758"/>
    <w:rsid w:val="00A04082"/>
    <w:rsid w:val="00A127BD"/>
    <w:rsid w:val="00A1311D"/>
    <w:rsid w:val="00A24E55"/>
    <w:rsid w:val="00A25AA1"/>
    <w:rsid w:val="00A40D57"/>
    <w:rsid w:val="00A50C42"/>
    <w:rsid w:val="00A50ED4"/>
    <w:rsid w:val="00A60321"/>
    <w:rsid w:val="00A63331"/>
    <w:rsid w:val="00A64338"/>
    <w:rsid w:val="00A65908"/>
    <w:rsid w:val="00A7785F"/>
    <w:rsid w:val="00A83786"/>
    <w:rsid w:val="00A84CEC"/>
    <w:rsid w:val="00A8677D"/>
    <w:rsid w:val="00A95F56"/>
    <w:rsid w:val="00A961AC"/>
    <w:rsid w:val="00AA227D"/>
    <w:rsid w:val="00AA4460"/>
    <w:rsid w:val="00AB30DD"/>
    <w:rsid w:val="00AB5659"/>
    <w:rsid w:val="00AC1353"/>
    <w:rsid w:val="00AC25B5"/>
    <w:rsid w:val="00AD12FC"/>
    <w:rsid w:val="00AE3D9B"/>
    <w:rsid w:val="00AE4EA8"/>
    <w:rsid w:val="00AF3B1E"/>
    <w:rsid w:val="00AF4034"/>
    <w:rsid w:val="00AF5BF6"/>
    <w:rsid w:val="00B03A41"/>
    <w:rsid w:val="00B04BAA"/>
    <w:rsid w:val="00B076A2"/>
    <w:rsid w:val="00B12E6A"/>
    <w:rsid w:val="00B25A19"/>
    <w:rsid w:val="00B34AA7"/>
    <w:rsid w:val="00B4330B"/>
    <w:rsid w:val="00B43C60"/>
    <w:rsid w:val="00B53243"/>
    <w:rsid w:val="00B53615"/>
    <w:rsid w:val="00B67268"/>
    <w:rsid w:val="00B847D5"/>
    <w:rsid w:val="00B90033"/>
    <w:rsid w:val="00B954C5"/>
    <w:rsid w:val="00BA5B5E"/>
    <w:rsid w:val="00BA7F01"/>
    <w:rsid w:val="00BB332B"/>
    <w:rsid w:val="00BB407A"/>
    <w:rsid w:val="00BB465F"/>
    <w:rsid w:val="00BB66B5"/>
    <w:rsid w:val="00BC3ED3"/>
    <w:rsid w:val="00BC55CF"/>
    <w:rsid w:val="00BF01F5"/>
    <w:rsid w:val="00C10B87"/>
    <w:rsid w:val="00C16500"/>
    <w:rsid w:val="00C311BE"/>
    <w:rsid w:val="00C31ECA"/>
    <w:rsid w:val="00C33CC5"/>
    <w:rsid w:val="00C40554"/>
    <w:rsid w:val="00C43588"/>
    <w:rsid w:val="00C5755D"/>
    <w:rsid w:val="00C61357"/>
    <w:rsid w:val="00C64897"/>
    <w:rsid w:val="00C655EF"/>
    <w:rsid w:val="00C74FCB"/>
    <w:rsid w:val="00C80F2E"/>
    <w:rsid w:val="00C83586"/>
    <w:rsid w:val="00C91165"/>
    <w:rsid w:val="00C96B8C"/>
    <w:rsid w:val="00CA74F9"/>
    <w:rsid w:val="00CB102C"/>
    <w:rsid w:val="00CB5A81"/>
    <w:rsid w:val="00CC43B2"/>
    <w:rsid w:val="00CC69B4"/>
    <w:rsid w:val="00CD4DCE"/>
    <w:rsid w:val="00CD6D22"/>
    <w:rsid w:val="00CE0A50"/>
    <w:rsid w:val="00CE2395"/>
    <w:rsid w:val="00CE4484"/>
    <w:rsid w:val="00CE7A13"/>
    <w:rsid w:val="00CF2EBA"/>
    <w:rsid w:val="00D20DE3"/>
    <w:rsid w:val="00D31975"/>
    <w:rsid w:val="00D33E0C"/>
    <w:rsid w:val="00D35A2C"/>
    <w:rsid w:val="00D44766"/>
    <w:rsid w:val="00D5114B"/>
    <w:rsid w:val="00D66192"/>
    <w:rsid w:val="00D66ECF"/>
    <w:rsid w:val="00D67F1F"/>
    <w:rsid w:val="00D855AA"/>
    <w:rsid w:val="00D86597"/>
    <w:rsid w:val="00D87683"/>
    <w:rsid w:val="00D87A3F"/>
    <w:rsid w:val="00D94F19"/>
    <w:rsid w:val="00D95767"/>
    <w:rsid w:val="00DA348D"/>
    <w:rsid w:val="00DA3C93"/>
    <w:rsid w:val="00DB46CC"/>
    <w:rsid w:val="00DD7190"/>
    <w:rsid w:val="00DD72B2"/>
    <w:rsid w:val="00DE207C"/>
    <w:rsid w:val="00DE745A"/>
    <w:rsid w:val="00DF173D"/>
    <w:rsid w:val="00E00AD2"/>
    <w:rsid w:val="00E02A2F"/>
    <w:rsid w:val="00E149BA"/>
    <w:rsid w:val="00E14ADF"/>
    <w:rsid w:val="00E166AD"/>
    <w:rsid w:val="00E17726"/>
    <w:rsid w:val="00E21235"/>
    <w:rsid w:val="00E225C6"/>
    <w:rsid w:val="00E40567"/>
    <w:rsid w:val="00E406BB"/>
    <w:rsid w:val="00E5631A"/>
    <w:rsid w:val="00E61154"/>
    <w:rsid w:val="00E84FFA"/>
    <w:rsid w:val="00E86FBC"/>
    <w:rsid w:val="00EA6390"/>
    <w:rsid w:val="00EA6454"/>
    <w:rsid w:val="00EB67EB"/>
    <w:rsid w:val="00EB789F"/>
    <w:rsid w:val="00EC0BCC"/>
    <w:rsid w:val="00EC73B0"/>
    <w:rsid w:val="00ED12B6"/>
    <w:rsid w:val="00EE02E1"/>
    <w:rsid w:val="00EE421A"/>
    <w:rsid w:val="00EF083E"/>
    <w:rsid w:val="00EF0FC1"/>
    <w:rsid w:val="00EF2D1C"/>
    <w:rsid w:val="00EF4F3F"/>
    <w:rsid w:val="00F014A2"/>
    <w:rsid w:val="00F02DBB"/>
    <w:rsid w:val="00F035C0"/>
    <w:rsid w:val="00F06B1A"/>
    <w:rsid w:val="00F10BF1"/>
    <w:rsid w:val="00F13E06"/>
    <w:rsid w:val="00F3151F"/>
    <w:rsid w:val="00F41226"/>
    <w:rsid w:val="00F45E9C"/>
    <w:rsid w:val="00F65E11"/>
    <w:rsid w:val="00F673C0"/>
    <w:rsid w:val="00F801FF"/>
    <w:rsid w:val="00F814A4"/>
    <w:rsid w:val="00F92F84"/>
    <w:rsid w:val="00F97A5A"/>
    <w:rsid w:val="00FA1219"/>
    <w:rsid w:val="00FA64E1"/>
    <w:rsid w:val="00FB0914"/>
    <w:rsid w:val="00FB353A"/>
    <w:rsid w:val="00FB60AE"/>
    <w:rsid w:val="00FB6309"/>
    <w:rsid w:val="00FB7F8C"/>
    <w:rsid w:val="00FC25DD"/>
    <w:rsid w:val="00FC4968"/>
    <w:rsid w:val="00FC4EBB"/>
    <w:rsid w:val="00FC5552"/>
    <w:rsid w:val="00FD4F36"/>
    <w:rsid w:val="00FD5A49"/>
    <w:rsid w:val="00FE0943"/>
    <w:rsid w:val="00FE28CF"/>
    <w:rsid w:val="00FE505D"/>
    <w:rsid w:val="00FE6784"/>
    <w:rsid w:val="00FF5957"/>
    <w:rsid w:val="0EBB4F0D"/>
    <w:rsid w:val="1554F3DC"/>
    <w:rsid w:val="233B0AAF"/>
    <w:rsid w:val="2A91CFB8"/>
    <w:rsid w:val="52709626"/>
    <w:rsid w:val="569143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DCC98D27-E138-492F-BC2E-2D8F575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1"/>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FoundrySterling-Light" w:hAnsi="FoundrySterling-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BodyText">
    <w:name w:val="Body Text"/>
    <w:basedOn w:val="Normal"/>
    <w:link w:val="BodyTextChar"/>
    <w:uiPriority w:val="1"/>
    <w:qFormat/>
    <w:rsid w:val="001C2656"/>
    <w:pPr>
      <w:widowControl w:val="0"/>
      <w:autoSpaceDE w:val="0"/>
      <w:autoSpaceDN w:val="0"/>
      <w:spacing w:after="0" w:line="240" w:lineRule="auto"/>
    </w:pPr>
    <w:rPr>
      <w:rFonts w:ascii="Arial" w:eastAsia="Arial" w:hAnsi="Arial" w:cs="Arial"/>
      <w:szCs w:val="20"/>
      <w:lang w:eastAsia="en-US"/>
    </w:rPr>
  </w:style>
  <w:style w:type="character" w:customStyle="1" w:styleId="BodyTextChar">
    <w:name w:val="Body Text Char"/>
    <w:basedOn w:val="DefaultParagraphFont"/>
    <w:link w:val="BodyText"/>
    <w:uiPriority w:val="1"/>
    <w:rsid w:val="001C2656"/>
    <w:rPr>
      <w:rFonts w:ascii="Arial" w:eastAsia="Arial" w:hAnsi="Arial" w:cs="Arial"/>
      <w:sz w:val="20"/>
      <w:szCs w:val="20"/>
    </w:rPr>
  </w:style>
  <w:style w:type="character" w:styleId="CommentReference">
    <w:name w:val="annotation reference"/>
    <w:basedOn w:val="DefaultParagraphFont"/>
    <w:uiPriority w:val="99"/>
    <w:semiHidden/>
    <w:unhideWhenUsed/>
    <w:rsid w:val="001C2656"/>
    <w:rPr>
      <w:sz w:val="16"/>
      <w:szCs w:val="16"/>
    </w:rPr>
  </w:style>
  <w:style w:type="paragraph" w:styleId="CommentText">
    <w:name w:val="annotation text"/>
    <w:basedOn w:val="Normal"/>
    <w:link w:val="CommentTextChar"/>
    <w:uiPriority w:val="99"/>
    <w:semiHidden/>
    <w:unhideWhenUsed/>
    <w:rsid w:val="001C2656"/>
    <w:pPr>
      <w:spacing w:line="240" w:lineRule="auto"/>
    </w:pPr>
    <w:rPr>
      <w:szCs w:val="20"/>
    </w:rPr>
  </w:style>
  <w:style w:type="character" w:customStyle="1" w:styleId="CommentTextChar">
    <w:name w:val="Comment Text Char"/>
    <w:basedOn w:val="DefaultParagraphFont"/>
    <w:link w:val="CommentText"/>
    <w:uiPriority w:val="99"/>
    <w:semiHidden/>
    <w:rsid w:val="001C2656"/>
    <w:rPr>
      <w:rFonts w:ascii="Foundry Sterling Book" w:hAnsi="Foundry Sterling Book"/>
      <w:sz w:val="20"/>
      <w:szCs w:val="20"/>
      <w:lang w:eastAsia="en-AU"/>
    </w:rPr>
  </w:style>
  <w:style w:type="paragraph" w:styleId="CommentSubject">
    <w:name w:val="annotation subject"/>
    <w:basedOn w:val="CommentText"/>
    <w:next w:val="CommentText"/>
    <w:link w:val="CommentSubjectChar"/>
    <w:uiPriority w:val="99"/>
    <w:semiHidden/>
    <w:unhideWhenUsed/>
    <w:rsid w:val="001C2656"/>
    <w:rPr>
      <w:b/>
      <w:bCs/>
    </w:rPr>
  </w:style>
  <w:style w:type="character" w:customStyle="1" w:styleId="CommentSubjectChar">
    <w:name w:val="Comment Subject Char"/>
    <w:basedOn w:val="CommentTextChar"/>
    <w:link w:val="CommentSubject"/>
    <w:uiPriority w:val="99"/>
    <w:semiHidden/>
    <w:rsid w:val="001C2656"/>
    <w:rPr>
      <w:rFonts w:ascii="Foundry Sterling Book" w:hAnsi="Foundry Sterling Book"/>
      <w:b/>
      <w:bCs/>
      <w:sz w:val="20"/>
      <w:szCs w:val="20"/>
      <w:lang w:eastAsia="en-AU"/>
    </w:rPr>
  </w:style>
  <w:style w:type="paragraph" w:styleId="Revision">
    <w:name w:val="Revision"/>
    <w:hidden/>
    <w:uiPriority w:val="99"/>
    <w:semiHidden/>
    <w:rsid w:val="007F12EA"/>
    <w:rPr>
      <w:rFonts w:ascii="Foundry Sterling Book" w:hAnsi="Foundry Sterling 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harepointpubstor.blob.core.windows.net/policylibrary-prod/Philanthropy%20and%20Fundraising%20Policy.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Treasury%20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sort xmlns="2f261a70-825f-4a37-b7b5-f6ecc2f4c5fa">1</docsort>
    <PublishOn xmlns="2f261a70-825f-4a37-b7b5-f6ecc2f4c5fa">2021-02-05T09:55:10+00:00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4aa22cf4-03a0-4167-aaa7-1894a1ac6b82</TermId>
        </TermInfo>
      </Terms>
    </l92b321e1c6d4932b3b7fc50f551e57a>
    <policysummary xmlns="2f261a70-825f-4a37-b7b5-f6ecc2f4c5fa">This policy outlines the University’s approach to the distribution of endowment fund investment returns.</policysummary>
    <PolicyCategoryPath xmlns="2f261a70-825f-4a37-b7b5-f6ecc2f4c5fa">Operational:Finance</PolicyCategoryPath>
    <PolicyCategory0 xmlns="2f261a70-825f-4a37-b7b5-f6ecc2f4c5fa">Finance</PolicyCategory0>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Financial Management</TermName>
          <TermId xmlns="http://schemas.microsoft.com/office/infopath/2007/PartnerControls">3ad18f3b-e4f0-4459-8171-340a49b8b055</TermId>
        </TermInfo>
      </Terms>
    </cb2cae79e6954dd59be5b9155b36b74a>
    <GlossaryValues xmlns="2f261a70-825f-4a37-b7b5-f6ecc2f4c5fa" xsi:nil="true"/>
    <TaxCatchAll xmlns="b40c662e-0380-4817-843d-2c7e10d40c39">
      <Value>114</Value>
      <Value>60</Value>
      <Value>529</Value>
      <Value>75</Value>
      <Value>91</Value>
      <Value>546</Value>
      <Value>69</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2021-11-21T14:00:00+00:00</datedeclared>
    <PrivatePolicy xmlns="2f261a70-825f-4a37-b7b5-f6ecc2f4c5fa">false</PrivatePolicy>
    <policyadvisor xmlns="2f261a70-825f-4a37-b7b5-f6ecc2f4c5fa">
      <UserInfo>
        <DisplayName>Hilda Yu</DisplayName>
        <AccountId>196</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Operational:Finance</TermName>
          <TermId xmlns="http://schemas.microsoft.com/office/infopath/2007/PartnerControls">7c4d54fe-a143-4322-ada2-3a0028566dc3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A9C14-1FA5-4F10-8BBB-0A83188EF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F7AD6-2D24-452C-BA2D-4C1DD94A6C30}">
  <ds:schemaRefs>
    <ds:schemaRef ds:uri="http://schemas.microsoft.com/office/2006/metadata/properties"/>
    <ds:schemaRef ds:uri="http://purl.org/dc/dcmitype/"/>
    <ds:schemaRef ds:uri="http://purl.org/dc/terms/"/>
    <ds:schemaRef ds:uri="http://schemas.microsoft.com/office/2006/documentManagement/types"/>
    <ds:schemaRef ds:uri="b40c662e-0380-4817-843d-2c7e10d40c39"/>
    <ds:schemaRef ds:uri="http://www.w3.org/XML/1998/namespace"/>
    <ds:schemaRef ds:uri="http://purl.org/dc/elements/1.1/"/>
    <ds:schemaRef ds:uri="http://schemas.microsoft.com/office/infopath/2007/PartnerControls"/>
    <ds:schemaRef ds:uri="http://schemas.openxmlformats.org/package/2006/metadata/core-properties"/>
    <ds:schemaRef ds:uri="2f261a70-825f-4a37-b7b5-f6ecc2f4c5fa"/>
  </ds:schemaRefs>
</ds:datastoreItem>
</file>

<file path=customXml/itemProps3.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customXml/itemProps4.xml><?xml version="1.0" encoding="utf-8"?>
<ds:datastoreItem xmlns:ds="http://schemas.openxmlformats.org/officeDocument/2006/customXml" ds:itemID="{53666913-9EF4-471A-BDC3-F97A9EA429B2}">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5</TotalTime>
  <Pages>4</Pages>
  <Words>853</Words>
  <Characters>4864</Characters>
  <Application>Microsoft Office Word</Application>
  <DocSecurity>0</DocSecurity>
  <Lines>40</Lines>
  <Paragraphs>11</Paragraphs>
  <ScaleCrop>false</ScaleCrop>
  <Company>Griffith University</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Endowment Distribution and Investment Policy</dc:title>
  <dc:subject/>
  <dc:creator/>
  <cp:keywords/>
  <dc:description>v3.2</dc:description>
  <cp:lastModifiedBy>John Montgomery</cp:lastModifiedBy>
  <cp:revision>20</cp:revision>
  <cp:lastPrinted>2019-10-02T04:35:00Z</cp:lastPrinted>
  <dcterms:created xsi:type="dcterms:W3CDTF">2021-10-26T06:37:00Z</dcterms:created>
  <dcterms:modified xsi:type="dcterms:W3CDTF">2024-04-26T03:01:00Z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60;#Financial Management|3ad18f3b-e4f0-4459-8171-340a49b8b055</vt:lpwstr>
  </property>
  <property fmtid="{D5CDD505-2E9C-101B-9397-08002B2CF9AE}" pid="11" name="policycategory">
    <vt:lpwstr>69;#Policy|9279309a-7669-47c5-bf96-cc165d8b3ede</vt:lpwstr>
  </property>
  <property fmtid="{D5CDD505-2E9C-101B-9397-08002B2CF9AE}" pid="12" name="appauthority">
    <vt:lpwstr>546;#Chief Operating Officer|11706a4f-afb0-46bb-a734-c26b0b045f02</vt:lpwstr>
  </property>
  <property fmtid="{D5CDD505-2E9C-101B-9397-08002B2CF9AE}" pid="13" name="glossaryterms">
    <vt:lpwstr/>
  </property>
  <property fmtid="{D5CDD505-2E9C-101B-9397-08002B2CF9AE}" pid="14" name="officearea">
    <vt:lpwstr>114;#Finance|4aa22cf4-03a0-4167-aaa7-1894a1ac6b82</vt:lpwstr>
  </property>
  <property fmtid="{D5CDD505-2E9C-101B-9397-08002B2CF9AE}" pid="15" name="policyaudience">
    <vt:lpwstr>75;#Public|57bf670e-9d88-4715-a670-60ecbe232471</vt:lpwstr>
  </property>
  <property fmtid="{D5CDD505-2E9C-101B-9397-08002B2CF9AE}" pid="16" name="policyreview">
    <vt:lpwstr>91;#2024|4006b601-77d0-4e08-aa8b-4003839fc9be</vt:lpwstr>
  </property>
  <property fmtid="{D5CDD505-2E9C-101B-9397-08002B2CF9AE}" pid="17" name="DelayPublish">
    <vt:lpwstr>No</vt:lpwstr>
  </property>
  <property fmtid="{D5CDD505-2E9C-101B-9397-08002B2CF9AE}" pid="18" name="policy-category">
    <vt:lpwstr>529;#Operational:Finance|7c4d54fe-a143-4322-ada2-3a0028566dc3</vt:lpwstr>
  </property>
  <property fmtid="{D5CDD505-2E9C-101B-9397-08002B2CF9AE}" pid="19" name="Managed_Testing_Field">
    <vt:lpwstr/>
  </property>
</Properties>
</file>