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38EE" w14:textId="13D19992" w:rsidR="00E864AF" w:rsidRDefault="00135D26" w:rsidP="002A6AA2">
      <w:pPr>
        <w:rPr>
          <w:sz w:val="20"/>
        </w:rPr>
      </w:pPr>
      <w:r>
        <w:rPr>
          <w:noProof/>
          <w:sz w:val="20"/>
        </w:rPr>
        <mc:AlternateContent>
          <mc:Choice Requires="wps">
            <w:drawing>
              <wp:anchor distT="0" distB="0" distL="114300" distR="114300" simplePos="0" relativeHeight="251658240" behindDoc="0" locked="0" layoutInCell="1" allowOverlap="1" wp14:anchorId="42AA3A5B" wp14:editId="48237879">
                <wp:simplePos x="0" y="0"/>
                <wp:positionH relativeFrom="column">
                  <wp:posOffset>-371475</wp:posOffset>
                </wp:positionH>
                <wp:positionV relativeFrom="paragraph">
                  <wp:posOffset>-381000</wp:posOffset>
                </wp:positionV>
                <wp:extent cx="2244725" cy="68199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A3A6C" w14:textId="77777777" w:rsidR="00EE4065" w:rsidRDefault="00EE4065" w:rsidP="00B66CBA">
                            <w:pPr>
                              <w:ind w:left="426"/>
                            </w:pPr>
                            <w:r>
                              <w:rPr>
                                <w:noProof/>
                              </w:rPr>
                              <w:drawing>
                                <wp:inline distT="0" distB="0" distL="0" distR="0" wp14:anchorId="42AA3A6D" wp14:editId="42AA3A6E">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AA3A5B" id="_x0000_t202" coordsize="21600,21600" o:spt="202" path="m,l,21600r21600,l21600,xe">
                <v:stroke joinstyle="miter"/>
                <v:path gradientshapeok="t" o:connecttype="rect"/>
              </v:shapetype>
              <v:shape id="Text Box 1" o:spid="_x0000_s1026" type="#_x0000_t202" style="position:absolute;left:0;text-align:left;margin-left:-29.25pt;margin-top:-30pt;width:176.75pt;height:5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" filled="f" stroked="f">
                <v:textbox style="mso-fit-shape-to-text:t">
                  <w:txbxContent>
                    <w:p w14:paraId="42AA3A6C" w14:textId="77777777" w:rsidR="00EE4065" w:rsidRDefault="00EE4065" w:rsidP="00B66CBA">
                      <w:pPr>
                        <w:ind w:left="426"/>
                      </w:pPr>
                      <w:r>
                        <w:rPr>
                          <w:noProof/>
                        </w:rPr>
                        <w:drawing>
                          <wp:inline distT="0" distB="0" distL="0" distR="0" wp14:anchorId="42AA3A6D" wp14:editId="42AA3A6E">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42AA38EF" w14:textId="77777777" w:rsidR="00C0705D" w:rsidRPr="00862B37" w:rsidRDefault="009D745D" w:rsidP="002A6AA2">
      <w:pPr>
        <w:spacing w:before="360" w:after="240"/>
        <w:ind w:left="0"/>
        <w:jc w:val="left"/>
        <w:rPr>
          <w:rFonts w:cs="Arial"/>
          <w:sz w:val="32"/>
          <w:szCs w:val="32"/>
        </w:rPr>
      </w:pPr>
      <w:r w:rsidRPr="009D745D">
        <w:rPr>
          <w:rFonts w:cs="Arial"/>
          <w:color w:val="333333"/>
          <w:sz w:val="32"/>
          <w:szCs w:val="32"/>
        </w:rPr>
        <w:t>Consultancy and Commercial Research Policy</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42AA38F2" w14:textId="77777777" w:rsidTr="00B86B55">
        <w:tc>
          <w:tcPr>
            <w:tcW w:w="2410" w:type="dxa"/>
            <w:tcBorders>
              <w:top w:val="single" w:sz="12" w:space="0" w:color="D9D9D9" w:themeColor="background1" w:themeShade="D9"/>
              <w:right w:val="single" w:sz="12" w:space="0" w:color="D9D9D9" w:themeColor="background1" w:themeShade="D9"/>
            </w:tcBorders>
          </w:tcPr>
          <w:p w14:paraId="42AA38F0"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42AA38F1" w14:textId="77777777" w:rsidR="00B86B55" w:rsidRPr="00423A1D" w:rsidRDefault="00B86B55" w:rsidP="002A6AA2">
            <w:pPr>
              <w:spacing w:after="0"/>
              <w:ind w:left="159"/>
              <w:rPr>
                <w:rFonts w:cs="Arial"/>
                <w:sz w:val="12"/>
                <w:szCs w:val="12"/>
              </w:rPr>
            </w:pPr>
          </w:p>
        </w:tc>
      </w:tr>
      <w:tr w:rsidR="00B86B55" w:rsidRPr="00D614DF" w14:paraId="42AA38F5" w14:textId="77777777" w:rsidTr="00B86B55">
        <w:tc>
          <w:tcPr>
            <w:tcW w:w="2410" w:type="dxa"/>
            <w:tcBorders>
              <w:right w:val="single" w:sz="12" w:space="0" w:color="D9D9D9" w:themeColor="background1" w:themeShade="D9"/>
            </w:tcBorders>
            <w:vAlign w:val="center"/>
          </w:tcPr>
          <w:p w14:paraId="42AA38F3"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42AA38F4" w14:textId="06933008" w:rsidR="00B86B55" w:rsidRPr="00D614DF" w:rsidRDefault="001726B4" w:rsidP="002A6AA2">
            <w:pPr>
              <w:spacing w:before="60" w:after="60"/>
              <w:ind w:left="159"/>
              <w:rPr>
                <w:rFonts w:cs="Arial"/>
                <w:sz w:val="20"/>
              </w:rPr>
            </w:pPr>
            <w:r>
              <w:rPr>
                <w:rFonts w:cs="Arial"/>
                <w:sz w:val="20"/>
              </w:rPr>
              <w:t>Deputy Vice Chancellor, Research</w:t>
            </w:r>
          </w:p>
        </w:tc>
      </w:tr>
      <w:tr w:rsidR="00B86B55" w:rsidRPr="00D614DF" w14:paraId="42AA38F8" w14:textId="77777777" w:rsidTr="00B86B55">
        <w:tc>
          <w:tcPr>
            <w:tcW w:w="2410" w:type="dxa"/>
            <w:tcBorders>
              <w:right w:val="single" w:sz="12" w:space="0" w:color="D9D9D9" w:themeColor="background1" w:themeShade="D9"/>
            </w:tcBorders>
            <w:vAlign w:val="center"/>
          </w:tcPr>
          <w:p w14:paraId="42AA38F6"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42AA38F7" w14:textId="153C38B6" w:rsidR="00B86B55" w:rsidRPr="00D614DF" w:rsidRDefault="00F718CA" w:rsidP="00622A7B">
            <w:pPr>
              <w:spacing w:before="60" w:after="60"/>
              <w:ind w:left="159"/>
              <w:rPr>
                <w:rFonts w:cs="Arial"/>
                <w:sz w:val="20"/>
              </w:rPr>
            </w:pPr>
            <w:r>
              <w:rPr>
                <w:rFonts w:cs="Arial"/>
                <w:sz w:val="20"/>
              </w:rPr>
              <w:t>1 June 2020 (3/2020 meeting)</w:t>
            </w:r>
          </w:p>
        </w:tc>
      </w:tr>
      <w:tr w:rsidR="004B5A72" w:rsidRPr="00D614DF" w14:paraId="1899CE1D" w14:textId="77777777" w:rsidTr="004B5A72">
        <w:tc>
          <w:tcPr>
            <w:tcW w:w="2410" w:type="dxa"/>
            <w:tcBorders>
              <w:right w:val="single" w:sz="12" w:space="0" w:color="D9D9D9" w:themeColor="background1" w:themeShade="D9"/>
            </w:tcBorders>
          </w:tcPr>
          <w:p w14:paraId="27E7F928" w14:textId="478D3515" w:rsidR="004B5A72" w:rsidRDefault="004B5A72" w:rsidP="002A6AA2">
            <w:pPr>
              <w:spacing w:before="60" w:after="60"/>
              <w:ind w:left="0"/>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094E36D2" w14:textId="1687C010" w:rsidR="004B5A72" w:rsidRPr="00016325" w:rsidRDefault="001726B4" w:rsidP="002A6AA2">
            <w:pPr>
              <w:spacing w:before="60" w:after="60"/>
              <w:ind w:left="159"/>
              <w:rPr>
                <w:rFonts w:cs="Arial"/>
                <w:sz w:val="20"/>
              </w:rPr>
            </w:pPr>
            <w:r>
              <w:rPr>
                <w:rFonts w:cs="Arial"/>
                <w:sz w:val="20"/>
              </w:rPr>
              <w:t xml:space="preserve">Director, </w:t>
            </w:r>
            <w:r w:rsidR="004B5A72" w:rsidRPr="00D37D58">
              <w:rPr>
                <w:rFonts w:cs="Arial"/>
                <w:sz w:val="20"/>
              </w:rPr>
              <w:t>Griffith Enterprise</w:t>
            </w:r>
          </w:p>
        </w:tc>
      </w:tr>
      <w:tr w:rsidR="004B5A72" w:rsidRPr="00D614DF" w14:paraId="42AA38FE" w14:textId="77777777" w:rsidTr="004B5A72">
        <w:tc>
          <w:tcPr>
            <w:tcW w:w="2410" w:type="dxa"/>
            <w:tcBorders>
              <w:bottom w:val="nil"/>
              <w:right w:val="single" w:sz="12" w:space="0" w:color="D9D9D9" w:themeColor="background1" w:themeShade="D9"/>
            </w:tcBorders>
            <w:vAlign w:val="center"/>
          </w:tcPr>
          <w:p w14:paraId="42AA38FC" w14:textId="60F3143C" w:rsidR="004B5A72" w:rsidRDefault="004B5A72" w:rsidP="002A6AA2">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42AA38FD" w14:textId="0DB35D36" w:rsidR="004B5A72" w:rsidRPr="006D5CAF" w:rsidRDefault="001841E3" w:rsidP="004B5A72">
            <w:pPr>
              <w:spacing w:after="60"/>
              <w:ind w:left="159"/>
              <w:jc w:val="left"/>
              <w:rPr>
                <w:rFonts w:cs="Arial"/>
                <w:sz w:val="20"/>
              </w:rPr>
            </w:pPr>
            <w:r>
              <w:rPr>
                <w:rFonts w:cs="Arial"/>
                <w:sz w:val="20"/>
              </w:rPr>
              <w:t>2023</w:t>
            </w:r>
            <w:r w:rsidR="000C3679" w:rsidRPr="000C3679">
              <w:rPr>
                <w:rFonts w:cs="Arial"/>
                <w:sz w:val="20"/>
              </w:rPr>
              <w:t xml:space="preserve"> (Currently under review)</w:t>
            </w:r>
          </w:p>
        </w:tc>
      </w:tr>
      <w:tr w:rsidR="00B86B55" w:rsidRPr="00D614DF" w14:paraId="42AA3901" w14:textId="77777777" w:rsidTr="00B86B55">
        <w:tc>
          <w:tcPr>
            <w:tcW w:w="2410" w:type="dxa"/>
            <w:tcBorders>
              <w:bottom w:val="nil"/>
              <w:right w:val="single" w:sz="12" w:space="0" w:color="D9D9D9" w:themeColor="background1" w:themeShade="D9"/>
            </w:tcBorders>
            <w:vAlign w:val="center"/>
          </w:tcPr>
          <w:p w14:paraId="42AA38FF" w14:textId="49483242" w:rsidR="00B86B55" w:rsidRPr="00D614DF" w:rsidRDefault="004B5A72" w:rsidP="002A6AA2">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42AA3900" w14:textId="066902B0" w:rsidR="00B86B55" w:rsidRPr="00D614DF" w:rsidRDefault="004B5A72" w:rsidP="004B5A72">
            <w:pPr>
              <w:spacing w:before="60" w:after="60"/>
              <w:ind w:left="159"/>
              <w:jc w:val="left"/>
              <w:rPr>
                <w:rFonts w:cs="Arial"/>
                <w:sz w:val="20"/>
              </w:rPr>
            </w:pPr>
            <w:r w:rsidRPr="00FC5B04">
              <w:rPr>
                <w:rFonts w:cs="Arial"/>
                <w:sz w:val="20"/>
              </w:rPr>
              <w:t>http://policies.griffith.edu.au/pdf/Consultancy and Commercial Research Policy.pdf</w:t>
            </w:r>
          </w:p>
        </w:tc>
      </w:tr>
      <w:tr w:rsidR="00B86B55" w:rsidRPr="00D614DF" w14:paraId="42AA3904"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42AA3902" w14:textId="1A04C7E6" w:rsidR="00B86B55" w:rsidRPr="00474FF5" w:rsidRDefault="00AF6814" w:rsidP="002A6AA2">
            <w:pPr>
              <w:spacing w:before="60" w:after="60"/>
              <w:ind w:left="0"/>
              <w:rPr>
                <w:rFonts w:cs="Arial"/>
                <w:b/>
                <w:sz w:val="20"/>
              </w:rPr>
            </w:pPr>
            <w:r>
              <w:rPr>
                <w:rFonts w:cs="Arial"/>
                <w:b/>
                <w:sz w:val="20"/>
              </w:rPr>
              <w:t>D</w:t>
            </w:r>
            <w:r w:rsidR="00B86B55" w:rsidRPr="00474FF5">
              <w:rPr>
                <w:rFonts w:cs="Arial"/>
                <w:b/>
                <w:sz w:val="20"/>
              </w:rPr>
              <w:t>ocument</w:t>
            </w:r>
            <w:r>
              <w:rPr>
                <w:rFonts w:cs="Arial"/>
                <w:b/>
                <w:sz w:val="20"/>
              </w:rPr>
              <w:t xml:space="preserve"> number</w:t>
            </w:r>
          </w:p>
        </w:tc>
        <w:tc>
          <w:tcPr>
            <w:tcW w:w="7229" w:type="dxa"/>
            <w:tcBorders>
              <w:left w:val="single" w:sz="12" w:space="0" w:color="D9D9D9" w:themeColor="background1" w:themeShade="D9"/>
              <w:bottom w:val="single" w:sz="12" w:space="0" w:color="D9D9D9" w:themeColor="background1" w:themeShade="D9"/>
            </w:tcBorders>
            <w:vAlign w:val="center"/>
          </w:tcPr>
          <w:p w14:paraId="42AA3903" w14:textId="3E1B5193" w:rsidR="00B86B55" w:rsidRPr="00D614DF" w:rsidRDefault="00FF2C84" w:rsidP="00F718CA">
            <w:pPr>
              <w:spacing w:before="60" w:after="60"/>
              <w:ind w:left="159"/>
              <w:rPr>
                <w:rFonts w:cs="Arial"/>
                <w:sz w:val="20"/>
              </w:rPr>
            </w:pPr>
            <w:r w:rsidRPr="00FF2C84">
              <w:rPr>
                <w:rFonts w:cs="Arial"/>
                <w:sz w:val="20"/>
              </w:rPr>
              <w:t>2023/0001085</w:t>
            </w:r>
          </w:p>
        </w:tc>
      </w:tr>
      <w:tr w:rsidR="00E31309" w:rsidRPr="00D614DF" w14:paraId="42AA3907" w14:textId="77777777" w:rsidTr="004B5A72">
        <w:tc>
          <w:tcPr>
            <w:tcW w:w="2410" w:type="dxa"/>
            <w:tcBorders>
              <w:bottom w:val="single" w:sz="12" w:space="0" w:color="D9D9D9" w:themeColor="background1" w:themeShade="D9"/>
              <w:right w:val="single" w:sz="12" w:space="0" w:color="D9D9D9" w:themeColor="background1" w:themeShade="D9"/>
            </w:tcBorders>
          </w:tcPr>
          <w:p w14:paraId="42AA3905" w14:textId="7E9F8D0B" w:rsidR="00E31309" w:rsidRPr="00474FF5" w:rsidRDefault="004B5A72" w:rsidP="004B5A72">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42AA3906" w14:textId="021545A3" w:rsidR="00E31309" w:rsidRDefault="004B5A72" w:rsidP="004B5A72">
            <w:pPr>
              <w:spacing w:before="60" w:after="60"/>
              <w:ind w:left="159"/>
              <w:rPr>
                <w:rFonts w:cs="Arial"/>
                <w:sz w:val="20"/>
              </w:rPr>
            </w:pPr>
            <w:r w:rsidRPr="00016325">
              <w:rPr>
                <w:rFonts w:cs="Arial"/>
                <w:sz w:val="20"/>
              </w:rPr>
              <w:t xml:space="preserve">This policy governs the provision of Consultancy &amp; Commercial Research (CCR) Project Work performed by a </w:t>
            </w:r>
            <w:r w:rsidR="00E20934">
              <w:rPr>
                <w:rFonts w:cs="Arial"/>
                <w:sz w:val="20"/>
              </w:rPr>
              <w:t>Staff Member</w:t>
            </w:r>
            <w:r w:rsidRPr="00016325">
              <w:rPr>
                <w:rFonts w:cs="Arial"/>
                <w:sz w:val="20"/>
              </w:rPr>
              <w:t xml:space="preserve"> for an </w:t>
            </w:r>
            <w:r w:rsidR="00DF4727">
              <w:rPr>
                <w:rFonts w:cs="Arial"/>
                <w:sz w:val="20"/>
              </w:rPr>
              <w:t>E</w:t>
            </w:r>
            <w:r w:rsidRPr="00016325">
              <w:rPr>
                <w:rFonts w:cs="Arial"/>
                <w:sz w:val="20"/>
              </w:rPr>
              <w:t xml:space="preserve">xternal </w:t>
            </w:r>
            <w:r w:rsidR="00DF4727">
              <w:rPr>
                <w:rFonts w:cs="Arial"/>
                <w:sz w:val="20"/>
              </w:rPr>
              <w:t>O</w:t>
            </w:r>
            <w:r w:rsidRPr="00016325">
              <w:rPr>
                <w:rFonts w:cs="Arial"/>
                <w:sz w:val="20"/>
              </w:rPr>
              <w:t>rganisation.</w:t>
            </w:r>
          </w:p>
        </w:tc>
      </w:tr>
      <w:tr w:rsidR="00B86B55" w:rsidRPr="00D614DF" w14:paraId="42AA390A" w14:textId="77777777" w:rsidTr="00B86B55">
        <w:tc>
          <w:tcPr>
            <w:tcW w:w="2410" w:type="dxa"/>
            <w:tcBorders>
              <w:top w:val="single" w:sz="12" w:space="0" w:color="D9D9D9" w:themeColor="background1" w:themeShade="D9"/>
              <w:bottom w:val="single" w:sz="12" w:space="0" w:color="D9D9D9" w:themeColor="background1" w:themeShade="D9"/>
              <w:right w:val="nil"/>
            </w:tcBorders>
            <w:vAlign w:val="center"/>
          </w:tcPr>
          <w:p w14:paraId="42AA3908"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42AA3909" w14:textId="77777777" w:rsidR="00B86B55" w:rsidRPr="00D614DF" w:rsidRDefault="00B86B55" w:rsidP="002A6AA2">
            <w:pPr>
              <w:spacing w:before="60" w:after="60"/>
              <w:ind w:left="159"/>
              <w:rPr>
                <w:rFonts w:cs="Arial"/>
                <w:sz w:val="20"/>
              </w:rPr>
            </w:pPr>
          </w:p>
        </w:tc>
      </w:tr>
      <w:tr w:rsidR="00B86B55" w:rsidRPr="00D614DF" w14:paraId="42AA3911" w14:textId="77777777" w:rsidTr="00B86B55">
        <w:tc>
          <w:tcPr>
            <w:tcW w:w="9639" w:type="dxa"/>
            <w:gridSpan w:val="2"/>
            <w:tcBorders>
              <w:top w:val="single" w:sz="12" w:space="0" w:color="D9D9D9" w:themeColor="background1" w:themeShade="D9"/>
              <w:bottom w:val="nil"/>
            </w:tcBorders>
          </w:tcPr>
          <w:p w14:paraId="57BE4EFB" w14:textId="7DB10372" w:rsidR="00F718CA" w:rsidRDefault="000C3679" w:rsidP="00B33DC3">
            <w:pPr>
              <w:spacing w:before="60" w:after="60"/>
              <w:ind w:left="0"/>
              <w:jc w:val="left"/>
              <w:rPr>
                <w:rFonts w:cs="Arial"/>
                <w:sz w:val="20"/>
                <w:lang w:val="en-US"/>
              </w:rPr>
            </w:pPr>
            <w:hyperlink r:id="rId13" w:history="1">
              <w:r w:rsidR="00F718CA" w:rsidRPr="00F718CA">
                <w:rPr>
                  <w:rStyle w:val="Hyperlink"/>
                  <w:rFonts w:cs="Arial"/>
                  <w:sz w:val="20"/>
                  <w:lang w:val="en-US"/>
                </w:rPr>
                <w:t>Academic Freedom and Freedom of Speech Policy</w:t>
              </w:r>
            </w:hyperlink>
          </w:p>
          <w:p w14:paraId="72494462" w14:textId="6B4F2EAB" w:rsidR="0093510F" w:rsidRPr="00E8578F" w:rsidRDefault="00E8578F" w:rsidP="00B33DC3">
            <w:pPr>
              <w:spacing w:before="60" w:after="60"/>
              <w:ind w:left="0"/>
              <w:jc w:val="left"/>
              <w:rPr>
                <w:rStyle w:val="Hyperlink"/>
              </w:rPr>
            </w:pPr>
            <w:r>
              <w:rPr>
                <w:rFonts w:cs="Arial"/>
                <w:sz w:val="20"/>
                <w:lang w:val="en-US"/>
              </w:rPr>
              <w:fldChar w:fldCharType="begin"/>
            </w:r>
            <w:r>
              <w:rPr>
                <w:rFonts w:cs="Arial"/>
                <w:sz w:val="20"/>
                <w:lang w:val="en-US"/>
              </w:rPr>
              <w:instrText xml:space="preserve"> HYPERLINK "https://www150.secure.griffith.edu.au/content/ASP/buildGrantsCoversheetsGUI.asp?sentTo=https%3A%2F%2Fwww150.secure.griffith.edu.au%2Fcontent%2FASP%2FbuildGrantsCoversheetsGUI.asp" </w:instrText>
            </w:r>
            <w:r>
              <w:rPr>
                <w:rFonts w:cs="Arial"/>
                <w:sz w:val="20"/>
                <w:lang w:val="en-US"/>
              </w:rPr>
            </w:r>
            <w:r>
              <w:rPr>
                <w:rFonts w:cs="Arial"/>
                <w:sz w:val="20"/>
                <w:lang w:val="en-US"/>
              </w:rPr>
              <w:fldChar w:fldCharType="separate"/>
            </w:r>
            <w:r w:rsidR="0093510F" w:rsidRPr="00E8578F">
              <w:rPr>
                <w:rStyle w:val="Hyperlink"/>
                <w:rFonts w:cs="Arial"/>
                <w:sz w:val="20"/>
                <w:lang w:val="en-US"/>
              </w:rPr>
              <w:t xml:space="preserve">Consultancy &amp; Commercial Research (CCR) - Project </w:t>
            </w:r>
            <w:r w:rsidR="00A32830" w:rsidRPr="00E8578F">
              <w:rPr>
                <w:rStyle w:val="Hyperlink"/>
                <w:rFonts w:cs="Arial"/>
                <w:sz w:val="20"/>
                <w:lang w:val="en-US"/>
              </w:rPr>
              <w:t>Coversheet</w:t>
            </w:r>
            <w:r w:rsidR="0093510F" w:rsidRPr="00E8578F">
              <w:rPr>
                <w:rStyle w:val="Hyperlink"/>
                <w:rFonts w:cs="Arial"/>
                <w:sz w:val="20"/>
                <w:lang w:val="en-US"/>
              </w:rPr>
              <w:t xml:space="preserve"> (</w:t>
            </w:r>
            <w:r w:rsidR="0039340D" w:rsidRPr="00E8578F">
              <w:rPr>
                <w:rStyle w:val="Hyperlink"/>
                <w:rFonts w:cs="Arial"/>
                <w:sz w:val="20"/>
                <w:lang w:val="en-US"/>
              </w:rPr>
              <w:t xml:space="preserve">Projects </w:t>
            </w:r>
            <w:r w:rsidR="0039340D" w:rsidRPr="00E8578F">
              <w:rPr>
                <w:rStyle w:val="Hyperlink"/>
                <w:rFonts w:ascii="Calibri" w:hAnsi="Calibri" w:cs="Calibri"/>
                <w:sz w:val="20"/>
                <w:lang w:val="en-US"/>
              </w:rPr>
              <w:t>≤</w:t>
            </w:r>
            <w:r w:rsidR="00737424" w:rsidRPr="00E8578F">
              <w:rPr>
                <w:rStyle w:val="Hyperlink"/>
                <w:rFonts w:cs="Arial"/>
                <w:sz w:val="20"/>
                <w:lang w:val="en-US"/>
              </w:rPr>
              <w:t>$</w:t>
            </w:r>
            <w:r w:rsidR="009F71B2">
              <w:rPr>
                <w:rStyle w:val="Hyperlink"/>
                <w:rFonts w:cs="Arial"/>
                <w:sz w:val="20"/>
                <w:lang w:val="en-US"/>
              </w:rPr>
              <w:t>100</w:t>
            </w:r>
            <w:r w:rsidR="0039340D" w:rsidRPr="00E8578F">
              <w:rPr>
                <w:rStyle w:val="Hyperlink"/>
                <w:rFonts w:cs="Arial"/>
                <w:sz w:val="20"/>
                <w:lang w:val="en-US"/>
              </w:rPr>
              <w:t>,000 ex GST)</w:t>
            </w:r>
          </w:p>
          <w:p w14:paraId="42AA390B" w14:textId="413F424A" w:rsidR="00BC5CA5" w:rsidRPr="00E8578F" w:rsidRDefault="00E8578F" w:rsidP="00B33DC3">
            <w:pPr>
              <w:spacing w:before="60" w:after="60"/>
              <w:ind w:left="0"/>
              <w:jc w:val="left"/>
              <w:rPr>
                <w:rStyle w:val="Hyperlink"/>
                <w:rFonts w:cs="Arial"/>
                <w:sz w:val="20"/>
                <w:lang w:val="en-US"/>
              </w:rPr>
            </w:pPr>
            <w:r>
              <w:rPr>
                <w:rFonts w:cs="Arial"/>
                <w:sz w:val="20"/>
                <w:lang w:val="en-US"/>
              </w:rPr>
              <w:fldChar w:fldCharType="end"/>
            </w:r>
            <w:r>
              <w:rPr>
                <w:rFonts w:cs="Arial"/>
                <w:sz w:val="20"/>
                <w:lang w:val="en-US"/>
              </w:rPr>
              <w:fldChar w:fldCharType="begin"/>
            </w:r>
            <w:r>
              <w:rPr>
                <w:rFonts w:cs="Arial"/>
                <w:sz w:val="20"/>
                <w:lang w:val="en-US"/>
              </w:rPr>
              <w:instrText>HYPERLINK "https://www150.secure.griffith.edu.au/content/ASP/buildGrantsCoversheetsGUI.asp?sentTo=https%3A%2F%2Fwww150.secure.griffith.edu.au%2Fcontent%2FASP%2FbuildGrantsCoversheetsGUI.asp"</w:instrText>
            </w:r>
            <w:r>
              <w:rPr>
                <w:rFonts w:cs="Arial"/>
                <w:sz w:val="20"/>
                <w:lang w:val="en-US"/>
              </w:rPr>
            </w:r>
            <w:r>
              <w:rPr>
                <w:rFonts w:cs="Arial"/>
                <w:sz w:val="20"/>
                <w:lang w:val="en-US"/>
              </w:rPr>
              <w:fldChar w:fldCharType="separate"/>
            </w:r>
            <w:r w:rsidR="00BC5CA5" w:rsidRPr="00E8578F">
              <w:rPr>
                <w:rStyle w:val="Hyperlink"/>
                <w:rFonts w:cs="Arial"/>
                <w:sz w:val="20"/>
                <w:lang w:val="en-US"/>
              </w:rPr>
              <w:t xml:space="preserve">Consultancy &amp; Commercial Research (CCR) - Project </w:t>
            </w:r>
            <w:r w:rsidR="00A32830" w:rsidRPr="00E8578F">
              <w:rPr>
                <w:rStyle w:val="Hyperlink"/>
                <w:rFonts w:cs="Arial"/>
                <w:sz w:val="20"/>
                <w:lang w:val="en-US"/>
              </w:rPr>
              <w:t>Coversheet</w:t>
            </w:r>
            <w:r w:rsidR="0093510F" w:rsidRPr="00813A3A">
              <w:rPr>
                <w:rStyle w:val="Hyperlink"/>
                <w:rFonts w:cs="Arial"/>
                <w:sz w:val="20"/>
                <w:lang w:val="en-US"/>
              </w:rPr>
              <w:t xml:space="preserve"> (</w:t>
            </w:r>
            <w:r w:rsidR="0039340D" w:rsidRPr="00E8578F">
              <w:rPr>
                <w:rStyle w:val="Hyperlink"/>
                <w:rFonts w:cs="Arial"/>
                <w:sz w:val="20"/>
                <w:lang w:val="en-US"/>
              </w:rPr>
              <w:t>Projects &gt;</w:t>
            </w:r>
            <w:r w:rsidR="00737424" w:rsidRPr="00E8578F">
              <w:rPr>
                <w:rStyle w:val="Hyperlink"/>
                <w:rFonts w:cs="Arial"/>
                <w:sz w:val="20"/>
                <w:lang w:val="en-US"/>
              </w:rPr>
              <w:t>$</w:t>
            </w:r>
            <w:r w:rsidR="009F71B2">
              <w:rPr>
                <w:rStyle w:val="Hyperlink"/>
                <w:rFonts w:cs="Arial"/>
                <w:sz w:val="20"/>
                <w:lang w:val="en-US"/>
              </w:rPr>
              <w:t>100</w:t>
            </w:r>
            <w:r w:rsidR="0039340D" w:rsidRPr="00E8578F">
              <w:rPr>
                <w:rStyle w:val="Hyperlink"/>
                <w:rFonts w:cs="Arial"/>
                <w:sz w:val="20"/>
                <w:lang w:val="en-US"/>
              </w:rPr>
              <w:t>,000 ex GST</w:t>
            </w:r>
            <w:r w:rsidR="0093510F" w:rsidRPr="00E8578F">
              <w:rPr>
                <w:rStyle w:val="Hyperlink"/>
                <w:rFonts w:cs="Arial"/>
                <w:sz w:val="20"/>
                <w:lang w:val="en-US"/>
              </w:rPr>
              <w:t>)</w:t>
            </w:r>
          </w:p>
          <w:p w14:paraId="42AA390C" w14:textId="25087922" w:rsidR="00BC5CA5" w:rsidRPr="00BC5CA5" w:rsidRDefault="00E8578F" w:rsidP="00B33DC3">
            <w:pPr>
              <w:spacing w:before="60" w:after="60"/>
              <w:ind w:left="0"/>
              <w:jc w:val="left"/>
              <w:rPr>
                <w:rFonts w:cs="Arial"/>
                <w:sz w:val="20"/>
                <w:lang w:val="en-US"/>
              </w:rPr>
            </w:pPr>
            <w:r>
              <w:rPr>
                <w:rFonts w:cs="Arial"/>
                <w:sz w:val="20"/>
                <w:lang w:val="en-US"/>
              </w:rPr>
              <w:fldChar w:fldCharType="end"/>
            </w:r>
            <w:hyperlink r:id="rId14" w:history="1">
              <w:r w:rsidR="00BC5CA5" w:rsidRPr="004F1571">
                <w:rPr>
                  <w:rStyle w:val="Hyperlink"/>
                  <w:rFonts w:cs="Arial"/>
                  <w:sz w:val="20"/>
                  <w:lang w:val="en-US"/>
                </w:rPr>
                <w:t>Consultancy &amp; Commercial Research (CCR) - University Standard Contracts</w:t>
              </w:r>
            </w:hyperlink>
          </w:p>
          <w:p w14:paraId="42AA390D" w14:textId="30CE5029" w:rsidR="00BC5CA5" w:rsidRPr="00BC5CA5" w:rsidRDefault="000C3679" w:rsidP="00B33DC3">
            <w:pPr>
              <w:spacing w:before="60" w:after="60"/>
              <w:ind w:left="0"/>
              <w:jc w:val="left"/>
              <w:rPr>
                <w:rFonts w:cs="Arial"/>
                <w:sz w:val="20"/>
              </w:rPr>
            </w:pPr>
            <w:hyperlink r:id="rId15" w:history="1">
              <w:r w:rsidR="00BC5CA5" w:rsidRPr="004F1571">
                <w:rPr>
                  <w:rStyle w:val="Hyperlink"/>
                  <w:rFonts w:cs="Arial"/>
                  <w:sz w:val="20"/>
                </w:rPr>
                <w:t>Consultancy &amp; Commercial Research (CCR) - Frequently Asked Questions</w:t>
              </w:r>
            </w:hyperlink>
          </w:p>
          <w:p w14:paraId="42AA390E" w14:textId="77777777" w:rsidR="00BC5CA5" w:rsidRPr="00FC5B04" w:rsidRDefault="000C3679" w:rsidP="00B33DC3">
            <w:pPr>
              <w:spacing w:before="60" w:after="60"/>
              <w:ind w:left="0"/>
              <w:jc w:val="left"/>
              <w:rPr>
                <w:rFonts w:cs="Arial"/>
                <w:sz w:val="20"/>
              </w:rPr>
            </w:pPr>
            <w:hyperlink r:id="rId16" w:history="1">
              <w:r w:rsidR="00BC5CA5" w:rsidRPr="00FC5B04">
                <w:rPr>
                  <w:rStyle w:val="Hyperlink"/>
                  <w:rFonts w:cs="Arial"/>
                  <w:sz w:val="20"/>
                </w:rPr>
                <w:t>Private Practice Policy</w:t>
              </w:r>
            </w:hyperlink>
          </w:p>
          <w:p w14:paraId="42AA390F" w14:textId="77777777" w:rsidR="00BC5CA5" w:rsidRPr="00FC5B04" w:rsidRDefault="000C3679" w:rsidP="00B33DC3">
            <w:pPr>
              <w:spacing w:before="60" w:after="60"/>
              <w:ind w:left="0"/>
              <w:jc w:val="left"/>
              <w:rPr>
                <w:rFonts w:cs="Arial"/>
                <w:sz w:val="20"/>
              </w:rPr>
            </w:pPr>
            <w:hyperlink r:id="rId17" w:history="1">
              <w:r w:rsidR="00BC5CA5" w:rsidRPr="00FC5B04">
                <w:rPr>
                  <w:rStyle w:val="Hyperlink"/>
                  <w:rFonts w:cs="Arial"/>
                  <w:sz w:val="20"/>
                </w:rPr>
                <w:t>Intellectual Property Policy</w:t>
              </w:r>
            </w:hyperlink>
          </w:p>
          <w:p w14:paraId="375E6243" w14:textId="77777777" w:rsidR="0002656D" w:rsidRDefault="000C3679" w:rsidP="00B33DC3">
            <w:pPr>
              <w:spacing w:before="60" w:after="60"/>
              <w:ind w:left="0"/>
              <w:jc w:val="left"/>
              <w:rPr>
                <w:rStyle w:val="Hyperlink"/>
                <w:rFonts w:cs="Arial"/>
                <w:sz w:val="20"/>
              </w:rPr>
            </w:pPr>
            <w:hyperlink r:id="rId18" w:history="1">
              <w:r w:rsidR="00BC5CA5" w:rsidRPr="00FC5B04">
                <w:rPr>
                  <w:rStyle w:val="Hyperlink"/>
                  <w:rFonts w:cs="Arial"/>
                  <w:sz w:val="20"/>
                </w:rPr>
                <w:t>Code of Conduct</w:t>
              </w:r>
            </w:hyperlink>
          </w:p>
          <w:p w14:paraId="5FF7E0DB" w14:textId="77777777" w:rsidR="0093510F" w:rsidRDefault="000C3679" w:rsidP="00B33DC3">
            <w:pPr>
              <w:spacing w:before="60" w:after="60"/>
              <w:ind w:left="0"/>
              <w:jc w:val="left"/>
              <w:rPr>
                <w:rStyle w:val="Hyperlink"/>
                <w:rFonts w:cs="Arial"/>
                <w:sz w:val="20"/>
              </w:rPr>
            </w:pPr>
            <w:hyperlink r:id="rId19" w:history="1">
              <w:r w:rsidR="0093510F" w:rsidRPr="0093510F">
                <w:rPr>
                  <w:rStyle w:val="Hyperlink"/>
                  <w:rFonts w:cs="Arial"/>
                  <w:sz w:val="20"/>
                </w:rPr>
                <w:t>Guide to the Responsible Conduct of Commercialisation Activities</w:t>
              </w:r>
            </w:hyperlink>
          </w:p>
          <w:p w14:paraId="3BDD1C9A" w14:textId="00ABB64B" w:rsidR="003C5B29" w:rsidRPr="00920994" w:rsidRDefault="00920994" w:rsidP="003C5B29">
            <w:pPr>
              <w:spacing w:before="60" w:after="60"/>
              <w:ind w:left="0"/>
              <w:jc w:val="left"/>
              <w:rPr>
                <w:rStyle w:val="Hyperlink"/>
                <w:rFonts w:cs="Arial"/>
                <w:sz w:val="20"/>
              </w:rPr>
            </w:pPr>
            <w:r>
              <w:rPr>
                <w:rFonts w:cs="Arial"/>
                <w:sz w:val="20"/>
              </w:rPr>
              <w:fldChar w:fldCharType="begin"/>
            </w:r>
            <w:r w:rsidR="00BD29D3">
              <w:rPr>
                <w:rFonts w:cs="Arial"/>
                <w:sz w:val="20"/>
              </w:rPr>
              <w:instrText>HYPERLINK "https://intranet.secure.griffith.edu.au/finance/financial-management/financial-management-practice-manual"</w:instrText>
            </w:r>
            <w:r>
              <w:rPr>
                <w:rFonts w:cs="Arial"/>
                <w:sz w:val="20"/>
              </w:rPr>
            </w:r>
            <w:r>
              <w:rPr>
                <w:rFonts w:cs="Arial"/>
                <w:sz w:val="20"/>
              </w:rPr>
              <w:fldChar w:fldCharType="separate"/>
            </w:r>
            <w:r w:rsidR="003C5B29" w:rsidRPr="00920994">
              <w:rPr>
                <w:rStyle w:val="Hyperlink"/>
                <w:rFonts w:cs="Arial"/>
                <w:sz w:val="20"/>
              </w:rPr>
              <w:t>Procedures and Conditions for the Management and use of Surplus Returns on Consultancy and Commercial Research (CCR) Projects and Other Professional Fees</w:t>
            </w:r>
          </w:p>
          <w:p w14:paraId="42AA3910" w14:textId="2E67138E" w:rsidR="00CD2527" w:rsidRPr="00A04718" w:rsidRDefault="00920994" w:rsidP="003C5B29">
            <w:pPr>
              <w:spacing w:before="60" w:after="60"/>
              <w:ind w:left="0"/>
              <w:jc w:val="left"/>
              <w:rPr>
                <w:rFonts w:cs="Arial"/>
                <w:sz w:val="20"/>
              </w:rPr>
            </w:pPr>
            <w:r>
              <w:rPr>
                <w:rFonts w:cs="Arial"/>
                <w:sz w:val="20"/>
              </w:rPr>
              <w:fldChar w:fldCharType="end"/>
            </w:r>
            <w:hyperlink r:id="rId20" w:history="1">
              <w:r w:rsidR="00CD2527" w:rsidRPr="00CD2527">
                <w:rPr>
                  <w:rStyle w:val="Hyperlink"/>
                  <w:rFonts w:cs="Arial"/>
                  <w:sz w:val="20"/>
                </w:rPr>
                <w:t>Conflict of Interest Policy</w:t>
              </w:r>
            </w:hyperlink>
          </w:p>
        </w:tc>
      </w:tr>
      <w:tr w:rsidR="00B86B55" w:rsidRPr="00474FF5" w14:paraId="42AA3913" w14:textId="77777777" w:rsidTr="00B86B55">
        <w:tc>
          <w:tcPr>
            <w:tcW w:w="9639" w:type="dxa"/>
            <w:gridSpan w:val="2"/>
            <w:tcBorders>
              <w:top w:val="single" w:sz="12" w:space="0" w:color="D9D9D9" w:themeColor="background1" w:themeShade="D9"/>
              <w:bottom w:val="single" w:sz="12" w:space="0" w:color="D9D9D9" w:themeColor="background1" w:themeShade="D9"/>
            </w:tcBorders>
          </w:tcPr>
          <w:p w14:paraId="42AA3912" w14:textId="77777777" w:rsidR="00B86B55" w:rsidRPr="00474FF5" w:rsidRDefault="00BC5CA5" w:rsidP="002A6AA2">
            <w:pPr>
              <w:spacing w:before="60" w:after="60"/>
              <w:ind w:left="0"/>
              <w:rPr>
                <w:rFonts w:cs="Arial"/>
                <w:sz w:val="20"/>
              </w:rPr>
            </w:pPr>
            <w:r w:rsidRPr="00BC5CA5">
              <w:rPr>
                <w:sz w:val="20"/>
              </w:rPr>
              <w:t>[</w:t>
            </w:r>
            <w:hyperlink w:anchor="introduction" w:history="1">
              <w:r w:rsidRPr="00D44C90">
                <w:rPr>
                  <w:rStyle w:val="Hyperlink"/>
                  <w:sz w:val="20"/>
                </w:rPr>
                <w:t>Introduction</w:t>
              </w:r>
            </w:hyperlink>
            <w:r w:rsidRPr="00BC5CA5">
              <w:rPr>
                <w:sz w:val="20"/>
              </w:rPr>
              <w:t>] [</w:t>
            </w:r>
            <w:hyperlink w:anchor="terminology" w:history="1">
              <w:r w:rsidRPr="00D44C90">
                <w:rPr>
                  <w:rStyle w:val="Hyperlink"/>
                  <w:sz w:val="20"/>
                </w:rPr>
                <w:t>Terminology</w:t>
              </w:r>
            </w:hyperlink>
            <w:r w:rsidRPr="00BC5CA5">
              <w:rPr>
                <w:sz w:val="20"/>
              </w:rPr>
              <w:t>] [</w:t>
            </w:r>
            <w:hyperlink w:anchor="guidingprinciples" w:history="1">
              <w:r w:rsidRPr="00D44C90">
                <w:rPr>
                  <w:rStyle w:val="Hyperlink"/>
                  <w:sz w:val="20"/>
                </w:rPr>
                <w:t>Guiding Principles</w:t>
              </w:r>
            </w:hyperlink>
            <w:r w:rsidRPr="00BC5CA5">
              <w:rPr>
                <w:sz w:val="20"/>
              </w:rPr>
              <w:t>] [</w:t>
            </w:r>
            <w:hyperlink w:anchor="administrativerequirements" w:history="1">
              <w:r w:rsidRPr="00D44C90">
                <w:rPr>
                  <w:rStyle w:val="Hyperlink"/>
                  <w:sz w:val="20"/>
                </w:rPr>
                <w:t>Administrative Requirements</w:t>
              </w:r>
            </w:hyperlink>
            <w:r w:rsidRPr="00BC5CA5">
              <w:rPr>
                <w:sz w:val="20"/>
              </w:rPr>
              <w:t>] [</w:t>
            </w:r>
            <w:hyperlink w:anchor="general" w:history="1">
              <w:r w:rsidRPr="00D44C90">
                <w:rPr>
                  <w:rStyle w:val="Hyperlink"/>
                  <w:sz w:val="20"/>
                </w:rPr>
                <w:t>General</w:t>
              </w:r>
            </w:hyperlink>
            <w:r w:rsidRPr="00BC5CA5">
              <w:rPr>
                <w:sz w:val="20"/>
              </w:rPr>
              <w:t>] [</w:t>
            </w:r>
            <w:hyperlink w:anchor="exemptprojects" w:history="1">
              <w:r w:rsidRPr="00D44C90">
                <w:rPr>
                  <w:rStyle w:val="Hyperlink"/>
                  <w:sz w:val="20"/>
                </w:rPr>
                <w:t>Exempt Projects</w:t>
              </w:r>
            </w:hyperlink>
            <w:r w:rsidRPr="00BC5CA5">
              <w:rPr>
                <w:sz w:val="20"/>
              </w:rPr>
              <w:t>] [</w:t>
            </w:r>
            <w:hyperlink w:anchor="readyreference" w:history="1">
              <w:r w:rsidRPr="00D44C90">
                <w:rPr>
                  <w:rStyle w:val="Hyperlink"/>
                  <w:sz w:val="20"/>
                </w:rPr>
                <w:t>CCR Project Work - Ready Reference</w:t>
              </w:r>
            </w:hyperlink>
            <w:r w:rsidRPr="00BC5CA5">
              <w:rPr>
                <w:sz w:val="20"/>
              </w:rPr>
              <w:t>]</w:t>
            </w:r>
          </w:p>
        </w:tc>
      </w:tr>
    </w:tbl>
    <w:p w14:paraId="42AA3914" w14:textId="77777777" w:rsidR="00E20578" w:rsidRPr="00B34D13" w:rsidRDefault="00385949" w:rsidP="00A61239">
      <w:pPr>
        <w:numPr>
          <w:ilvl w:val="0"/>
          <w:numId w:val="2"/>
        </w:numPr>
        <w:spacing w:before="100" w:beforeAutospacing="1" w:after="240"/>
        <w:rPr>
          <w:rFonts w:cs="Arial"/>
          <w:b/>
          <w:caps/>
          <w:sz w:val="24"/>
          <w:szCs w:val="24"/>
        </w:rPr>
      </w:pPr>
      <w:bookmarkStart w:id="0" w:name="introduction"/>
      <w:bookmarkEnd w:id="0"/>
      <w:r w:rsidRPr="00385949">
        <w:rPr>
          <w:b/>
          <w:caps/>
          <w:sz w:val="24"/>
          <w:szCs w:val="24"/>
        </w:rPr>
        <w:t>Introduction</w:t>
      </w:r>
    </w:p>
    <w:p w14:paraId="42AA3915" w14:textId="77777777" w:rsidR="00385949" w:rsidRPr="00385949" w:rsidRDefault="00385949" w:rsidP="00A61239">
      <w:pPr>
        <w:numPr>
          <w:ilvl w:val="1"/>
          <w:numId w:val="2"/>
        </w:numPr>
        <w:tabs>
          <w:tab w:val="clear" w:pos="1146"/>
          <w:tab w:val="left" w:pos="1134"/>
        </w:tabs>
        <w:rPr>
          <w:rFonts w:cs="Arial"/>
          <w:b/>
          <w:sz w:val="20"/>
        </w:rPr>
      </w:pPr>
      <w:r w:rsidRPr="00385949">
        <w:rPr>
          <w:rFonts w:cs="Arial"/>
          <w:b/>
          <w:sz w:val="20"/>
        </w:rPr>
        <w:t>Policy Description</w:t>
      </w:r>
    </w:p>
    <w:p w14:paraId="42AA3916" w14:textId="3CD89383" w:rsidR="00385949" w:rsidRPr="00385949" w:rsidRDefault="00385949" w:rsidP="00385949">
      <w:pPr>
        <w:tabs>
          <w:tab w:val="left" w:pos="1134"/>
        </w:tabs>
        <w:ind w:left="1146"/>
        <w:rPr>
          <w:rFonts w:cs="Arial"/>
          <w:sz w:val="20"/>
        </w:rPr>
      </w:pPr>
      <w:r w:rsidRPr="00385949">
        <w:rPr>
          <w:rFonts w:cs="Arial"/>
          <w:sz w:val="20"/>
        </w:rPr>
        <w:t xml:space="preserve">This policy governs the provision of Consultancy &amp; Commercial Research (CCR) Project Work performed by a </w:t>
      </w:r>
      <w:r w:rsidR="00E20934">
        <w:rPr>
          <w:rFonts w:cs="Arial"/>
          <w:sz w:val="20"/>
        </w:rPr>
        <w:t>Staff Member</w:t>
      </w:r>
      <w:r w:rsidRPr="00385949">
        <w:rPr>
          <w:rFonts w:cs="Arial"/>
          <w:sz w:val="20"/>
        </w:rPr>
        <w:t xml:space="preserve"> for an </w:t>
      </w:r>
      <w:r w:rsidR="00DF4727">
        <w:rPr>
          <w:rFonts w:cs="Arial"/>
          <w:sz w:val="20"/>
        </w:rPr>
        <w:t>E</w:t>
      </w:r>
      <w:r w:rsidRPr="00385949">
        <w:rPr>
          <w:rFonts w:cs="Arial"/>
          <w:sz w:val="20"/>
        </w:rPr>
        <w:t xml:space="preserve">xternal </w:t>
      </w:r>
      <w:r w:rsidR="00DF4727">
        <w:rPr>
          <w:rFonts w:cs="Arial"/>
          <w:sz w:val="20"/>
        </w:rPr>
        <w:t>O</w:t>
      </w:r>
      <w:r w:rsidRPr="00385949">
        <w:rPr>
          <w:rFonts w:cs="Arial"/>
          <w:sz w:val="20"/>
        </w:rPr>
        <w:t>rganisation.</w:t>
      </w:r>
    </w:p>
    <w:p w14:paraId="42AA3917" w14:textId="186F2DD0" w:rsidR="00385949" w:rsidRPr="00385949" w:rsidRDefault="00385949" w:rsidP="00385949">
      <w:pPr>
        <w:tabs>
          <w:tab w:val="left" w:pos="1134"/>
        </w:tabs>
        <w:ind w:left="1146"/>
        <w:rPr>
          <w:rFonts w:cs="Arial"/>
          <w:sz w:val="20"/>
        </w:rPr>
      </w:pPr>
      <w:r w:rsidRPr="00385949">
        <w:rPr>
          <w:rFonts w:cs="Arial"/>
          <w:sz w:val="20"/>
        </w:rPr>
        <w:t xml:space="preserve">This document is available in PDF format for downloading. </w:t>
      </w:r>
      <w:r w:rsidRPr="004132C3">
        <w:rPr>
          <w:rFonts w:cs="Arial"/>
          <w:sz w:val="20"/>
        </w:rPr>
        <w:t xml:space="preserve">Click </w:t>
      </w:r>
      <w:hyperlink r:id="rId21" w:history="1">
        <w:r w:rsidRPr="004132C3">
          <w:rPr>
            <w:rStyle w:val="Hyperlink"/>
            <w:rFonts w:cs="Arial"/>
            <w:sz w:val="20"/>
          </w:rPr>
          <w:t>here</w:t>
        </w:r>
      </w:hyperlink>
      <w:r w:rsidRPr="00385949">
        <w:rPr>
          <w:rFonts w:cs="Arial"/>
          <w:sz w:val="20"/>
        </w:rPr>
        <w:t xml:space="preserve"> to download this document.</w:t>
      </w:r>
    </w:p>
    <w:p w14:paraId="42AA3918" w14:textId="36C2648F" w:rsidR="00385949" w:rsidRPr="00385949" w:rsidRDefault="00385949" w:rsidP="00A61239">
      <w:pPr>
        <w:numPr>
          <w:ilvl w:val="1"/>
          <w:numId w:val="2"/>
        </w:numPr>
        <w:tabs>
          <w:tab w:val="clear" w:pos="1146"/>
          <w:tab w:val="left" w:pos="1134"/>
        </w:tabs>
        <w:rPr>
          <w:rFonts w:cs="Arial"/>
          <w:b/>
          <w:sz w:val="20"/>
        </w:rPr>
      </w:pPr>
      <w:r w:rsidRPr="00385949">
        <w:rPr>
          <w:rFonts w:cs="Arial"/>
          <w:b/>
          <w:sz w:val="20"/>
        </w:rPr>
        <w:t>Scope</w:t>
      </w:r>
    </w:p>
    <w:p w14:paraId="42AA3919" w14:textId="77777777" w:rsidR="00385949" w:rsidRPr="00385949" w:rsidRDefault="00385949" w:rsidP="00385949">
      <w:pPr>
        <w:tabs>
          <w:tab w:val="left" w:pos="1134"/>
        </w:tabs>
        <w:ind w:left="1146"/>
        <w:rPr>
          <w:rFonts w:cs="Arial"/>
          <w:sz w:val="20"/>
        </w:rPr>
      </w:pPr>
      <w:r w:rsidRPr="00385949">
        <w:rPr>
          <w:rFonts w:cs="Arial"/>
          <w:sz w:val="20"/>
        </w:rPr>
        <w:t>This policy applies to:</w:t>
      </w:r>
    </w:p>
    <w:p w14:paraId="42AA391A" w14:textId="4005FE59" w:rsidR="00385949" w:rsidRPr="00385949" w:rsidRDefault="00385949" w:rsidP="00A61239">
      <w:pPr>
        <w:pStyle w:val="ListParagraph"/>
        <w:numPr>
          <w:ilvl w:val="0"/>
          <w:numId w:val="4"/>
        </w:numPr>
        <w:tabs>
          <w:tab w:val="left" w:pos="1134"/>
        </w:tabs>
        <w:rPr>
          <w:rFonts w:cs="Arial"/>
          <w:sz w:val="20"/>
        </w:rPr>
      </w:pPr>
      <w:r w:rsidRPr="00385949">
        <w:rPr>
          <w:rFonts w:cs="Arial"/>
          <w:sz w:val="20"/>
        </w:rPr>
        <w:t xml:space="preserve">all </w:t>
      </w:r>
      <w:r w:rsidR="00E20934">
        <w:rPr>
          <w:rFonts w:cs="Arial"/>
          <w:sz w:val="20"/>
        </w:rPr>
        <w:t>Staff Member</w:t>
      </w:r>
      <w:r w:rsidRPr="00385949">
        <w:rPr>
          <w:rFonts w:cs="Arial"/>
          <w:sz w:val="20"/>
        </w:rPr>
        <w:t>s who conduct Consultancy &amp; Commercial Research (CCR) Project Work, and</w:t>
      </w:r>
    </w:p>
    <w:p w14:paraId="42AA391B" w14:textId="40FB848F" w:rsidR="00385949" w:rsidRPr="00385949" w:rsidRDefault="00385949" w:rsidP="00A61239">
      <w:pPr>
        <w:pStyle w:val="ListParagraph"/>
        <w:numPr>
          <w:ilvl w:val="0"/>
          <w:numId w:val="4"/>
        </w:numPr>
        <w:tabs>
          <w:tab w:val="left" w:pos="1134"/>
        </w:tabs>
        <w:rPr>
          <w:rFonts w:cs="Arial"/>
          <w:sz w:val="20"/>
        </w:rPr>
      </w:pPr>
      <w:r w:rsidRPr="00385949">
        <w:rPr>
          <w:rFonts w:cs="Arial"/>
          <w:sz w:val="20"/>
        </w:rPr>
        <w:t xml:space="preserve">in the case of academic </w:t>
      </w:r>
      <w:r w:rsidR="00E20934">
        <w:rPr>
          <w:rFonts w:cs="Arial"/>
          <w:sz w:val="20"/>
        </w:rPr>
        <w:t>Staff Member</w:t>
      </w:r>
      <w:r w:rsidRPr="00385949">
        <w:rPr>
          <w:rFonts w:cs="Arial"/>
          <w:sz w:val="20"/>
        </w:rPr>
        <w:t>s, regardless of whether the work is then conducted within or outside of University working hours.</w:t>
      </w:r>
    </w:p>
    <w:p w14:paraId="42AA391C" w14:textId="77777777" w:rsidR="00385949" w:rsidRPr="00385949" w:rsidRDefault="00385949" w:rsidP="00385949">
      <w:pPr>
        <w:tabs>
          <w:tab w:val="left" w:pos="1134"/>
        </w:tabs>
        <w:ind w:left="1146"/>
        <w:rPr>
          <w:rFonts w:cs="Arial"/>
          <w:sz w:val="20"/>
        </w:rPr>
      </w:pPr>
      <w:r w:rsidRPr="00385949">
        <w:rPr>
          <w:rFonts w:cs="Arial"/>
          <w:sz w:val="20"/>
        </w:rPr>
        <w:t>This policy does not cover:</w:t>
      </w:r>
    </w:p>
    <w:p w14:paraId="42AA391D" w14:textId="5B9FEDE4" w:rsidR="00385949" w:rsidRPr="00385949" w:rsidRDefault="00385949" w:rsidP="00A61239">
      <w:pPr>
        <w:pStyle w:val="ListParagraph"/>
        <w:numPr>
          <w:ilvl w:val="0"/>
          <w:numId w:val="5"/>
        </w:numPr>
        <w:tabs>
          <w:tab w:val="left" w:pos="1134"/>
        </w:tabs>
        <w:rPr>
          <w:rFonts w:cs="Arial"/>
          <w:sz w:val="20"/>
        </w:rPr>
      </w:pPr>
      <w:r w:rsidRPr="00385949">
        <w:rPr>
          <w:rFonts w:cs="Arial"/>
          <w:sz w:val="20"/>
        </w:rPr>
        <w:t xml:space="preserve">Exempt </w:t>
      </w:r>
      <w:r w:rsidR="00B04587">
        <w:rPr>
          <w:rFonts w:cs="Arial"/>
          <w:sz w:val="20"/>
        </w:rPr>
        <w:t>P</w:t>
      </w:r>
      <w:r w:rsidRPr="00385949">
        <w:rPr>
          <w:rFonts w:cs="Arial"/>
          <w:sz w:val="20"/>
        </w:rPr>
        <w:t>rojects;</w:t>
      </w:r>
    </w:p>
    <w:p w14:paraId="42AA391E" w14:textId="77777777" w:rsidR="00385949" w:rsidRPr="00385949" w:rsidRDefault="00385949" w:rsidP="00A61239">
      <w:pPr>
        <w:pStyle w:val="ListParagraph"/>
        <w:numPr>
          <w:ilvl w:val="0"/>
          <w:numId w:val="5"/>
        </w:numPr>
        <w:tabs>
          <w:tab w:val="left" w:pos="1134"/>
        </w:tabs>
        <w:rPr>
          <w:rFonts w:cs="Arial"/>
          <w:sz w:val="20"/>
        </w:rPr>
      </w:pPr>
      <w:r w:rsidRPr="00385949">
        <w:rPr>
          <w:rFonts w:cs="Arial"/>
          <w:sz w:val="20"/>
        </w:rPr>
        <w:t>Private Practice; or</w:t>
      </w:r>
    </w:p>
    <w:p w14:paraId="42AA391F" w14:textId="77777777" w:rsidR="00385949" w:rsidRPr="00385949" w:rsidRDefault="00385949" w:rsidP="00A61239">
      <w:pPr>
        <w:pStyle w:val="ListParagraph"/>
        <w:numPr>
          <w:ilvl w:val="0"/>
          <w:numId w:val="5"/>
        </w:numPr>
        <w:tabs>
          <w:tab w:val="left" w:pos="1134"/>
        </w:tabs>
        <w:rPr>
          <w:rFonts w:cs="Arial"/>
          <w:sz w:val="20"/>
        </w:rPr>
      </w:pPr>
      <w:r w:rsidRPr="00385949">
        <w:rPr>
          <w:rFonts w:cs="Arial"/>
          <w:sz w:val="20"/>
        </w:rPr>
        <w:lastRenderedPageBreak/>
        <w:t>Research Grants.</w:t>
      </w:r>
    </w:p>
    <w:p w14:paraId="42AA3920" w14:textId="77777777" w:rsidR="00385949" w:rsidRPr="00385949" w:rsidRDefault="00385949" w:rsidP="00A61239">
      <w:pPr>
        <w:numPr>
          <w:ilvl w:val="1"/>
          <w:numId w:val="2"/>
        </w:numPr>
        <w:tabs>
          <w:tab w:val="clear" w:pos="1146"/>
          <w:tab w:val="left" w:pos="1134"/>
        </w:tabs>
        <w:rPr>
          <w:rFonts w:cs="Arial"/>
          <w:b/>
          <w:sz w:val="20"/>
        </w:rPr>
      </w:pPr>
      <w:r w:rsidRPr="00385949">
        <w:rPr>
          <w:rFonts w:cs="Arial"/>
          <w:b/>
          <w:sz w:val="20"/>
        </w:rPr>
        <w:t>Related Policies, Procedures &amp; Forms</w:t>
      </w:r>
    </w:p>
    <w:p w14:paraId="42AA3921" w14:textId="77777777" w:rsidR="00385949" w:rsidRPr="00385949" w:rsidRDefault="00385949" w:rsidP="00385949">
      <w:pPr>
        <w:tabs>
          <w:tab w:val="left" w:pos="1134"/>
        </w:tabs>
        <w:ind w:left="1146"/>
        <w:rPr>
          <w:rFonts w:cs="Arial"/>
          <w:sz w:val="20"/>
        </w:rPr>
      </w:pPr>
      <w:r w:rsidRPr="00385949">
        <w:rPr>
          <w:rFonts w:cs="Arial"/>
          <w:sz w:val="20"/>
        </w:rPr>
        <w:t>Related policies, procedures and forms that may also govern Consultancy &amp; Commercial Research (CCR) Project Work are:</w:t>
      </w:r>
    </w:p>
    <w:p w14:paraId="350D42E8" w14:textId="2EA2D893" w:rsidR="0039340D" w:rsidRPr="00385949" w:rsidRDefault="0039340D" w:rsidP="0039340D">
      <w:pPr>
        <w:pStyle w:val="ListParagraph"/>
        <w:numPr>
          <w:ilvl w:val="0"/>
          <w:numId w:val="6"/>
        </w:numPr>
        <w:tabs>
          <w:tab w:val="left" w:pos="1134"/>
        </w:tabs>
        <w:rPr>
          <w:rFonts w:cs="Arial"/>
          <w:sz w:val="20"/>
        </w:rPr>
      </w:pPr>
      <w:r w:rsidRPr="00385949">
        <w:rPr>
          <w:rFonts w:cs="Arial"/>
          <w:sz w:val="20"/>
        </w:rPr>
        <w:t xml:space="preserve">Consultancy &amp; Commercial Research (CCR) - Project </w:t>
      </w:r>
      <w:r w:rsidR="00A32830">
        <w:rPr>
          <w:rFonts w:cs="Arial"/>
          <w:sz w:val="20"/>
        </w:rPr>
        <w:t>Coversheet</w:t>
      </w:r>
      <w:r>
        <w:rPr>
          <w:rFonts w:cs="Arial"/>
          <w:sz w:val="20"/>
        </w:rPr>
        <w:t xml:space="preserve"> (Projects </w:t>
      </w:r>
      <w:r>
        <w:rPr>
          <w:rFonts w:ascii="Calibri" w:hAnsi="Calibri" w:cs="Calibri"/>
          <w:sz w:val="20"/>
        </w:rPr>
        <w:t>≤</w:t>
      </w:r>
      <w:r w:rsidR="00737424">
        <w:rPr>
          <w:rFonts w:cs="Arial"/>
          <w:sz w:val="20"/>
        </w:rPr>
        <w:t>$</w:t>
      </w:r>
      <w:r w:rsidR="009F71B2">
        <w:rPr>
          <w:rFonts w:cs="Arial"/>
          <w:sz w:val="20"/>
        </w:rPr>
        <w:t>100</w:t>
      </w:r>
      <w:r>
        <w:rPr>
          <w:rFonts w:cs="Arial"/>
          <w:sz w:val="20"/>
        </w:rPr>
        <w:t>,000 ex GST)</w:t>
      </w:r>
    </w:p>
    <w:p w14:paraId="42AA3922" w14:textId="2430890D" w:rsidR="00385949" w:rsidRPr="00385949" w:rsidRDefault="00385949" w:rsidP="00A61239">
      <w:pPr>
        <w:pStyle w:val="ListParagraph"/>
        <w:numPr>
          <w:ilvl w:val="0"/>
          <w:numId w:val="6"/>
        </w:numPr>
        <w:tabs>
          <w:tab w:val="left" w:pos="1134"/>
        </w:tabs>
        <w:rPr>
          <w:rFonts w:cs="Arial"/>
          <w:sz w:val="20"/>
        </w:rPr>
      </w:pPr>
      <w:r w:rsidRPr="00385949">
        <w:rPr>
          <w:rFonts w:cs="Arial"/>
          <w:sz w:val="20"/>
        </w:rPr>
        <w:t xml:space="preserve">Consultancy &amp; Commercial Research (CCR) - Project </w:t>
      </w:r>
      <w:r w:rsidR="00A32830">
        <w:rPr>
          <w:rFonts w:cs="Arial"/>
          <w:sz w:val="20"/>
        </w:rPr>
        <w:t>Coversheet</w:t>
      </w:r>
      <w:r w:rsidR="0039340D">
        <w:rPr>
          <w:rFonts w:cs="Arial"/>
          <w:sz w:val="20"/>
        </w:rPr>
        <w:t xml:space="preserve"> (Projects</w:t>
      </w:r>
      <w:r w:rsidR="00737424">
        <w:rPr>
          <w:rFonts w:cs="Arial"/>
          <w:sz w:val="20"/>
        </w:rPr>
        <w:t xml:space="preserve"> &gt;$</w:t>
      </w:r>
      <w:r w:rsidR="009F71B2">
        <w:rPr>
          <w:rFonts w:cs="Arial"/>
          <w:sz w:val="20"/>
        </w:rPr>
        <w:t>100</w:t>
      </w:r>
      <w:r w:rsidR="0039340D">
        <w:rPr>
          <w:rFonts w:cs="Arial"/>
          <w:sz w:val="20"/>
        </w:rPr>
        <w:t>,000 ex GST)</w:t>
      </w:r>
    </w:p>
    <w:p w14:paraId="42AA3923" w14:textId="77777777" w:rsidR="00385949" w:rsidRPr="00385949" w:rsidRDefault="00385949" w:rsidP="00A61239">
      <w:pPr>
        <w:pStyle w:val="ListParagraph"/>
        <w:numPr>
          <w:ilvl w:val="0"/>
          <w:numId w:val="6"/>
        </w:numPr>
        <w:tabs>
          <w:tab w:val="left" w:pos="1134"/>
        </w:tabs>
        <w:rPr>
          <w:rFonts w:cs="Arial"/>
          <w:sz w:val="20"/>
        </w:rPr>
      </w:pPr>
      <w:r w:rsidRPr="00385949">
        <w:rPr>
          <w:rFonts w:cs="Arial"/>
          <w:sz w:val="20"/>
        </w:rPr>
        <w:t>Consultancy &amp; Commercial Research (CCR) - University Standard Contracts</w:t>
      </w:r>
    </w:p>
    <w:p w14:paraId="42AA3924" w14:textId="77777777" w:rsidR="00385949" w:rsidRPr="00385949" w:rsidRDefault="00385949" w:rsidP="00A61239">
      <w:pPr>
        <w:pStyle w:val="ListParagraph"/>
        <w:numPr>
          <w:ilvl w:val="0"/>
          <w:numId w:val="6"/>
        </w:numPr>
        <w:tabs>
          <w:tab w:val="left" w:pos="1134"/>
        </w:tabs>
        <w:rPr>
          <w:rFonts w:cs="Arial"/>
          <w:sz w:val="20"/>
        </w:rPr>
      </w:pPr>
      <w:r w:rsidRPr="00385949">
        <w:rPr>
          <w:rFonts w:cs="Arial"/>
          <w:sz w:val="20"/>
        </w:rPr>
        <w:t>Consultancy &amp; Commercial Research (CCR) - Frequently Asked Questions</w:t>
      </w:r>
    </w:p>
    <w:p w14:paraId="42AA3925" w14:textId="77777777" w:rsidR="00385949" w:rsidRPr="00385949" w:rsidRDefault="00385949" w:rsidP="00A61239">
      <w:pPr>
        <w:pStyle w:val="ListParagraph"/>
        <w:numPr>
          <w:ilvl w:val="0"/>
          <w:numId w:val="6"/>
        </w:numPr>
        <w:tabs>
          <w:tab w:val="left" w:pos="1134"/>
        </w:tabs>
        <w:rPr>
          <w:rFonts w:cs="Arial"/>
          <w:sz w:val="20"/>
        </w:rPr>
      </w:pPr>
      <w:r w:rsidRPr="00385949">
        <w:rPr>
          <w:rFonts w:cs="Arial"/>
          <w:sz w:val="20"/>
        </w:rPr>
        <w:t>Private Practice Provisions</w:t>
      </w:r>
    </w:p>
    <w:p w14:paraId="42AA3926" w14:textId="77777777" w:rsidR="00385949" w:rsidRPr="00385949" w:rsidRDefault="00385949" w:rsidP="00A61239">
      <w:pPr>
        <w:pStyle w:val="ListParagraph"/>
        <w:numPr>
          <w:ilvl w:val="0"/>
          <w:numId w:val="6"/>
        </w:numPr>
        <w:tabs>
          <w:tab w:val="left" w:pos="1134"/>
        </w:tabs>
        <w:rPr>
          <w:rFonts w:cs="Arial"/>
          <w:sz w:val="20"/>
        </w:rPr>
      </w:pPr>
      <w:r w:rsidRPr="00385949">
        <w:rPr>
          <w:rFonts w:cs="Arial"/>
          <w:sz w:val="20"/>
        </w:rPr>
        <w:t>Intellectual Property Policy</w:t>
      </w:r>
    </w:p>
    <w:p w14:paraId="42AA3927" w14:textId="77777777" w:rsidR="00385949" w:rsidRPr="00385949" w:rsidRDefault="00385949" w:rsidP="00A61239">
      <w:pPr>
        <w:pStyle w:val="ListParagraph"/>
        <w:numPr>
          <w:ilvl w:val="0"/>
          <w:numId w:val="6"/>
        </w:numPr>
        <w:tabs>
          <w:tab w:val="left" w:pos="1134"/>
        </w:tabs>
        <w:rPr>
          <w:rFonts w:cs="Arial"/>
          <w:sz w:val="20"/>
        </w:rPr>
      </w:pPr>
      <w:r w:rsidRPr="00385949">
        <w:rPr>
          <w:rFonts w:cs="Arial"/>
          <w:sz w:val="20"/>
        </w:rPr>
        <w:t>Griffith University Code of Conduct</w:t>
      </w:r>
    </w:p>
    <w:p w14:paraId="42AA3928" w14:textId="77777777" w:rsidR="00385949" w:rsidRPr="00385949" w:rsidRDefault="00385949" w:rsidP="00A61239">
      <w:pPr>
        <w:numPr>
          <w:ilvl w:val="1"/>
          <w:numId w:val="2"/>
        </w:numPr>
        <w:tabs>
          <w:tab w:val="clear" w:pos="1146"/>
          <w:tab w:val="left" w:pos="1134"/>
        </w:tabs>
        <w:rPr>
          <w:rFonts w:cs="Arial"/>
          <w:b/>
          <w:sz w:val="20"/>
        </w:rPr>
      </w:pPr>
      <w:r w:rsidRPr="00385949">
        <w:rPr>
          <w:rFonts w:cs="Arial"/>
          <w:b/>
          <w:sz w:val="20"/>
        </w:rPr>
        <w:t>Purpose and Objective</w:t>
      </w:r>
    </w:p>
    <w:p w14:paraId="42AA3929" w14:textId="15E68495" w:rsidR="00385949" w:rsidRPr="00385949" w:rsidRDefault="00385949" w:rsidP="00385949">
      <w:pPr>
        <w:tabs>
          <w:tab w:val="left" w:pos="1134"/>
        </w:tabs>
        <w:ind w:left="1146"/>
        <w:rPr>
          <w:rFonts w:cs="Arial"/>
          <w:sz w:val="20"/>
        </w:rPr>
      </w:pPr>
      <w:r w:rsidRPr="00385949">
        <w:rPr>
          <w:rFonts w:cs="Arial"/>
          <w:sz w:val="20"/>
        </w:rPr>
        <w:t xml:space="preserve">It is a statutory function of the University to encourage the advancement and development of knowledge, and its application to government, industry and the community. </w:t>
      </w:r>
      <w:r w:rsidR="006129BF">
        <w:rPr>
          <w:rFonts w:cs="Arial"/>
          <w:sz w:val="20"/>
        </w:rPr>
        <w:t xml:space="preserve"> </w:t>
      </w:r>
      <w:r w:rsidRPr="00385949">
        <w:rPr>
          <w:rFonts w:cs="Arial"/>
          <w:sz w:val="20"/>
        </w:rPr>
        <w:t xml:space="preserve">In order for the University to fulfil this statutory function and for the enhancement of the University's profile, the University wishes to encourage and facilitate the conduct of Consultancy &amp; Commercial Research (CCR) Project Work. </w:t>
      </w:r>
      <w:r w:rsidR="006129BF">
        <w:rPr>
          <w:rFonts w:cs="Arial"/>
          <w:sz w:val="20"/>
        </w:rPr>
        <w:t xml:space="preserve"> </w:t>
      </w:r>
      <w:r w:rsidRPr="00385949">
        <w:rPr>
          <w:rFonts w:cs="Arial"/>
          <w:sz w:val="20"/>
        </w:rPr>
        <w:t>This includes commercial activities within the business and government sectors, and provision of services to the community and the higher education sector.</w:t>
      </w:r>
    </w:p>
    <w:p w14:paraId="42AA392A" w14:textId="77777777" w:rsidR="00385949" w:rsidRPr="00385949" w:rsidRDefault="00385949" w:rsidP="00385949">
      <w:pPr>
        <w:tabs>
          <w:tab w:val="left" w:pos="1134"/>
        </w:tabs>
        <w:ind w:left="1146"/>
        <w:rPr>
          <w:rFonts w:cs="Arial"/>
          <w:sz w:val="20"/>
        </w:rPr>
      </w:pPr>
      <w:r w:rsidRPr="00385949">
        <w:rPr>
          <w:rFonts w:cs="Arial"/>
          <w:sz w:val="20"/>
        </w:rPr>
        <w:t>Griffith University:</w:t>
      </w:r>
    </w:p>
    <w:p w14:paraId="42AA392B" w14:textId="011A1C68" w:rsidR="00385949" w:rsidRPr="00385949" w:rsidRDefault="00385949" w:rsidP="00A61239">
      <w:pPr>
        <w:pStyle w:val="ListParagraph"/>
        <w:numPr>
          <w:ilvl w:val="0"/>
          <w:numId w:val="7"/>
        </w:numPr>
        <w:tabs>
          <w:tab w:val="left" w:pos="1134"/>
        </w:tabs>
        <w:rPr>
          <w:rFonts w:cs="Arial"/>
          <w:sz w:val="20"/>
        </w:rPr>
      </w:pPr>
      <w:r w:rsidRPr="00385949">
        <w:rPr>
          <w:rFonts w:cs="Arial"/>
          <w:sz w:val="20"/>
        </w:rPr>
        <w:t xml:space="preserve">considers it desirable that the special experience and skills of </w:t>
      </w:r>
      <w:r w:rsidR="00E20934">
        <w:rPr>
          <w:rFonts w:cs="Arial"/>
          <w:sz w:val="20"/>
        </w:rPr>
        <w:t>Staff Member</w:t>
      </w:r>
      <w:r w:rsidRPr="00385949">
        <w:rPr>
          <w:rFonts w:cs="Arial"/>
          <w:sz w:val="20"/>
        </w:rPr>
        <w:t xml:space="preserve">s should be available to </w:t>
      </w:r>
      <w:r w:rsidR="00DF4727">
        <w:rPr>
          <w:rFonts w:cs="Arial"/>
          <w:sz w:val="20"/>
        </w:rPr>
        <w:t>E</w:t>
      </w:r>
      <w:r w:rsidRPr="00385949">
        <w:rPr>
          <w:rFonts w:cs="Arial"/>
          <w:sz w:val="20"/>
        </w:rPr>
        <w:t xml:space="preserve">xternal </w:t>
      </w:r>
      <w:r w:rsidR="00DF4727">
        <w:rPr>
          <w:rFonts w:cs="Arial"/>
          <w:sz w:val="20"/>
        </w:rPr>
        <w:t>O</w:t>
      </w:r>
      <w:r w:rsidRPr="00385949">
        <w:rPr>
          <w:rFonts w:cs="Arial"/>
          <w:sz w:val="20"/>
        </w:rPr>
        <w:t>rganisations;</w:t>
      </w:r>
    </w:p>
    <w:p w14:paraId="42AA392C" w14:textId="61C06B37" w:rsidR="00385949" w:rsidRPr="00385949" w:rsidRDefault="00385949" w:rsidP="00A61239">
      <w:pPr>
        <w:pStyle w:val="ListParagraph"/>
        <w:numPr>
          <w:ilvl w:val="0"/>
          <w:numId w:val="7"/>
        </w:numPr>
        <w:tabs>
          <w:tab w:val="left" w:pos="1134"/>
        </w:tabs>
        <w:rPr>
          <w:rFonts w:cs="Arial"/>
          <w:sz w:val="20"/>
        </w:rPr>
      </w:pPr>
      <w:r w:rsidRPr="00385949">
        <w:rPr>
          <w:rFonts w:cs="Arial"/>
          <w:sz w:val="20"/>
        </w:rPr>
        <w:t xml:space="preserve">encourages </w:t>
      </w:r>
      <w:r w:rsidR="00E20934">
        <w:rPr>
          <w:rFonts w:cs="Arial"/>
          <w:sz w:val="20"/>
        </w:rPr>
        <w:t>Staff Member</w:t>
      </w:r>
      <w:r w:rsidRPr="00385949">
        <w:rPr>
          <w:rFonts w:cs="Arial"/>
          <w:sz w:val="20"/>
        </w:rPr>
        <w:t>s to maintain and improve their expertise by becoming involved in Consultancy &amp; Commercial Research (CCR) Project Work;</w:t>
      </w:r>
    </w:p>
    <w:p w14:paraId="42AA392D" w14:textId="2DDE07FB" w:rsidR="00385949" w:rsidRPr="00385949" w:rsidRDefault="00385949" w:rsidP="00A61239">
      <w:pPr>
        <w:pStyle w:val="ListParagraph"/>
        <w:numPr>
          <w:ilvl w:val="0"/>
          <w:numId w:val="7"/>
        </w:numPr>
        <w:tabs>
          <w:tab w:val="left" w:pos="1134"/>
        </w:tabs>
        <w:rPr>
          <w:rFonts w:cs="Arial"/>
          <w:sz w:val="20"/>
        </w:rPr>
      </w:pPr>
      <w:r w:rsidRPr="00385949">
        <w:rPr>
          <w:rFonts w:cs="Arial"/>
          <w:sz w:val="20"/>
        </w:rPr>
        <w:t xml:space="preserve">seeks to expand the volume of Consultancy &amp; Commercial Research (CCR) Project Work to the mutual benefit of </w:t>
      </w:r>
      <w:r w:rsidR="00E20934">
        <w:rPr>
          <w:rFonts w:cs="Arial"/>
          <w:sz w:val="20"/>
        </w:rPr>
        <w:t>Staff Member</w:t>
      </w:r>
      <w:r w:rsidRPr="00385949">
        <w:rPr>
          <w:rFonts w:cs="Arial"/>
          <w:sz w:val="20"/>
        </w:rPr>
        <w:t>s and the University; and</w:t>
      </w:r>
    </w:p>
    <w:p w14:paraId="42AA392E" w14:textId="60F65C9E" w:rsidR="00385949" w:rsidRPr="00385949" w:rsidRDefault="00385949" w:rsidP="00A61239">
      <w:pPr>
        <w:pStyle w:val="ListParagraph"/>
        <w:numPr>
          <w:ilvl w:val="0"/>
          <w:numId w:val="7"/>
        </w:numPr>
        <w:tabs>
          <w:tab w:val="left" w:pos="1134"/>
        </w:tabs>
        <w:rPr>
          <w:rFonts w:cs="Arial"/>
          <w:sz w:val="20"/>
        </w:rPr>
      </w:pPr>
      <w:r w:rsidRPr="00385949">
        <w:rPr>
          <w:rFonts w:cs="Arial"/>
          <w:sz w:val="20"/>
        </w:rPr>
        <w:t xml:space="preserve">recognises the benefits for the University, the </w:t>
      </w:r>
      <w:r w:rsidR="00E20934">
        <w:rPr>
          <w:rFonts w:cs="Arial"/>
          <w:sz w:val="20"/>
        </w:rPr>
        <w:t>Staff Member</w:t>
      </w:r>
      <w:r w:rsidRPr="00385949">
        <w:rPr>
          <w:rFonts w:cs="Arial"/>
          <w:sz w:val="20"/>
        </w:rPr>
        <w:t xml:space="preserve">, and </w:t>
      </w:r>
      <w:r w:rsidR="00DF4727">
        <w:rPr>
          <w:rFonts w:cs="Arial"/>
          <w:sz w:val="20"/>
        </w:rPr>
        <w:t>E</w:t>
      </w:r>
      <w:r w:rsidRPr="00385949">
        <w:rPr>
          <w:rFonts w:cs="Arial"/>
          <w:sz w:val="20"/>
        </w:rPr>
        <w:t xml:space="preserve">xternal </w:t>
      </w:r>
      <w:r w:rsidR="00DF4727">
        <w:rPr>
          <w:rFonts w:cs="Arial"/>
          <w:sz w:val="20"/>
        </w:rPr>
        <w:t>O</w:t>
      </w:r>
      <w:r w:rsidRPr="00385949">
        <w:rPr>
          <w:rFonts w:cs="Arial"/>
          <w:sz w:val="20"/>
        </w:rPr>
        <w:t>rganisations in the conduct of Consultancy &amp; Commercial Research (CCR) Project Work.</w:t>
      </w:r>
    </w:p>
    <w:p w14:paraId="42AA392F" w14:textId="39E4F5CF" w:rsidR="00385949" w:rsidRPr="00385949" w:rsidRDefault="00385949" w:rsidP="00385949">
      <w:pPr>
        <w:tabs>
          <w:tab w:val="left" w:pos="1134"/>
        </w:tabs>
        <w:ind w:left="1146"/>
        <w:rPr>
          <w:rFonts w:cs="Arial"/>
          <w:sz w:val="20"/>
        </w:rPr>
      </w:pPr>
      <w:r w:rsidRPr="00385949">
        <w:rPr>
          <w:rFonts w:cs="Arial"/>
          <w:sz w:val="20"/>
        </w:rPr>
        <w:t xml:space="preserve">As the conduct of Consultancy &amp; Commercial Research (CCR) Project Work affects the University's interests, the University regulates the Consultancy &amp; Commercial Research (CCR) Project Work undertaken by its </w:t>
      </w:r>
      <w:r w:rsidR="00E20934">
        <w:rPr>
          <w:rFonts w:cs="Arial"/>
          <w:sz w:val="20"/>
        </w:rPr>
        <w:t>Staff Member</w:t>
      </w:r>
      <w:r w:rsidRPr="00385949">
        <w:rPr>
          <w:rFonts w:cs="Arial"/>
          <w:sz w:val="20"/>
        </w:rPr>
        <w:t>s.</w:t>
      </w:r>
    </w:p>
    <w:p w14:paraId="42AA3930" w14:textId="77777777" w:rsidR="00385949" w:rsidRPr="00385949" w:rsidRDefault="00385949" w:rsidP="00A61239">
      <w:pPr>
        <w:numPr>
          <w:ilvl w:val="1"/>
          <w:numId w:val="2"/>
        </w:numPr>
        <w:tabs>
          <w:tab w:val="clear" w:pos="1146"/>
          <w:tab w:val="left" w:pos="1134"/>
        </w:tabs>
        <w:rPr>
          <w:rFonts w:cs="Arial"/>
          <w:b/>
          <w:sz w:val="20"/>
        </w:rPr>
      </w:pPr>
      <w:r w:rsidRPr="00385949">
        <w:rPr>
          <w:rFonts w:cs="Arial"/>
          <w:b/>
          <w:sz w:val="20"/>
        </w:rPr>
        <w:t>Benefits</w:t>
      </w:r>
    </w:p>
    <w:p w14:paraId="42AA3931" w14:textId="01B68A60" w:rsidR="00385949" w:rsidRPr="00385949" w:rsidRDefault="00385949" w:rsidP="00385949">
      <w:pPr>
        <w:tabs>
          <w:tab w:val="left" w:pos="1134"/>
        </w:tabs>
        <w:ind w:left="1146"/>
        <w:rPr>
          <w:rFonts w:cs="Arial"/>
          <w:sz w:val="20"/>
        </w:rPr>
      </w:pPr>
      <w:r w:rsidRPr="00385949">
        <w:rPr>
          <w:rFonts w:cs="Arial"/>
          <w:sz w:val="20"/>
        </w:rPr>
        <w:t xml:space="preserve">Staff </w:t>
      </w:r>
      <w:r w:rsidR="00FF2683">
        <w:rPr>
          <w:rFonts w:cs="Arial"/>
          <w:sz w:val="20"/>
        </w:rPr>
        <w:t>M</w:t>
      </w:r>
      <w:r w:rsidRPr="00385949">
        <w:rPr>
          <w:rFonts w:cs="Arial"/>
          <w:sz w:val="20"/>
        </w:rPr>
        <w:t>embers undertaking approved Consultancy &amp; Commercial Research (CCR) Project Work benefit by:</w:t>
      </w:r>
    </w:p>
    <w:p w14:paraId="42AA3932" w14:textId="6535FCD2" w:rsidR="00385949" w:rsidRPr="00385949" w:rsidRDefault="005E737F" w:rsidP="00A61239">
      <w:pPr>
        <w:pStyle w:val="ListParagraph"/>
        <w:numPr>
          <w:ilvl w:val="0"/>
          <w:numId w:val="8"/>
        </w:numPr>
        <w:tabs>
          <w:tab w:val="left" w:pos="1134"/>
        </w:tabs>
        <w:rPr>
          <w:rFonts w:cs="Arial"/>
          <w:sz w:val="20"/>
        </w:rPr>
      </w:pPr>
      <w:r>
        <w:rPr>
          <w:rFonts w:cs="Arial"/>
          <w:sz w:val="20"/>
        </w:rPr>
        <w:t xml:space="preserve">A </w:t>
      </w:r>
      <w:r w:rsidR="00686173">
        <w:rPr>
          <w:rFonts w:cs="Arial"/>
          <w:sz w:val="20"/>
        </w:rPr>
        <w:t xml:space="preserve">Staff Member </w:t>
      </w:r>
      <w:r w:rsidR="00D332BC">
        <w:rPr>
          <w:rFonts w:cs="Arial"/>
          <w:sz w:val="20"/>
        </w:rPr>
        <w:t>(</w:t>
      </w:r>
      <w:r w:rsidR="0026268A">
        <w:rPr>
          <w:rFonts w:cs="Arial"/>
          <w:sz w:val="20"/>
        </w:rPr>
        <w:t>T</w:t>
      </w:r>
      <w:r w:rsidR="00686173">
        <w:rPr>
          <w:rFonts w:cs="Arial"/>
          <w:sz w:val="20"/>
        </w:rPr>
        <w:t>ype</w:t>
      </w:r>
      <w:r w:rsidR="002B305A">
        <w:rPr>
          <w:rFonts w:cs="Arial"/>
          <w:sz w:val="20"/>
        </w:rPr>
        <w:t>s</w:t>
      </w:r>
      <w:r w:rsidR="00686173">
        <w:rPr>
          <w:rFonts w:cs="Arial"/>
          <w:sz w:val="20"/>
        </w:rPr>
        <w:t xml:space="preserve"> </w:t>
      </w:r>
      <w:r>
        <w:rPr>
          <w:rFonts w:cs="Arial"/>
          <w:sz w:val="20"/>
        </w:rPr>
        <w:t>A</w:t>
      </w:r>
      <w:r w:rsidR="009509A6">
        <w:rPr>
          <w:rFonts w:cs="Arial"/>
          <w:sz w:val="20"/>
        </w:rPr>
        <w:t>, B or C)</w:t>
      </w:r>
      <w:r w:rsidR="00686173">
        <w:rPr>
          <w:rFonts w:cs="Arial"/>
          <w:sz w:val="20"/>
        </w:rPr>
        <w:t xml:space="preserve"> </w:t>
      </w:r>
      <w:r w:rsidR="00385949" w:rsidRPr="00385949">
        <w:rPr>
          <w:rFonts w:cs="Arial"/>
          <w:sz w:val="20"/>
        </w:rPr>
        <w:t xml:space="preserve">being covered by the University's professional indemnity and public liability insurances. </w:t>
      </w:r>
      <w:r w:rsidR="006129BF">
        <w:rPr>
          <w:rFonts w:cs="Arial"/>
          <w:sz w:val="20"/>
        </w:rPr>
        <w:t xml:space="preserve"> </w:t>
      </w:r>
      <w:r w:rsidR="00385949" w:rsidRPr="00385949">
        <w:rPr>
          <w:rFonts w:cs="Arial"/>
          <w:sz w:val="20"/>
        </w:rPr>
        <w:t xml:space="preserve">The </w:t>
      </w:r>
      <w:r w:rsidR="00E20934">
        <w:rPr>
          <w:rFonts w:cs="Arial"/>
          <w:sz w:val="20"/>
        </w:rPr>
        <w:t>Staff Member</w:t>
      </w:r>
      <w:r w:rsidR="00385949" w:rsidRPr="00385949">
        <w:rPr>
          <w:rFonts w:cs="Arial"/>
          <w:sz w:val="20"/>
        </w:rPr>
        <w:t xml:space="preserve"> will be defended by the University in the event of a claim against the </w:t>
      </w:r>
      <w:r w:rsidR="00E20934">
        <w:rPr>
          <w:rFonts w:cs="Arial"/>
          <w:sz w:val="20"/>
        </w:rPr>
        <w:t>Staff Member</w:t>
      </w:r>
      <w:r w:rsidR="00385949" w:rsidRPr="00385949">
        <w:rPr>
          <w:rFonts w:cs="Arial"/>
          <w:sz w:val="20"/>
        </w:rPr>
        <w:t xml:space="preserve"> undertaking the Consultancy &amp; Commercial Research (CCR) Project Work (provided that the claim is not as a result of fraudulent, dishonest, criminal, wilful or malicious acts, negligence, errors or omissions by the </w:t>
      </w:r>
      <w:r w:rsidR="00E20934">
        <w:rPr>
          <w:rFonts w:cs="Arial"/>
          <w:sz w:val="20"/>
        </w:rPr>
        <w:t>Staff Member</w:t>
      </w:r>
      <w:r w:rsidR="00385949" w:rsidRPr="00385949">
        <w:rPr>
          <w:rFonts w:cs="Arial"/>
          <w:sz w:val="20"/>
        </w:rPr>
        <w:t>);</w:t>
      </w:r>
    </w:p>
    <w:p w14:paraId="42AA3933" w14:textId="63F0B965" w:rsidR="00385949" w:rsidRPr="00385949" w:rsidRDefault="005E737F" w:rsidP="00A61239">
      <w:pPr>
        <w:pStyle w:val="ListParagraph"/>
        <w:numPr>
          <w:ilvl w:val="0"/>
          <w:numId w:val="8"/>
        </w:numPr>
        <w:tabs>
          <w:tab w:val="left" w:pos="1134"/>
        </w:tabs>
        <w:rPr>
          <w:rFonts w:cs="Arial"/>
          <w:sz w:val="20"/>
        </w:rPr>
      </w:pPr>
      <w:r>
        <w:rPr>
          <w:rFonts w:cs="Arial"/>
          <w:sz w:val="20"/>
        </w:rPr>
        <w:t xml:space="preserve">A </w:t>
      </w:r>
      <w:r w:rsidR="00686173">
        <w:rPr>
          <w:rFonts w:cs="Arial"/>
          <w:sz w:val="20"/>
        </w:rPr>
        <w:t xml:space="preserve">Staff Member </w:t>
      </w:r>
      <w:r w:rsidR="00D332BC">
        <w:rPr>
          <w:rFonts w:cs="Arial"/>
          <w:sz w:val="20"/>
        </w:rPr>
        <w:t>(</w:t>
      </w:r>
      <w:r w:rsidR="0026268A">
        <w:rPr>
          <w:rFonts w:cs="Arial"/>
          <w:sz w:val="20"/>
        </w:rPr>
        <w:t>T</w:t>
      </w:r>
      <w:r w:rsidR="00686173">
        <w:rPr>
          <w:rFonts w:cs="Arial"/>
          <w:sz w:val="20"/>
        </w:rPr>
        <w:t>ype</w:t>
      </w:r>
      <w:r>
        <w:rPr>
          <w:rFonts w:cs="Arial"/>
          <w:sz w:val="20"/>
        </w:rPr>
        <w:t xml:space="preserve"> A only</w:t>
      </w:r>
      <w:r w:rsidR="00D332BC">
        <w:rPr>
          <w:rFonts w:cs="Arial"/>
          <w:sz w:val="20"/>
        </w:rPr>
        <w:t>)</w:t>
      </w:r>
      <w:r w:rsidR="00686173">
        <w:rPr>
          <w:rFonts w:cs="Arial"/>
          <w:sz w:val="20"/>
        </w:rPr>
        <w:t xml:space="preserve"> </w:t>
      </w:r>
      <w:r w:rsidR="00385949" w:rsidRPr="00385949">
        <w:rPr>
          <w:rFonts w:cs="Arial"/>
          <w:sz w:val="20"/>
        </w:rPr>
        <w:t xml:space="preserve">having access to the University's Project Management System to invoice the </w:t>
      </w:r>
      <w:r w:rsidR="00DF4727">
        <w:rPr>
          <w:rFonts w:cs="Arial"/>
          <w:sz w:val="20"/>
        </w:rPr>
        <w:t>E</w:t>
      </w:r>
      <w:r w:rsidR="00385949" w:rsidRPr="00385949">
        <w:rPr>
          <w:rFonts w:cs="Arial"/>
          <w:sz w:val="20"/>
        </w:rPr>
        <w:t xml:space="preserve">xternal </w:t>
      </w:r>
      <w:r w:rsidR="00DF4727">
        <w:rPr>
          <w:rFonts w:cs="Arial"/>
          <w:sz w:val="20"/>
        </w:rPr>
        <w:t>O</w:t>
      </w:r>
      <w:r w:rsidR="00385949" w:rsidRPr="00385949">
        <w:rPr>
          <w:rFonts w:cs="Arial"/>
          <w:sz w:val="20"/>
        </w:rPr>
        <w:t xml:space="preserve">rganisation for funding, expend project costs, and distribute any </w:t>
      </w:r>
      <w:r w:rsidR="00863BBF">
        <w:rPr>
          <w:rFonts w:cs="Arial"/>
          <w:sz w:val="20"/>
        </w:rPr>
        <w:t>S</w:t>
      </w:r>
      <w:r w:rsidR="00863BBF" w:rsidRPr="00385949">
        <w:rPr>
          <w:rFonts w:cs="Arial"/>
          <w:sz w:val="20"/>
        </w:rPr>
        <w:t>urplus</w:t>
      </w:r>
      <w:r w:rsidR="00385949" w:rsidRPr="00385949">
        <w:rPr>
          <w:rFonts w:cs="Arial"/>
          <w:sz w:val="20"/>
        </w:rPr>
        <w:t>;</w:t>
      </w:r>
    </w:p>
    <w:p w14:paraId="42AA3934" w14:textId="0E55DB56" w:rsidR="00385949" w:rsidRPr="00385949" w:rsidRDefault="005E737F" w:rsidP="00A61239">
      <w:pPr>
        <w:pStyle w:val="ListParagraph"/>
        <w:numPr>
          <w:ilvl w:val="0"/>
          <w:numId w:val="8"/>
        </w:numPr>
        <w:tabs>
          <w:tab w:val="left" w:pos="1134"/>
        </w:tabs>
        <w:rPr>
          <w:rFonts w:cs="Arial"/>
          <w:sz w:val="20"/>
        </w:rPr>
      </w:pPr>
      <w:r>
        <w:rPr>
          <w:rFonts w:cs="Arial"/>
          <w:sz w:val="20"/>
        </w:rPr>
        <w:t xml:space="preserve">A </w:t>
      </w:r>
      <w:r w:rsidR="00686173">
        <w:rPr>
          <w:rFonts w:cs="Arial"/>
          <w:sz w:val="20"/>
        </w:rPr>
        <w:t xml:space="preserve">Staff Member </w:t>
      </w:r>
      <w:r w:rsidR="00D332BC">
        <w:rPr>
          <w:rFonts w:cs="Arial"/>
          <w:sz w:val="20"/>
        </w:rPr>
        <w:t>(</w:t>
      </w:r>
      <w:r w:rsidR="0026268A">
        <w:rPr>
          <w:rFonts w:cs="Arial"/>
          <w:sz w:val="20"/>
        </w:rPr>
        <w:t>T</w:t>
      </w:r>
      <w:r w:rsidR="00686173">
        <w:rPr>
          <w:rFonts w:cs="Arial"/>
          <w:sz w:val="20"/>
        </w:rPr>
        <w:t>ype</w:t>
      </w:r>
      <w:r w:rsidR="002B305A">
        <w:rPr>
          <w:rFonts w:cs="Arial"/>
          <w:sz w:val="20"/>
        </w:rPr>
        <w:t>s</w:t>
      </w:r>
      <w:r>
        <w:rPr>
          <w:rFonts w:cs="Arial"/>
          <w:sz w:val="20"/>
        </w:rPr>
        <w:t xml:space="preserve"> A, B or C</w:t>
      </w:r>
      <w:r w:rsidR="00D332BC">
        <w:rPr>
          <w:rFonts w:cs="Arial"/>
          <w:sz w:val="20"/>
        </w:rPr>
        <w:t>)</w:t>
      </w:r>
      <w:r w:rsidR="00686173">
        <w:rPr>
          <w:rFonts w:cs="Arial"/>
          <w:sz w:val="20"/>
        </w:rPr>
        <w:t xml:space="preserve"> </w:t>
      </w:r>
      <w:r w:rsidR="00385949" w:rsidRPr="00385949">
        <w:rPr>
          <w:rFonts w:cs="Arial"/>
          <w:sz w:val="20"/>
        </w:rPr>
        <w:t>having access to the University's resources such as technical and secretarial staff, equipment, administration and telecommunications, if approved by the Head of Host Element;</w:t>
      </w:r>
    </w:p>
    <w:p w14:paraId="42AA3935" w14:textId="0F11F6D9" w:rsidR="00385949" w:rsidRPr="00385949" w:rsidRDefault="005E737F" w:rsidP="00A61239">
      <w:pPr>
        <w:pStyle w:val="ListParagraph"/>
        <w:numPr>
          <w:ilvl w:val="0"/>
          <w:numId w:val="8"/>
        </w:numPr>
        <w:tabs>
          <w:tab w:val="left" w:pos="1134"/>
        </w:tabs>
        <w:rPr>
          <w:rFonts w:cs="Arial"/>
          <w:sz w:val="20"/>
        </w:rPr>
      </w:pPr>
      <w:r>
        <w:rPr>
          <w:rFonts w:cs="Arial"/>
          <w:sz w:val="20"/>
        </w:rPr>
        <w:lastRenderedPageBreak/>
        <w:t xml:space="preserve">A </w:t>
      </w:r>
      <w:r w:rsidR="00686173">
        <w:rPr>
          <w:rFonts w:cs="Arial"/>
          <w:sz w:val="20"/>
        </w:rPr>
        <w:t xml:space="preserve">Staff Member </w:t>
      </w:r>
      <w:r w:rsidR="00D332BC">
        <w:rPr>
          <w:rFonts w:cs="Arial"/>
          <w:sz w:val="20"/>
        </w:rPr>
        <w:t>(</w:t>
      </w:r>
      <w:r w:rsidR="0026268A">
        <w:rPr>
          <w:rFonts w:cs="Arial"/>
          <w:sz w:val="20"/>
        </w:rPr>
        <w:t>T</w:t>
      </w:r>
      <w:r w:rsidR="00686173">
        <w:rPr>
          <w:rFonts w:cs="Arial"/>
          <w:sz w:val="20"/>
        </w:rPr>
        <w:t xml:space="preserve">ype </w:t>
      </w:r>
      <w:r>
        <w:rPr>
          <w:rFonts w:cs="Arial"/>
          <w:sz w:val="20"/>
        </w:rPr>
        <w:t>A, B or C</w:t>
      </w:r>
      <w:r w:rsidR="00686173">
        <w:rPr>
          <w:rFonts w:cs="Arial"/>
          <w:sz w:val="20"/>
        </w:rPr>
        <w:t xml:space="preserve">) </w:t>
      </w:r>
      <w:r w:rsidR="00385949" w:rsidRPr="00385949">
        <w:rPr>
          <w:rFonts w:cs="Arial"/>
          <w:sz w:val="20"/>
        </w:rPr>
        <w:t>being entitled to use the University's name, providing it is not brought into disrepute;</w:t>
      </w:r>
    </w:p>
    <w:p w14:paraId="42AA3936" w14:textId="2D10C875" w:rsidR="00385949" w:rsidRPr="00385949" w:rsidRDefault="005E737F" w:rsidP="00A61239">
      <w:pPr>
        <w:pStyle w:val="ListParagraph"/>
        <w:numPr>
          <w:ilvl w:val="0"/>
          <w:numId w:val="8"/>
        </w:numPr>
        <w:tabs>
          <w:tab w:val="left" w:pos="1134"/>
        </w:tabs>
        <w:rPr>
          <w:rFonts w:cs="Arial"/>
          <w:sz w:val="20"/>
        </w:rPr>
      </w:pPr>
      <w:r>
        <w:rPr>
          <w:rFonts w:cs="Arial"/>
          <w:sz w:val="20"/>
        </w:rPr>
        <w:t xml:space="preserve">A </w:t>
      </w:r>
      <w:r w:rsidR="00686173">
        <w:rPr>
          <w:rFonts w:cs="Arial"/>
          <w:sz w:val="20"/>
        </w:rPr>
        <w:t xml:space="preserve">Staff Member </w:t>
      </w:r>
      <w:r w:rsidR="00D332BC">
        <w:rPr>
          <w:rFonts w:cs="Arial"/>
          <w:sz w:val="20"/>
        </w:rPr>
        <w:t>(</w:t>
      </w:r>
      <w:r w:rsidR="0026268A">
        <w:rPr>
          <w:rFonts w:cs="Arial"/>
          <w:sz w:val="20"/>
        </w:rPr>
        <w:t>T</w:t>
      </w:r>
      <w:r w:rsidR="00686173">
        <w:rPr>
          <w:rFonts w:cs="Arial"/>
          <w:sz w:val="20"/>
        </w:rPr>
        <w:t>ype</w:t>
      </w:r>
      <w:r w:rsidR="002B305A">
        <w:rPr>
          <w:rFonts w:cs="Arial"/>
          <w:sz w:val="20"/>
        </w:rPr>
        <w:t>s</w:t>
      </w:r>
      <w:r w:rsidR="00686173">
        <w:rPr>
          <w:rFonts w:cs="Arial"/>
          <w:sz w:val="20"/>
        </w:rPr>
        <w:t xml:space="preserve"> </w:t>
      </w:r>
      <w:r>
        <w:rPr>
          <w:rFonts w:cs="Arial"/>
          <w:sz w:val="20"/>
        </w:rPr>
        <w:t>A, B or C</w:t>
      </w:r>
      <w:r w:rsidR="00D332BC">
        <w:rPr>
          <w:rFonts w:cs="Arial"/>
          <w:sz w:val="20"/>
        </w:rPr>
        <w:t>)</w:t>
      </w:r>
      <w:r w:rsidR="00686173">
        <w:rPr>
          <w:rFonts w:cs="Arial"/>
          <w:sz w:val="20"/>
        </w:rPr>
        <w:t xml:space="preserve"> </w:t>
      </w:r>
      <w:r w:rsidR="00385949" w:rsidRPr="00385949">
        <w:rPr>
          <w:rFonts w:cs="Arial"/>
          <w:sz w:val="20"/>
        </w:rPr>
        <w:t>being able to make reference to their University position and title in connection with the work; and</w:t>
      </w:r>
    </w:p>
    <w:p w14:paraId="42AA3937" w14:textId="5417C77F" w:rsidR="00385949" w:rsidRPr="00385949" w:rsidRDefault="005E737F" w:rsidP="00A61239">
      <w:pPr>
        <w:pStyle w:val="ListParagraph"/>
        <w:numPr>
          <w:ilvl w:val="0"/>
          <w:numId w:val="8"/>
        </w:numPr>
        <w:tabs>
          <w:tab w:val="left" w:pos="1134"/>
        </w:tabs>
        <w:rPr>
          <w:rFonts w:cs="Arial"/>
          <w:sz w:val="20"/>
        </w:rPr>
      </w:pPr>
      <w:r>
        <w:rPr>
          <w:rFonts w:cs="Arial"/>
          <w:sz w:val="20"/>
        </w:rPr>
        <w:t xml:space="preserve">A </w:t>
      </w:r>
      <w:r w:rsidR="00686173">
        <w:rPr>
          <w:rFonts w:cs="Arial"/>
          <w:sz w:val="20"/>
        </w:rPr>
        <w:t xml:space="preserve">Staff Member </w:t>
      </w:r>
      <w:r w:rsidR="00D332BC">
        <w:rPr>
          <w:rFonts w:cs="Arial"/>
          <w:sz w:val="20"/>
        </w:rPr>
        <w:t>(</w:t>
      </w:r>
      <w:r w:rsidR="0026268A">
        <w:rPr>
          <w:rFonts w:cs="Arial"/>
          <w:sz w:val="20"/>
        </w:rPr>
        <w:t>T</w:t>
      </w:r>
      <w:r w:rsidR="00686173">
        <w:rPr>
          <w:rFonts w:cs="Arial"/>
          <w:sz w:val="20"/>
        </w:rPr>
        <w:t>ype</w:t>
      </w:r>
      <w:r w:rsidR="002B305A">
        <w:rPr>
          <w:rFonts w:cs="Arial"/>
          <w:sz w:val="20"/>
        </w:rPr>
        <w:t>s</w:t>
      </w:r>
      <w:r w:rsidR="00686173">
        <w:rPr>
          <w:rFonts w:cs="Arial"/>
          <w:sz w:val="20"/>
        </w:rPr>
        <w:t xml:space="preserve"> </w:t>
      </w:r>
      <w:r w:rsidR="0026268A">
        <w:rPr>
          <w:rFonts w:cs="Arial"/>
          <w:sz w:val="20"/>
        </w:rPr>
        <w:t>A or B only</w:t>
      </w:r>
      <w:r w:rsidR="00D332BC">
        <w:rPr>
          <w:rFonts w:cs="Arial"/>
          <w:sz w:val="20"/>
        </w:rPr>
        <w:t>)</w:t>
      </w:r>
      <w:r w:rsidR="00686173">
        <w:rPr>
          <w:rFonts w:cs="Arial"/>
          <w:sz w:val="20"/>
        </w:rPr>
        <w:t xml:space="preserve"> </w:t>
      </w:r>
      <w:r w:rsidR="00385949" w:rsidRPr="00385949">
        <w:rPr>
          <w:rFonts w:cs="Arial"/>
          <w:sz w:val="20"/>
        </w:rPr>
        <w:t xml:space="preserve">being able to share in the </w:t>
      </w:r>
      <w:r w:rsidR="00863BBF">
        <w:rPr>
          <w:rFonts w:cs="Arial"/>
          <w:sz w:val="20"/>
        </w:rPr>
        <w:t>S</w:t>
      </w:r>
      <w:r w:rsidR="00385949" w:rsidRPr="00385949">
        <w:rPr>
          <w:rFonts w:cs="Arial"/>
          <w:sz w:val="20"/>
        </w:rPr>
        <w:t>urplus of their Consultancy &amp; Commercial Research (CCR) Project in accordance with section 4.5.</w:t>
      </w:r>
    </w:p>
    <w:p w14:paraId="42AA3938" w14:textId="77777777" w:rsidR="00385949" w:rsidRPr="00385949" w:rsidRDefault="00385949" w:rsidP="00A61239">
      <w:pPr>
        <w:numPr>
          <w:ilvl w:val="1"/>
          <w:numId w:val="2"/>
        </w:numPr>
        <w:tabs>
          <w:tab w:val="clear" w:pos="1146"/>
          <w:tab w:val="left" w:pos="1134"/>
        </w:tabs>
        <w:rPr>
          <w:rFonts w:cs="Arial"/>
          <w:b/>
          <w:sz w:val="20"/>
        </w:rPr>
      </w:pPr>
      <w:r w:rsidRPr="00385949">
        <w:rPr>
          <w:rFonts w:cs="Arial"/>
          <w:b/>
          <w:sz w:val="20"/>
        </w:rPr>
        <w:t>Assistance</w:t>
      </w:r>
    </w:p>
    <w:p w14:paraId="42AA3939" w14:textId="77777777" w:rsidR="00385949" w:rsidRPr="00385949" w:rsidRDefault="00385949" w:rsidP="00385949">
      <w:pPr>
        <w:tabs>
          <w:tab w:val="left" w:pos="1134"/>
        </w:tabs>
        <w:ind w:left="1146"/>
        <w:rPr>
          <w:rFonts w:cs="Arial"/>
          <w:sz w:val="20"/>
        </w:rPr>
      </w:pPr>
      <w:r w:rsidRPr="00385949">
        <w:rPr>
          <w:rFonts w:cs="Arial"/>
          <w:sz w:val="20"/>
        </w:rPr>
        <w:t xml:space="preserve">Enquiries in relation to this policy should be directed to Griffith Enterprise. </w:t>
      </w:r>
    </w:p>
    <w:p w14:paraId="42AA393A" w14:textId="24CD9378" w:rsidR="00385949" w:rsidRPr="00385949" w:rsidRDefault="00385949" w:rsidP="00385949">
      <w:pPr>
        <w:tabs>
          <w:tab w:val="left" w:pos="1134"/>
        </w:tabs>
        <w:ind w:left="1146"/>
        <w:rPr>
          <w:rFonts w:cs="Arial"/>
          <w:sz w:val="20"/>
        </w:rPr>
      </w:pPr>
      <w:r w:rsidRPr="00385949">
        <w:rPr>
          <w:rFonts w:cs="Arial"/>
          <w:sz w:val="20"/>
        </w:rPr>
        <w:t xml:space="preserve">Enquiries in relation to </w:t>
      </w:r>
      <w:r w:rsidR="0044222A">
        <w:rPr>
          <w:rFonts w:cs="Arial"/>
          <w:sz w:val="20"/>
        </w:rPr>
        <w:t>P</w:t>
      </w:r>
      <w:r w:rsidRPr="00385949">
        <w:rPr>
          <w:rFonts w:cs="Arial"/>
          <w:sz w:val="20"/>
        </w:rPr>
        <w:t xml:space="preserve">rivate </w:t>
      </w:r>
      <w:r w:rsidR="0044222A">
        <w:rPr>
          <w:rFonts w:cs="Arial"/>
          <w:sz w:val="20"/>
        </w:rPr>
        <w:t>P</w:t>
      </w:r>
      <w:r w:rsidRPr="00385949">
        <w:rPr>
          <w:rFonts w:cs="Arial"/>
          <w:sz w:val="20"/>
        </w:rPr>
        <w:t>ractice activities should be directed to</w:t>
      </w:r>
      <w:r w:rsidR="00863BBF">
        <w:rPr>
          <w:rFonts w:cs="Arial"/>
          <w:sz w:val="20"/>
        </w:rPr>
        <w:t xml:space="preserve"> People and Wellbeing</w:t>
      </w:r>
      <w:r w:rsidRPr="00385949">
        <w:rPr>
          <w:rFonts w:cs="Arial"/>
          <w:sz w:val="20"/>
        </w:rPr>
        <w:t>.</w:t>
      </w:r>
    </w:p>
    <w:p w14:paraId="42AA393B" w14:textId="5AFC23FA" w:rsidR="00385949" w:rsidRPr="00385949" w:rsidRDefault="00385949" w:rsidP="00385949">
      <w:pPr>
        <w:tabs>
          <w:tab w:val="left" w:pos="1134"/>
        </w:tabs>
        <w:ind w:left="1146"/>
        <w:rPr>
          <w:rFonts w:cs="Arial"/>
          <w:sz w:val="20"/>
        </w:rPr>
      </w:pPr>
      <w:r w:rsidRPr="00385949">
        <w:rPr>
          <w:rFonts w:cs="Arial"/>
          <w:sz w:val="20"/>
        </w:rPr>
        <w:t xml:space="preserve">Enquiries in relation to </w:t>
      </w:r>
      <w:r w:rsidR="0044222A">
        <w:rPr>
          <w:rFonts w:cs="Arial"/>
          <w:sz w:val="20"/>
        </w:rPr>
        <w:t>R</w:t>
      </w:r>
      <w:r w:rsidRPr="00385949">
        <w:rPr>
          <w:rFonts w:cs="Arial"/>
          <w:sz w:val="20"/>
        </w:rPr>
        <w:t xml:space="preserve">esearch </w:t>
      </w:r>
      <w:r w:rsidR="0044222A">
        <w:rPr>
          <w:rFonts w:cs="Arial"/>
          <w:sz w:val="20"/>
        </w:rPr>
        <w:t>G</w:t>
      </w:r>
      <w:r w:rsidRPr="00385949">
        <w:rPr>
          <w:rFonts w:cs="Arial"/>
          <w:sz w:val="20"/>
        </w:rPr>
        <w:t>rant activities should be directed to the Office for Research.</w:t>
      </w:r>
    </w:p>
    <w:p w14:paraId="42AA393C" w14:textId="1911E582" w:rsidR="00385949" w:rsidRPr="00385949" w:rsidRDefault="00385949" w:rsidP="00FF2683">
      <w:pPr>
        <w:tabs>
          <w:tab w:val="left" w:pos="1134"/>
        </w:tabs>
        <w:ind w:left="1134"/>
        <w:rPr>
          <w:rFonts w:cs="Arial"/>
          <w:sz w:val="20"/>
        </w:rPr>
      </w:pPr>
      <w:r w:rsidRPr="00385949">
        <w:rPr>
          <w:rFonts w:cs="Arial"/>
          <w:sz w:val="20"/>
        </w:rPr>
        <w:t xml:space="preserve">Griffith Enterprise supports </w:t>
      </w:r>
      <w:r w:rsidR="00E20934">
        <w:rPr>
          <w:rFonts w:cs="Arial"/>
          <w:sz w:val="20"/>
        </w:rPr>
        <w:t>Staff Member</w:t>
      </w:r>
      <w:r w:rsidRPr="00385949">
        <w:rPr>
          <w:rFonts w:cs="Arial"/>
          <w:sz w:val="20"/>
        </w:rPr>
        <w:t>s in relation to their Consultancy &amp; Commercial Research (CCR) Project activities, through:</w:t>
      </w:r>
    </w:p>
    <w:p w14:paraId="42AA393D" w14:textId="4254985C" w:rsidR="00385949" w:rsidRPr="00385949" w:rsidRDefault="00385949" w:rsidP="00FF2683">
      <w:pPr>
        <w:pStyle w:val="ListParagraph"/>
        <w:numPr>
          <w:ilvl w:val="0"/>
          <w:numId w:val="9"/>
        </w:numPr>
        <w:tabs>
          <w:tab w:val="left" w:pos="1843"/>
        </w:tabs>
        <w:ind w:left="1560" w:hanging="426"/>
        <w:rPr>
          <w:rFonts w:cs="Arial"/>
          <w:sz w:val="20"/>
        </w:rPr>
      </w:pPr>
      <w:r w:rsidRPr="00385949">
        <w:rPr>
          <w:rFonts w:cs="Arial"/>
          <w:sz w:val="20"/>
        </w:rPr>
        <w:t xml:space="preserve">Provision of advice and assistance to </w:t>
      </w:r>
      <w:r w:rsidR="00E20934">
        <w:rPr>
          <w:rFonts w:cs="Arial"/>
          <w:sz w:val="20"/>
        </w:rPr>
        <w:t>Staff Member</w:t>
      </w:r>
      <w:r w:rsidRPr="00385949">
        <w:rPr>
          <w:rFonts w:cs="Arial"/>
          <w:sz w:val="20"/>
        </w:rPr>
        <w:t>s seeking to undertake Consultancy &amp; Commercial Research (CCR) Project;</w:t>
      </w:r>
    </w:p>
    <w:p w14:paraId="42AA393E" w14:textId="77777777" w:rsidR="00385949" w:rsidRPr="00385949" w:rsidRDefault="00385949" w:rsidP="00FF2683">
      <w:pPr>
        <w:pStyle w:val="ListParagraph"/>
        <w:numPr>
          <w:ilvl w:val="0"/>
          <w:numId w:val="9"/>
        </w:numPr>
        <w:tabs>
          <w:tab w:val="left" w:pos="1843"/>
        </w:tabs>
        <w:ind w:left="1560" w:hanging="426"/>
        <w:rPr>
          <w:rFonts w:cs="Arial"/>
          <w:sz w:val="20"/>
        </w:rPr>
      </w:pPr>
      <w:r w:rsidRPr="00385949">
        <w:rPr>
          <w:rFonts w:cs="Arial"/>
          <w:sz w:val="20"/>
        </w:rPr>
        <w:t>Assistance in relation to proposal preparation and pricing for Consultancy &amp; Commercial Research (CCR) Project Work;</w:t>
      </w:r>
    </w:p>
    <w:p w14:paraId="42AA393F" w14:textId="27B12958" w:rsidR="00385949" w:rsidRPr="00385949" w:rsidRDefault="00385949" w:rsidP="00FF2683">
      <w:pPr>
        <w:pStyle w:val="ListParagraph"/>
        <w:numPr>
          <w:ilvl w:val="0"/>
          <w:numId w:val="9"/>
        </w:numPr>
        <w:tabs>
          <w:tab w:val="left" w:pos="1843"/>
        </w:tabs>
        <w:ind w:left="1560" w:hanging="426"/>
        <w:rPr>
          <w:rFonts w:cs="Arial"/>
          <w:sz w:val="20"/>
        </w:rPr>
      </w:pPr>
      <w:r w:rsidRPr="00385949">
        <w:rPr>
          <w:rFonts w:cs="Arial"/>
          <w:sz w:val="20"/>
        </w:rPr>
        <w:t xml:space="preserve">The submission of Consultancy &amp; Commercial Research (CCR) Project proposals to </w:t>
      </w:r>
      <w:r w:rsidR="00DF4727">
        <w:rPr>
          <w:rFonts w:cs="Arial"/>
          <w:sz w:val="20"/>
        </w:rPr>
        <w:t>E</w:t>
      </w:r>
      <w:r w:rsidRPr="00385949">
        <w:rPr>
          <w:rFonts w:cs="Arial"/>
          <w:sz w:val="20"/>
        </w:rPr>
        <w:t xml:space="preserve">xternal </w:t>
      </w:r>
      <w:r w:rsidR="00DF4727">
        <w:rPr>
          <w:rFonts w:cs="Arial"/>
          <w:sz w:val="20"/>
        </w:rPr>
        <w:t>O</w:t>
      </w:r>
      <w:r w:rsidRPr="00385949">
        <w:rPr>
          <w:rFonts w:cs="Arial"/>
          <w:sz w:val="20"/>
        </w:rPr>
        <w:t>rganisations;</w:t>
      </w:r>
    </w:p>
    <w:p w14:paraId="42AA3940" w14:textId="052D743C" w:rsidR="00385949" w:rsidRPr="00385949" w:rsidRDefault="00385949" w:rsidP="00FF2683">
      <w:pPr>
        <w:pStyle w:val="ListParagraph"/>
        <w:numPr>
          <w:ilvl w:val="0"/>
          <w:numId w:val="9"/>
        </w:numPr>
        <w:tabs>
          <w:tab w:val="left" w:pos="1843"/>
        </w:tabs>
        <w:ind w:left="1560" w:hanging="426"/>
        <w:rPr>
          <w:rFonts w:cs="Arial"/>
          <w:sz w:val="20"/>
        </w:rPr>
      </w:pPr>
      <w:r w:rsidRPr="00385949">
        <w:rPr>
          <w:rFonts w:cs="Arial"/>
          <w:sz w:val="20"/>
        </w:rPr>
        <w:t xml:space="preserve">Negotiation of the terms of business and </w:t>
      </w:r>
      <w:r w:rsidR="00C434D6">
        <w:rPr>
          <w:rFonts w:cs="Arial"/>
          <w:sz w:val="20"/>
        </w:rPr>
        <w:t>F</w:t>
      </w:r>
      <w:r w:rsidRPr="00385949">
        <w:rPr>
          <w:rFonts w:cs="Arial"/>
          <w:sz w:val="20"/>
        </w:rPr>
        <w:t xml:space="preserve">ormal </w:t>
      </w:r>
      <w:r w:rsidR="00C434D6">
        <w:rPr>
          <w:rFonts w:cs="Arial"/>
          <w:sz w:val="20"/>
        </w:rPr>
        <w:t>W</w:t>
      </w:r>
      <w:r w:rsidRPr="00385949">
        <w:rPr>
          <w:rFonts w:cs="Arial"/>
          <w:sz w:val="20"/>
        </w:rPr>
        <w:t xml:space="preserve">ritten </w:t>
      </w:r>
      <w:r w:rsidR="00C434D6">
        <w:rPr>
          <w:rFonts w:cs="Arial"/>
          <w:sz w:val="20"/>
        </w:rPr>
        <w:t>C</w:t>
      </w:r>
      <w:r w:rsidRPr="00385949">
        <w:rPr>
          <w:rFonts w:cs="Arial"/>
          <w:sz w:val="20"/>
        </w:rPr>
        <w:t>ontracts covering Consultancy &amp; Com</w:t>
      </w:r>
      <w:r w:rsidR="007954CA">
        <w:rPr>
          <w:rFonts w:cs="Arial"/>
          <w:sz w:val="20"/>
        </w:rPr>
        <w:t>mercial Research (CCR) Projects</w:t>
      </w:r>
      <w:r w:rsidRPr="00385949">
        <w:rPr>
          <w:rFonts w:cs="Arial"/>
          <w:sz w:val="20"/>
        </w:rPr>
        <w:t>; and</w:t>
      </w:r>
    </w:p>
    <w:p w14:paraId="42AA3941" w14:textId="77777777" w:rsidR="00385949" w:rsidRPr="00385949" w:rsidRDefault="00385949" w:rsidP="00FF2683">
      <w:pPr>
        <w:pStyle w:val="ListParagraph"/>
        <w:numPr>
          <w:ilvl w:val="0"/>
          <w:numId w:val="9"/>
        </w:numPr>
        <w:tabs>
          <w:tab w:val="left" w:pos="1843"/>
        </w:tabs>
        <w:ind w:left="1560" w:hanging="426"/>
        <w:rPr>
          <w:rFonts w:cs="Arial"/>
          <w:sz w:val="20"/>
        </w:rPr>
      </w:pPr>
      <w:r w:rsidRPr="00385949">
        <w:rPr>
          <w:rFonts w:cs="Arial"/>
          <w:sz w:val="20"/>
        </w:rPr>
        <w:t>Recording and reporting on all Consultancy &amp; Commercial Research (CCR) Project activities.</w:t>
      </w:r>
    </w:p>
    <w:p w14:paraId="42AA3942" w14:textId="55535B42" w:rsidR="00385949" w:rsidRPr="00385949" w:rsidRDefault="00385949" w:rsidP="00FF2683">
      <w:pPr>
        <w:tabs>
          <w:tab w:val="left" w:pos="1134"/>
        </w:tabs>
        <w:ind w:left="1134"/>
        <w:rPr>
          <w:rFonts w:cs="Arial"/>
          <w:sz w:val="20"/>
        </w:rPr>
      </w:pPr>
      <w:r w:rsidRPr="00385949">
        <w:rPr>
          <w:rFonts w:cs="Arial"/>
          <w:sz w:val="20"/>
        </w:rPr>
        <w:t xml:space="preserve">Griffith Enterprise advises the </w:t>
      </w:r>
      <w:r w:rsidR="00D057B7">
        <w:rPr>
          <w:rFonts w:cs="Arial"/>
          <w:sz w:val="20"/>
        </w:rPr>
        <w:t>Provost</w:t>
      </w:r>
      <w:r w:rsidRPr="00385949">
        <w:rPr>
          <w:rFonts w:cs="Arial"/>
          <w:sz w:val="20"/>
        </w:rPr>
        <w:t xml:space="preserve"> in relation to the content and application of this policy. </w:t>
      </w:r>
      <w:r w:rsidR="006129BF">
        <w:rPr>
          <w:rFonts w:cs="Arial"/>
          <w:sz w:val="20"/>
        </w:rPr>
        <w:t xml:space="preserve"> </w:t>
      </w:r>
      <w:r w:rsidRPr="00385949">
        <w:rPr>
          <w:rFonts w:cs="Arial"/>
          <w:sz w:val="20"/>
        </w:rPr>
        <w:t xml:space="preserve">The </w:t>
      </w:r>
      <w:r w:rsidR="00D057B7">
        <w:rPr>
          <w:rFonts w:cs="Arial"/>
          <w:sz w:val="20"/>
        </w:rPr>
        <w:t>Provost</w:t>
      </w:r>
      <w:r w:rsidRPr="00385949">
        <w:rPr>
          <w:rFonts w:cs="Arial"/>
          <w:sz w:val="20"/>
        </w:rPr>
        <w:t xml:space="preserve"> may from time to time determine whether </w:t>
      </w:r>
      <w:r w:rsidR="00C434D6">
        <w:rPr>
          <w:rFonts w:cs="Arial"/>
          <w:sz w:val="20"/>
        </w:rPr>
        <w:t>L</w:t>
      </w:r>
      <w:r w:rsidRPr="00385949">
        <w:rPr>
          <w:rFonts w:cs="Arial"/>
          <w:sz w:val="20"/>
        </w:rPr>
        <w:t xml:space="preserve">arge </w:t>
      </w:r>
      <w:r w:rsidR="00C434D6">
        <w:rPr>
          <w:rFonts w:cs="Arial"/>
          <w:sz w:val="20"/>
        </w:rPr>
        <w:t>P</w:t>
      </w:r>
      <w:r w:rsidRPr="00385949">
        <w:rPr>
          <w:rFonts w:cs="Arial"/>
          <w:sz w:val="20"/>
        </w:rPr>
        <w:t xml:space="preserve">rojects over a certain value are required to be submitted to the </w:t>
      </w:r>
      <w:r w:rsidR="00DF4727">
        <w:rPr>
          <w:rFonts w:cs="Arial"/>
          <w:sz w:val="20"/>
        </w:rPr>
        <w:t>E</w:t>
      </w:r>
      <w:r w:rsidRPr="00385949">
        <w:rPr>
          <w:rFonts w:cs="Arial"/>
          <w:sz w:val="20"/>
        </w:rPr>
        <w:t xml:space="preserve">xternal </w:t>
      </w:r>
      <w:r w:rsidR="00DF4727">
        <w:rPr>
          <w:rFonts w:cs="Arial"/>
          <w:sz w:val="20"/>
        </w:rPr>
        <w:t>O</w:t>
      </w:r>
      <w:r w:rsidRPr="00385949">
        <w:rPr>
          <w:rFonts w:cs="Arial"/>
          <w:sz w:val="20"/>
        </w:rPr>
        <w:t>rganisation through Griffith Enterprise.</w:t>
      </w:r>
    </w:p>
    <w:p w14:paraId="27D79183" w14:textId="5A15C44F" w:rsidR="00B33DC3" w:rsidRDefault="00385949" w:rsidP="00FF2683">
      <w:pPr>
        <w:tabs>
          <w:tab w:val="left" w:pos="1134"/>
        </w:tabs>
        <w:ind w:left="1134"/>
        <w:rPr>
          <w:rFonts w:cs="Arial"/>
          <w:sz w:val="20"/>
        </w:rPr>
      </w:pPr>
      <w:r w:rsidRPr="00385949">
        <w:rPr>
          <w:rFonts w:cs="Arial"/>
          <w:sz w:val="20"/>
        </w:rPr>
        <w:t xml:space="preserve">Griffith Enterprise, the Office for Research, and </w:t>
      </w:r>
      <w:r w:rsidR="00863BBF">
        <w:rPr>
          <w:rFonts w:cs="Arial"/>
          <w:sz w:val="20"/>
        </w:rPr>
        <w:t xml:space="preserve">People and Wellbeing </w:t>
      </w:r>
      <w:r w:rsidRPr="00385949">
        <w:rPr>
          <w:rFonts w:cs="Arial"/>
          <w:sz w:val="20"/>
        </w:rPr>
        <w:t>should be consulted and will confer in order to determine and advise the status of proposals where the classification of proposal type is not immediately clear.</w:t>
      </w:r>
    </w:p>
    <w:p w14:paraId="42AA3943" w14:textId="25D6076A" w:rsidR="00B34D13" w:rsidRPr="00385949" w:rsidRDefault="000C3679" w:rsidP="00B33DC3">
      <w:pPr>
        <w:tabs>
          <w:tab w:val="left" w:pos="1134"/>
        </w:tabs>
        <w:ind w:left="0"/>
        <w:rPr>
          <w:rFonts w:cs="Arial"/>
          <w:sz w:val="20"/>
        </w:rPr>
      </w:pPr>
      <w:r>
        <w:rPr>
          <w:rFonts w:cs="Arial"/>
          <w:sz w:val="20"/>
        </w:rPr>
        <w:pict w14:anchorId="6032D26A">
          <v:rect id="_x0000_i1025" style="width:476.25pt;height:1pt" o:hralign="center" o:hrstd="t" o:hrnoshade="t" o:hr="t" fillcolor="#d8d8d8 [2732]" stroked="f"/>
        </w:pict>
      </w:r>
    </w:p>
    <w:p w14:paraId="42AA3944" w14:textId="77777777" w:rsidR="00B35FB8" w:rsidRPr="00B34D13" w:rsidRDefault="00385949" w:rsidP="00A61239">
      <w:pPr>
        <w:numPr>
          <w:ilvl w:val="0"/>
          <w:numId w:val="2"/>
        </w:numPr>
        <w:spacing w:before="100" w:beforeAutospacing="1" w:after="240"/>
        <w:rPr>
          <w:rFonts w:cs="Arial"/>
          <w:b/>
          <w:caps/>
          <w:sz w:val="24"/>
          <w:szCs w:val="24"/>
        </w:rPr>
      </w:pPr>
      <w:bookmarkStart w:id="1" w:name="terminology"/>
      <w:bookmarkEnd w:id="1"/>
      <w:r w:rsidRPr="00385949">
        <w:rPr>
          <w:b/>
          <w:caps/>
          <w:sz w:val="24"/>
          <w:szCs w:val="24"/>
        </w:rPr>
        <w:t>Terminology</w:t>
      </w:r>
    </w:p>
    <w:p w14:paraId="42AA3945" w14:textId="77777777" w:rsidR="00431ED9" w:rsidRDefault="00385949" w:rsidP="002A6AA2">
      <w:pPr>
        <w:rPr>
          <w:rFonts w:cs="Arial"/>
          <w:sz w:val="20"/>
        </w:rPr>
      </w:pPr>
      <w:r w:rsidRPr="00385949">
        <w:rPr>
          <w:rFonts w:cs="Arial"/>
          <w:sz w:val="20"/>
        </w:rPr>
        <w:t>In this policy the following words have the following meanings.</w:t>
      </w:r>
    </w:p>
    <w:p w14:paraId="42AA3946" w14:textId="4BB196C9" w:rsidR="00385949" w:rsidRPr="00385949" w:rsidRDefault="00385949" w:rsidP="00385949">
      <w:pPr>
        <w:rPr>
          <w:rFonts w:cs="Arial"/>
          <w:sz w:val="20"/>
        </w:rPr>
      </w:pPr>
      <w:r w:rsidRPr="00385949">
        <w:rPr>
          <w:rFonts w:cs="Arial"/>
          <w:b/>
          <w:sz w:val="20"/>
        </w:rPr>
        <w:t>BACKGROUND INTELLECTUAL PROPERTY</w:t>
      </w:r>
      <w:r w:rsidRPr="00385949">
        <w:rPr>
          <w:rFonts w:cs="Arial"/>
          <w:sz w:val="20"/>
        </w:rPr>
        <w:t xml:space="preserve"> means pre-existing intellectual property that the University's </w:t>
      </w:r>
      <w:r w:rsidR="00E20934">
        <w:rPr>
          <w:rFonts w:cs="Arial"/>
          <w:sz w:val="20"/>
        </w:rPr>
        <w:t>Staff Member</w:t>
      </w:r>
      <w:r w:rsidRPr="00385949">
        <w:rPr>
          <w:rFonts w:cs="Arial"/>
          <w:sz w:val="20"/>
        </w:rPr>
        <w:t xml:space="preserve"> requires for the Consultancy &amp; Commercial Research (CCR) Project.</w:t>
      </w:r>
    </w:p>
    <w:p w14:paraId="063FB448" w14:textId="0FF1BFEF" w:rsidR="006D7DEA" w:rsidRDefault="006D7DEA" w:rsidP="006D7DEA">
      <w:pPr>
        <w:rPr>
          <w:rFonts w:cs="Arial"/>
          <w:b/>
          <w:sz w:val="20"/>
        </w:rPr>
      </w:pPr>
      <w:r>
        <w:rPr>
          <w:rFonts w:cs="Arial"/>
          <w:b/>
          <w:sz w:val="20"/>
        </w:rPr>
        <w:t xml:space="preserve">CCR BUDGET BREAKDOWN </w:t>
      </w:r>
      <w:r w:rsidRPr="00810BD8">
        <w:rPr>
          <w:rFonts w:cs="Arial"/>
          <w:sz w:val="20"/>
        </w:rPr>
        <w:t xml:space="preserve">means the </w:t>
      </w:r>
      <w:r w:rsidR="006615CA">
        <w:rPr>
          <w:rFonts w:cs="Arial"/>
          <w:sz w:val="20"/>
        </w:rPr>
        <w:t xml:space="preserve">Excel </w:t>
      </w:r>
      <w:r w:rsidRPr="00810BD8">
        <w:rPr>
          <w:rFonts w:cs="Arial"/>
          <w:sz w:val="20"/>
        </w:rPr>
        <w:t xml:space="preserve">worksheet </w:t>
      </w:r>
      <w:r w:rsidR="006615CA">
        <w:rPr>
          <w:rFonts w:cs="Arial"/>
          <w:sz w:val="20"/>
        </w:rPr>
        <w:t xml:space="preserve">the University has developed </w:t>
      </w:r>
      <w:r w:rsidR="00414F6F" w:rsidRPr="00810BD8">
        <w:rPr>
          <w:rFonts w:cs="Arial"/>
          <w:sz w:val="20"/>
        </w:rPr>
        <w:t>to calculate the required project budget for CCR Project Work</w:t>
      </w:r>
      <w:r w:rsidR="006615CA">
        <w:rPr>
          <w:rFonts w:cs="Arial"/>
          <w:sz w:val="20"/>
        </w:rPr>
        <w:t>, which is accessible from the University website</w:t>
      </w:r>
      <w:r w:rsidR="00414F6F" w:rsidRPr="00810BD8">
        <w:rPr>
          <w:rFonts w:cs="Arial"/>
          <w:sz w:val="20"/>
        </w:rPr>
        <w:t xml:space="preserve">. </w:t>
      </w:r>
      <w:r w:rsidRPr="00810BD8">
        <w:rPr>
          <w:rFonts w:cs="Arial"/>
          <w:sz w:val="20"/>
        </w:rPr>
        <w:t>The CCR Budget Breakd</w:t>
      </w:r>
      <w:r w:rsidR="00AF32A2" w:rsidRPr="00810BD8">
        <w:rPr>
          <w:rFonts w:cs="Arial"/>
          <w:sz w:val="20"/>
        </w:rPr>
        <w:t>own must accompany a completed</w:t>
      </w:r>
      <w:r w:rsidRPr="00810BD8">
        <w:rPr>
          <w:rFonts w:cs="Arial"/>
          <w:sz w:val="20"/>
        </w:rPr>
        <w:t xml:space="preserve"> CCR Project Covers</w:t>
      </w:r>
      <w:r w:rsidR="00E17EAE">
        <w:rPr>
          <w:rFonts w:cs="Arial"/>
          <w:sz w:val="20"/>
        </w:rPr>
        <w:t xml:space="preserve">heet for all CCR Project Work </w:t>
      </w:r>
      <w:r w:rsidR="00785843" w:rsidRPr="00785843">
        <w:rPr>
          <w:rFonts w:cs="Arial"/>
          <w:sz w:val="20"/>
        </w:rPr>
        <w:t>greater than</w:t>
      </w:r>
      <w:r w:rsidRPr="00810BD8">
        <w:rPr>
          <w:rFonts w:cs="Arial"/>
          <w:sz w:val="20"/>
        </w:rPr>
        <w:t xml:space="preserve"> $</w:t>
      </w:r>
      <w:r w:rsidR="009F71B2">
        <w:rPr>
          <w:rFonts w:cs="Arial"/>
          <w:sz w:val="20"/>
        </w:rPr>
        <w:t>100</w:t>
      </w:r>
      <w:r w:rsidRPr="00810BD8">
        <w:rPr>
          <w:rFonts w:cs="Arial"/>
          <w:sz w:val="20"/>
        </w:rPr>
        <w:t xml:space="preserve">,000 </w:t>
      </w:r>
      <w:r w:rsidR="00E17EAE">
        <w:rPr>
          <w:rFonts w:cs="Arial"/>
          <w:sz w:val="20"/>
        </w:rPr>
        <w:t>(</w:t>
      </w:r>
      <w:r w:rsidR="00E17EAE" w:rsidRPr="00E17EAE">
        <w:rPr>
          <w:rFonts w:cs="Arial"/>
          <w:sz w:val="20"/>
        </w:rPr>
        <w:t>excluding GST</w:t>
      </w:r>
      <w:r w:rsidR="00E17EAE">
        <w:rPr>
          <w:rFonts w:cs="Arial"/>
          <w:sz w:val="20"/>
        </w:rPr>
        <w:t>)</w:t>
      </w:r>
      <w:r w:rsidRPr="00810BD8">
        <w:rPr>
          <w:rFonts w:cs="Arial"/>
          <w:sz w:val="20"/>
        </w:rPr>
        <w:t>.</w:t>
      </w:r>
      <w:r w:rsidR="006615CA">
        <w:rPr>
          <w:rFonts w:cs="Arial"/>
          <w:sz w:val="20"/>
        </w:rPr>
        <w:t xml:space="preserve">  </w:t>
      </w:r>
    </w:p>
    <w:p w14:paraId="42AA3947" w14:textId="1018FCF8" w:rsidR="00385949" w:rsidRPr="00385949" w:rsidRDefault="00385949" w:rsidP="00385949">
      <w:pPr>
        <w:rPr>
          <w:rFonts w:cs="Arial"/>
          <w:sz w:val="20"/>
        </w:rPr>
      </w:pPr>
      <w:r w:rsidRPr="00385949">
        <w:rPr>
          <w:rFonts w:cs="Arial"/>
          <w:b/>
          <w:sz w:val="20"/>
        </w:rPr>
        <w:t xml:space="preserve">CCR PROJECT </w:t>
      </w:r>
      <w:r w:rsidR="00A32830">
        <w:rPr>
          <w:rFonts w:cs="Arial"/>
          <w:b/>
          <w:sz w:val="20"/>
        </w:rPr>
        <w:t>COVERSHEET</w:t>
      </w:r>
      <w:r w:rsidRPr="00385949">
        <w:rPr>
          <w:rFonts w:cs="Arial"/>
          <w:sz w:val="20"/>
        </w:rPr>
        <w:t xml:space="preserve"> means the document</w:t>
      </w:r>
      <w:r w:rsidR="00A32830">
        <w:rPr>
          <w:rFonts w:cs="Arial"/>
          <w:sz w:val="20"/>
        </w:rPr>
        <w:t>s</w:t>
      </w:r>
      <w:r w:rsidRPr="00385949">
        <w:rPr>
          <w:rFonts w:cs="Arial"/>
          <w:sz w:val="20"/>
        </w:rPr>
        <w:t xml:space="preserve"> for costing and approval of Consultancy &amp; Commercial Research (CCR) Projects</w:t>
      </w:r>
      <w:r w:rsidR="006129BF">
        <w:rPr>
          <w:rFonts w:cs="Arial"/>
          <w:sz w:val="20"/>
        </w:rPr>
        <w:t>, which are accessible from the University website</w:t>
      </w:r>
      <w:r w:rsidRPr="00385949">
        <w:rPr>
          <w:rFonts w:cs="Arial"/>
          <w:sz w:val="20"/>
        </w:rPr>
        <w:t>.</w:t>
      </w:r>
      <w:r w:rsidR="0039340D">
        <w:rPr>
          <w:rFonts w:cs="Arial"/>
          <w:sz w:val="20"/>
        </w:rPr>
        <w:t xml:space="preserve"> </w:t>
      </w:r>
      <w:r w:rsidR="006129BF">
        <w:rPr>
          <w:rFonts w:cs="Arial"/>
          <w:sz w:val="20"/>
        </w:rPr>
        <w:t xml:space="preserve"> </w:t>
      </w:r>
      <w:r w:rsidR="0039340D">
        <w:rPr>
          <w:rFonts w:cs="Arial"/>
          <w:sz w:val="20"/>
        </w:rPr>
        <w:t xml:space="preserve">There are two </w:t>
      </w:r>
      <w:r w:rsidR="00A32830">
        <w:rPr>
          <w:rFonts w:cs="Arial"/>
          <w:sz w:val="20"/>
        </w:rPr>
        <w:t>coversheets</w:t>
      </w:r>
      <w:r w:rsidR="0039340D">
        <w:rPr>
          <w:rFonts w:cs="Arial"/>
          <w:sz w:val="20"/>
        </w:rPr>
        <w:t xml:space="preserve">: (1) for </w:t>
      </w:r>
      <w:r w:rsidR="00CF0F86">
        <w:rPr>
          <w:rFonts w:cs="Arial"/>
          <w:sz w:val="20"/>
        </w:rPr>
        <w:t xml:space="preserve">CCR Project Work </w:t>
      </w:r>
      <w:r w:rsidR="0039340D">
        <w:rPr>
          <w:rFonts w:cs="Arial"/>
          <w:sz w:val="20"/>
        </w:rPr>
        <w:t xml:space="preserve">valued </w:t>
      </w:r>
      <w:r w:rsidR="002B305A">
        <w:rPr>
          <w:rFonts w:cs="Arial"/>
          <w:sz w:val="20"/>
        </w:rPr>
        <w:t xml:space="preserve">up </w:t>
      </w:r>
      <w:r w:rsidR="00737424">
        <w:rPr>
          <w:rFonts w:cs="Arial"/>
          <w:sz w:val="20"/>
        </w:rPr>
        <w:t xml:space="preserve">to </w:t>
      </w:r>
      <w:r w:rsidR="002B305A">
        <w:rPr>
          <w:rFonts w:cs="Arial"/>
          <w:sz w:val="20"/>
        </w:rPr>
        <w:t xml:space="preserve">and including </w:t>
      </w:r>
      <w:r w:rsidR="00737424">
        <w:rPr>
          <w:rFonts w:cs="Arial"/>
          <w:sz w:val="20"/>
        </w:rPr>
        <w:t>$</w:t>
      </w:r>
      <w:r w:rsidR="009F71B2">
        <w:rPr>
          <w:rFonts w:cs="Arial"/>
          <w:sz w:val="20"/>
        </w:rPr>
        <w:t>100</w:t>
      </w:r>
      <w:r w:rsidR="0039340D">
        <w:rPr>
          <w:rFonts w:cs="Arial"/>
          <w:sz w:val="20"/>
        </w:rPr>
        <w:t xml:space="preserve">,000 </w:t>
      </w:r>
      <w:r w:rsidR="00E17EAE">
        <w:rPr>
          <w:rFonts w:cs="Arial"/>
          <w:sz w:val="20"/>
        </w:rPr>
        <w:t>(</w:t>
      </w:r>
      <w:r w:rsidR="0039340D">
        <w:rPr>
          <w:rFonts w:cs="Arial"/>
          <w:sz w:val="20"/>
        </w:rPr>
        <w:t>excluding GST</w:t>
      </w:r>
      <w:r w:rsidR="00E17EAE">
        <w:rPr>
          <w:rFonts w:cs="Arial"/>
          <w:sz w:val="20"/>
        </w:rPr>
        <w:t>)</w:t>
      </w:r>
      <w:r w:rsidR="0039340D">
        <w:rPr>
          <w:rFonts w:cs="Arial"/>
          <w:sz w:val="20"/>
        </w:rPr>
        <w:t xml:space="preserve">, and (2) for </w:t>
      </w:r>
      <w:r w:rsidR="00CF0F86">
        <w:rPr>
          <w:rFonts w:cs="Arial"/>
          <w:sz w:val="20"/>
        </w:rPr>
        <w:t>CCR P</w:t>
      </w:r>
      <w:r w:rsidR="0039340D">
        <w:rPr>
          <w:rFonts w:cs="Arial"/>
          <w:sz w:val="20"/>
        </w:rPr>
        <w:t>roject</w:t>
      </w:r>
      <w:r w:rsidR="00CF0F86">
        <w:rPr>
          <w:rFonts w:cs="Arial"/>
          <w:sz w:val="20"/>
        </w:rPr>
        <w:t xml:space="preserve"> Work </w:t>
      </w:r>
      <w:r w:rsidR="0039340D">
        <w:rPr>
          <w:rFonts w:cs="Arial"/>
          <w:sz w:val="20"/>
        </w:rPr>
        <w:t xml:space="preserve">valued </w:t>
      </w:r>
      <w:r w:rsidR="00737424">
        <w:rPr>
          <w:rFonts w:cs="Arial"/>
          <w:sz w:val="20"/>
        </w:rPr>
        <w:t>at greater than $</w:t>
      </w:r>
      <w:r w:rsidR="009F71B2">
        <w:rPr>
          <w:rFonts w:cs="Arial"/>
          <w:sz w:val="20"/>
        </w:rPr>
        <w:t>100</w:t>
      </w:r>
      <w:r w:rsidR="0039340D">
        <w:rPr>
          <w:rFonts w:cs="Arial"/>
          <w:sz w:val="20"/>
        </w:rPr>
        <w:t xml:space="preserve">,000 </w:t>
      </w:r>
      <w:r w:rsidR="00E17EAE">
        <w:rPr>
          <w:rFonts w:cs="Arial"/>
          <w:sz w:val="20"/>
        </w:rPr>
        <w:t>(</w:t>
      </w:r>
      <w:r w:rsidR="0039340D">
        <w:rPr>
          <w:rFonts w:cs="Arial"/>
          <w:sz w:val="20"/>
        </w:rPr>
        <w:t>excluding GST</w:t>
      </w:r>
      <w:r w:rsidR="00E17EAE">
        <w:rPr>
          <w:rFonts w:cs="Arial"/>
          <w:sz w:val="20"/>
        </w:rPr>
        <w:t>)</w:t>
      </w:r>
      <w:r w:rsidR="0039340D">
        <w:rPr>
          <w:rFonts w:cs="Arial"/>
          <w:sz w:val="20"/>
        </w:rPr>
        <w:t>.</w:t>
      </w:r>
    </w:p>
    <w:p w14:paraId="42AA3948" w14:textId="5D800351" w:rsidR="00385949" w:rsidRPr="00385949" w:rsidRDefault="00385949" w:rsidP="00385949">
      <w:pPr>
        <w:rPr>
          <w:rFonts w:cs="Arial"/>
          <w:sz w:val="20"/>
        </w:rPr>
      </w:pPr>
      <w:r w:rsidRPr="00385949">
        <w:rPr>
          <w:rFonts w:cs="Arial"/>
          <w:b/>
          <w:sz w:val="20"/>
        </w:rPr>
        <w:t>CCR PROJECT WORK</w:t>
      </w:r>
      <w:r w:rsidRPr="00385949">
        <w:rPr>
          <w:rFonts w:cs="Arial"/>
          <w:sz w:val="20"/>
        </w:rPr>
        <w:t xml:space="preserve"> means the work conducted by a </w:t>
      </w:r>
      <w:r w:rsidR="00E20934">
        <w:rPr>
          <w:rFonts w:cs="Arial"/>
          <w:sz w:val="20"/>
        </w:rPr>
        <w:t>Staff Member</w:t>
      </w:r>
      <w:r w:rsidRPr="00385949">
        <w:rPr>
          <w:rFonts w:cs="Arial"/>
          <w:sz w:val="20"/>
        </w:rPr>
        <w:t xml:space="preserve"> for an </w:t>
      </w:r>
      <w:r w:rsidR="00DF4727">
        <w:rPr>
          <w:rFonts w:cs="Arial"/>
          <w:sz w:val="20"/>
        </w:rPr>
        <w:t>E</w:t>
      </w:r>
      <w:r w:rsidRPr="00385949">
        <w:rPr>
          <w:rFonts w:cs="Arial"/>
          <w:sz w:val="20"/>
        </w:rPr>
        <w:t xml:space="preserve">xternal </w:t>
      </w:r>
      <w:r w:rsidR="00DF4727">
        <w:rPr>
          <w:rFonts w:cs="Arial"/>
          <w:sz w:val="20"/>
        </w:rPr>
        <w:t>O</w:t>
      </w:r>
      <w:r w:rsidRPr="00385949">
        <w:rPr>
          <w:rFonts w:cs="Arial"/>
          <w:sz w:val="20"/>
        </w:rPr>
        <w:t xml:space="preserve">rganisation where the </w:t>
      </w:r>
      <w:r w:rsidR="00DF4727">
        <w:rPr>
          <w:rFonts w:cs="Arial"/>
          <w:sz w:val="20"/>
        </w:rPr>
        <w:t>E</w:t>
      </w:r>
      <w:r w:rsidRPr="00385949">
        <w:rPr>
          <w:rFonts w:cs="Arial"/>
          <w:sz w:val="20"/>
        </w:rPr>
        <w:t xml:space="preserve">xternal </w:t>
      </w:r>
      <w:r w:rsidR="00DF4727">
        <w:rPr>
          <w:rFonts w:cs="Arial"/>
          <w:sz w:val="20"/>
        </w:rPr>
        <w:t>O</w:t>
      </w:r>
      <w:r w:rsidRPr="00385949">
        <w:rPr>
          <w:rFonts w:cs="Arial"/>
          <w:sz w:val="20"/>
        </w:rPr>
        <w:t>rganisation provides funding (whether cash or in-kind) to conduct that work.</w:t>
      </w:r>
      <w:r w:rsidR="006129BF">
        <w:rPr>
          <w:rFonts w:cs="Arial"/>
          <w:sz w:val="20"/>
        </w:rPr>
        <w:t xml:space="preserve"> </w:t>
      </w:r>
      <w:r w:rsidRPr="00385949">
        <w:rPr>
          <w:rFonts w:cs="Arial"/>
          <w:sz w:val="20"/>
        </w:rPr>
        <w:t xml:space="preserve"> Consultancy &amp; Commercial Research (CCR) Project has a corresponding meaning. </w:t>
      </w:r>
      <w:r w:rsidR="006129BF">
        <w:rPr>
          <w:rFonts w:cs="Arial"/>
          <w:sz w:val="20"/>
        </w:rPr>
        <w:t xml:space="preserve"> </w:t>
      </w:r>
      <w:r w:rsidRPr="00385949">
        <w:rPr>
          <w:rFonts w:cs="Arial"/>
          <w:sz w:val="20"/>
        </w:rPr>
        <w:t xml:space="preserve">Consultancy &amp; Commercial Research (CCR) Project Work excludes </w:t>
      </w:r>
      <w:r w:rsidR="0044222A">
        <w:rPr>
          <w:rFonts w:cs="Arial"/>
          <w:sz w:val="20"/>
        </w:rPr>
        <w:t>P</w:t>
      </w:r>
      <w:r w:rsidRPr="00385949">
        <w:rPr>
          <w:rFonts w:cs="Arial"/>
          <w:sz w:val="20"/>
        </w:rPr>
        <w:t xml:space="preserve">rivate </w:t>
      </w:r>
      <w:r w:rsidR="0044222A">
        <w:rPr>
          <w:rFonts w:cs="Arial"/>
          <w:sz w:val="20"/>
        </w:rPr>
        <w:t>P</w:t>
      </w:r>
      <w:r w:rsidRPr="00385949">
        <w:rPr>
          <w:rFonts w:cs="Arial"/>
          <w:sz w:val="20"/>
        </w:rPr>
        <w:t>ractice, and Research Grants.</w:t>
      </w:r>
    </w:p>
    <w:p w14:paraId="42AA3949" w14:textId="77777777" w:rsidR="00385949" w:rsidRPr="00385949" w:rsidRDefault="00385949" w:rsidP="00385949">
      <w:pPr>
        <w:rPr>
          <w:rFonts w:cs="Arial"/>
          <w:sz w:val="20"/>
        </w:rPr>
      </w:pPr>
      <w:r w:rsidRPr="00385949">
        <w:rPr>
          <w:rFonts w:cs="Arial"/>
          <w:b/>
          <w:sz w:val="20"/>
        </w:rPr>
        <w:t>EXEMPT PROJECTS</w:t>
      </w:r>
      <w:r w:rsidRPr="00385949">
        <w:rPr>
          <w:rFonts w:cs="Arial"/>
          <w:sz w:val="20"/>
        </w:rPr>
        <w:t xml:space="preserve"> means the activities listed at Section 6.</w:t>
      </w:r>
    </w:p>
    <w:p w14:paraId="42AA394A" w14:textId="77777777" w:rsidR="00385949" w:rsidRPr="00385949" w:rsidRDefault="00385949" w:rsidP="00385949">
      <w:pPr>
        <w:rPr>
          <w:rFonts w:cs="Arial"/>
          <w:sz w:val="20"/>
        </w:rPr>
      </w:pPr>
      <w:r w:rsidRPr="00385949">
        <w:rPr>
          <w:rFonts w:cs="Arial"/>
          <w:b/>
          <w:sz w:val="20"/>
        </w:rPr>
        <w:t>EXTERNAL ORGANISATION</w:t>
      </w:r>
      <w:r w:rsidRPr="00385949">
        <w:rPr>
          <w:rFonts w:cs="Arial"/>
          <w:sz w:val="20"/>
        </w:rPr>
        <w:t xml:space="preserve"> means a legal entity other than the University.</w:t>
      </w:r>
    </w:p>
    <w:p w14:paraId="42AA394B" w14:textId="576FDAA2" w:rsidR="00385949" w:rsidRPr="00385949" w:rsidRDefault="00385949" w:rsidP="00385949">
      <w:pPr>
        <w:rPr>
          <w:rFonts w:cs="Arial"/>
          <w:sz w:val="20"/>
        </w:rPr>
      </w:pPr>
      <w:r w:rsidRPr="00385949">
        <w:rPr>
          <w:rFonts w:cs="Arial"/>
          <w:b/>
          <w:sz w:val="20"/>
        </w:rPr>
        <w:lastRenderedPageBreak/>
        <w:t>FORMAL WRITTEN CONTRACT</w:t>
      </w:r>
      <w:r w:rsidRPr="00385949">
        <w:rPr>
          <w:rFonts w:cs="Arial"/>
          <w:sz w:val="20"/>
        </w:rPr>
        <w:t xml:space="preserve"> means a </w:t>
      </w:r>
      <w:r w:rsidR="00C434D6">
        <w:rPr>
          <w:rFonts w:cs="Arial"/>
          <w:sz w:val="20"/>
        </w:rPr>
        <w:t>S</w:t>
      </w:r>
      <w:r w:rsidRPr="00385949">
        <w:rPr>
          <w:rFonts w:cs="Arial"/>
          <w:sz w:val="20"/>
        </w:rPr>
        <w:t xml:space="preserve">tandard </w:t>
      </w:r>
      <w:r w:rsidR="00C434D6">
        <w:rPr>
          <w:rFonts w:cs="Arial"/>
          <w:sz w:val="20"/>
        </w:rPr>
        <w:t>C</w:t>
      </w:r>
      <w:r w:rsidRPr="00385949">
        <w:rPr>
          <w:rFonts w:cs="Arial"/>
          <w:sz w:val="20"/>
        </w:rPr>
        <w:t xml:space="preserve">ontract or a </w:t>
      </w:r>
      <w:r w:rsidR="00C434D6">
        <w:rPr>
          <w:rFonts w:cs="Arial"/>
          <w:sz w:val="20"/>
        </w:rPr>
        <w:t>N</w:t>
      </w:r>
      <w:r w:rsidRPr="00385949">
        <w:rPr>
          <w:rFonts w:cs="Arial"/>
          <w:sz w:val="20"/>
        </w:rPr>
        <w:t>on</w:t>
      </w:r>
      <w:r w:rsidR="007954CA">
        <w:rPr>
          <w:rFonts w:cs="Arial"/>
          <w:sz w:val="20"/>
        </w:rPr>
        <w:t>-</w:t>
      </w:r>
      <w:r w:rsidR="00C434D6">
        <w:rPr>
          <w:rFonts w:cs="Arial"/>
          <w:sz w:val="20"/>
        </w:rPr>
        <w:t>S</w:t>
      </w:r>
      <w:r w:rsidRPr="00385949">
        <w:rPr>
          <w:rFonts w:cs="Arial"/>
          <w:sz w:val="20"/>
        </w:rPr>
        <w:t xml:space="preserve">tandard </w:t>
      </w:r>
      <w:r w:rsidR="00C434D6">
        <w:rPr>
          <w:rFonts w:cs="Arial"/>
          <w:sz w:val="20"/>
        </w:rPr>
        <w:t>C</w:t>
      </w:r>
      <w:r w:rsidRPr="00385949">
        <w:rPr>
          <w:rFonts w:cs="Arial"/>
          <w:sz w:val="20"/>
        </w:rPr>
        <w:t xml:space="preserve">ontract between the University and an </w:t>
      </w:r>
      <w:r w:rsidR="00DF4727">
        <w:rPr>
          <w:rFonts w:cs="Arial"/>
          <w:sz w:val="20"/>
        </w:rPr>
        <w:t>E</w:t>
      </w:r>
      <w:r w:rsidRPr="00385949">
        <w:rPr>
          <w:rFonts w:cs="Arial"/>
          <w:sz w:val="20"/>
        </w:rPr>
        <w:t xml:space="preserve">xternal </w:t>
      </w:r>
      <w:r w:rsidR="00DF4727">
        <w:rPr>
          <w:rFonts w:cs="Arial"/>
          <w:sz w:val="20"/>
        </w:rPr>
        <w:t>O</w:t>
      </w:r>
      <w:r w:rsidRPr="00385949">
        <w:rPr>
          <w:rFonts w:cs="Arial"/>
          <w:sz w:val="20"/>
        </w:rPr>
        <w:t>rganisation.</w:t>
      </w:r>
    </w:p>
    <w:p w14:paraId="42AA394C" w14:textId="77777777" w:rsidR="00385949" w:rsidRPr="00385949" w:rsidRDefault="00385949" w:rsidP="00385949">
      <w:pPr>
        <w:rPr>
          <w:rFonts w:cs="Arial"/>
          <w:sz w:val="20"/>
        </w:rPr>
      </w:pPr>
      <w:r w:rsidRPr="00385949">
        <w:rPr>
          <w:rFonts w:cs="Arial"/>
          <w:b/>
          <w:sz w:val="20"/>
        </w:rPr>
        <w:t>GST</w:t>
      </w:r>
      <w:r w:rsidRPr="00385949">
        <w:rPr>
          <w:rFonts w:cs="Arial"/>
          <w:sz w:val="20"/>
        </w:rPr>
        <w:t xml:space="preserve"> means any tax or increase in a tax imposed on the supply of goods and services imposed or assessed under A New Tax System (Goods and Services Tax) Act 1999 and all ancillary legislation.</w:t>
      </w:r>
    </w:p>
    <w:p w14:paraId="42AA394D" w14:textId="6E5E36CA" w:rsidR="00385949" w:rsidRPr="00385949" w:rsidRDefault="00385949" w:rsidP="00385949">
      <w:pPr>
        <w:rPr>
          <w:rFonts w:cs="Arial"/>
          <w:sz w:val="20"/>
        </w:rPr>
      </w:pPr>
      <w:r w:rsidRPr="00385949">
        <w:rPr>
          <w:rFonts w:cs="Arial"/>
          <w:b/>
          <w:sz w:val="20"/>
        </w:rPr>
        <w:t>HOST ELEMENT</w:t>
      </w:r>
      <w:r w:rsidRPr="00385949">
        <w:rPr>
          <w:rFonts w:cs="Arial"/>
          <w:sz w:val="20"/>
        </w:rPr>
        <w:t xml:space="preserve"> means the budget element of the University where the Consultancy &amp; Commercial Research (CCR) Project will be conducted. </w:t>
      </w:r>
      <w:r w:rsidR="006129BF">
        <w:rPr>
          <w:rFonts w:cs="Arial"/>
          <w:sz w:val="20"/>
        </w:rPr>
        <w:t xml:space="preserve"> </w:t>
      </w:r>
      <w:r w:rsidRPr="00385949">
        <w:rPr>
          <w:rFonts w:cs="Arial"/>
          <w:sz w:val="20"/>
        </w:rPr>
        <w:t xml:space="preserve">A Host Element may be a Group, School, Department, Centre or Institute in academic groups, and an office in administrative areas. </w:t>
      </w:r>
      <w:r w:rsidR="006129BF">
        <w:rPr>
          <w:rFonts w:cs="Arial"/>
          <w:sz w:val="20"/>
        </w:rPr>
        <w:t xml:space="preserve"> </w:t>
      </w:r>
      <w:r w:rsidRPr="00385949">
        <w:rPr>
          <w:rFonts w:cs="Arial"/>
          <w:sz w:val="20"/>
        </w:rPr>
        <w:t xml:space="preserve">Head of Host Element refers to Head of Group, School, Department, Centre, or Institute, or an Office Director. </w:t>
      </w:r>
    </w:p>
    <w:p w14:paraId="42AA394E" w14:textId="77777777" w:rsidR="00385949" w:rsidRPr="00385949" w:rsidRDefault="00385949" w:rsidP="00385949">
      <w:pPr>
        <w:rPr>
          <w:rFonts w:cs="Arial"/>
          <w:sz w:val="20"/>
        </w:rPr>
      </w:pPr>
      <w:r w:rsidRPr="00385949">
        <w:rPr>
          <w:rFonts w:cs="Arial"/>
          <w:b/>
          <w:sz w:val="20"/>
        </w:rPr>
        <w:t>INTELLECTUAL PROPERTY</w:t>
      </w:r>
      <w:r w:rsidRPr="00385949">
        <w:rPr>
          <w:rFonts w:cs="Arial"/>
          <w:sz w:val="20"/>
        </w:rPr>
        <w:t xml:space="preserve"> means all intellectual property rights, including patents, inventions, discoveries, processes, plant breeders' rights, copyright (including future copyright), rights in circuit layouts, registered designs, trade marks (registered or unregistered), know-how, trade secrets, processes and any right to have confidential information kept confidential.</w:t>
      </w:r>
    </w:p>
    <w:p w14:paraId="42AA394F" w14:textId="15D36A5F" w:rsidR="00385949" w:rsidRPr="00385949" w:rsidRDefault="00385949" w:rsidP="00385949">
      <w:pPr>
        <w:rPr>
          <w:rFonts w:cs="Arial"/>
          <w:sz w:val="20"/>
        </w:rPr>
      </w:pPr>
      <w:r w:rsidRPr="00FB4CED">
        <w:rPr>
          <w:rFonts w:cs="Arial"/>
          <w:b/>
          <w:sz w:val="20"/>
        </w:rPr>
        <w:t>LARGE PROJECT</w:t>
      </w:r>
      <w:r w:rsidRPr="00FB4CED">
        <w:rPr>
          <w:rFonts w:cs="Arial"/>
          <w:sz w:val="20"/>
        </w:rPr>
        <w:t xml:space="preserve"> means a Consultancy &amp; Commercial Research (CCR) Project </w:t>
      </w:r>
      <w:r w:rsidR="006615CA">
        <w:rPr>
          <w:rFonts w:cs="Arial"/>
          <w:sz w:val="20"/>
        </w:rPr>
        <w:t xml:space="preserve">with a </w:t>
      </w:r>
      <w:r w:rsidR="0044222A">
        <w:rPr>
          <w:rFonts w:cs="Arial"/>
          <w:sz w:val="20"/>
        </w:rPr>
        <w:t>Price</w:t>
      </w:r>
      <w:r w:rsidR="0044222A" w:rsidRPr="00FB4CED">
        <w:rPr>
          <w:rFonts w:cs="Arial"/>
          <w:sz w:val="20"/>
        </w:rPr>
        <w:t xml:space="preserve"> </w:t>
      </w:r>
      <w:r w:rsidRPr="00FB4CED">
        <w:rPr>
          <w:rFonts w:cs="Arial"/>
          <w:sz w:val="20"/>
        </w:rPr>
        <w:t>greater than $</w:t>
      </w:r>
      <w:r w:rsidR="009F71B2">
        <w:rPr>
          <w:rFonts w:cs="Arial"/>
          <w:sz w:val="20"/>
        </w:rPr>
        <w:t>100</w:t>
      </w:r>
      <w:r w:rsidRPr="00FB4CED">
        <w:rPr>
          <w:rFonts w:cs="Arial"/>
          <w:sz w:val="20"/>
        </w:rPr>
        <w:t>,000 (excluding GST).</w:t>
      </w:r>
    </w:p>
    <w:p w14:paraId="42AA3950" w14:textId="23AD3E40" w:rsidR="00385949" w:rsidRPr="00385949" w:rsidRDefault="007954CA" w:rsidP="00385949">
      <w:pPr>
        <w:rPr>
          <w:rFonts w:cs="Arial"/>
          <w:sz w:val="20"/>
        </w:rPr>
      </w:pPr>
      <w:r>
        <w:rPr>
          <w:rFonts w:cs="Arial"/>
          <w:b/>
          <w:sz w:val="20"/>
        </w:rPr>
        <w:t>NON-</w:t>
      </w:r>
      <w:r w:rsidR="00385949" w:rsidRPr="00385949">
        <w:rPr>
          <w:rFonts w:cs="Arial"/>
          <w:b/>
          <w:sz w:val="20"/>
        </w:rPr>
        <w:t>STANDARD CONTRACT</w:t>
      </w:r>
      <w:r w:rsidR="00385949" w:rsidRPr="00385949">
        <w:rPr>
          <w:rFonts w:cs="Arial"/>
          <w:sz w:val="20"/>
        </w:rPr>
        <w:t xml:space="preserve"> means a </w:t>
      </w:r>
      <w:r w:rsidR="00C434D6">
        <w:rPr>
          <w:rFonts w:cs="Arial"/>
          <w:sz w:val="20"/>
        </w:rPr>
        <w:t>F</w:t>
      </w:r>
      <w:r w:rsidR="00385949" w:rsidRPr="00385949">
        <w:rPr>
          <w:rFonts w:cs="Arial"/>
          <w:sz w:val="20"/>
        </w:rPr>
        <w:t xml:space="preserve">ormal </w:t>
      </w:r>
      <w:r w:rsidR="00C434D6">
        <w:rPr>
          <w:rFonts w:cs="Arial"/>
          <w:sz w:val="20"/>
        </w:rPr>
        <w:t>W</w:t>
      </w:r>
      <w:r w:rsidR="00385949" w:rsidRPr="00385949">
        <w:rPr>
          <w:rFonts w:cs="Arial"/>
          <w:sz w:val="20"/>
        </w:rPr>
        <w:t xml:space="preserve">ritten </w:t>
      </w:r>
      <w:r w:rsidR="00C434D6">
        <w:rPr>
          <w:rFonts w:cs="Arial"/>
          <w:sz w:val="20"/>
        </w:rPr>
        <w:t>C</w:t>
      </w:r>
      <w:r w:rsidR="00385949" w:rsidRPr="00385949">
        <w:rPr>
          <w:rFonts w:cs="Arial"/>
          <w:sz w:val="20"/>
        </w:rPr>
        <w:t xml:space="preserve">ontract other than a </w:t>
      </w:r>
      <w:r w:rsidR="0044222A">
        <w:rPr>
          <w:rFonts w:cs="Arial"/>
          <w:sz w:val="20"/>
        </w:rPr>
        <w:t>S</w:t>
      </w:r>
      <w:r w:rsidR="00385949" w:rsidRPr="00385949">
        <w:rPr>
          <w:rFonts w:cs="Arial"/>
          <w:sz w:val="20"/>
        </w:rPr>
        <w:t xml:space="preserve">tandard </w:t>
      </w:r>
      <w:r w:rsidR="0044222A">
        <w:rPr>
          <w:rFonts w:cs="Arial"/>
          <w:sz w:val="20"/>
        </w:rPr>
        <w:t>C</w:t>
      </w:r>
      <w:r w:rsidR="00385949" w:rsidRPr="00385949">
        <w:rPr>
          <w:rFonts w:cs="Arial"/>
          <w:sz w:val="20"/>
        </w:rPr>
        <w:t xml:space="preserve">ontract between the University and the </w:t>
      </w:r>
      <w:r w:rsidR="00DF4727">
        <w:rPr>
          <w:rFonts w:cs="Arial"/>
          <w:sz w:val="20"/>
        </w:rPr>
        <w:t>E</w:t>
      </w:r>
      <w:r w:rsidR="00385949" w:rsidRPr="00385949">
        <w:rPr>
          <w:rFonts w:cs="Arial"/>
          <w:sz w:val="20"/>
        </w:rPr>
        <w:t xml:space="preserve">xternal </w:t>
      </w:r>
      <w:r w:rsidR="00DF4727">
        <w:rPr>
          <w:rFonts w:cs="Arial"/>
          <w:sz w:val="20"/>
        </w:rPr>
        <w:t>O</w:t>
      </w:r>
      <w:r w:rsidR="00385949" w:rsidRPr="00385949">
        <w:rPr>
          <w:rFonts w:cs="Arial"/>
          <w:sz w:val="20"/>
        </w:rPr>
        <w:t>rganisation.</w:t>
      </w:r>
    </w:p>
    <w:p w14:paraId="42AA3951" w14:textId="77777777" w:rsidR="00385949" w:rsidRPr="00385949" w:rsidRDefault="00385949" w:rsidP="00385949">
      <w:pPr>
        <w:rPr>
          <w:rFonts w:cs="Arial"/>
          <w:sz w:val="20"/>
        </w:rPr>
      </w:pPr>
      <w:r w:rsidRPr="00385949">
        <w:rPr>
          <w:rFonts w:cs="Arial"/>
          <w:b/>
          <w:sz w:val="20"/>
        </w:rPr>
        <w:t>OVERHEAD COST</w:t>
      </w:r>
      <w:r w:rsidRPr="00385949">
        <w:rPr>
          <w:rFonts w:cs="Arial"/>
          <w:sz w:val="20"/>
        </w:rPr>
        <w:t xml:space="preserve"> means an amount which is charged to a Consultancy &amp; Commercial Research (CCR) Project in accordance with this policy.</w:t>
      </w:r>
    </w:p>
    <w:p w14:paraId="42AA3952" w14:textId="1075B190" w:rsidR="00385949" w:rsidRPr="00385949" w:rsidRDefault="00385949" w:rsidP="00385949">
      <w:pPr>
        <w:rPr>
          <w:rFonts w:cs="Arial"/>
          <w:sz w:val="20"/>
        </w:rPr>
      </w:pPr>
      <w:r w:rsidRPr="00385949">
        <w:rPr>
          <w:rFonts w:cs="Arial"/>
          <w:b/>
          <w:sz w:val="20"/>
        </w:rPr>
        <w:t>PRICE</w:t>
      </w:r>
      <w:r w:rsidRPr="00385949">
        <w:rPr>
          <w:rFonts w:cs="Arial"/>
          <w:sz w:val="20"/>
        </w:rPr>
        <w:t xml:space="preserve"> means the total amount (excluding GST) charged by the University to the </w:t>
      </w:r>
      <w:r w:rsidR="00DF4727">
        <w:rPr>
          <w:rFonts w:cs="Arial"/>
          <w:sz w:val="20"/>
        </w:rPr>
        <w:t>E</w:t>
      </w:r>
      <w:r w:rsidRPr="00385949">
        <w:rPr>
          <w:rFonts w:cs="Arial"/>
          <w:sz w:val="20"/>
        </w:rPr>
        <w:t xml:space="preserve">xternal </w:t>
      </w:r>
      <w:r w:rsidR="00DF4727">
        <w:rPr>
          <w:rFonts w:cs="Arial"/>
          <w:sz w:val="20"/>
        </w:rPr>
        <w:t>O</w:t>
      </w:r>
      <w:r w:rsidRPr="00385949">
        <w:rPr>
          <w:rFonts w:cs="Arial"/>
          <w:sz w:val="20"/>
        </w:rPr>
        <w:t>rganisation for the Consultancy &amp; Commercial Research (CCR) Project.</w:t>
      </w:r>
    </w:p>
    <w:p w14:paraId="42AA3953" w14:textId="792E2937" w:rsidR="00385949" w:rsidRPr="00385949" w:rsidRDefault="00385949" w:rsidP="00385949">
      <w:pPr>
        <w:rPr>
          <w:rFonts w:cs="Arial"/>
          <w:sz w:val="20"/>
        </w:rPr>
      </w:pPr>
      <w:r w:rsidRPr="00385949">
        <w:rPr>
          <w:rFonts w:cs="Arial"/>
          <w:b/>
          <w:sz w:val="20"/>
        </w:rPr>
        <w:t>PRIVATE PRACTICE</w:t>
      </w:r>
      <w:r w:rsidRPr="00385949">
        <w:rPr>
          <w:rFonts w:cs="Arial"/>
          <w:sz w:val="20"/>
        </w:rPr>
        <w:t xml:space="preserve"> means activities that are covered by the University's </w:t>
      </w:r>
      <w:r w:rsidR="006615CA">
        <w:rPr>
          <w:rFonts w:cs="Arial"/>
          <w:sz w:val="20"/>
        </w:rPr>
        <w:t>P</w:t>
      </w:r>
      <w:r w:rsidRPr="00385949">
        <w:rPr>
          <w:rFonts w:cs="Arial"/>
          <w:sz w:val="20"/>
        </w:rPr>
        <w:t xml:space="preserve">rivate </w:t>
      </w:r>
      <w:r w:rsidR="006615CA">
        <w:rPr>
          <w:rFonts w:cs="Arial"/>
          <w:sz w:val="20"/>
        </w:rPr>
        <w:t>P</w:t>
      </w:r>
      <w:r w:rsidRPr="00385949">
        <w:rPr>
          <w:rFonts w:cs="Arial"/>
          <w:sz w:val="20"/>
        </w:rPr>
        <w:t xml:space="preserve">ractice </w:t>
      </w:r>
      <w:r w:rsidR="006615CA">
        <w:rPr>
          <w:rFonts w:cs="Arial"/>
          <w:sz w:val="20"/>
        </w:rPr>
        <w:t>P</w:t>
      </w:r>
      <w:r w:rsidRPr="00385949">
        <w:rPr>
          <w:rFonts w:cs="Arial"/>
          <w:sz w:val="20"/>
        </w:rPr>
        <w:t xml:space="preserve">olicy, whereby a </w:t>
      </w:r>
      <w:r w:rsidR="00E20934">
        <w:rPr>
          <w:rFonts w:cs="Arial"/>
          <w:sz w:val="20"/>
        </w:rPr>
        <w:t>Staff Member</w:t>
      </w:r>
      <w:r w:rsidRPr="00385949">
        <w:rPr>
          <w:rFonts w:cs="Arial"/>
          <w:sz w:val="20"/>
        </w:rPr>
        <w:t xml:space="preserve"> conducts work for an </w:t>
      </w:r>
      <w:r w:rsidR="00DF4727">
        <w:rPr>
          <w:rFonts w:cs="Arial"/>
          <w:sz w:val="20"/>
        </w:rPr>
        <w:t>E</w:t>
      </w:r>
      <w:r w:rsidRPr="00385949">
        <w:rPr>
          <w:rFonts w:cs="Arial"/>
          <w:sz w:val="20"/>
        </w:rPr>
        <w:t xml:space="preserve">xternal </w:t>
      </w:r>
      <w:r w:rsidR="00DF4727">
        <w:rPr>
          <w:rFonts w:cs="Arial"/>
          <w:sz w:val="20"/>
        </w:rPr>
        <w:t>O</w:t>
      </w:r>
      <w:r w:rsidRPr="00385949">
        <w:rPr>
          <w:rFonts w:cs="Arial"/>
          <w:sz w:val="20"/>
        </w:rPr>
        <w:t>rganisation in their own private and personal capacity and without use of University resources or facilities.</w:t>
      </w:r>
    </w:p>
    <w:p w14:paraId="42AA3954" w14:textId="32ED82FA" w:rsidR="00385949" w:rsidRPr="00385949" w:rsidRDefault="00385949" w:rsidP="00385949">
      <w:pPr>
        <w:rPr>
          <w:rFonts w:cs="Arial"/>
          <w:sz w:val="20"/>
        </w:rPr>
      </w:pPr>
      <w:r w:rsidRPr="00385949">
        <w:rPr>
          <w:rFonts w:cs="Arial"/>
          <w:b/>
          <w:sz w:val="20"/>
        </w:rPr>
        <w:t>PROJECT INTELLECTUAL PROPERTY</w:t>
      </w:r>
      <w:r w:rsidRPr="00385949">
        <w:rPr>
          <w:rFonts w:cs="Arial"/>
          <w:sz w:val="20"/>
        </w:rPr>
        <w:t xml:space="preserve"> means </w:t>
      </w:r>
      <w:r w:rsidR="00C434D6">
        <w:rPr>
          <w:rFonts w:cs="Arial"/>
          <w:sz w:val="20"/>
        </w:rPr>
        <w:t>I</w:t>
      </w:r>
      <w:r w:rsidRPr="00385949">
        <w:rPr>
          <w:rFonts w:cs="Arial"/>
          <w:sz w:val="20"/>
        </w:rPr>
        <w:t xml:space="preserve">ntellectual </w:t>
      </w:r>
      <w:r w:rsidR="00C434D6">
        <w:rPr>
          <w:rFonts w:cs="Arial"/>
          <w:sz w:val="20"/>
        </w:rPr>
        <w:t>P</w:t>
      </w:r>
      <w:r w:rsidRPr="00385949">
        <w:rPr>
          <w:rFonts w:cs="Arial"/>
          <w:sz w:val="20"/>
        </w:rPr>
        <w:t xml:space="preserve">roperty that a </w:t>
      </w:r>
      <w:r w:rsidR="00E20934">
        <w:rPr>
          <w:rFonts w:cs="Arial"/>
          <w:sz w:val="20"/>
        </w:rPr>
        <w:t>Staff Member</w:t>
      </w:r>
      <w:r w:rsidRPr="00385949">
        <w:rPr>
          <w:rFonts w:cs="Arial"/>
          <w:sz w:val="20"/>
        </w:rPr>
        <w:t xml:space="preserve"> creates as a result of their involvement in a Consultancy &amp; Commercial Research (CCR) Project.</w:t>
      </w:r>
    </w:p>
    <w:p w14:paraId="42AA3955" w14:textId="611783F5" w:rsidR="00385949" w:rsidRPr="00385949" w:rsidRDefault="00385949" w:rsidP="00385949">
      <w:pPr>
        <w:rPr>
          <w:rFonts w:cs="Arial"/>
          <w:sz w:val="20"/>
        </w:rPr>
      </w:pPr>
      <w:r w:rsidRPr="00385949">
        <w:rPr>
          <w:rFonts w:cs="Arial"/>
          <w:b/>
          <w:sz w:val="20"/>
        </w:rPr>
        <w:t>PROJECT LEADER</w:t>
      </w:r>
      <w:r w:rsidRPr="00385949">
        <w:rPr>
          <w:rFonts w:cs="Arial"/>
          <w:sz w:val="20"/>
        </w:rPr>
        <w:t xml:space="preserve"> means </w:t>
      </w:r>
      <w:r w:rsidR="0026268A">
        <w:rPr>
          <w:rFonts w:cs="Arial"/>
          <w:sz w:val="20"/>
        </w:rPr>
        <w:t xml:space="preserve">a </w:t>
      </w:r>
      <w:r w:rsidR="00E20934">
        <w:rPr>
          <w:rFonts w:cs="Arial"/>
          <w:sz w:val="20"/>
        </w:rPr>
        <w:t>Staff Member</w:t>
      </w:r>
      <w:r w:rsidRPr="00385949">
        <w:rPr>
          <w:rFonts w:cs="Arial"/>
          <w:sz w:val="20"/>
        </w:rPr>
        <w:t xml:space="preserve"> </w:t>
      </w:r>
      <w:r w:rsidR="00686173">
        <w:rPr>
          <w:rFonts w:cs="Arial"/>
          <w:sz w:val="20"/>
        </w:rPr>
        <w:t>(</w:t>
      </w:r>
      <w:r w:rsidR="0026268A">
        <w:rPr>
          <w:rFonts w:cs="Arial"/>
          <w:sz w:val="20"/>
        </w:rPr>
        <w:t>T</w:t>
      </w:r>
      <w:r w:rsidR="00686173">
        <w:rPr>
          <w:rFonts w:cs="Arial"/>
          <w:sz w:val="20"/>
        </w:rPr>
        <w:t xml:space="preserve">ype </w:t>
      </w:r>
      <w:r w:rsidR="0026268A">
        <w:rPr>
          <w:rFonts w:cs="Arial"/>
          <w:sz w:val="20"/>
        </w:rPr>
        <w:t>A only</w:t>
      </w:r>
      <w:r w:rsidR="00686173">
        <w:rPr>
          <w:rFonts w:cs="Arial"/>
          <w:sz w:val="20"/>
        </w:rPr>
        <w:t xml:space="preserve">) </w:t>
      </w:r>
      <w:r w:rsidRPr="00385949">
        <w:rPr>
          <w:rFonts w:cs="Arial"/>
          <w:sz w:val="20"/>
        </w:rPr>
        <w:t>with overall responsibility for the day-to-day management of a Consultancy &amp; Commercial Research (CCR) Project.</w:t>
      </w:r>
    </w:p>
    <w:p w14:paraId="42AA3956" w14:textId="77777777" w:rsidR="00385949" w:rsidRPr="00385949" w:rsidRDefault="00385949" w:rsidP="00385949">
      <w:pPr>
        <w:rPr>
          <w:rFonts w:cs="Arial"/>
          <w:sz w:val="20"/>
        </w:rPr>
      </w:pPr>
      <w:r w:rsidRPr="00385949">
        <w:rPr>
          <w:rFonts w:cs="Arial"/>
          <w:b/>
          <w:sz w:val="20"/>
        </w:rPr>
        <w:t>P</w:t>
      </w:r>
      <w:r>
        <w:rPr>
          <w:rFonts w:cs="Arial"/>
          <w:b/>
          <w:sz w:val="20"/>
        </w:rPr>
        <w:t>ROJECT MANAGEMENT SYSTEM</w:t>
      </w:r>
      <w:r w:rsidRPr="00385949">
        <w:rPr>
          <w:rFonts w:cs="Arial"/>
          <w:sz w:val="20"/>
        </w:rPr>
        <w:t xml:space="preserve"> means the University's corporate management and information systems.</w:t>
      </w:r>
    </w:p>
    <w:p w14:paraId="42AA3957" w14:textId="22D5BFDF" w:rsidR="00385949" w:rsidRPr="00385949" w:rsidRDefault="00385949" w:rsidP="00385949">
      <w:pPr>
        <w:rPr>
          <w:rFonts w:cs="Arial"/>
          <w:sz w:val="20"/>
        </w:rPr>
      </w:pPr>
      <w:r w:rsidRPr="00385949">
        <w:rPr>
          <w:rFonts w:cs="Arial"/>
          <w:b/>
          <w:sz w:val="20"/>
        </w:rPr>
        <w:t>REPLACEMENT COST</w:t>
      </w:r>
      <w:r w:rsidRPr="00385949">
        <w:rPr>
          <w:rFonts w:cs="Arial"/>
          <w:sz w:val="20"/>
        </w:rPr>
        <w:t xml:space="preserve"> means the cost of replacing Host Element funded </w:t>
      </w:r>
      <w:r w:rsidR="00E20934">
        <w:rPr>
          <w:rFonts w:cs="Arial"/>
          <w:sz w:val="20"/>
        </w:rPr>
        <w:t>Staff Member</w:t>
      </w:r>
      <w:r w:rsidRPr="00385949">
        <w:rPr>
          <w:rFonts w:cs="Arial"/>
          <w:sz w:val="20"/>
        </w:rPr>
        <w:t>s that are working on a Consultancy &amp; Commercial Research (CCR) Project</w:t>
      </w:r>
      <w:r w:rsidR="006129BF">
        <w:rPr>
          <w:rFonts w:cs="Arial"/>
          <w:sz w:val="20"/>
        </w:rPr>
        <w:t>.</w:t>
      </w:r>
    </w:p>
    <w:p w14:paraId="42AA3958" w14:textId="77777777" w:rsidR="00385949" w:rsidRPr="00385949" w:rsidRDefault="00385949" w:rsidP="00385949">
      <w:pPr>
        <w:rPr>
          <w:rFonts w:cs="Arial"/>
          <w:sz w:val="20"/>
        </w:rPr>
      </w:pPr>
      <w:r w:rsidRPr="00385949">
        <w:rPr>
          <w:rFonts w:cs="Arial"/>
          <w:b/>
          <w:sz w:val="20"/>
        </w:rPr>
        <w:t>RESEARCH GRANTS</w:t>
      </w:r>
      <w:r w:rsidRPr="00385949">
        <w:rPr>
          <w:rFonts w:cs="Arial"/>
          <w:sz w:val="20"/>
        </w:rPr>
        <w:t xml:space="preserve"> means the following research grant schemes administered by the University's Office for Research:</w:t>
      </w:r>
    </w:p>
    <w:p w14:paraId="42AA3959" w14:textId="0875C13F" w:rsidR="00385949" w:rsidRPr="00385949" w:rsidRDefault="00385949" w:rsidP="00387022">
      <w:pPr>
        <w:pStyle w:val="ListParagraph"/>
        <w:numPr>
          <w:ilvl w:val="0"/>
          <w:numId w:val="10"/>
        </w:numPr>
        <w:rPr>
          <w:rFonts w:cs="Arial"/>
          <w:sz w:val="20"/>
        </w:rPr>
      </w:pPr>
      <w:r w:rsidRPr="00385949">
        <w:rPr>
          <w:rFonts w:cs="Arial"/>
          <w:sz w:val="20"/>
        </w:rPr>
        <w:t>Australian competitive grant schemes (refer Australian Competitive Grants Register</w:t>
      </w:r>
      <w:hyperlink r:id="rId22" w:history="1">
        <w:r w:rsidR="00387022" w:rsidRPr="00437448">
          <w:rPr>
            <w:rStyle w:val="Hyperlink"/>
            <w:rFonts w:cs="Arial"/>
            <w:sz w:val="20"/>
          </w:rPr>
          <w:t>https://www.education.gov.au/australian-competitive-grants-register</w:t>
        </w:r>
      </w:hyperlink>
      <w:r w:rsidR="00387022">
        <w:rPr>
          <w:rFonts w:cs="Arial"/>
          <w:sz w:val="20"/>
        </w:rPr>
        <w:t xml:space="preserve">) </w:t>
      </w:r>
      <w:r w:rsidRPr="00385949">
        <w:rPr>
          <w:rFonts w:cs="Arial"/>
          <w:sz w:val="20"/>
        </w:rPr>
        <w:t>);</w:t>
      </w:r>
    </w:p>
    <w:p w14:paraId="42AA395A" w14:textId="77777777" w:rsidR="00385949" w:rsidRPr="00385949" w:rsidRDefault="00385949" w:rsidP="00A61239">
      <w:pPr>
        <w:pStyle w:val="ListParagraph"/>
        <w:numPr>
          <w:ilvl w:val="0"/>
          <w:numId w:val="10"/>
        </w:numPr>
        <w:rPr>
          <w:rFonts w:cs="Arial"/>
          <w:sz w:val="20"/>
        </w:rPr>
      </w:pPr>
      <w:r w:rsidRPr="00385949">
        <w:rPr>
          <w:rFonts w:cs="Arial"/>
          <w:sz w:val="20"/>
        </w:rPr>
        <w:t>State Government competitive grant schemes;</w:t>
      </w:r>
    </w:p>
    <w:p w14:paraId="42AA395B" w14:textId="77777777" w:rsidR="00385949" w:rsidRPr="00385949" w:rsidRDefault="00385949" w:rsidP="00A61239">
      <w:pPr>
        <w:pStyle w:val="ListParagraph"/>
        <w:numPr>
          <w:ilvl w:val="0"/>
          <w:numId w:val="10"/>
        </w:numPr>
        <w:rPr>
          <w:rFonts w:cs="Arial"/>
          <w:sz w:val="20"/>
        </w:rPr>
      </w:pPr>
      <w:r w:rsidRPr="00385949">
        <w:rPr>
          <w:rFonts w:cs="Arial"/>
          <w:sz w:val="20"/>
        </w:rPr>
        <w:t>International competitive grant schemes;</w:t>
      </w:r>
    </w:p>
    <w:p w14:paraId="42AA395C" w14:textId="77777777" w:rsidR="00385949" w:rsidRPr="00385949" w:rsidRDefault="00385949" w:rsidP="00A61239">
      <w:pPr>
        <w:pStyle w:val="ListParagraph"/>
        <w:numPr>
          <w:ilvl w:val="0"/>
          <w:numId w:val="10"/>
        </w:numPr>
        <w:rPr>
          <w:rFonts w:cs="Arial"/>
          <w:sz w:val="20"/>
        </w:rPr>
      </w:pPr>
      <w:r w:rsidRPr="00385949">
        <w:rPr>
          <w:rFonts w:cs="Arial"/>
          <w:sz w:val="20"/>
        </w:rPr>
        <w:t>Competitive grants provided by a registered charitable organisation;</w:t>
      </w:r>
    </w:p>
    <w:p w14:paraId="42AA395D" w14:textId="28834CE7" w:rsidR="00385949" w:rsidRPr="00385949" w:rsidRDefault="00385949" w:rsidP="00A61239">
      <w:pPr>
        <w:pStyle w:val="ListParagraph"/>
        <w:numPr>
          <w:ilvl w:val="0"/>
          <w:numId w:val="10"/>
        </w:numPr>
        <w:rPr>
          <w:rFonts w:cs="Arial"/>
          <w:sz w:val="20"/>
        </w:rPr>
      </w:pPr>
      <w:r w:rsidRPr="00385949">
        <w:rPr>
          <w:rFonts w:cs="Arial"/>
          <w:sz w:val="20"/>
        </w:rPr>
        <w:t>Funds received for the support of a Chair or research</w:t>
      </w:r>
      <w:r w:rsidR="006615CA">
        <w:rPr>
          <w:rFonts w:cs="Arial"/>
          <w:sz w:val="20"/>
        </w:rPr>
        <w:t>-</w:t>
      </w:r>
      <w:r w:rsidRPr="00385949">
        <w:rPr>
          <w:rFonts w:cs="Arial"/>
          <w:sz w:val="20"/>
        </w:rPr>
        <w:t>only position where the funding provider does not receive a service from the University; or</w:t>
      </w:r>
    </w:p>
    <w:p w14:paraId="42AA395E" w14:textId="77777777" w:rsidR="00385949" w:rsidRPr="00385949" w:rsidRDefault="00385949" w:rsidP="00A61239">
      <w:pPr>
        <w:pStyle w:val="ListParagraph"/>
        <w:numPr>
          <w:ilvl w:val="0"/>
          <w:numId w:val="10"/>
        </w:numPr>
        <w:rPr>
          <w:rFonts w:cs="Arial"/>
          <w:sz w:val="20"/>
        </w:rPr>
      </w:pPr>
      <w:r w:rsidRPr="00385949">
        <w:rPr>
          <w:rFonts w:cs="Arial"/>
          <w:sz w:val="20"/>
        </w:rPr>
        <w:t>Such other schemes that may be agreed from time to time in writing between Griffith Enterprise and the Office for Research.</w:t>
      </w:r>
    </w:p>
    <w:p w14:paraId="42AA395F" w14:textId="29AD69A5" w:rsidR="00385949" w:rsidRPr="00385949" w:rsidRDefault="00385949" w:rsidP="00385949">
      <w:pPr>
        <w:rPr>
          <w:rFonts w:cs="Arial"/>
          <w:sz w:val="20"/>
        </w:rPr>
      </w:pPr>
      <w:r w:rsidRPr="00FB4CED">
        <w:rPr>
          <w:rFonts w:cs="Arial"/>
          <w:b/>
          <w:sz w:val="20"/>
        </w:rPr>
        <w:t>SMALL PROJECT</w:t>
      </w:r>
      <w:r w:rsidRPr="00FB4CED">
        <w:rPr>
          <w:rFonts w:cs="Arial"/>
          <w:sz w:val="20"/>
        </w:rPr>
        <w:t xml:space="preserve"> means a Consultancy &amp; Commercial Research (CCR) Project </w:t>
      </w:r>
      <w:r w:rsidR="006615CA">
        <w:rPr>
          <w:rFonts w:cs="Arial"/>
          <w:sz w:val="20"/>
        </w:rPr>
        <w:t xml:space="preserve">with a </w:t>
      </w:r>
      <w:r w:rsidR="0044222A">
        <w:rPr>
          <w:rFonts w:cs="Arial"/>
          <w:sz w:val="20"/>
        </w:rPr>
        <w:t>Price</w:t>
      </w:r>
      <w:r w:rsidR="001F765A">
        <w:rPr>
          <w:rFonts w:cs="Arial"/>
          <w:sz w:val="20"/>
        </w:rPr>
        <w:t xml:space="preserve"> </w:t>
      </w:r>
      <w:r w:rsidR="002B305A">
        <w:rPr>
          <w:rFonts w:cs="Arial"/>
          <w:sz w:val="20"/>
        </w:rPr>
        <w:t>greater than</w:t>
      </w:r>
      <w:r w:rsidR="003230C0">
        <w:rPr>
          <w:rFonts w:cs="Arial"/>
          <w:sz w:val="20"/>
        </w:rPr>
        <w:t xml:space="preserve"> </w:t>
      </w:r>
      <w:r w:rsidR="001F765A">
        <w:rPr>
          <w:rFonts w:cs="Arial"/>
          <w:sz w:val="20"/>
        </w:rPr>
        <w:t>$</w:t>
      </w:r>
      <w:r w:rsidR="00EB3838">
        <w:rPr>
          <w:rFonts w:cs="Arial"/>
          <w:sz w:val="20"/>
        </w:rPr>
        <w:t>15</w:t>
      </w:r>
      <w:r w:rsidR="001F765A">
        <w:rPr>
          <w:rFonts w:cs="Arial"/>
          <w:sz w:val="20"/>
        </w:rPr>
        <w:t>,00</w:t>
      </w:r>
      <w:r w:rsidR="003230C0">
        <w:rPr>
          <w:rFonts w:cs="Arial"/>
          <w:sz w:val="20"/>
        </w:rPr>
        <w:t>0</w:t>
      </w:r>
      <w:r w:rsidR="00C41651">
        <w:rPr>
          <w:rFonts w:cs="Arial"/>
          <w:sz w:val="20"/>
        </w:rPr>
        <w:t xml:space="preserve"> </w:t>
      </w:r>
      <w:r w:rsidR="00E17EAE">
        <w:rPr>
          <w:rFonts w:cs="Arial"/>
          <w:sz w:val="20"/>
        </w:rPr>
        <w:t xml:space="preserve">(excluding GST) </w:t>
      </w:r>
      <w:r w:rsidR="00C41651">
        <w:rPr>
          <w:rFonts w:cs="Arial"/>
          <w:sz w:val="20"/>
        </w:rPr>
        <w:t>and</w:t>
      </w:r>
      <w:r w:rsidRPr="00FB4CED">
        <w:rPr>
          <w:rFonts w:cs="Arial"/>
          <w:sz w:val="20"/>
        </w:rPr>
        <w:t xml:space="preserve"> </w:t>
      </w:r>
      <w:r w:rsidR="001F765A">
        <w:rPr>
          <w:rFonts w:cs="Arial"/>
          <w:sz w:val="20"/>
        </w:rPr>
        <w:t xml:space="preserve">up to </w:t>
      </w:r>
      <w:r w:rsidR="002B305A">
        <w:rPr>
          <w:rFonts w:cs="Arial"/>
          <w:sz w:val="20"/>
        </w:rPr>
        <w:t xml:space="preserve">and including </w:t>
      </w:r>
      <w:r w:rsidRPr="00FB4CED">
        <w:rPr>
          <w:rFonts w:cs="Arial"/>
          <w:sz w:val="20"/>
        </w:rPr>
        <w:t>$</w:t>
      </w:r>
      <w:r w:rsidR="009F71B2">
        <w:rPr>
          <w:rFonts w:cs="Arial"/>
          <w:sz w:val="20"/>
        </w:rPr>
        <w:t>100</w:t>
      </w:r>
      <w:r w:rsidRPr="00FB4CED">
        <w:rPr>
          <w:rFonts w:cs="Arial"/>
          <w:sz w:val="20"/>
        </w:rPr>
        <w:t>,000 (excluding GST).</w:t>
      </w:r>
    </w:p>
    <w:p w14:paraId="27190003" w14:textId="40AD8728" w:rsidR="00360225" w:rsidRDefault="00360225" w:rsidP="00385949">
      <w:pPr>
        <w:rPr>
          <w:rFonts w:cs="Arial"/>
          <w:sz w:val="20"/>
        </w:rPr>
      </w:pPr>
      <w:r>
        <w:rPr>
          <w:rFonts w:cs="Arial"/>
          <w:b/>
          <w:sz w:val="20"/>
        </w:rPr>
        <w:t>SPECIAL PROJECT ACTIVIT</w:t>
      </w:r>
      <w:r w:rsidR="0068303C">
        <w:rPr>
          <w:rFonts w:cs="Arial"/>
          <w:b/>
          <w:sz w:val="20"/>
        </w:rPr>
        <w:t>Y</w:t>
      </w:r>
      <w:r w:rsidRPr="00E70827">
        <w:rPr>
          <w:rFonts w:cs="Arial"/>
          <w:sz w:val="20"/>
        </w:rPr>
        <w:t xml:space="preserve"> means</w:t>
      </w:r>
      <w:r>
        <w:rPr>
          <w:rFonts w:cs="Arial"/>
          <w:sz w:val="20"/>
        </w:rPr>
        <w:t xml:space="preserve"> </w:t>
      </w:r>
      <w:r w:rsidRPr="00FB4CED">
        <w:rPr>
          <w:rFonts w:cs="Arial"/>
          <w:sz w:val="20"/>
        </w:rPr>
        <w:t xml:space="preserve">a </w:t>
      </w:r>
      <w:r w:rsidR="005F509F">
        <w:rPr>
          <w:rFonts w:cs="Arial"/>
          <w:sz w:val="20"/>
        </w:rPr>
        <w:t>Very Small Project</w:t>
      </w:r>
      <w:r>
        <w:rPr>
          <w:rFonts w:cs="Arial"/>
          <w:sz w:val="20"/>
        </w:rPr>
        <w:t xml:space="preserve"> that involves one or more of the following activities:</w:t>
      </w:r>
    </w:p>
    <w:p w14:paraId="51419CCE" w14:textId="6485C021" w:rsidR="00360225" w:rsidRPr="00E70827" w:rsidRDefault="00360225" w:rsidP="00E70827">
      <w:pPr>
        <w:pStyle w:val="ListParagraph"/>
        <w:numPr>
          <w:ilvl w:val="0"/>
          <w:numId w:val="27"/>
        </w:numPr>
        <w:rPr>
          <w:rFonts w:cs="Arial"/>
          <w:sz w:val="20"/>
        </w:rPr>
      </w:pPr>
      <w:r w:rsidRPr="00E70827">
        <w:rPr>
          <w:rFonts w:cs="Arial"/>
          <w:sz w:val="20"/>
        </w:rPr>
        <w:t>Expert witness engagements;</w:t>
      </w:r>
    </w:p>
    <w:p w14:paraId="5D2967E5" w14:textId="728C7213" w:rsidR="00360225" w:rsidRPr="00E70827" w:rsidRDefault="00360225" w:rsidP="00E70827">
      <w:pPr>
        <w:pStyle w:val="ListParagraph"/>
        <w:numPr>
          <w:ilvl w:val="0"/>
          <w:numId w:val="27"/>
        </w:numPr>
        <w:rPr>
          <w:rFonts w:cs="Arial"/>
          <w:sz w:val="20"/>
        </w:rPr>
      </w:pPr>
      <w:r w:rsidRPr="00E70827">
        <w:rPr>
          <w:rFonts w:cs="Arial"/>
          <w:sz w:val="20"/>
        </w:rPr>
        <w:t>Clinical trials (including associated advisory board attendance);</w:t>
      </w:r>
    </w:p>
    <w:p w14:paraId="1883ACF6" w14:textId="3CCD2DD1" w:rsidR="00360225" w:rsidRPr="00E70827" w:rsidRDefault="00360225" w:rsidP="00E70827">
      <w:pPr>
        <w:pStyle w:val="ListParagraph"/>
        <w:numPr>
          <w:ilvl w:val="0"/>
          <w:numId w:val="27"/>
        </w:numPr>
        <w:rPr>
          <w:rFonts w:cs="Arial"/>
          <w:sz w:val="20"/>
        </w:rPr>
      </w:pPr>
      <w:r w:rsidRPr="00E70827">
        <w:rPr>
          <w:rFonts w:cs="Arial"/>
          <w:sz w:val="20"/>
        </w:rPr>
        <w:t>Where Intellectual Property arrangements between the University and a third party exist;</w:t>
      </w:r>
    </w:p>
    <w:p w14:paraId="2A70572B" w14:textId="77777777" w:rsidR="003478C6" w:rsidRDefault="00360225" w:rsidP="00E70827">
      <w:pPr>
        <w:pStyle w:val="ListParagraph"/>
        <w:numPr>
          <w:ilvl w:val="0"/>
          <w:numId w:val="27"/>
        </w:numPr>
        <w:rPr>
          <w:rFonts w:cs="Arial"/>
          <w:sz w:val="20"/>
        </w:rPr>
      </w:pPr>
      <w:r w:rsidRPr="00E70827">
        <w:rPr>
          <w:rFonts w:cs="Arial"/>
          <w:sz w:val="20"/>
        </w:rPr>
        <w:lastRenderedPageBreak/>
        <w:t>Where an extension or variatio</w:t>
      </w:r>
      <w:r w:rsidR="0068303C">
        <w:rPr>
          <w:rFonts w:cs="Arial"/>
          <w:sz w:val="20"/>
        </w:rPr>
        <w:t>n to an existing Large</w:t>
      </w:r>
      <w:r w:rsidRPr="00E70827">
        <w:rPr>
          <w:rFonts w:cs="Arial"/>
          <w:sz w:val="20"/>
        </w:rPr>
        <w:t xml:space="preserve"> Consultancy &amp; Commercial Research </w:t>
      </w:r>
      <w:r w:rsidRPr="00E70827">
        <w:rPr>
          <w:rFonts w:cs="Arial"/>
          <w:sz w:val="20"/>
        </w:rPr>
        <w:tab/>
        <w:t>(CCR) Project exists</w:t>
      </w:r>
      <w:r w:rsidR="003478C6">
        <w:rPr>
          <w:rFonts w:cs="Arial"/>
          <w:sz w:val="20"/>
        </w:rPr>
        <w:t>;</w:t>
      </w:r>
    </w:p>
    <w:p w14:paraId="497150AC" w14:textId="27B1BC90" w:rsidR="00360225" w:rsidRPr="00E70827" w:rsidRDefault="003478C6" w:rsidP="00E70827">
      <w:pPr>
        <w:pStyle w:val="ListParagraph"/>
        <w:numPr>
          <w:ilvl w:val="0"/>
          <w:numId w:val="27"/>
        </w:numPr>
        <w:rPr>
          <w:rFonts w:cs="Arial"/>
          <w:sz w:val="20"/>
        </w:rPr>
      </w:pPr>
      <w:r>
        <w:rPr>
          <w:rFonts w:cs="Arial"/>
          <w:sz w:val="20"/>
        </w:rPr>
        <w:t xml:space="preserve">Where the </w:t>
      </w:r>
      <w:r w:rsidR="00D018ED">
        <w:rPr>
          <w:rFonts w:cs="Arial"/>
          <w:sz w:val="20"/>
        </w:rPr>
        <w:t>engagement involves</w:t>
      </w:r>
      <w:r>
        <w:rPr>
          <w:rFonts w:cs="Arial"/>
          <w:sz w:val="20"/>
        </w:rPr>
        <w:t xml:space="preserve"> </w:t>
      </w:r>
      <w:r w:rsidR="00D018ED">
        <w:rPr>
          <w:rFonts w:cs="Arial"/>
          <w:sz w:val="20"/>
        </w:rPr>
        <w:t xml:space="preserve">testing or evaluating a customer’s product or service and that testing or evaluation could be perceived as an </w:t>
      </w:r>
      <w:r>
        <w:rPr>
          <w:rFonts w:cs="Arial"/>
          <w:sz w:val="20"/>
        </w:rPr>
        <w:t xml:space="preserve">endorsement </w:t>
      </w:r>
      <w:r w:rsidR="00D018ED">
        <w:rPr>
          <w:rFonts w:cs="Arial"/>
          <w:sz w:val="20"/>
        </w:rPr>
        <w:t>by the University</w:t>
      </w:r>
      <w:r>
        <w:rPr>
          <w:rFonts w:cs="Arial"/>
          <w:sz w:val="20"/>
        </w:rPr>
        <w:t xml:space="preserve">. </w:t>
      </w:r>
    </w:p>
    <w:p w14:paraId="42AA3960" w14:textId="2C650807" w:rsidR="00385949" w:rsidRPr="00385949" w:rsidRDefault="00385949" w:rsidP="00385949">
      <w:pPr>
        <w:rPr>
          <w:rFonts w:cs="Arial"/>
          <w:sz w:val="20"/>
        </w:rPr>
      </w:pPr>
      <w:r w:rsidRPr="00385949">
        <w:rPr>
          <w:rFonts w:cs="Arial"/>
          <w:b/>
          <w:sz w:val="20"/>
        </w:rPr>
        <w:t>STAFF MEMBER</w:t>
      </w:r>
      <w:r w:rsidRPr="00385949">
        <w:rPr>
          <w:rFonts w:cs="Arial"/>
          <w:sz w:val="20"/>
        </w:rPr>
        <w:t xml:space="preserve"> means for the purposes of this policy</w:t>
      </w:r>
      <w:r w:rsidR="00576E0A">
        <w:rPr>
          <w:rFonts w:cs="Arial"/>
          <w:sz w:val="20"/>
        </w:rPr>
        <w:t xml:space="preserve"> the following </w:t>
      </w:r>
      <w:r w:rsidR="00D332BC">
        <w:rPr>
          <w:rFonts w:cs="Arial"/>
          <w:sz w:val="20"/>
        </w:rPr>
        <w:t xml:space="preserve">appointment </w:t>
      </w:r>
      <w:r w:rsidR="00576E0A">
        <w:rPr>
          <w:rFonts w:cs="Arial"/>
          <w:sz w:val="20"/>
        </w:rPr>
        <w:t>types</w:t>
      </w:r>
      <w:r w:rsidRPr="00385949">
        <w:rPr>
          <w:rFonts w:cs="Arial"/>
          <w:sz w:val="20"/>
        </w:rPr>
        <w:t>:</w:t>
      </w:r>
    </w:p>
    <w:p w14:paraId="42AA3961" w14:textId="6F66E398" w:rsidR="00385949" w:rsidRPr="00385949" w:rsidRDefault="005B7654" w:rsidP="00B95AA9">
      <w:pPr>
        <w:pStyle w:val="ListParagraph"/>
        <w:numPr>
          <w:ilvl w:val="0"/>
          <w:numId w:val="27"/>
        </w:numPr>
        <w:rPr>
          <w:rFonts w:cs="Arial"/>
          <w:sz w:val="20"/>
        </w:rPr>
      </w:pPr>
      <w:r w:rsidRPr="00B95AA9">
        <w:rPr>
          <w:rFonts w:cs="Arial"/>
          <w:sz w:val="20"/>
        </w:rPr>
        <w:t>Type A</w:t>
      </w:r>
      <w:r>
        <w:rPr>
          <w:rFonts w:cs="Arial"/>
          <w:sz w:val="20"/>
        </w:rPr>
        <w:t xml:space="preserve">: </w:t>
      </w:r>
      <w:r w:rsidR="00385949" w:rsidRPr="00385949">
        <w:rPr>
          <w:rFonts w:cs="Arial"/>
          <w:sz w:val="20"/>
        </w:rPr>
        <w:t xml:space="preserve">employees of the University for whom the University is their principal employer; </w:t>
      </w:r>
    </w:p>
    <w:p w14:paraId="4AE5B5F5" w14:textId="66CC4C1B" w:rsidR="00C57954" w:rsidRDefault="005B7654" w:rsidP="00B95AA9">
      <w:pPr>
        <w:pStyle w:val="ListParagraph"/>
        <w:numPr>
          <w:ilvl w:val="0"/>
          <w:numId w:val="27"/>
        </w:numPr>
        <w:rPr>
          <w:rFonts w:cs="Arial"/>
          <w:sz w:val="20"/>
        </w:rPr>
      </w:pPr>
      <w:r w:rsidRPr="00B95AA9">
        <w:rPr>
          <w:rFonts w:cs="Arial"/>
          <w:sz w:val="20"/>
        </w:rPr>
        <w:t>Type B</w:t>
      </w:r>
      <w:r>
        <w:rPr>
          <w:rFonts w:cs="Arial"/>
          <w:sz w:val="20"/>
        </w:rPr>
        <w:t xml:space="preserve">: </w:t>
      </w:r>
      <w:r w:rsidR="00385949" w:rsidRPr="00385949">
        <w:rPr>
          <w:rFonts w:cs="Arial"/>
          <w:sz w:val="20"/>
        </w:rPr>
        <w:t>other employees of the University, including casual general staff</w:t>
      </w:r>
      <w:r w:rsidR="00C57954">
        <w:rPr>
          <w:rFonts w:cs="Arial"/>
          <w:sz w:val="20"/>
        </w:rPr>
        <w:t xml:space="preserve"> and</w:t>
      </w:r>
      <w:r w:rsidR="00385949" w:rsidRPr="00385949">
        <w:rPr>
          <w:rFonts w:cs="Arial"/>
          <w:sz w:val="20"/>
        </w:rPr>
        <w:t xml:space="preserve"> casual academic staff, where those employees seek to, and are approved by the University to undertake a specific Consultancy &amp; Commercial Research (CCR) Project</w:t>
      </w:r>
      <w:r>
        <w:rPr>
          <w:rFonts w:cs="Arial"/>
          <w:sz w:val="20"/>
        </w:rPr>
        <w:t>;</w:t>
      </w:r>
    </w:p>
    <w:p w14:paraId="42AA3962" w14:textId="46908B63" w:rsidR="00385949" w:rsidRPr="001144F3" w:rsidRDefault="005B7654" w:rsidP="00B95AA9">
      <w:pPr>
        <w:pStyle w:val="ListParagraph"/>
        <w:numPr>
          <w:ilvl w:val="0"/>
          <w:numId w:val="27"/>
        </w:numPr>
        <w:rPr>
          <w:rFonts w:cs="Arial"/>
          <w:sz w:val="20"/>
        </w:rPr>
      </w:pPr>
      <w:r w:rsidRPr="00B95AA9">
        <w:rPr>
          <w:rFonts w:cs="Arial"/>
          <w:sz w:val="20"/>
        </w:rPr>
        <w:t>Type C</w:t>
      </w:r>
      <w:r>
        <w:rPr>
          <w:rFonts w:cs="Arial"/>
          <w:sz w:val="20"/>
        </w:rPr>
        <w:t xml:space="preserve">: </w:t>
      </w:r>
      <w:r w:rsidR="00C57954" w:rsidRPr="00385949">
        <w:rPr>
          <w:rFonts w:cs="Arial"/>
          <w:sz w:val="20"/>
        </w:rPr>
        <w:t xml:space="preserve">adjunct, visiting </w:t>
      </w:r>
      <w:r w:rsidR="00C57954">
        <w:rPr>
          <w:rFonts w:cs="Arial"/>
          <w:sz w:val="20"/>
        </w:rPr>
        <w:t>or</w:t>
      </w:r>
      <w:r w:rsidR="00C57954" w:rsidRPr="00385949">
        <w:rPr>
          <w:rFonts w:cs="Arial"/>
          <w:sz w:val="20"/>
        </w:rPr>
        <w:t xml:space="preserve"> honorary appointees of the University</w:t>
      </w:r>
      <w:r w:rsidR="00C57954" w:rsidRPr="00C57954">
        <w:rPr>
          <w:rFonts w:cs="Arial"/>
          <w:sz w:val="20"/>
        </w:rPr>
        <w:t xml:space="preserve"> </w:t>
      </w:r>
      <w:r w:rsidR="00C57954">
        <w:rPr>
          <w:rFonts w:cs="Arial"/>
          <w:sz w:val="20"/>
        </w:rPr>
        <w:t xml:space="preserve">who seek to and are </w:t>
      </w:r>
      <w:r w:rsidR="00C57954" w:rsidRPr="00385949">
        <w:rPr>
          <w:rFonts w:cs="Arial"/>
          <w:sz w:val="20"/>
        </w:rPr>
        <w:t xml:space="preserve">approved by the University to undertake a specific Consultancy &amp; Commercial Research </w:t>
      </w:r>
      <w:r w:rsidR="00C57954" w:rsidRPr="001144F3">
        <w:rPr>
          <w:rFonts w:cs="Arial"/>
          <w:sz w:val="20"/>
        </w:rPr>
        <w:t>(CCR) Project</w:t>
      </w:r>
      <w:r w:rsidR="00385949" w:rsidRPr="001144F3">
        <w:rPr>
          <w:rFonts w:cs="Arial"/>
          <w:sz w:val="20"/>
        </w:rPr>
        <w:t>.</w:t>
      </w:r>
    </w:p>
    <w:p w14:paraId="42AA3963" w14:textId="3B72C869" w:rsidR="00385949" w:rsidRPr="001144F3" w:rsidRDefault="00385949" w:rsidP="00385949">
      <w:pPr>
        <w:rPr>
          <w:rFonts w:cs="Arial"/>
          <w:sz w:val="20"/>
        </w:rPr>
      </w:pPr>
      <w:r w:rsidRPr="001144F3">
        <w:rPr>
          <w:rFonts w:cs="Arial"/>
          <w:b/>
          <w:sz w:val="20"/>
        </w:rPr>
        <w:t>STANDARD CONTRACT</w:t>
      </w:r>
      <w:r w:rsidRPr="001144F3">
        <w:rPr>
          <w:rFonts w:cs="Arial"/>
          <w:sz w:val="20"/>
        </w:rPr>
        <w:t xml:space="preserve"> means an unamended written contract template made available by the University's Legal Services Unit between the University and the </w:t>
      </w:r>
      <w:r w:rsidR="00DF4727" w:rsidRPr="001144F3">
        <w:rPr>
          <w:rFonts w:cs="Arial"/>
          <w:sz w:val="20"/>
        </w:rPr>
        <w:t>E</w:t>
      </w:r>
      <w:r w:rsidRPr="001144F3">
        <w:rPr>
          <w:rFonts w:cs="Arial"/>
          <w:sz w:val="20"/>
        </w:rPr>
        <w:t xml:space="preserve">xternal </w:t>
      </w:r>
      <w:r w:rsidR="00DF4727" w:rsidRPr="001144F3">
        <w:rPr>
          <w:rFonts w:cs="Arial"/>
          <w:sz w:val="20"/>
        </w:rPr>
        <w:t>O</w:t>
      </w:r>
      <w:r w:rsidRPr="001144F3">
        <w:rPr>
          <w:rFonts w:cs="Arial"/>
          <w:sz w:val="20"/>
        </w:rPr>
        <w:t>rganisation</w:t>
      </w:r>
      <w:r w:rsidR="006336B0" w:rsidRPr="001144F3">
        <w:rPr>
          <w:rFonts w:cs="Arial"/>
          <w:sz w:val="20"/>
        </w:rPr>
        <w:t xml:space="preserve"> or a contract which has </w:t>
      </w:r>
      <w:r w:rsidR="00D42D21" w:rsidRPr="001144F3">
        <w:rPr>
          <w:rFonts w:cs="Arial"/>
          <w:sz w:val="20"/>
        </w:rPr>
        <w:t xml:space="preserve">otherwise been accepted as a standard contract by the Director, Griffith Enterprise (such as contracts that have been reviewed and accepted by the University on previous </w:t>
      </w:r>
      <w:r w:rsidR="001144F3" w:rsidRPr="001144F3">
        <w:rPr>
          <w:rFonts w:cs="Arial"/>
          <w:sz w:val="20"/>
        </w:rPr>
        <w:t>occasions</w:t>
      </w:r>
      <w:r w:rsidR="00D42D21" w:rsidRPr="001144F3">
        <w:rPr>
          <w:rFonts w:cs="Arial"/>
          <w:sz w:val="20"/>
        </w:rPr>
        <w:t>)</w:t>
      </w:r>
      <w:r w:rsidRPr="001144F3">
        <w:rPr>
          <w:rFonts w:cs="Arial"/>
          <w:sz w:val="20"/>
        </w:rPr>
        <w:t>.</w:t>
      </w:r>
    </w:p>
    <w:p w14:paraId="42AA3964" w14:textId="3988C432" w:rsidR="00385949" w:rsidRDefault="00385949" w:rsidP="00385949">
      <w:pPr>
        <w:rPr>
          <w:rFonts w:cs="Arial"/>
          <w:sz w:val="20"/>
        </w:rPr>
      </w:pPr>
      <w:r w:rsidRPr="00385949">
        <w:rPr>
          <w:rFonts w:cs="Arial"/>
          <w:b/>
          <w:sz w:val="20"/>
        </w:rPr>
        <w:t>SURPLUS</w:t>
      </w:r>
      <w:r w:rsidRPr="00385949">
        <w:rPr>
          <w:rFonts w:cs="Arial"/>
          <w:sz w:val="20"/>
        </w:rPr>
        <w:t xml:space="preserve"> means the amount available once all costs (including </w:t>
      </w:r>
      <w:r w:rsidR="00C434D6">
        <w:rPr>
          <w:rFonts w:cs="Arial"/>
          <w:sz w:val="20"/>
        </w:rPr>
        <w:t>O</w:t>
      </w:r>
      <w:r w:rsidRPr="00385949">
        <w:rPr>
          <w:rFonts w:cs="Arial"/>
          <w:sz w:val="20"/>
        </w:rPr>
        <w:t xml:space="preserve">verhead </w:t>
      </w:r>
      <w:r w:rsidR="00C434D6">
        <w:rPr>
          <w:rFonts w:cs="Arial"/>
          <w:sz w:val="20"/>
        </w:rPr>
        <w:t>C</w:t>
      </w:r>
      <w:r w:rsidRPr="00385949">
        <w:rPr>
          <w:rFonts w:cs="Arial"/>
          <w:sz w:val="20"/>
        </w:rPr>
        <w:t xml:space="preserve">osts, </w:t>
      </w:r>
      <w:r w:rsidR="0044222A">
        <w:rPr>
          <w:rFonts w:cs="Arial"/>
          <w:sz w:val="20"/>
        </w:rPr>
        <w:t>R</w:t>
      </w:r>
      <w:r w:rsidRPr="00385949">
        <w:rPr>
          <w:rFonts w:cs="Arial"/>
          <w:sz w:val="20"/>
        </w:rPr>
        <w:t xml:space="preserve">eplacement </w:t>
      </w:r>
      <w:r w:rsidR="0044222A">
        <w:rPr>
          <w:rFonts w:cs="Arial"/>
          <w:sz w:val="20"/>
        </w:rPr>
        <w:t>C</w:t>
      </w:r>
      <w:r w:rsidRPr="00385949">
        <w:rPr>
          <w:rFonts w:cs="Arial"/>
          <w:sz w:val="20"/>
        </w:rPr>
        <w:t xml:space="preserve">ost, recoveries and taxes) have been deducted from funds received from an </w:t>
      </w:r>
      <w:r w:rsidR="00DF4727">
        <w:rPr>
          <w:rFonts w:cs="Arial"/>
          <w:sz w:val="20"/>
        </w:rPr>
        <w:t>E</w:t>
      </w:r>
      <w:r w:rsidRPr="00385949">
        <w:rPr>
          <w:rFonts w:cs="Arial"/>
          <w:sz w:val="20"/>
        </w:rPr>
        <w:t xml:space="preserve">xternal </w:t>
      </w:r>
      <w:r w:rsidR="00DF4727">
        <w:rPr>
          <w:rFonts w:cs="Arial"/>
          <w:sz w:val="20"/>
        </w:rPr>
        <w:t>O</w:t>
      </w:r>
      <w:r w:rsidRPr="00385949">
        <w:rPr>
          <w:rFonts w:cs="Arial"/>
          <w:sz w:val="20"/>
        </w:rPr>
        <w:t>rganisation for a Consultancy &amp; Commercial Research (CCR) Project.</w:t>
      </w:r>
    </w:p>
    <w:p w14:paraId="42AA3965" w14:textId="77777777" w:rsidR="00385949" w:rsidRPr="00385949" w:rsidRDefault="00385949" w:rsidP="00385949">
      <w:pPr>
        <w:rPr>
          <w:rFonts w:cs="Arial"/>
          <w:sz w:val="20"/>
        </w:rPr>
      </w:pPr>
      <w:r w:rsidRPr="00385949">
        <w:rPr>
          <w:rFonts w:cs="Arial"/>
          <w:b/>
          <w:sz w:val="20"/>
        </w:rPr>
        <w:t>UNIVERSITY</w:t>
      </w:r>
      <w:r w:rsidRPr="00385949">
        <w:rPr>
          <w:rFonts w:cs="Arial"/>
          <w:sz w:val="20"/>
        </w:rPr>
        <w:t xml:space="preserve"> means Griffith University, a body corporate established pursuant to the Griffith University Act 1998.</w:t>
      </w:r>
    </w:p>
    <w:p w14:paraId="42AA3966" w14:textId="4EDB8A5B" w:rsidR="00385949" w:rsidRDefault="00385949" w:rsidP="00385949">
      <w:pPr>
        <w:rPr>
          <w:rFonts w:cs="Arial"/>
          <w:sz w:val="20"/>
        </w:rPr>
      </w:pPr>
      <w:r w:rsidRPr="00385949">
        <w:rPr>
          <w:rFonts w:cs="Arial"/>
          <w:b/>
          <w:sz w:val="20"/>
        </w:rPr>
        <w:t>U</w:t>
      </w:r>
      <w:r w:rsidR="0044222A">
        <w:rPr>
          <w:rFonts w:cs="Arial"/>
          <w:b/>
          <w:sz w:val="20"/>
        </w:rPr>
        <w:t>NIVERSITY</w:t>
      </w:r>
      <w:r w:rsidRPr="00385949">
        <w:rPr>
          <w:rFonts w:cs="Arial"/>
          <w:b/>
          <w:sz w:val="20"/>
        </w:rPr>
        <w:t xml:space="preserve"> CORPORATE</w:t>
      </w:r>
      <w:r w:rsidRPr="00385949">
        <w:rPr>
          <w:rFonts w:cs="Arial"/>
          <w:sz w:val="20"/>
        </w:rPr>
        <w:t xml:space="preserve"> means the non</w:t>
      </w:r>
      <w:r>
        <w:rPr>
          <w:rFonts w:cs="Arial"/>
          <w:sz w:val="20"/>
        </w:rPr>
        <w:t>-</w:t>
      </w:r>
      <w:r w:rsidRPr="00385949">
        <w:rPr>
          <w:rFonts w:cs="Arial"/>
          <w:sz w:val="20"/>
        </w:rPr>
        <w:t>academic elements of the University that provides administrative support to Consultancy &amp; Commercial Research (CCR) Project Work.</w:t>
      </w:r>
    </w:p>
    <w:p w14:paraId="6881FBB9" w14:textId="2F8074AA" w:rsidR="000815C5" w:rsidRDefault="000815C5" w:rsidP="000815C5">
      <w:pPr>
        <w:rPr>
          <w:rFonts w:cs="Arial"/>
          <w:sz w:val="20"/>
        </w:rPr>
      </w:pPr>
      <w:r>
        <w:rPr>
          <w:rFonts w:cs="Arial"/>
          <w:b/>
          <w:sz w:val="20"/>
        </w:rPr>
        <w:t>VERY SMALL PROJECT</w:t>
      </w:r>
      <w:r>
        <w:rPr>
          <w:rFonts w:cs="Arial"/>
          <w:sz w:val="20"/>
        </w:rPr>
        <w:t xml:space="preserve"> means </w:t>
      </w:r>
      <w:r w:rsidRPr="00FB4CED">
        <w:rPr>
          <w:rFonts w:cs="Arial"/>
          <w:sz w:val="20"/>
        </w:rPr>
        <w:t>a Consultancy &amp; Commercial Res</w:t>
      </w:r>
      <w:r>
        <w:rPr>
          <w:rFonts w:cs="Arial"/>
          <w:sz w:val="20"/>
        </w:rPr>
        <w:t xml:space="preserve">earch (CCR) Project </w:t>
      </w:r>
      <w:r w:rsidR="006615CA">
        <w:rPr>
          <w:rFonts w:cs="Arial"/>
          <w:sz w:val="20"/>
        </w:rPr>
        <w:t xml:space="preserve">with a </w:t>
      </w:r>
      <w:r>
        <w:rPr>
          <w:rFonts w:cs="Arial"/>
          <w:sz w:val="20"/>
        </w:rPr>
        <w:t>Price at</w:t>
      </w:r>
      <w:r w:rsidR="00B37A87">
        <w:rPr>
          <w:rFonts w:cs="Arial"/>
          <w:sz w:val="20"/>
        </w:rPr>
        <w:t xml:space="preserve"> up to and including</w:t>
      </w:r>
      <w:r>
        <w:rPr>
          <w:rFonts w:cs="Arial"/>
          <w:sz w:val="20"/>
        </w:rPr>
        <w:t xml:space="preserve"> $</w:t>
      </w:r>
      <w:r w:rsidR="00EB3838">
        <w:rPr>
          <w:rFonts w:cs="Arial"/>
          <w:sz w:val="20"/>
        </w:rPr>
        <w:t>15</w:t>
      </w:r>
      <w:r w:rsidRPr="00FB4CED">
        <w:rPr>
          <w:rFonts w:cs="Arial"/>
          <w:sz w:val="20"/>
        </w:rPr>
        <w:t>,000 (excluding GST)</w:t>
      </w:r>
      <w:r w:rsidR="00486875">
        <w:rPr>
          <w:rFonts w:cs="Arial"/>
          <w:sz w:val="20"/>
        </w:rPr>
        <w:t>.</w:t>
      </w:r>
    </w:p>
    <w:p w14:paraId="6E08646A" w14:textId="6C838524" w:rsidR="005146F2" w:rsidRPr="00C41651" w:rsidRDefault="000C3679" w:rsidP="005146F2">
      <w:pPr>
        <w:ind w:left="0"/>
        <w:rPr>
          <w:rFonts w:cs="Arial"/>
          <w:sz w:val="20"/>
        </w:rPr>
      </w:pPr>
      <w:r>
        <w:rPr>
          <w:rFonts w:cs="Arial"/>
          <w:sz w:val="20"/>
        </w:rPr>
        <w:pict w14:anchorId="53011B5C">
          <v:rect id="_x0000_i1026" style="width:476.25pt;height:1pt" o:hralign="center" o:hrstd="t" o:hrnoshade="t" o:hr="t" fillcolor="#d8d8d8 [2732]" stroked="f"/>
        </w:pict>
      </w:r>
    </w:p>
    <w:p w14:paraId="42AA3967" w14:textId="77777777" w:rsidR="00B35FB8" w:rsidRPr="00B34D13" w:rsidRDefault="00385949" w:rsidP="00A61239">
      <w:pPr>
        <w:numPr>
          <w:ilvl w:val="0"/>
          <w:numId w:val="2"/>
        </w:numPr>
        <w:spacing w:before="100" w:beforeAutospacing="1" w:after="240"/>
        <w:rPr>
          <w:rFonts w:cs="Arial"/>
          <w:b/>
          <w:caps/>
          <w:sz w:val="24"/>
          <w:szCs w:val="24"/>
        </w:rPr>
      </w:pPr>
      <w:bookmarkStart w:id="2" w:name="guidingprinciples"/>
      <w:bookmarkEnd w:id="2"/>
      <w:r w:rsidRPr="00385949">
        <w:rPr>
          <w:b/>
          <w:caps/>
          <w:sz w:val="24"/>
          <w:szCs w:val="24"/>
        </w:rPr>
        <w:t>Guiding Principles</w:t>
      </w:r>
    </w:p>
    <w:p w14:paraId="42AA3968" w14:textId="77777777" w:rsidR="00385949" w:rsidRPr="00385949" w:rsidRDefault="00385949" w:rsidP="00385949">
      <w:pPr>
        <w:rPr>
          <w:rFonts w:cs="Arial"/>
          <w:sz w:val="20"/>
        </w:rPr>
      </w:pPr>
      <w:r w:rsidRPr="00385949">
        <w:rPr>
          <w:rFonts w:cs="Arial"/>
          <w:sz w:val="20"/>
        </w:rPr>
        <w:t>All Consultancy &amp; Commercial Research (CCR) Project Work as described in this policy is governed by the following guiding principles:</w:t>
      </w:r>
    </w:p>
    <w:p w14:paraId="42AA3969" w14:textId="5776CFF0" w:rsidR="00385949" w:rsidRPr="00385949" w:rsidRDefault="00385949" w:rsidP="00A61239">
      <w:pPr>
        <w:pStyle w:val="ListParagraph"/>
        <w:numPr>
          <w:ilvl w:val="0"/>
          <w:numId w:val="12"/>
        </w:numPr>
        <w:rPr>
          <w:rFonts w:cs="Arial"/>
          <w:sz w:val="20"/>
        </w:rPr>
      </w:pPr>
      <w:r w:rsidRPr="00385949">
        <w:rPr>
          <w:rFonts w:cs="Arial"/>
          <w:sz w:val="20"/>
        </w:rPr>
        <w:t xml:space="preserve">There should be demonstrable benefit to the University from Consultancy &amp; Commercial Research (CCR) Project Work, either directly through income and enhanced reputation, or indirectly through expanding the expertise of the </w:t>
      </w:r>
      <w:r w:rsidR="00E20934">
        <w:rPr>
          <w:rFonts w:cs="Arial"/>
          <w:sz w:val="20"/>
        </w:rPr>
        <w:t>Staff Member</w:t>
      </w:r>
      <w:r w:rsidRPr="00385949">
        <w:rPr>
          <w:rFonts w:cs="Arial"/>
          <w:sz w:val="20"/>
        </w:rPr>
        <w:t>.</w:t>
      </w:r>
    </w:p>
    <w:p w14:paraId="42AA396A" w14:textId="2E3BE0CA" w:rsidR="00385949" w:rsidRPr="00385949" w:rsidRDefault="00385949" w:rsidP="00A61239">
      <w:pPr>
        <w:pStyle w:val="ListParagraph"/>
        <w:numPr>
          <w:ilvl w:val="0"/>
          <w:numId w:val="12"/>
        </w:numPr>
        <w:rPr>
          <w:rFonts w:cs="Arial"/>
          <w:sz w:val="20"/>
        </w:rPr>
      </w:pPr>
      <w:r w:rsidRPr="00385949">
        <w:rPr>
          <w:rFonts w:cs="Arial"/>
          <w:sz w:val="20"/>
        </w:rPr>
        <w:t xml:space="preserve">The conduct of an approved Consultancy &amp; Commercial Research (CCR) Project forms part of the </w:t>
      </w:r>
      <w:r w:rsidR="00E20934">
        <w:rPr>
          <w:rFonts w:cs="Arial"/>
          <w:sz w:val="20"/>
        </w:rPr>
        <w:t>Staff Member</w:t>
      </w:r>
      <w:r w:rsidRPr="00385949">
        <w:rPr>
          <w:rFonts w:cs="Arial"/>
          <w:sz w:val="20"/>
        </w:rPr>
        <w:t xml:space="preserve">'s duties of employment </w:t>
      </w:r>
      <w:r w:rsidR="00C57954">
        <w:rPr>
          <w:rFonts w:cs="Arial"/>
          <w:sz w:val="20"/>
        </w:rPr>
        <w:t xml:space="preserve">or appointment </w:t>
      </w:r>
      <w:r w:rsidRPr="00385949">
        <w:rPr>
          <w:rFonts w:cs="Arial"/>
          <w:sz w:val="20"/>
        </w:rPr>
        <w:t>to the University.</w:t>
      </w:r>
    </w:p>
    <w:p w14:paraId="42AA396B" w14:textId="56441D10" w:rsidR="00385949" w:rsidRPr="00385949" w:rsidRDefault="00385949" w:rsidP="00A61239">
      <w:pPr>
        <w:pStyle w:val="ListParagraph"/>
        <w:numPr>
          <w:ilvl w:val="0"/>
          <w:numId w:val="12"/>
        </w:numPr>
        <w:rPr>
          <w:rFonts w:cs="Arial"/>
          <w:sz w:val="20"/>
        </w:rPr>
      </w:pPr>
      <w:r w:rsidRPr="00385949">
        <w:rPr>
          <w:rFonts w:cs="Arial"/>
          <w:sz w:val="20"/>
        </w:rPr>
        <w:t xml:space="preserve">Where proposed Consultancy &amp; Commercial Research (CCR) Project Work is likely to impact on the </w:t>
      </w:r>
      <w:r w:rsidR="00E20934">
        <w:rPr>
          <w:rFonts w:cs="Arial"/>
          <w:sz w:val="20"/>
        </w:rPr>
        <w:t>Staff Member</w:t>
      </w:r>
      <w:r w:rsidRPr="00385949">
        <w:rPr>
          <w:rFonts w:cs="Arial"/>
          <w:sz w:val="20"/>
        </w:rPr>
        <w:t xml:space="preserve">'s availability and capacity to perform their other University duties, then the </w:t>
      </w:r>
      <w:r w:rsidR="00E20934">
        <w:rPr>
          <w:rFonts w:cs="Arial"/>
          <w:sz w:val="20"/>
        </w:rPr>
        <w:t>Staff Member</w:t>
      </w:r>
      <w:r w:rsidRPr="00385949">
        <w:rPr>
          <w:rFonts w:cs="Arial"/>
          <w:sz w:val="20"/>
        </w:rPr>
        <w:t xml:space="preserve"> must discuss that impact with their Head of Host Element prior to submitting a proposal to the </w:t>
      </w:r>
      <w:r w:rsidR="00DF4727">
        <w:rPr>
          <w:rFonts w:cs="Arial"/>
          <w:sz w:val="20"/>
        </w:rPr>
        <w:t>E</w:t>
      </w:r>
      <w:r w:rsidRPr="00385949">
        <w:rPr>
          <w:rFonts w:cs="Arial"/>
          <w:sz w:val="20"/>
        </w:rPr>
        <w:t xml:space="preserve">xternal </w:t>
      </w:r>
      <w:r w:rsidR="00DF4727">
        <w:rPr>
          <w:rFonts w:cs="Arial"/>
          <w:sz w:val="20"/>
        </w:rPr>
        <w:t>O</w:t>
      </w:r>
      <w:r w:rsidRPr="00385949">
        <w:rPr>
          <w:rFonts w:cs="Arial"/>
          <w:sz w:val="20"/>
        </w:rPr>
        <w:t>rganisation.</w:t>
      </w:r>
    </w:p>
    <w:p w14:paraId="42AA396C" w14:textId="3FA507CA" w:rsidR="00385949" w:rsidRPr="00385949" w:rsidRDefault="00385949" w:rsidP="00A61239">
      <w:pPr>
        <w:pStyle w:val="ListParagraph"/>
        <w:numPr>
          <w:ilvl w:val="0"/>
          <w:numId w:val="12"/>
        </w:numPr>
        <w:rPr>
          <w:rFonts w:cs="Arial"/>
          <w:sz w:val="20"/>
        </w:rPr>
      </w:pPr>
      <w:r w:rsidRPr="00385949">
        <w:rPr>
          <w:rFonts w:cs="Arial"/>
          <w:sz w:val="20"/>
        </w:rPr>
        <w:t xml:space="preserve">In some circumstances, it will be necessary to organise a replacement for the </w:t>
      </w:r>
      <w:r w:rsidR="00E20934">
        <w:rPr>
          <w:rFonts w:cs="Arial"/>
          <w:sz w:val="20"/>
        </w:rPr>
        <w:t>Staff Member</w:t>
      </w:r>
      <w:r w:rsidRPr="00385949">
        <w:rPr>
          <w:rFonts w:cs="Arial"/>
          <w:sz w:val="20"/>
        </w:rPr>
        <w:t xml:space="preserve"> in order to cover their other University duties. </w:t>
      </w:r>
      <w:r w:rsidR="00E058FD">
        <w:rPr>
          <w:rFonts w:cs="Arial"/>
          <w:sz w:val="20"/>
        </w:rPr>
        <w:t xml:space="preserve"> </w:t>
      </w:r>
      <w:r w:rsidRPr="00385949">
        <w:rPr>
          <w:rFonts w:cs="Arial"/>
          <w:sz w:val="20"/>
        </w:rPr>
        <w:t xml:space="preserve">If so, the calculation and inclusion of the resulting </w:t>
      </w:r>
      <w:r w:rsidR="0044222A">
        <w:rPr>
          <w:rFonts w:cs="Arial"/>
          <w:sz w:val="20"/>
        </w:rPr>
        <w:t>R</w:t>
      </w:r>
      <w:r w:rsidRPr="00385949">
        <w:rPr>
          <w:rFonts w:cs="Arial"/>
          <w:sz w:val="20"/>
        </w:rPr>
        <w:t xml:space="preserve">eplacement </w:t>
      </w:r>
      <w:r w:rsidR="0044222A">
        <w:rPr>
          <w:rFonts w:cs="Arial"/>
          <w:sz w:val="20"/>
        </w:rPr>
        <w:t>C</w:t>
      </w:r>
      <w:r w:rsidRPr="00385949">
        <w:rPr>
          <w:rFonts w:cs="Arial"/>
          <w:sz w:val="20"/>
        </w:rPr>
        <w:t>ost shou</w:t>
      </w:r>
      <w:r w:rsidR="007954CA">
        <w:rPr>
          <w:rFonts w:cs="Arial"/>
          <w:sz w:val="20"/>
        </w:rPr>
        <w:t>ld be included in,</w:t>
      </w:r>
      <w:r w:rsidRPr="00385949">
        <w:rPr>
          <w:rFonts w:cs="Arial"/>
          <w:sz w:val="20"/>
        </w:rPr>
        <w:t xml:space="preserve"> and determined in accordance with the CCR Project </w:t>
      </w:r>
      <w:r w:rsidR="00A32830">
        <w:rPr>
          <w:rFonts w:cs="Arial"/>
          <w:sz w:val="20"/>
        </w:rPr>
        <w:t>Coversheet</w:t>
      </w:r>
      <w:r w:rsidR="00AF32A2">
        <w:rPr>
          <w:rFonts w:cs="Arial"/>
          <w:sz w:val="20"/>
        </w:rPr>
        <w:t xml:space="preserve"> and CCR Budget Breakdown document</w:t>
      </w:r>
      <w:r w:rsidR="00B37A87">
        <w:rPr>
          <w:rFonts w:cs="Arial"/>
          <w:sz w:val="20"/>
        </w:rPr>
        <w:t xml:space="preserve"> (when applicable)</w:t>
      </w:r>
      <w:r w:rsidRPr="00385949">
        <w:rPr>
          <w:rFonts w:cs="Arial"/>
          <w:sz w:val="20"/>
        </w:rPr>
        <w:t>.</w:t>
      </w:r>
    </w:p>
    <w:p w14:paraId="42AA396D" w14:textId="3887716F" w:rsidR="00385949" w:rsidRPr="00385949" w:rsidRDefault="00385949" w:rsidP="00A61239">
      <w:pPr>
        <w:pStyle w:val="ListParagraph"/>
        <w:numPr>
          <w:ilvl w:val="0"/>
          <w:numId w:val="12"/>
        </w:numPr>
        <w:rPr>
          <w:rFonts w:cs="Arial"/>
          <w:sz w:val="20"/>
        </w:rPr>
      </w:pPr>
      <w:r w:rsidRPr="00385949">
        <w:rPr>
          <w:rFonts w:cs="Arial"/>
          <w:sz w:val="20"/>
        </w:rPr>
        <w:t>Consultancy &amp; Commercial Research (CCR) Project Work must not be in conflict with University policies governing employment; e.g. (</w:t>
      </w:r>
      <w:proofErr w:type="spellStart"/>
      <w:r w:rsidRPr="00385949">
        <w:rPr>
          <w:rFonts w:cs="Arial"/>
          <w:sz w:val="20"/>
        </w:rPr>
        <w:t>i</w:t>
      </w:r>
      <w:proofErr w:type="spellEnd"/>
      <w:r w:rsidRPr="00385949">
        <w:rPr>
          <w:rFonts w:cs="Arial"/>
          <w:sz w:val="20"/>
        </w:rPr>
        <w:t xml:space="preserve">) Code of Conduct (particularly the sections relating to 'working with integrity' and 'working with resources'), (ii) Preserving Professional Relationships, (iii) </w:t>
      </w:r>
      <w:r w:rsidR="00F718CA">
        <w:rPr>
          <w:rFonts w:cs="Arial"/>
          <w:sz w:val="20"/>
        </w:rPr>
        <w:t xml:space="preserve">Academic Freedom and Freedom of Speech Policy (iv) </w:t>
      </w:r>
      <w:r w:rsidRPr="00385949">
        <w:rPr>
          <w:rFonts w:cs="Arial"/>
          <w:sz w:val="20"/>
        </w:rPr>
        <w:t xml:space="preserve">Conflict of Interest, and (v) Ethical </w:t>
      </w:r>
      <w:r w:rsidR="00B16430">
        <w:rPr>
          <w:rFonts w:cs="Arial"/>
          <w:sz w:val="20"/>
        </w:rPr>
        <w:t>Principl</w:t>
      </w:r>
      <w:r w:rsidR="00F718CA">
        <w:rPr>
          <w:rFonts w:cs="Arial"/>
          <w:sz w:val="20"/>
        </w:rPr>
        <w:t>e</w:t>
      </w:r>
      <w:r w:rsidR="00B16430">
        <w:rPr>
          <w:rFonts w:cs="Arial"/>
          <w:sz w:val="20"/>
        </w:rPr>
        <w:t>s</w:t>
      </w:r>
      <w:r w:rsidRPr="00385949">
        <w:rPr>
          <w:rFonts w:cs="Arial"/>
          <w:sz w:val="20"/>
        </w:rPr>
        <w:t>.</w:t>
      </w:r>
    </w:p>
    <w:p w14:paraId="42AA396E" w14:textId="77777777" w:rsidR="00385949" w:rsidRPr="00385949" w:rsidRDefault="00385949" w:rsidP="00A61239">
      <w:pPr>
        <w:pStyle w:val="ListParagraph"/>
        <w:numPr>
          <w:ilvl w:val="0"/>
          <w:numId w:val="12"/>
        </w:numPr>
        <w:rPr>
          <w:rFonts w:cs="Arial"/>
          <w:sz w:val="20"/>
        </w:rPr>
      </w:pPr>
      <w:r w:rsidRPr="00385949">
        <w:rPr>
          <w:rFonts w:cs="Arial"/>
          <w:sz w:val="20"/>
        </w:rPr>
        <w:t>The Consultancy &amp; Commercial Research (CCR) Project Work must not be in conflict with the statutory functions, objectives or aims of the University, or damage the University's reputation.</w:t>
      </w:r>
    </w:p>
    <w:p w14:paraId="42AA396F" w14:textId="77777777" w:rsidR="00385949" w:rsidRPr="00385949" w:rsidRDefault="00385949" w:rsidP="00A61239">
      <w:pPr>
        <w:pStyle w:val="ListParagraph"/>
        <w:numPr>
          <w:ilvl w:val="0"/>
          <w:numId w:val="12"/>
        </w:numPr>
        <w:rPr>
          <w:rFonts w:cs="Arial"/>
          <w:sz w:val="20"/>
        </w:rPr>
      </w:pPr>
      <w:r w:rsidRPr="00385949">
        <w:rPr>
          <w:rFonts w:cs="Arial"/>
          <w:sz w:val="20"/>
        </w:rPr>
        <w:lastRenderedPageBreak/>
        <w:t>The Consultancy &amp; Commercial Research (CCR) Project Work must not compromise the University's obligations under (</w:t>
      </w:r>
      <w:proofErr w:type="spellStart"/>
      <w:r w:rsidRPr="00385949">
        <w:rPr>
          <w:rFonts w:cs="Arial"/>
          <w:sz w:val="20"/>
        </w:rPr>
        <w:t>i</w:t>
      </w:r>
      <w:proofErr w:type="spellEnd"/>
      <w:r w:rsidRPr="00385949">
        <w:rPr>
          <w:rFonts w:cs="Arial"/>
          <w:sz w:val="20"/>
        </w:rPr>
        <w:t>) various legislative frameworks (be those Commonwealth, State, local) including refraining from anti-competitive practices; and (ii) existing contracts.</w:t>
      </w:r>
    </w:p>
    <w:p w14:paraId="42AA3970" w14:textId="0C97A56D" w:rsidR="00D57CE6" w:rsidRDefault="00AF32A2" w:rsidP="00A61239">
      <w:pPr>
        <w:pStyle w:val="ListParagraph"/>
        <w:numPr>
          <w:ilvl w:val="0"/>
          <w:numId w:val="12"/>
        </w:numPr>
        <w:rPr>
          <w:rFonts w:cs="Arial"/>
          <w:sz w:val="20"/>
        </w:rPr>
      </w:pPr>
      <w:r>
        <w:rPr>
          <w:rFonts w:cs="Arial"/>
          <w:sz w:val="20"/>
        </w:rPr>
        <w:t xml:space="preserve">Relevant </w:t>
      </w:r>
      <w:r w:rsidR="00385949" w:rsidRPr="00385949">
        <w:rPr>
          <w:rFonts w:cs="Arial"/>
          <w:sz w:val="20"/>
        </w:rPr>
        <w:t xml:space="preserve">Staff </w:t>
      </w:r>
      <w:r w:rsidR="0044222A">
        <w:rPr>
          <w:rFonts w:cs="Arial"/>
          <w:sz w:val="20"/>
        </w:rPr>
        <w:t>M</w:t>
      </w:r>
      <w:r w:rsidR="00385949" w:rsidRPr="00385949">
        <w:rPr>
          <w:rFonts w:cs="Arial"/>
          <w:sz w:val="20"/>
        </w:rPr>
        <w:t xml:space="preserve">embers engaged in Consultancy &amp; Commercial Research (CCR) Project Work shall be compensated fairly. </w:t>
      </w:r>
      <w:r w:rsidR="00E058FD">
        <w:rPr>
          <w:rFonts w:cs="Arial"/>
          <w:sz w:val="20"/>
        </w:rPr>
        <w:t xml:space="preserve"> </w:t>
      </w:r>
      <w:r w:rsidR="00385949" w:rsidRPr="00385949">
        <w:rPr>
          <w:rFonts w:cs="Arial"/>
          <w:sz w:val="20"/>
        </w:rPr>
        <w:t xml:space="preserve">Distribution of any </w:t>
      </w:r>
      <w:r w:rsidR="00EE4065">
        <w:rPr>
          <w:rFonts w:cs="Arial"/>
          <w:sz w:val="20"/>
        </w:rPr>
        <w:t>S</w:t>
      </w:r>
      <w:r w:rsidR="00385949" w:rsidRPr="00385949">
        <w:rPr>
          <w:rFonts w:cs="Arial"/>
          <w:sz w:val="20"/>
        </w:rPr>
        <w:t xml:space="preserve">urplus shall ensure that any </w:t>
      </w:r>
      <w:r>
        <w:rPr>
          <w:rFonts w:cs="Arial"/>
          <w:sz w:val="20"/>
        </w:rPr>
        <w:t xml:space="preserve">relevant </w:t>
      </w:r>
      <w:r w:rsidR="00E20934">
        <w:rPr>
          <w:rFonts w:cs="Arial"/>
          <w:sz w:val="20"/>
        </w:rPr>
        <w:t>Staff Member</w:t>
      </w:r>
      <w:r w:rsidR="00385949" w:rsidRPr="00385949">
        <w:rPr>
          <w:rFonts w:cs="Arial"/>
          <w:sz w:val="20"/>
        </w:rPr>
        <w:t xml:space="preserve">s </w:t>
      </w:r>
      <w:r>
        <w:rPr>
          <w:rFonts w:cs="Arial"/>
          <w:sz w:val="20"/>
        </w:rPr>
        <w:t xml:space="preserve">(depending on </w:t>
      </w:r>
      <w:r w:rsidR="002B305A">
        <w:rPr>
          <w:rFonts w:cs="Arial"/>
          <w:sz w:val="20"/>
        </w:rPr>
        <w:t>a</w:t>
      </w:r>
      <w:r>
        <w:rPr>
          <w:rFonts w:cs="Arial"/>
          <w:sz w:val="20"/>
        </w:rPr>
        <w:t xml:space="preserve">ppointment type) </w:t>
      </w:r>
      <w:r w:rsidR="00385949" w:rsidRPr="00385949">
        <w:rPr>
          <w:rFonts w:cs="Arial"/>
          <w:sz w:val="20"/>
        </w:rPr>
        <w:t>involved in a Consultancy &amp; Commercial Research (CCR) Project will receive a share reflective of their contribution to the Consultancy &amp; Commercial Research (CCR) Project in accordance with section 4.5.</w:t>
      </w:r>
    </w:p>
    <w:p w14:paraId="30B1F714" w14:textId="2F5E612B" w:rsidR="005146F2" w:rsidRDefault="000C3679" w:rsidP="005146F2">
      <w:pPr>
        <w:pStyle w:val="ListParagraph"/>
        <w:ind w:left="0"/>
        <w:rPr>
          <w:rFonts w:cs="Arial"/>
          <w:sz w:val="20"/>
        </w:rPr>
      </w:pPr>
      <w:r>
        <w:rPr>
          <w:rFonts w:cs="Arial"/>
          <w:sz w:val="20"/>
        </w:rPr>
        <w:pict w14:anchorId="366081C0">
          <v:rect id="_x0000_i1027" style="width:476.25pt;height:1pt" o:hralign="center" o:hrstd="t" o:hrnoshade="t" o:hr="t" fillcolor="#d8d8d8 [2732]" stroked="f"/>
        </w:pict>
      </w:r>
    </w:p>
    <w:p w14:paraId="42AA3971" w14:textId="77777777" w:rsidR="00B35FB8" w:rsidRPr="00B34D13" w:rsidRDefault="00385949" w:rsidP="00A61239">
      <w:pPr>
        <w:numPr>
          <w:ilvl w:val="0"/>
          <w:numId w:val="2"/>
        </w:numPr>
        <w:spacing w:before="100" w:beforeAutospacing="1" w:after="240"/>
        <w:rPr>
          <w:rFonts w:cs="Arial"/>
          <w:b/>
          <w:caps/>
          <w:sz w:val="24"/>
          <w:szCs w:val="24"/>
        </w:rPr>
      </w:pPr>
      <w:bookmarkStart w:id="3" w:name="administrativerequirements"/>
      <w:bookmarkEnd w:id="3"/>
      <w:r w:rsidRPr="00385949">
        <w:rPr>
          <w:b/>
          <w:caps/>
          <w:sz w:val="24"/>
          <w:szCs w:val="24"/>
        </w:rPr>
        <w:t>Administrative Requirements</w:t>
      </w:r>
    </w:p>
    <w:p w14:paraId="42AA3972" w14:textId="77777777" w:rsidR="00385949" w:rsidRPr="00385949" w:rsidRDefault="00385949" w:rsidP="00A61239">
      <w:pPr>
        <w:numPr>
          <w:ilvl w:val="1"/>
          <w:numId w:val="2"/>
        </w:numPr>
        <w:tabs>
          <w:tab w:val="clear" w:pos="1146"/>
          <w:tab w:val="left" w:pos="1134"/>
        </w:tabs>
        <w:rPr>
          <w:rFonts w:cs="Arial"/>
          <w:b/>
          <w:sz w:val="20"/>
        </w:rPr>
      </w:pPr>
      <w:r w:rsidRPr="00385949">
        <w:rPr>
          <w:rFonts w:cs="Arial"/>
          <w:b/>
          <w:sz w:val="20"/>
        </w:rPr>
        <w:t>General Requirements</w:t>
      </w:r>
    </w:p>
    <w:p w14:paraId="42AA3973" w14:textId="77777777" w:rsidR="00385949" w:rsidRPr="00385949" w:rsidRDefault="00385949" w:rsidP="00A61239">
      <w:pPr>
        <w:numPr>
          <w:ilvl w:val="2"/>
          <w:numId w:val="2"/>
        </w:numPr>
        <w:tabs>
          <w:tab w:val="left" w:pos="1134"/>
        </w:tabs>
        <w:rPr>
          <w:rFonts w:cs="Arial"/>
          <w:sz w:val="20"/>
        </w:rPr>
      </w:pPr>
      <w:r w:rsidRPr="00385949">
        <w:rPr>
          <w:rFonts w:cs="Arial"/>
          <w:sz w:val="20"/>
        </w:rPr>
        <w:t>Approval</w:t>
      </w:r>
    </w:p>
    <w:p w14:paraId="42AA3974" w14:textId="2227A8BA" w:rsidR="00385949" w:rsidRPr="00385949" w:rsidRDefault="00385949" w:rsidP="002E362A">
      <w:pPr>
        <w:tabs>
          <w:tab w:val="left" w:pos="1134"/>
        </w:tabs>
        <w:ind w:left="1872"/>
        <w:rPr>
          <w:rFonts w:cs="Arial"/>
          <w:sz w:val="20"/>
        </w:rPr>
      </w:pPr>
      <w:r w:rsidRPr="00385949">
        <w:rPr>
          <w:rFonts w:cs="Arial"/>
          <w:sz w:val="20"/>
        </w:rPr>
        <w:t xml:space="preserve">All Consultancy &amp; Commercial Research (CCR) Project Work is required to be approved and managed in accordance with this policy, associated documents, and other University policies (such as the University's </w:t>
      </w:r>
      <w:r w:rsidR="00EE4065">
        <w:rPr>
          <w:rFonts w:cs="Arial"/>
          <w:sz w:val="20"/>
        </w:rPr>
        <w:t>Code of Conduct and Conflict of Interest Policy</w:t>
      </w:r>
      <w:r w:rsidRPr="00385949">
        <w:rPr>
          <w:rFonts w:cs="Arial"/>
          <w:sz w:val="20"/>
        </w:rPr>
        <w:t xml:space="preserve">). </w:t>
      </w:r>
      <w:r w:rsidR="00E058FD">
        <w:rPr>
          <w:rFonts w:cs="Arial"/>
          <w:sz w:val="20"/>
        </w:rPr>
        <w:t xml:space="preserve"> </w:t>
      </w:r>
      <w:r w:rsidRPr="00385949">
        <w:rPr>
          <w:rFonts w:cs="Arial"/>
          <w:sz w:val="20"/>
        </w:rPr>
        <w:t xml:space="preserve">Consultancy &amp; Commercial Research (CCR) Projects are required to be approved through the completion and </w:t>
      </w:r>
      <w:r w:rsidR="006D7DEA">
        <w:rPr>
          <w:rFonts w:cs="Arial"/>
          <w:sz w:val="20"/>
        </w:rPr>
        <w:t>approval</w:t>
      </w:r>
      <w:r w:rsidRPr="00385949">
        <w:rPr>
          <w:rFonts w:cs="Arial"/>
          <w:sz w:val="20"/>
        </w:rPr>
        <w:t xml:space="preserve"> of a CCR Project </w:t>
      </w:r>
      <w:r w:rsidR="00A32830">
        <w:rPr>
          <w:rFonts w:cs="Arial"/>
          <w:sz w:val="20"/>
        </w:rPr>
        <w:t>Coversheet</w:t>
      </w:r>
      <w:r w:rsidRPr="00385949">
        <w:rPr>
          <w:rFonts w:cs="Arial"/>
          <w:sz w:val="20"/>
        </w:rPr>
        <w:t>.</w:t>
      </w:r>
    </w:p>
    <w:p w14:paraId="42AA3975" w14:textId="77777777" w:rsidR="00385949" w:rsidRPr="00385949" w:rsidRDefault="00385949" w:rsidP="002E362A">
      <w:pPr>
        <w:tabs>
          <w:tab w:val="left" w:pos="1134"/>
        </w:tabs>
        <w:ind w:left="1872"/>
        <w:rPr>
          <w:rFonts w:cs="Arial"/>
          <w:sz w:val="20"/>
        </w:rPr>
      </w:pPr>
      <w:r w:rsidRPr="00385949">
        <w:rPr>
          <w:rFonts w:cs="Arial"/>
          <w:sz w:val="20"/>
        </w:rPr>
        <w:t>Section 7 provides a "Ready Reference", detailing for each category of a Consultancy &amp; Commercial Research (CCR) Project:</w:t>
      </w:r>
    </w:p>
    <w:p w14:paraId="42AA3976" w14:textId="703BC11B" w:rsidR="00385949" w:rsidRPr="002E362A" w:rsidRDefault="00385949" w:rsidP="00A61239">
      <w:pPr>
        <w:pStyle w:val="ListParagraph"/>
        <w:numPr>
          <w:ilvl w:val="0"/>
          <w:numId w:val="13"/>
        </w:numPr>
        <w:tabs>
          <w:tab w:val="left" w:pos="1134"/>
        </w:tabs>
        <w:rPr>
          <w:rFonts w:cs="Arial"/>
          <w:sz w:val="20"/>
        </w:rPr>
      </w:pPr>
      <w:r w:rsidRPr="002E362A">
        <w:rPr>
          <w:rFonts w:cs="Arial"/>
          <w:sz w:val="20"/>
        </w:rPr>
        <w:t xml:space="preserve">the approving authority for CCR Project </w:t>
      </w:r>
      <w:r w:rsidR="00A32830">
        <w:rPr>
          <w:rFonts w:cs="Arial"/>
          <w:sz w:val="20"/>
        </w:rPr>
        <w:t>Coversheet</w:t>
      </w:r>
      <w:r w:rsidRPr="002E362A">
        <w:rPr>
          <w:rFonts w:cs="Arial"/>
          <w:sz w:val="20"/>
        </w:rPr>
        <w:t>s;</w:t>
      </w:r>
    </w:p>
    <w:p w14:paraId="42AA3977" w14:textId="7551BFA4" w:rsidR="00385949" w:rsidRPr="002E362A" w:rsidRDefault="00385949" w:rsidP="00A61239">
      <w:pPr>
        <w:pStyle w:val="ListParagraph"/>
        <w:numPr>
          <w:ilvl w:val="0"/>
          <w:numId w:val="13"/>
        </w:numPr>
        <w:tabs>
          <w:tab w:val="left" w:pos="1134"/>
        </w:tabs>
        <w:rPr>
          <w:rFonts w:cs="Arial"/>
          <w:sz w:val="20"/>
        </w:rPr>
      </w:pPr>
      <w:r w:rsidRPr="002E362A">
        <w:rPr>
          <w:rFonts w:cs="Arial"/>
          <w:sz w:val="20"/>
        </w:rPr>
        <w:t xml:space="preserve">the approving authority for </w:t>
      </w:r>
      <w:r w:rsidR="00C434D6">
        <w:rPr>
          <w:rFonts w:cs="Arial"/>
          <w:sz w:val="20"/>
        </w:rPr>
        <w:t>F</w:t>
      </w:r>
      <w:r w:rsidRPr="002E362A">
        <w:rPr>
          <w:rFonts w:cs="Arial"/>
          <w:sz w:val="20"/>
        </w:rPr>
        <w:t xml:space="preserve">ormal </w:t>
      </w:r>
      <w:r w:rsidR="00C434D6">
        <w:rPr>
          <w:rFonts w:cs="Arial"/>
          <w:sz w:val="20"/>
        </w:rPr>
        <w:t>W</w:t>
      </w:r>
      <w:r w:rsidRPr="002E362A">
        <w:rPr>
          <w:rFonts w:cs="Arial"/>
          <w:sz w:val="20"/>
        </w:rPr>
        <w:t xml:space="preserve">ritten </w:t>
      </w:r>
      <w:r w:rsidR="00C434D6">
        <w:rPr>
          <w:rFonts w:cs="Arial"/>
          <w:sz w:val="20"/>
        </w:rPr>
        <w:t>C</w:t>
      </w:r>
      <w:r w:rsidRPr="002E362A">
        <w:rPr>
          <w:rFonts w:cs="Arial"/>
          <w:sz w:val="20"/>
        </w:rPr>
        <w:t>ontracts;</w:t>
      </w:r>
    </w:p>
    <w:p w14:paraId="42AA3978" w14:textId="04BDFDDB" w:rsidR="00385949" w:rsidRPr="002E362A" w:rsidRDefault="00385949" w:rsidP="00A61239">
      <w:pPr>
        <w:pStyle w:val="ListParagraph"/>
        <w:numPr>
          <w:ilvl w:val="0"/>
          <w:numId w:val="13"/>
        </w:numPr>
        <w:tabs>
          <w:tab w:val="left" w:pos="1134"/>
        </w:tabs>
        <w:rPr>
          <w:rFonts w:cs="Arial"/>
          <w:sz w:val="20"/>
        </w:rPr>
      </w:pPr>
      <w:r w:rsidRPr="002E362A">
        <w:rPr>
          <w:rFonts w:cs="Arial"/>
          <w:sz w:val="20"/>
        </w:rPr>
        <w:t xml:space="preserve">the applicable </w:t>
      </w:r>
      <w:r w:rsidR="00C434D6">
        <w:rPr>
          <w:rFonts w:cs="Arial"/>
          <w:sz w:val="20"/>
        </w:rPr>
        <w:t>O</w:t>
      </w:r>
      <w:r w:rsidRPr="002E362A">
        <w:rPr>
          <w:rFonts w:cs="Arial"/>
          <w:sz w:val="20"/>
        </w:rPr>
        <w:t xml:space="preserve">verhead </w:t>
      </w:r>
      <w:r w:rsidR="00C434D6">
        <w:rPr>
          <w:rFonts w:cs="Arial"/>
          <w:sz w:val="20"/>
        </w:rPr>
        <w:t>C</w:t>
      </w:r>
      <w:r w:rsidRPr="002E362A">
        <w:rPr>
          <w:rFonts w:cs="Arial"/>
          <w:sz w:val="20"/>
        </w:rPr>
        <w:t>ost; and</w:t>
      </w:r>
    </w:p>
    <w:p w14:paraId="42AA3979" w14:textId="7DF0ADED" w:rsidR="00385949" w:rsidRPr="002E362A" w:rsidRDefault="00385949" w:rsidP="00A61239">
      <w:pPr>
        <w:pStyle w:val="ListParagraph"/>
        <w:numPr>
          <w:ilvl w:val="0"/>
          <w:numId w:val="13"/>
        </w:numPr>
        <w:tabs>
          <w:tab w:val="left" w:pos="1134"/>
        </w:tabs>
        <w:rPr>
          <w:rFonts w:cs="Arial"/>
          <w:sz w:val="20"/>
        </w:rPr>
      </w:pPr>
      <w:r w:rsidRPr="002E362A">
        <w:rPr>
          <w:rFonts w:cs="Arial"/>
          <w:sz w:val="20"/>
        </w:rPr>
        <w:t xml:space="preserve">the University Element with authority to submit a Consultancy &amp; Commercial Research (CCR) Project proposal to an </w:t>
      </w:r>
      <w:r w:rsidR="00DF4727">
        <w:rPr>
          <w:rFonts w:cs="Arial"/>
          <w:sz w:val="20"/>
        </w:rPr>
        <w:t>E</w:t>
      </w:r>
      <w:r w:rsidRPr="002E362A">
        <w:rPr>
          <w:rFonts w:cs="Arial"/>
          <w:sz w:val="20"/>
        </w:rPr>
        <w:t xml:space="preserve">xternal </w:t>
      </w:r>
      <w:r w:rsidR="00DF4727">
        <w:rPr>
          <w:rFonts w:cs="Arial"/>
          <w:sz w:val="20"/>
        </w:rPr>
        <w:t>O</w:t>
      </w:r>
      <w:r w:rsidRPr="002E362A">
        <w:rPr>
          <w:rFonts w:cs="Arial"/>
          <w:sz w:val="20"/>
        </w:rPr>
        <w:t>rganisation.</w:t>
      </w:r>
    </w:p>
    <w:p w14:paraId="42AA397A" w14:textId="77777777" w:rsidR="00385949" w:rsidRPr="00385949" w:rsidRDefault="00385949" w:rsidP="00A61239">
      <w:pPr>
        <w:numPr>
          <w:ilvl w:val="2"/>
          <w:numId w:val="2"/>
        </w:numPr>
        <w:tabs>
          <w:tab w:val="left" w:pos="1134"/>
        </w:tabs>
        <w:rPr>
          <w:rFonts w:cs="Arial"/>
          <w:sz w:val="20"/>
        </w:rPr>
      </w:pPr>
      <w:r w:rsidRPr="00385949">
        <w:rPr>
          <w:rFonts w:cs="Arial"/>
          <w:sz w:val="20"/>
        </w:rPr>
        <w:t>Intellectual Property</w:t>
      </w:r>
    </w:p>
    <w:p w14:paraId="42AA397B" w14:textId="7E209310" w:rsidR="00385949" w:rsidRPr="00385949" w:rsidRDefault="00385949" w:rsidP="002E362A">
      <w:pPr>
        <w:tabs>
          <w:tab w:val="left" w:pos="1134"/>
        </w:tabs>
        <w:ind w:left="1872"/>
        <w:rPr>
          <w:rFonts w:cs="Arial"/>
          <w:sz w:val="20"/>
        </w:rPr>
      </w:pPr>
      <w:r w:rsidRPr="00385949">
        <w:rPr>
          <w:rFonts w:cs="Arial"/>
          <w:sz w:val="20"/>
        </w:rPr>
        <w:t xml:space="preserve">To ensure that the University can enter into </w:t>
      </w:r>
      <w:r w:rsidR="00EE1F03">
        <w:rPr>
          <w:rFonts w:cs="Arial"/>
          <w:sz w:val="20"/>
        </w:rPr>
        <w:t>CCR Project Work</w:t>
      </w:r>
      <w:r w:rsidRPr="00385949">
        <w:rPr>
          <w:rFonts w:cs="Arial"/>
          <w:sz w:val="20"/>
        </w:rPr>
        <w:t xml:space="preserve"> with the </w:t>
      </w:r>
      <w:r w:rsidR="00DF4727">
        <w:rPr>
          <w:rFonts w:cs="Arial"/>
          <w:sz w:val="20"/>
        </w:rPr>
        <w:t>E</w:t>
      </w:r>
      <w:r w:rsidRPr="00385949">
        <w:rPr>
          <w:rFonts w:cs="Arial"/>
          <w:sz w:val="20"/>
        </w:rPr>
        <w:t xml:space="preserve">xternal </w:t>
      </w:r>
      <w:r w:rsidR="00DF4727">
        <w:rPr>
          <w:rFonts w:cs="Arial"/>
          <w:sz w:val="20"/>
        </w:rPr>
        <w:t>O</w:t>
      </w:r>
      <w:r w:rsidRPr="00385949">
        <w:rPr>
          <w:rFonts w:cs="Arial"/>
          <w:sz w:val="20"/>
        </w:rPr>
        <w:t>rganisation:</w:t>
      </w:r>
    </w:p>
    <w:p w14:paraId="42AA397C" w14:textId="137A9D3F" w:rsidR="00385949" w:rsidRPr="002E362A" w:rsidRDefault="00385949" w:rsidP="00A61239">
      <w:pPr>
        <w:pStyle w:val="ListParagraph"/>
        <w:numPr>
          <w:ilvl w:val="0"/>
          <w:numId w:val="14"/>
        </w:numPr>
        <w:tabs>
          <w:tab w:val="left" w:pos="1134"/>
        </w:tabs>
        <w:rPr>
          <w:rFonts w:cs="Arial"/>
          <w:sz w:val="20"/>
        </w:rPr>
      </w:pPr>
      <w:r w:rsidRPr="002E362A">
        <w:rPr>
          <w:rFonts w:cs="Arial"/>
          <w:sz w:val="20"/>
        </w:rPr>
        <w:t xml:space="preserve">All </w:t>
      </w:r>
      <w:r w:rsidR="00B04587">
        <w:rPr>
          <w:rFonts w:cs="Arial"/>
          <w:sz w:val="20"/>
        </w:rPr>
        <w:t>B</w:t>
      </w:r>
      <w:r w:rsidRPr="002E362A">
        <w:rPr>
          <w:rFonts w:cs="Arial"/>
          <w:sz w:val="20"/>
        </w:rPr>
        <w:t xml:space="preserve">ackground </w:t>
      </w:r>
      <w:r w:rsidR="00B04587">
        <w:rPr>
          <w:rFonts w:cs="Arial"/>
          <w:sz w:val="20"/>
        </w:rPr>
        <w:t>I</w:t>
      </w:r>
      <w:r w:rsidRPr="002E362A">
        <w:rPr>
          <w:rFonts w:cs="Arial"/>
          <w:sz w:val="20"/>
        </w:rPr>
        <w:t xml:space="preserve">ntellectual </w:t>
      </w:r>
      <w:r w:rsidR="00B04587">
        <w:rPr>
          <w:rFonts w:cs="Arial"/>
          <w:sz w:val="20"/>
        </w:rPr>
        <w:t>P</w:t>
      </w:r>
      <w:r w:rsidRPr="002E362A">
        <w:rPr>
          <w:rFonts w:cs="Arial"/>
          <w:sz w:val="20"/>
        </w:rPr>
        <w:t xml:space="preserve">roperty brought to a Consultancy &amp; Commercial Research (CCR) Project by a </w:t>
      </w:r>
      <w:r w:rsidR="00E20934">
        <w:rPr>
          <w:rFonts w:cs="Arial"/>
          <w:sz w:val="20"/>
        </w:rPr>
        <w:t>Staff Member</w:t>
      </w:r>
      <w:r w:rsidRPr="002E362A">
        <w:rPr>
          <w:rFonts w:cs="Arial"/>
          <w:sz w:val="20"/>
        </w:rPr>
        <w:t xml:space="preserve"> must be free from encumbrances that would otherwise restrict the University's ability to comply with its obligations in relation to the Consultancy &amp; Commercial Research (CCR) Project ; and</w:t>
      </w:r>
    </w:p>
    <w:p w14:paraId="42AA397D" w14:textId="3F6C13F5" w:rsidR="00385949" w:rsidRPr="002E362A" w:rsidRDefault="00385949" w:rsidP="00A61239">
      <w:pPr>
        <w:pStyle w:val="ListParagraph"/>
        <w:numPr>
          <w:ilvl w:val="0"/>
          <w:numId w:val="14"/>
        </w:numPr>
        <w:tabs>
          <w:tab w:val="left" w:pos="1134"/>
        </w:tabs>
        <w:rPr>
          <w:rFonts w:cs="Arial"/>
          <w:sz w:val="20"/>
        </w:rPr>
      </w:pPr>
      <w:r w:rsidRPr="002E362A">
        <w:rPr>
          <w:rFonts w:cs="Arial"/>
          <w:sz w:val="20"/>
        </w:rPr>
        <w:t xml:space="preserve">All </w:t>
      </w:r>
      <w:r w:rsidR="00EE4065">
        <w:rPr>
          <w:rFonts w:cs="Arial"/>
          <w:sz w:val="20"/>
        </w:rPr>
        <w:t>P</w:t>
      </w:r>
      <w:r w:rsidRPr="002E362A">
        <w:rPr>
          <w:rFonts w:cs="Arial"/>
          <w:sz w:val="20"/>
        </w:rPr>
        <w:t xml:space="preserve">roject </w:t>
      </w:r>
      <w:r w:rsidR="00C434D6">
        <w:rPr>
          <w:rFonts w:cs="Arial"/>
          <w:sz w:val="20"/>
        </w:rPr>
        <w:t>I</w:t>
      </w:r>
      <w:r w:rsidRPr="002E362A">
        <w:rPr>
          <w:rFonts w:cs="Arial"/>
          <w:sz w:val="20"/>
        </w:rPr>
        <w:t xml:space="preserve">ntellectual </w:t>
      </w:r>
      <w:r w:rsidR="00C434D6">
        <w:rPr>
          <w:rFonts w:cs="Arial"/>
          <w:sz w:val="20"/>
        </w:rPr>
        <w:t>P</w:t>
      </w:r>
      <w:r w:rsidRPr="002E362A">
        <w:rPr>
          <w:rFonts w:cs="Arial"/>
          <w:sz w:val="20"/>
        </w:rPr>
        <w:t xml:space="preserve">roperty created by </w:t>
      </w:r>
      <w:r w:rsidR="00E20934">
        <w:rPr>
          <w:rFonts w:cs="Arial"/>
          <w:sz w:val="20"/>
        </w:rPr>
        <w:t>Staff Member</w:t>
      </w:r>
      <w:r w:rsidRPr="002E362A">
        <w:rPr>
          <w:rFonts w:cs="Arial"/>
          <w:sz w:val="20"/>
        </w:rPr>
        <w:t>s who work on a Consultancy &amp; Commercial Research (CCR) Project will upon its creation automatically vest in and be assigned to the University.</w:t>
      </w:r>
    </w:p>
    <w:p w14:paraId="42AA397F" w14:textId="77777777" w:rsidR="00385949" w:rsidRPr="002E362A" w:rsidRDefault="00385949" w:rsidP="00A61239">
      <w:pPr>
        <w:numPr>
          <w:ilvl w:val="1"/>
          <w:numId w:val="2"/>
        </w:numPr>
        <w:tabs>
          <w:tab w:val="clear" w:pos="1146"/>
          <w:tab w:val="left" w:pos="1134"/>
        </w:tabs>
        <w:rPr>
          <w:rFonts w:cs="Arial"/>
          <w:b/>
          <w:sz w:val="20"/>
        </w:rPr>
      </w:pPr>
      <w:r w:rsidRPr="002E362A">
        <w:rPr>
          <w:rFonts w:cs="Arial"/>
          <w:b/>
          <w:sz w:val="20"/>
        </w:rPr>
        <w:t>Costing and Pricing</w:t>
      </w:r>
    </w:p>
    <w:p w14:paraId="6886EB34" w14:textId="3AEFAE43" w:rsidR="00EE4065" w:rsidRDefault="00EE4065" w:rsidP="00810BD8">
      <w:pPr>
        <w:numPr>
          <w:ilvl w:val="2"/>
          <w:numId w:val="2"/>
        </w:numPr>
        <w:tabs>
          <w:tab w:val="left" w:pos="1134"/>
        </w:tabs>
        <w:rPr>
          <w:rFonts w:cs="Arial"/>
          <w:sz w:val="20"/>
        </w:rPr>
      </w:pPr>
      <w:r>
        <w:rPr>
          <w:rFonts w:cs="Arial"/>
          <w:sz w:val="20"/>
        </w:rPr>
        <w:t>General Principals</w:t>
      </w:r>
    </w:p>
    <w:p w14:paraId="42AA3980" w14:textId="7868D381" w:rsidR="00385949" w:rsidRPr="00385949" w:rsidRDefault="00385949" w:rsidP="00810BD8">
      <w:pPr>
        <w:tabs>
          <w:tab w:val="left" w:pos="1134"/>
        </w:tabs>
        <w:ind w:left="1872"/>
        <w:rPr>
          <w:rFonts w:cs="Arial"/>
          <w:sz w:val="20"/>
        </w:rPr>
      </w:pPr>
      <w:r w:rsidRPr="00385949">
        <w:rPr>
          <w:rFonts w:cs="Arial"/>
          <w:sz w:val="20"/>
        </w:rPr>
        <w:t xml:space="preserve">A </w:t>
      </w:r>
      <w:r w:rsidR="00E20934">
        <w:rPr>
          <w:rFonts w:cs="Arial"/>
          <w:sz w:val="20"/>
        </w:rPr>
        <w:t>Staff Member</w:t>
      </w:r>
      <w:r w:rsidRPr="00385949">
        <w:rPr>
          <w:rFonts w:cs="Arial"/>
          <w:sz w:val="20"/>
        </w:rPr>
        <w:t xml:space="preserve"> planning to undertake Consultancy &amp; Commercial Research (CCR) Project Work should ensure that the price of the Consultancy &amp; Commercial Research (CCR) Project covers at least the cost of undertaking the Consultancy &amp; Commercial Research (CCR) Project (including the </w:t>
      </w:r>
      <w:r w:rsidR="0044222A">
        <w:rPr>
          <w:rFonts w:cs="Arial"/>
          <w:sz w:val="20"/>
        </w:rPr>
        <w:t>R</w:t>
      </w:r>
      <w:r w:rsidRPr="00385949">
        <w:rPr>
          <w:rFonts w:cs="Arial"/>
          <w:sz w:val="20"/>
        </w:rPr>
        <w:t xml:space="preserve">eplacement </w:t>
      </w:r>
      <w:r w:rsidR="0044222A">
        <w:rPr>
          <w:rFonts w:cs="Arial"/>
          <w:sz w:val="20"/>
        </w:rPr>
        <w:t>C</w:t>
      </w:r>
      <w:r w:rsidRPr="00385949">
        <w:rPr>
          <w:rFonts w:cs="Arial"/>
          <w:sz w:val="20"/>
        </w:rPr>
        <w:t xml:space="preserve">ost and any </w:t>
      </w:r>
      <w:r w:rsidR="00E70827">
        <w:rPr>
          <w:rFonts w:cs="Arial"/>
          <w:sz w:val="20"/>
        </w:rPr>
        <w:t>O</w:t>
      </w:r>
      <w:r w:rsidRPr="00385949">
        <w:rPr>
          <w:rFonts w:cs="Arial"/>
          <w:sz w:val="20"/>
        </w:rPr>
        <w:t xml:space="preserve">verhead </w:t>
      </w:r>
      <w:r w:rsidR="00C434D6">
        <w:rPr>
          <w:rFonts w:cs="Arial"/>
          <w:sz w:val="20"/>
        </w:rPr>
        <w:t>C</w:t>
      </w:r>
      <w:r w:rsidRPr="00385949">
        <w:rPr>
          <w:rFonts w:cs="Arial"/>
          <w:sz w:val="20"/>
        </w:rPr>
        <w:t>ost).</w:t>
      </w:r>
    </w:p>
    <w:p w14:paraId="359D26F6" w14:textId="160E38DE" w:rsidR="00EE4065" w:rsidRDefault="00EE4065" w:rsidP="00EE4065">
      <w:pPr>
        <w:tabs>
          <w:tab w:val="left" w:pos="1134"/>
        </w:tabs>
        <w:ind w:left="1872"/>
        <w:rPr>
          <w:rFonts w:cs="Arial"/>
          <w:sz w:val="20"/>
        </w:rPr>
      </w:pPr>
      <w:r w:rsidRPr="00385949">
        <w:rPr>
          <w:rFonts w:cs="Arial"/>
          <w:sz w:val="20"/>
        </w:rPr>
        <w:t xml:space="preserve">Griffith Enterprise can assist </w:t>
      </w:r>
      <w:r>
        <w:rPr>
          <w:rFonts w:cs="Arial"/>
          <w:sz w:val="20"/>
        </w:rPr>
        <w:t>Staff Member</w:t>
      </w:r>
      <w:r w:rsidRPr="00385949">
        <w:rPr>
          <w:rFonts w:cs="Arial"/>
          <w:sz w:val="20"/>
        </w:rPr>
        <w:t xml:space="preserve">s in calculating an appropriate </w:t>
      </w:r>
      <w:r>
        <w:rPr>
          <w:rFonts w:cs="Arial"/>
          <w:sz w:val="20"/>
        </w:rPr>
        <w:t>P</w:t>
      </w:r>
      <w:r w:rsidRPr="00385949">
        <w:rPr>
          <w:rFonts w:cs="Arial"/>
          <w:sz w:val="20"/>
        </w:rPr>
        <w:t>rice</w:t>
      </w:r>
      <w:r>
        <w:rPr>
          <w:rFonts w:cs="Arial"/>
          <w:sz w:val="20"/>
        </w:rPr>
        <w:t>.</w:t>
      </w:r>
    </w:p>
    <w:p w14:paraId="42AA3981" w14:textId="0ADD33F9" w:rsidR="00385949" w:rsidRPr="00385949" w:rsidRDefault="00385949" w:rsidP="00810BD8">
      <w:pPr>
        <w:tabs>
          <w:tab w:val="left" w:pos="1134"/>
        </w:tabs>
        <w:ind w:left="1872"/>
        <w:rPr>
          <w:rFonts w:cs="Arial"/>
          <w:sz w:val="20"/>
        </w:rPr>
      </w:pPr>
      <w:r w:rsidRPr="00385949">
        <w:rPr>
          <w:rFonts w:cs="Arial"/>
          <w:sz w:val="20"/>
        </w:rPr>
        <w:t xml:space="preserve">Large </w:t>
      </w:r>
      <w:r w:rsidR="006336B0">
        <w:rPr>
          <w:rFonts w:cs="Arial"/>
          <w:sz w:val="20"/>
        </w:rPr>
        <w:t>P</w:t>
      </w:r>
      <w:r w:rsidRPr="00385949">
        <w:rPr>
          <w:rFonts w:cs="Arial"/>
          <w:sz w:val="20"/>
        </w:rPr>
        <w:t xml:space="preserve">rojects require the involvement of Griffith Enterprise in determining and negotiating the </w:t>
      </w:r>
      <w:r w:rsidR="006336B0">
        <w:rPr>
          <w:rFonts w:cs="Arial"/>
          <w:sz w:val="20"/>
        </w:rPr>
        <w:t>P</w:t>
      </w:r>
      <w:r w:rsidR="006336B0" w:rsidRPr="00385949">
        <w:rPr>
          <w:rFonts w:cs="Arial"/>
          <w:sz w:val="20"/>
        </w:rPr>
        <w:t>rice</w:t>
      </w:r>
      <w:r w:rsidRPr="00385949">
        <w:rPr>
          <w:rFonts w:cs="Arial"/>
          <w:sz w:val="20"/>
        </w:rPr>
        <w:t>.</w:t>
      </w:r>
    </w:p>
    <w:p w14:paraId="42AA3982" w14:textId="77777777" w:rsidR="00385949" w:rsidRPr="00385949" w:rsidRDefault="00385949" w:rsidP="00A61239">
      <w:pPr>
        <w:numPr>
          <w:ilvl w:val="2"/>
          <w:numId w:val="2"/>
        </w:numPr>
        <w:tabs>
          <w:tab w:val="left" w:pos="1134"/>
        </w:tabs>
        <w:rPr>
          <w:rFonts w:cs="Arial"/>
          <w:sz w:val="20"/>
        </w:rPr>
      </w:pPr>
      <w:r w:rsidRPr="00385949">
        <w:rPr>
          <w:rFonts w:cs="Arial"/>
          <w:sz w:val="20"/>
        </w:rPr>
        <w:t>Direct Costs</w:t>
      </w:r>
    </w:p>
    <w:p w14:paraId="42AA3983" w14:textId="631F7D25" w:rsidR="00385949" w:rsidRPr="00385949" w:rsidRDefault="00385949" w:rsidP="002E362A">
      <w:pPr>
        <w:tabs>
          <w:tab w:val="left" w:pos="1134"/>
        </w:tabs>
        <w:ind w:left="1872"/>
        <w:rPr>
          <w:rFonts w:cs="Arial"/>
          <w:sz w:val="20"/>
        </w:rPr>
      </w:pPr>
      <w:r w:rsidRPr="00385949">
        <w:rPr>
          <w:rFonts w:cs="Arial"/>
          <w:sz w:val="20"/>
        </w:rPr>
        <w:t xml:space="preserve">All direct costs associated with a Consultancy &amp; Commercial Research (CCR) Project should be included within the Consultancy &amp; Commercial Research (CCR) Project </w:t>
      </w:r>
      <w:r w:rsidR="00EE4065">
        <w:rPr>
          <w:rFonts w:cs="Arial"/>
          <w:sz w:val="20"/>
        </w:rPr>
        <w:t>P</w:t>
      </w:r>
      <w:r w:rsidRPr="00385949">
        <w:rPr>
          <w:rFonts w:cs="Arial"/>
          <w:sz w:val="20"/>
        </w:rPr>
        <w:t>rice.</w:t>
      </w:r>
    </w:p>
    <w:p w14:paraId="42AA3984" w14:textId="77777777" w:rsidR="00385949" w:rsidRPr="00385949" w:rsidRDefault="00385949" w:rsidP="002E362A">
      <w:pPr>
        <w:tabs>
          <w:tab w:val="left" w:pos="1134"/>
        </w:tabs>
        <w:ind w:left="1872"/>
        <w:rPr>
          <w:rFonts w:cs="Arial"/>
          <w:sz w:val="20"/>
        </w:rPr>
      </w:pPr>
      <w:r w:rsidRPr="00385949">
        <w:rPr>
          <w:rFonts w:cs="Arial"/>
          <w:sz w:val="20"/>
        </w:rPr>
        <w:t>Direct costs include:</w:t>
      </w:r>
    </w:p>
    <w:p w14:paraId="42AA3985" w14:textId="678D2496" w:rsidR="00385949" w:rsidRPr="002E362A" w:rsidRDefault="00385949" w:rsidP="00A61239">
      <w:pPr>
        <w:pStyle w:val="ListParagraph"/>
        <w:numPr>
          <w:ilvl w:val="0"/>
          <w:numId w:val="15"/>
        </w:numPr>
        <w:tabs>
          <w:tab w:val="left" w:pos="1134"/>
        </w:tabs>
        <w:rPr>
          <w:rFonts w:cs="Arial"/>
          <w:sz w:val="20"/>
        </w:rPr>
      </w:pPr>
      <w:r w:rsidRPr="002E362A">
        <w:rPr>
          <w:rFonts w:cs="Arial"/>
          <w:sz w:val="20"/>
        </w:rPr>
        <w:lastRenderedPageBreak/>
        <w:t>salary cost for costs associated with staff who will be employed for the Consultancy &amp; Commercial Research (CCR) Project or who will work on the Consultancy &amp; Co</w:t>
      </w:r>
      <w:r w:rsidR="007954CA">
        <w:rPr>
          <w:rFonts w:cs="Arial"/>
          <w:sz w:val="20"/>
        </w:rPr>
        <w:t>mmercial Research (CCR) Project</w:t>
      </w:r>
      <w:r w:rsidRPr="002E362A">
        <w:rPr>
          <w:rFonts w:cs="Arial"/>
          <w:sz w:val="20"/>
        </w:rPr>
        <w:t>; and</w:t>
      </w:r>
    </w:p>
    <w:p w14:paraId="42AA3986" w14:textId="0012322D" w:rsidR="00E058FD" w:rsidRDefault="00385949" w:rsidP="00A61239">
      <w:pPr>
        <w:pStyle w:val="ListParagraph"/>
        <w:numPr>
          <w:ilvl w:val="0"/>
          <w:numId w:val="15"/>
        </w:numPr>
        <w:tabs>
          <w:tab w:val="left" w:pos="1134"/>
        </w:tabs>
        <w:rPr>
          <w:rFonts w:cs="Arial"/>
          <w:sz w:val="20"/>
        </w:rPr>
      </w:pPr>
      <w:r w:rsidRPr="002E362A">
        <w:rPr>
          <w:rFonts w:cs="Arial"/>
          <w:sz w:val="20"/>
        </w:rPr>
        <w:t>other non-salary costs such as equipment, consumables and travel.</w:t>
      </w:r>
    </w:p>
    <w:p w14:paraId="42AA3987" w14:textId="77777777" w:rsidR="00385949" w:rsidRPr="00385949" w:rsidRDefault="00385949" w:rsidP="00A61239">
      <w:pPr>
        <w:numPr>
          <w:ilvl w:val="2"/>
          <w:numId w:val="2"/>
        </w:numPr>
        <w:tabs>
          <w:tab w:val="left" w:pos="1134"/>
        </w:tabs>
        <w:rPr>
          <w:rFonts w:cs="Arial"/>
          <w:sz w:val="20"/>
        </w:rPr>
      </w:pPr>
      <w:r w:rsidRPr="00385949">
        <w:rPr>
          <w:rFonts w:cs="Arial"/>
          <w:sz w:val="20"/>
        </w:rPr>
        <w:t>Project Pricing</w:t>
      </w:r>
    </w:p>
    <w:p w14:paraId="42AA3988" w14:textId="1B891B7A" w:rsidR="00385949" w:rsidRPr="00385949" w:rsidRDefault="00385949" w:rsidP="002E362A">
      <w:pPr>
        <w:tabs>
          <w:tab w:val="left" w:pos="1134"/>
        </w:tabs>
        <w:ind w:left="1872"/>
        <w:rPr>
          <w:rFonts w:cs="Arial"/>
          <w:sz w:val="20"/>
        </w:rPr>
      </w:pPr>
      <w:r w:rsidRPr="00385949">
        <w:rPr>
          <w:rFonts w:cs="Arial"/>
          <w:sz w:val="20"/>
        </w:rPr>
        <w:t xml:space="preserve">All Consultancy &amp; Commercial Research (CCR) Projects should be priced in a manner consistent with their strategic value to the University and in keeping with industry practice for the sector to which the Consultancy &amp; Commercial Research (CCR) Project relates. </w:t>
      </w:r>
      <w:r w:rsidR="00E058FD">
        <w:rPr>
          <w:rFonts w:cs="Arial"/>
          <w:sz w:val="20"/>
        </w:rPr>
        <w:t xml:space="preserve"> </w:t>
      </w:r>
      <w:r w:rsidRPr="00385949">
        <w:rPr>
          <w:rFonts w:cs="Arial"/>
          <w:sz w:val="20"/>
        </w:rPr>
        <w:t>This includes incorporation of an appropriate margin.</w:t>
      </w:r>
    </w:p>
    <w:p w14:paraId="42AA3989" w14:textId="4A10DC4B" w:rsidR="00385949" w:rsidRPr="00810BD8" w:rsidRDefault="00385949" w:rsidP="00810BD8">
      <w:pPr>
        <w:numPr>
          <w:ilvl w:val="2"/>
          <w:numId w:val="2"/>
        </w:numPr>
        <w:tabs>
          <w:tab w:val="left" w:pos="1134"/>
        </w:tabs>
        <w:rPr>
          <w:rFonts w:cs="Arial"/>
          <w:sz w:val="20"/>
        </w:rPr>
      </w:pPr>
      <w:r w:rsidRPr="00810BD8">
        <w:rPr>
          <w:rFonts w:cs="Arial"/>
          <w:sz w:val="20"/>
        </w:rPr>
        <w:t xml:space="preserve">CCR Project </w:t>
      </w:r>
      <w:r w:rsidR="00A32830" w:rsidRPr="00810BD8">
        <w:rPr>
          <w:rFonts w:cs="Arial"/>
          <w:sz w:val="20"/>
        </w:rPr>
        <w:t>Coversheet</w:t>
      </w:r>
    </w:p>
    <w:p w14:paraId="323C578C" w14:textId="03DFF9A6" w:rsidR="00D27B8F" w:rsidRDefault="00D27B8F" w:rsidP="002E362A">
      <w:pPr>
        <w:tabs>
          <w:tab w:val="left" w:pos="1134"/>
        </w:tabs>
        <w:ind w:left="1872"/>
        <w:rPr>
          <w:rFonts w:cs="Arial"/>
          <w:sz w:val="20"/>
        </w:rPr>
      </w:pPr>
      <w:r>
        <w:rPr>
          <w:rFonts w:cs="Arial"/>
          <w:sz w:val="20"/>
        </w:rPr>
        <w:t xml:space="preserve">There are two CCR Project </w:t>
      </w:r>
      <w:r w:rsidR="00A32830">
        <w:rPr>
          <w:rFonts w:cs="Arial"/>
          <w:sz w:val="20"/>
        </w:rPr>
        <w:t>Coversheet</w:t>
      </w:r>
      <w:r>
        <w:rPr>
          <w:rFonts w:cs="Arial"/>
          <w:sz w:val="20"/>
        </w:rPr>
        <w:t>s available to Staff Members:</w:t>
      </w:r>
    </w:p>
    <w:p w14:paraId="6BB1FE19" w14:textId="427904F6" w:rsidR="00D27B8F" w:rsidRDefault="00D27B8F" w:rsidP="00CF0F86">
      <w:pPr>
        <w:pStyle w:val="ListParagraph"/>
        <w:numPr>
          <w:ilvl w:val="0"/>
          <w:numId w:val="25"/>
        </w:numPr>
        <w:tabs>
          <w:tab w:val="left" w:pos="1134"/>
        </w:tabs>
        <w:rPr>
          <w:rFonts w:cs="Arial"/>
          <w:sz w:val="20"/>
        </w:rPr>
      </w:pPr>
      <w:r w:rsidRPr="00CF0F86">
        <w:rPr>
          <w:rFonts w:cs="Arial"/>
          <w:sz w:val="20"/>
        </w:rPr>
        <w:t xml:space="preserve">For </w:t>
      </w:r>
      <w:r>
        <w:rPr>
          <w:rFonts w:cs="Arial"/>
          <w:sz w:val="20"/>
        </w:rPr>
        <w:t>CCR P</w:t>
      </w:r>
      <w:r w:rsidR="00E20934" w:rsidRPr="00CF0F86">
        <w:rPr>
          <w:rFonts w:cs="Arial"/>
          <w:sz w:val="20"/>
        </w:rPr>
        <w:t>roject</w:t>
      </w:r>
      <w:r w:rsidR="00E20934">
        <w:rPr>
          <w:rFonts w:cs="Arial"/>
          <w:sz w:val="20"/>
        </w:rPr>
        <w:t xml:space="preserve"> Work</w:t>
      </w:r>
      <w:r w:rsidR="00737424">
        <w:rPr>
          <w:rFonts w:cs="Arial"/>
          <w:sz w:val="20"/>
        </w:rPr>
        <w:t xml:space="preserve"> valued at less than or equal $</w:t>
      </w:r>
      <w:r w:rsidR="006336B0">
        <w:rPr>
          <w:rFonts w:cs="Arial"/>
          <w:sz w:val="20"/>
        </w:rPr>
        <w:t>100</w:t>
      </w:r>
      <w:r w:rsidRPr="00CF0F86">
        <w:rPr>
          <w:rFonts w:cs="Arial"/>
          <w:sz w:val="20"/>
        </w:rPr>
        <w:t xml:space="preserve">,000 (excluding GST); and </w:t>
      </w:r>
    </w:p>
    <w:p w14:paraId="4F48B0D9" w14:textId="37C018ED" w:rsidR="00EE4065" w:rsidRDefault="00D27B8F" w:rsidP="00CF0F86">
      <w:pPr>
        <w:pStyle w:val="ListParagraph"/>
        <w:numPr>
          <w:ilvl w:val="0"/>
          <w:numId w:val="25"/>
        </w:numPr>
        <w:tabs>
          <w:tab w:val="left" w:pos="1134"/>
        </w:tabs>
        <w:rPr>
          <w:rFonts w:cs="Arial"/>
          <w:sz w:val="20"/>
        </w:rPr>
      </w:pPr>
      <w:r>
        <w:rPr>
          <w:rFonts w:cs="Arial"/>
          <w:sz w:val="20"/>
        </w:rPr>
        <w:t>For CCR P</w:t>
      </w:r>
      <w:r w:rsidR="00E20934">
        <w:rPr>
          <w:rFonts w:cs="Arial"/>
          <w:sz w:val="20"/>
        </w:rPr>
        <w:t>roject Work</w:t>
      </w:r>
      <w:r>
        <w:rPr>
          <w:rFonts w:cs="Arial"/>
          <w:sz w:val="20"/>
        </w:rPr>
        <w:t xml:space="preserve"> valued</w:t>
      </w:r>
      <w:r w:rsidR="00737424">
        <w:rPr>
          <w:rFonts w:cs="Arial"/>
          <w:sz w:val="20"/>
        </w:rPr>
        <w:t xml:space="preserve"> at greater than $</w:t>
      </w:r>
      <w:r w:rsidR="006336B0">
        <w:rPr>
          <w:rFonts w:cs="Arial"/>
          <w:sz w:val="20"/>
        </w:rPr>
        <w:t>100</w:t>
      </w:r>
      <w:r>
        <w:rPr>
          <w:rFonts w:cs="Arial"/>
          <w:sz w:val="20"/>
        </w:rPr>
        <w:t xml:space="preserve">,000 (excluding GST). </w:t>
      </w:r>
    </w:p>
    <w:p w14:paraId="42AA398A" w14:textId="7CBAB794" w:rsidR="00385949" w:rsidRPr="00810BD8" w:rsidRDefault="00385949" w:rsidP="00810BD8">
      <w:pPr>
        <w:tabs>
          <w:tab w:val="left" w:pos="1134"/>
        </w:tabs>
        <w:ind w:left="2160"/>
        <w:rPr>
          <w:rFonts w:cs="Arial"/>
          <w:sz w:val="20"/>
        </w:rPr>
      </w:pPr>
      <w:r w:rsidRPr="00810BD8">
        <w:rPr>
          <w:rFonts w:cs="Arial"/>
          <w:sz w:val="20"/>
        </w:rPr>
        <w:t>Th</w:t>
      </w:r>
      <w:r w:rsidR="00D27B8F" w:rsidRPr="00810BD8">
        <w:rPr>
          <w:rFonts w:cs="Arial"/>
          <w:sz w:val="20"/>
        </w:rPr>
        <w:t>is</w:t>
      </w:r>
      <w:r w:rsidRPr="00810BD8">
        <w:rPr>
          <w:rFonts w:cs="Arial"/>
          <w:sz w:val="20"/>
        </w:rPr>
        <w:t xml:space="preserve"> CCR Project </w:t>
      </w:r>
      <w:r w:rsidR="00A32830" w:rsidRPr="00810BD8">
        <w:rPr>
          <w:rFonts w:cs="Arial"/>
          <w:sz w:val="20"/>
        </w:rPr>
        <w:t>Coversheet</w:t>
      </w:r>
      <w:r w:rsidRPr="00810BD8">
        <w:rPr>
          <w:rFonts w:cs="Arial"/>
          <w:sz w:val="20"/>
        </w:rPr>
        <w:t xml:space="preserve"> provides a </w:t>
      </w:r>
      <w:r w:rsidR="006D7DEA" w:rsidRPr="00810BD8">
        <w:rPr>
          <w:rFonts w:cs="Arial"/>
          <w:sz w:val="20"/>
        </w:rPr>
        <w:t>CCR Budget Breakdown</w:t>
      </w:r>
      <w:r w:rsidRPr="00810BD8">
        <w:rPr>
          <w:rFonts w:cs="Arial"/>
          <w:sz w:val="20"/>
        </w:rPr>
        <w:t xml:space="preserve"> to assist </w:t>
      </w:r>
      <w:r w:rsidR="00D27B8F" w:rsidRPr="00810BD8">
        <w:rPr>
          <w:rFonts w:cs="Arial"/>
          <w:sz w:val="20"/>
        </w:rPr>
        <w:t>S</w:t>
      </w:r>
      <w:r w:rsidRPr="00810BD8">
        <w:rPr>
          <w:rFonts w:cs="Arial"/>
          <w:sz w:val="20"/>
        </w:rPr>
        <w:t xml:space="preserve">taff </w:t>
      </w:r>
      <w:r w:rsidR="00D27B8F" w:rsidRPr="00810BD8">
        <w:rPr>
          <w:rFonts w:cs="Arial"/>
          <w:sz w:val="20"/>
        </w:rPr>
        <w:t>M</w:t>
      </w:r>
      <w:r w:rsidRPr="00810BD8">
        <w:rPr>
          <w:rFonts w:cs="Arial"/>
          <w:sz w:val="20"/>
        </w:rPr>
        <w:t xml:space="preserve">embers in costing and pricing Consultancy &amp; Commercial Research (CCR) Projects. </w:t>
      </w:r>
      <w:r w:rsidR="00E058FD">
        <w:rPr>
          <w:rFonts w:cs="Arial"/>
          <w:sz w:val="20"/>
        </w:rPr>
        <w:t xml:space="preserve"> </w:t>
      </w:r>
      <w:r w:rsidRPr="00810BD8">
        <w:rPr>
          <w:rFonts w:cs="Arial"/>
          <w:sz w:val="20"/>
        </w:rPr>
        <w:t xml:space="preserve">The </w:t>
      </w:r>
      <w:r w:rsidR="006D7DEA" w:rsidRPr="00810BD8">
        <w:rPr>
          <w:rFonts w:cs="Arial"/>
          <w:sz w:val="20"/>
        </w:rPr>
        <w:t xml:space="preserve">CCR Budget Breakdown </w:t>
      </w:r>
      <w:r w:rsidRPr="00810BD8">
        <w:rPr>
          <w:rFonts w:cs="Arial"/>
          <w:sz w:val="20"/>
        </w:rPr>
        <w:t>automatically takes the entered cost structure and calculates a default pricing structure for the Consultancy &amp; Commercial Research (CCR) Project. The structure is consistent with industry-based pricing structures commonly used by consulting professionals.</w:t>
      </w:r>
    </w:p>
    <w:p w14:paraId="42AA398B" w14:textId="3A764F13" w:rsidR="00385949" w:rsidRPr="00385949" w:rsidRDefault="00385949" w:rsidP="00CF0F86">
      <w:pPr>
        <w:tabs>
          <w:tab w:val="left" w:pos="1134"/>
        </w:tabs>
        <w:ind w:left="2160"/>
        <w:rPr>
          <w:rFonts w:cs="Arial"/>
          <w:sz w:val="20"/>
        </w:rPr>
      </w:pPr>
      <w:r w:rsidRPr="00385949">
        <w:rPr>
          <w:rFonts w:cs="Arial"/>
          <w:sz w:val="20"/>
        </w:rPr>
        <w:t xml:space="preserve">To assist </w:t>
      </w:r>
      <w:r w:rsidR="00E20934">
        <w:rPr>
          <w:rFonts w:cs="Arial"/>
          <w:sz w:val="20"/>
        </w:rPr>
        <w:t>Staff Member</w:t>
      </w:r>
      <w:r w:rsidRPr="00385949">
        <w:rPr>
          <w:rFonts w:cs="Arial"/>
          <w:sz w:val="20"/>
        </w:rPr>
        <w:t>s to price Consultancy &amp; Commercial Research (CCR) Projects</w:t>
      </w:r>
      <w:r w:rsidR="00B37A87">
        <w:rPr>
          <w:rFonts w:cs="Arial"/>
          <w:sz w:val="20"/>
        </w:rPr>
        <w:t xml:space="preserve"> </w:t>
      </w:r>
      <w:r w:rsidR="00785843">
        <w:rPr>
          <w:rFonts w:cs="Arial"/>
          <w:sz w:val="20"/>
        </w:rPr>
        <w:t>greater than</w:t>
      </w:r>
      <w:r w:rsidR="006D7DEA">
        <w:rPr>
          <w:rFonts w:cs="Arial"/>
          <w:sz w:val="20"/>
        </w:rPr>
        <w:t xml:space="preserve"> $</w:t>
      </w:r>
      <w:r w:rsidR="006336B0">
        <w:rPr>
          <w:rFonts w:cs="Arial"/>
          <w:sz w:val="20"/>
        </w:rPr>
        <w:t>100</w:t>
      </w:r>
      <w:r w:rsidR="006D7DEA">
        <w:rPr>
          <w:rFonts w:cs="Arial"/>
          <w:sz w:val="20"/>
        </w:rPr>
        <w:t xml:space="preserve">,000 </w:t>
      </w:r>
      <w:r w:rsidR="00B37A87">
        <w:rPr>
          <w:rFonts w:cs="Arial"/>
          <w:sz w:val="20"/>
        </w:rPr>
        <w:t>(</w:t>
      </w:r>
      <w:r w:rsidR="006D7DEA">
        <w:rPr>
          <w:rFonts w:cs="Arial"/>
          <w:sz w:val="20"/>
        </w:rPr>
        <w:t>ex</w:t>
      </w:r>
      <w:r w:rsidR="00B37A87">
        <w:rPr>
          <w:rFonts w:cs="Arial"/>
          <w:sz w:val="20"/>
        </w:rPr>
        <w:t>cluding</w:t>
      </w:r>
      <w:r w:rsidR="006D7DEA">
        <w:rPr>
          <w:rFonts w:cs="Arial"/>
          <w:sz w:val="20"/>
        </w:rPr>
        <w:t xml:space="preserve"> GST)</w:t>
      </w:r>
      <w:r w:rsidRPr="00385949">
        <w:rPr>
          <w:rFonts w:cs="Arial"/>
          <w:sz w:val="20"/>
        </w:rPr>
        <w:t xml:space="preserve">, the CCR </w:t>
      </w:r>
      <w:r w:rsidR="006D7DEA">
        <w:rPr>
          <w:rFonts w:cs="Arial"/>
          <w:sz w:val="20"/>
        </w:rPr>
        <w:t xml:space="preserve">Budget Breakdown </w:t>
      </w:r>
      <w:r w:rsidRPr="00385949">
        <w:rPr>
          <w:rFonts w:cs="Arial"/>
          <w:sz w:val="20"/>
        </w:rPr>
        <w:t xml:space="preserve">takes the </w:t>
      </w:r>
      <w:r w:rsidR="005A00DB">
        <w:rPr>
          <w:rFonts w:cs="Arial"/>
          <w:sz w:val="20"/>
        </w:rPr>
        <w:t>salary</w:t>
      </w:r>
      <w:r w:rsidR="005A00DB" w:rsidRPr="00385949">
        <w:rPr>
          <w:rFonts w:cs="Arial"/>
          <w:sz w:val="20"/>
        </w:rPr>
        <w:t xml:space="preserve"> </w:t>
      </w:r>
      <w:r w:rsidRPr="00385949">
        <w:rPr>
          <w:rFonts w:cs="Arial"/>
          <w:sz w:val="20"/>
        </w:rPr>
        <w:t xml:space="preserve">cost and applies an industry relevant multiplier to arrive at the default pricing structure. </w:t>
      </w:r>
      <w:r w:rsidR="00E058FD">
        <w:rPr>
          <w:rFonts w:cs="Arial"/>
          <w:sz w:val="20"/>
        </w:rPr>
        <w:t xml:space="preserve"> </w:t>
      </w:r>
      <w:r w:rsidRPr="00385949">
        <w:rPr>
          <w:rFonts w:cs="Arial"/>
          <w:sz w:val="20"/>
        </w:rPr>
        <w:t xml:space="preserve">The CCR </w:t>
      </w:r>
      <w:r w:rsidR="006D7DEA">
        <w:rPr>
          <w:rFonts w:cs="Arial"/>
          <w:sz w:val="20"/>
        </w:rPr>
        <w:t xml:space="preserve">Budget Breakdown </w:t>
      </w:r>
      <w:r w:rsidRPr="00385949">
        <w:rPr>
          <w:rFonts w:cs="Arial"/>
          <w:sz w:val="20"/>
        </w:rPr>
        <w:t xml:space="preserve">also adds an </w:t>
      </w:r>
      <w:r w:rsidR="00C434D6">
        <w:rPr>
          <w:rFonts w:cs="Arial"/>
          <w:sz w:val="20"/>
        </w:rPr>
        <w:t>O</w:t>
      </w:r>
      <w:r w:rsidRPr="00385949">
        <w:rPr>
          <w:rFonts w:cs="Arial"/>
          <w:sz w:val="20"/>
        </w:rPr>
        <w:t xml:space="preserve">verhead </w:t>
      </w:r>
      <w:r w:rsidR="00C434D6">
        <w:rPr>
          <w:rFonts w:cs="Arial"/>
          <w:sz w:val="20"/>
        </w:rPr>
        <w:t>C</w:t>
      </w:r>
      <w:r w:rsidRPr="00385949">
        <w:rPr>
          <w:rFonts w:cs="Arial"/>
          <w:sz w:val="20"/>
        </w:rPr>
        <w:t>ost to non-</w:t>
      </w:r>
      <w:r w:rsidR="005A00DB">
        <w:rPr>
          <w:rFonts w:cs="Arial"/>
          <w:sz w:val="20"/>
        </w:rPr>
        <w:t>salary</w:t>
      </w:r>
      <w:r w:rsidR="005A00DB" w:rsidRPr="00385949">
        <w:rPr>
          <w:rFonts w:cs="Arial"/>
          <w:sz w:val="20"/>
        </w:rPr>
        <w:t xml:space="preserve"> </w:t>
      </w:r>
      <w:r w:rsidRPr="00385949">
        <w:rPr>
          <w:rFonts w:cs="Arial"/>
          <w:sz w:val="20"/>
        </w:rPr>
        <w:t xml:space="preserve">costs to arrive at an amount to charge for these items. </w:t>
      </w:r>
      <w:r w:rsidR="00E058FD">
        <w:rPr>
          <w:rFonts w:cs="Arial"/>
          <w:sz w:val="20"/>
        </w:rPr>
        <w:t xml:space="preserve"> </w:t>
      </w:r>
      <w:r w:rsidRPr="00385949">
        <w:rPr>
          <w:rFonts w:cs="Arial"/>
          <w:sz w:val="20"/>
        </w:rPr>
        <w:t xml:space="preserve">Whilst this pricing structure will not be relevant to all sectors or situations, it may assist in calculating an appropriate charge-out rate from which the University and the </w:t>
      </w:r>
      <w:r w:rsidR="00DF4727">
        <w:rPr>
          <w:rFonts w:cs="Arial"/>
          <w:sz w:val="20"/>
        </w:rPr>
        <w:t>E</w:t>
      </w:r>
      <w:r w:rsidRPr="00385949">
        <w:rPr>
          <w:rFonts w:cs="Arial"/>
          <w:sz w:val="20"/>
        </w:rPr>
        <w:t xml:space="preserve">xternal </w:t>
      </w:r>
      <w:r w:rsidR="00DF4727">
        <w:rPr>
          <w:rFonts w:cs="Arial"/>
          <w:sz w:val="20"/>
        </w:rPr>
        <w:t>O</w:t>
      </w:r>
      <w:r w:rsidRPr="00385949">
        <w:rPr>
          <w:rFonts w:cs="Arial"/>
          <w:sz w:val="20"/>
        </w:rPr>
        <w:t>rganisation can commence negotiations.</w:t>
      </w:r>
    </w:p>
    <w:p w14:paraId="42AA398D" w14:textId="598BA7EF" w:rsidR="00385949" w:rsidRPr="002E362A" w:rsidRDefault="006944B6" w:rsidP="006944B6">
      <w:pPr>
        <w:tabs>
          <w:tab w:val="left" w:pos="1134"/>
        </w:tabs>
        <w:rPr>
          <w:rFonts w:cs="Arial"/>
          <w:b/>
          <w:sz w:val="20"/>
        </w:rPr>
      </w:pPr>
      <w:r>
        <w:rPr>
          <w:rFonts w:cs="Arial"/>
          <w:b/>
          <w:sz w:val="20"/>
        </w:rPr>
        <w:t>4.3</w:t>
      </w:r>
      <w:r>
        <w:rPr>
          <w:rFonts w:cs="Arial"/>
          <w:b/>
          <w:sz w:val="20"/>
        </w:rPr>
        <w:tab/>
      </w:r>
      <w:r w:rsidR="00385949" w:rsidRPr="002E362A">
        <w:rPr>
          <w:rFonts w:cs="Arial"/>
          <w:b/>
          <w:sz w:val="20"/>
        </w:rPr>
        <w:t>Overhead Costs</w:t>
      </w:r>
    </w:p>
    <w:p w14:paraId="23FF5186" w14:textId="75CFEFA7" w:rsidR="00EE4065" w:rsidRDefault="003F0B74" w:rsidP="00810BD8">
      <w:pPr>
        <w:tabs>
          <w:tab w:val="left" w:pos="1134"/>
        </w:tabs>
        <w:ind w:left="1134"/>
        <w:rPr>
          <w:rFonts w:cs="Arial"/>
          <w:sz w:val="20"/>
        </w:rPr>
      </w:pPr>
      <w:r>
        <w:rPr>
          <w:rFonts w:cs="Arial"/>
          <w:sz w:val="20"/>
        </w:rPr>
        <w:t>4.3.1   Purpose</w:t>
      </w:r>
    </w:p>
    <w:p w14:paraId="42AA398E" w14:textId="75BB7311" w:rsidR="00385949" w:rsidRPr="00385949" w:rsidRDefault="00385949" w:rsidP="00810BD8">
      <w:pPr>
        <w:tabs>
          <w:tab w:val="left" w:pos="1134"/>
        </w:tabs>
        <w:ind w:left="1872"/>
        <w:rPr>
          <w:rFonts w:cs="Arial"/>
          <w:sz w:val="20"/>
        </w:rPr>
      </w:pPr>
      <w:r w:rsidRPr="00385949">
        <w:rPr>
          <w:rFonts w:cs="Arial"/>
          <w:sz w:val="20"/>
        </w:rPr>
        <w:t xml:space="preserve">In conducting Consultancy &amp; Commercial Research (CCR) Project Work, the University incurs certain </w:t>
      </w:r>
      <w:r w:rsidR="00C434D6">
        <w:rPr>
          <w:rFonts w:cs="Arial"/>
          <w:sz w:val="20"/>
        </w:rPr>
        <w:t>O</w:t>
      </w:r>
      <w:r w:rsidRPr="00385949">
        <w:rPr>
          <w:rFonts w:cs="Arial"/>
          <w:sz w:val="20"/>
        </w:rPr>
        <w:t xml:space="preserve">verhead </w:t>
      </w:r>
      <w:r w:rsidR="00C434D6">
        <w:rPr>
          <w:rFonts w:cs="Arial"/>
          <w:sz w:val="20"/>
        </w:rPr>
        <w:t>C</w:t>
      </w:r>
      <w:r w:rsidRPr="00385949">
        <w:rPr>
          <w:rFonts w:cs="Arial"/>
          <w:sz w:val="20"/>
        </w:rPr>
        <w:t xml:space="preserve">osts. </w:t>
      </w:r>
      <w:r w:rsidR="00E058FD">
        <w:rPr>
          <w:rFonts w:cs="Arial"/>
          <w:sz w:val="20"/>
        </w:rPr>
        <w:t xml:space="preserve"> </w:t>
      </w:r>
      <w:r w:rsidRPr="00385949">
        <w:rPr>
          <w:rFonts w:cs="Arial"/>
          <w:sz w:val="20"/>
        </w:rPr>
        <w:t xml:space="preserve">These typically include costs associated with the use of facilities (for example lights, power, telephone, computer and certain equipment), administrative support, legal costs, insurance costs, cleaning and maintenance, project administration, audit, and financial management costs. </w:t>
      </w:r>
    </w:p>
    <w:p w14:paraId="42AA398F" w14:textId="389DC82A" w:rsidR="00385949" w:rsidRDefault="00385949" w:rsidP="00810BD8">
      <w:pPr>
        <w:tabs>
          <w:tab w:val="left" w:pos="1134"/>
        </w:tabs>
        <w:ind w:left="1872"/>
        <w:rPr>
          <w:rFonts w:cs="Arial"/>
          <w:sz w:val="20"/>
        </w:rPr>
      </w:pPr>
      <w:r w:rsidRPr="00385949">
        <w:rPr>
          <w:rFonts w:cs="Arial"/>
          <w:sz w:val="20"/>
        </w:rPr>
        <w:t xml:space="preserve">The </w:t>
      </w:r>
      <w:r w:rsidR="00C434D6">
        <w:rPr>
          <w:rFonts w:cs="Arial"/>
          <w:sz w:val="20"/>
        </w:rPr>
        <w:t>O</w:t>
      </w:r>
      <w:r w:rsidRPr="00385949">
        <w:rPr>
          <w:rFonts w:cs="Arial"/>
          <w:sz w:val="20"/>
        </w:rPr>
        <w:t xml:space="preserve">verhead </w:t>
      </w:r>
      <w:r w:rsidR="00C434D6">
        <w:rPr>
          <w:rFonts w:cs="Arial"/>
          <w:sz w:val="20"/>
        </w:rPr>
        <w:t>C</w:t>
      </w:r>
      <w:r w:rsidRPr="00385949">
        <w:rPr>
          <w:rFonts w:cs="Arial"/>
          <w:sz w:val="20"/>
        </w:rPr>
        <w:t>ost is applied to Consultancy &amp; Commercial Research (CCR) Project Work in order to recover indirect costs of the Host Element and University C</w:t>
      </w:r>
      <w:r w:rsidR="0044222A">
        <w:rPr>
          <w:rFonts w:cs="Arial"/>
          <w:sz w:val="20"/>
        </w:rPr>
        <w:t>orporate</w:t>
      </w:r>
      <w:r w:rsidRPr="00385949">
        <w:rPr>
          <w:rFonts w:cs="Arial"/>
          <w:sz w:val="20"/>
        </w:rPr>
        <w:t>, including insurances, administrative support, utilities, equipment and facilities.</w:t>
      </w:r>
    </w:p>
    <w:p w14:paraId="1814C814" w14:textId="6B978449" w:rsidR="003F0B74" w:rsidRPr="00385949" w:rsidRDefault="003F0B74" w:rsidP="00810BD8">
      <w:pPr>
        <w:tabs>
          <w:tab w:val="left" w:pos="1134"/>
        </w:tabs>
        <w:ind w:left="1134"/>
        <w:rPr>
          <w:rFonts w:cs="Arial"/>
          <w:sz w:val="20"/>
        </w:rPr>
      </w:pPr>
      <w:r>
        <w:rPr>
          <w:rFonts w:cs="Arial"/>
          <w:sz w:val="20"/>
        </w:rPr>
        <w:t>4.3.2   Calculating Overhead Cost</w:t>
      </w:r>
    </w:p>
    <w:p w14:paraId="73A29772" w14:textId="2221A466" w:rsidR="003F0B74" w:rsidRDefault="00385949" w:rsidP="00810BD8">
      <w:pPr>
        <w:tabs>
          <w:tab w:val="left" w:pos="1134"/>
        </w:tabs>
        <w:ind w:left="1872"/>
        <w:rPr>
          <w:rFonts w:cs="Arial"/>
          <w:sz w:val="20"/>
        </w:rPr>
      </w:pPr>
      <w:r w:rsidRPr="00385949">
        <w:rPr>
          <w:rFonts w:cs="Arial"/>
          <w:sz w:val="20"/>
        </w:rPr>
        <w:t xml:space="preserve">The University charges different </w:t>
      </w:r>
      <w:r w:rsidR="00C434D6">
        <w:rPr>
          <w:rFonts w:cs="Arial"/>
          <w:sz w:val="20"/>
        </w:rPr>
        <w:t>O</w:t>
      </w:r>
      <w:r w:rsidRPr="00385949">
        <w:rPr>
          <w:rFonts w:cs="Arial"/>
          <w:sz w:val="20"/>
        </w:rPr>
        <w:t xml:space="preserve">verhead </w:t>
      </w:r>
      <w:r w:rsidR="00C434D6">
        <w:rPr>
          <w:rFonts w:cs="Arial"/>
          <w:sz w:val="20"/>
        </w:rPr>
        <w:t>C</w:t>
      </w:r>
      <w:r w:rsidRPr="00385949">
        <w:rPr>
          <w:rFonts w:cs="Arial"/>
          <w:sz w:val="20"/>
        </w:rPr>
        <w:t>osts to different components of a Consultancy &amp; Commercial Research (CCR) Project budget.</w:t>
      </w:r>
    </w:p>
    <w:p w14:paraId="42AA3990" w14:textId="2A2BF6AA" w:rsidR="00385949" w:rsidRDefault="00385949" w:rsidP="00810BD8">
      <w:pPr>
        <w:tabs>
          <w:tab w:val="left" w:pos="1134"/>
        </w:tabs>
        <w:ind w:left="1872"/>
        <w:rPr>
          <w:rFonts w:cs="Arial"/>
          <w:sz w:val="20"/>
        </w:rPr>
      </w:pPr>
      <w:r w:rsidRPr="00385949">
        <w:rPr>
          <w:rFonts w:cs="Arial"/>
          <w:sz w:val="20"/>
        </w:rPr>
        <w:t xml:space="preserve">A Consultancy &amp; Commercial Research (CCR) Project is required to include a budget for the following </w:t>
      </w:r>
      <w:r w:rsidR="00C434D6">
        <w:rPr>
          <w:rFonts w:cs="Arial"/>
          <w:sz w:val="20"/>
        </w:rPr>
        <w:t>O</w:t>
      </w:r>
      <w:r w:rsidRPr="00385949">
        <w:rPr>
          <w:rFonts w:cs="Arial"/>
          <w:sz w:val="20"/>
        </w:rPr>
        <w:t xml:space="preserve">verhead </w:t>
      </w:r>
      <w:r w:rsidR="00C434D6">
        <w:rPr>
          <w:rFonts w:cs="Arial"/>
          <w:sz w:val="20"/>
        </w:rPr>
        <w:t>C</w:t>
      </w:r>
      <w:r w:rsidRPr="00385949">
        <w:rPr>
          <w:rFonts w:cs="Arial"/>
          <w:sz w:val="20"/>
        </w:rPr>
        <w:t>osts.</w:t>
      </w:r>
    </w:p>
    <w:tbl>
      <w:tblPr>
        <w:tblStyle w:val="TableGrid"/>
        <w:tblW w:w="7371" w:type="dxa"/>
        <w:tblInd w:w="1838" w:type="dxa"/>
        <w:tblLook w:val="04A0" w:firstRow="1" w:lastRow="0" w:firstColumn="1" w:lastColumn="0" w:noHBand="0" w:noVBand="1"/>
      </w:tblPr>
      <w:tblGrid>
        <w:gridCol w:w="3527"/>
        <w:gridCol w:w="3844"/>
      </w:tblGrid>
      <w:tr w:rsidR="003F0B74" w:rsidRPr="00044B27" w14:paraId="5A85A9F1" w14:textId="77777777" w:rsidTr="00810BD8">
        <w:tc>
          <w:tcPr>
            <w:tcW w:w="3527" w:type="dxa"/>
            <w:shd w:val="clear" w:color="auto" w:fill="D9D9D9" w:themeFill="background1" w:themeFillShade="D9"/>
            <w:vAlign w:val="center"/>
          </w:tcPr>
          <w:p w14:paraId="04A894E9" w14:textId="595FFE28" w:rsidR="003F0B74" w:rsidRPr="00044B27" w:rsidRDefault="003F0B74" w:rsidP="00E70827">
            <w:pPr>
              <w:tabs>
                <w:tab w:val="left" w:pos="1134"/>
              </w:tabs>
              <w:ind w:left="0"/>
              <w:jc w:val="left"/>
              <w:rPr>
                <w:rFonts w:cs="Arial"/>
                <w:sz w:val="16"/>
                <w:szCs w:val="16"/>
              </w:rPr>
            </w:pPr>
            <w:r>
              <w:rPr>
                <w:rFonts w:cs="Arial"/>
                <w:sz w:val="16"/>
                <w:szCs w:val="16"/>
              </w:rPr>
              <w:t>Project Size</w:t>
            </w:r>
          </w:p>
        </w:tc>
        <w:tc>
          <w:tcPr>
            <w:tcW w:w="3844" w:type="dxa"/>
            <w:shd w:val="clear" w:color="auto" w:fill="D9D9D9" w:themeFill="background1" w:themeFillShade="D9"/>
            <w:vAlign w:val="center"/>
          </w:tcPr>
          <w:p w14:paraId="15723C72" w14:textId="4409ACF2" w:rsidR="003F0B74" w:rsidRPr="00044B27" w:rsidRDefault="003F0B74" w:rsidP="00E70827">
            <w:pPr>
              <w:tabs>
                <w:tab w:val="left" w:pos="1134"/>
              </w:tabs>
              <w:ind w:left="0"/>
              <w:jc w:val="left"/>
              <w:rPr>
                <w:rFonts w:cs="Arial"/>
                <w:sz w:val="16"/>
                <w:szCs w:val="16"/>
              </w:rPr>
            </w:pPr>
            <w:r>
              <w:rPr>
                <w:rFonts w:cs="Arial"/>
                <w:sz w:val="16"/>
                <w:szCs w:val="16"/>
              </w:rPr>
              <w:t>APPLICABLE OVERHEAD COST</w:t>
            </w:r>
          </w:p>
        </w:tc>
      </w:tr>
      <w:tr w:rsidR="00E058FD" w:rsidRPr="00044B27" w14:paraId="7B56FF86" w14:textId="77777777" w:rsidTr="00B95AA9">
        <w:trPr>
          <w:trHeight w:val="1193"/>
        </w:trPr>
        <w:tc>
          <w:tcPr>
            <w:tcW w:w="3527" w:type="dxa"/>
            <w:vAlign w:val="center"/>
          </w:tcPr>
          <w:p w14:paraId="53B918FE" w14:textId="77777777" w:rsidR="00E058FD" w:rsidRDefault="00E058FD" w:rsidP="00D57CE6">
            <w:pPr>
              <w:tabs>
                <w:tab w:val="left" w:pos="1134"/>
              </w:tabs>
              <w:spacing w:after="0"/>
              <w:ind w:left="0"/>
              <w:jc w:val="left"/>
              <w:rPr>
                <w:rFonts w:cs="Arial"/>
                <w:sz w:val="16"/>
                <w:szCs w:val="16"/>
              </w:rPr>
            </w:pPr>
            <w:r>
              <w:rPr>
                <w:rFonts w:cs="Arial"/>
                <w:sz w:val="16"/>
                <w:szCs w:val="16"/>
              </w:rPr>
              <w:t>Very Small Projects</w:t>
            </w:r>
          </w:p>
          <w:p w14:paraId="40A11401" w14:textId="77777777" w:rsidR="00E058FD" w:rsidRPr="00044B27" w:rsidRDefault="00E058FD" w:rsidP="008A6011">
            <w:pPr>
              <w:tabs>
                <w:tab w:val="left" w:pos="1134"/>
              </w:tabs>
              <w:ind w:left="0"/>
              <w:jc w:val="left"/>
              <w:rPr>
                <w:rFonts w:cs="Arial"/>
                <w:sz w:val="16"/>
                <w:szCs w:val="16"/>
              </w:rPr>
            </w:pPr>
            <w:r>
              <w:rPr>
                <w:rFonts w:cs="Arial"/>
                <w:sz w:val="16"/>
                <w:szCs w:val="16"/>
              </w:rPr>
              <w:t>(</w:t>
            </w:r>
            <w:r w:rsidRPr="00D57CE6">
              <w:rPr>
                <w:rFonts w:cs="Arial" w:hint="eastAsia"/>
                <w:sz w:val="16"/>
                <w:szCs w:val="16"/>
              </w:rPr>
              <w:t>≤</w:t>
            </w:r>
            <w:r w:rsidRPr="00C0335C">
              <w:rPr>
                <w:rFonts w:cs="Arial"/>
                <w:sz w:val="16"/>
                <w:szCs w:val="16"/>
              </w:rPr>
              <w:t xml:space="preserve"> $</w:t>
            </w:r>
            <w:r>
              <w:rPr>
                <w:rFonts w:cs="Arial"/>
                <w:sz w:val="16"/>
                <w:szCs w:val="16"/>
              </w:rPr>
              <w:t>15</w:t>
            </w:r>
            <w:r w:rsidRPr="00D57CE6">
              <w:rPr>
                <w:rFonts w:cs="Arial"/>
                <w:sz w:val="16"/>
                <w:szCs w:val="16"/>
              </w:rPr>
              <w:t>,000)</w:t>
            </w:r>
          </w:p>
          <w:p w14:paraId="7E89476C" w14:textId="77777777" w:rsidR="00E058FD" w:rsidRDefault="00E058FD" w:rsidP="00D57CE6">
            <w:pPr>
              <w:tabs>
                <w:tab w:val="left" w:pos="1134"/>
              </w:tabs>
              <w:spacing w:after="0"/>
              <w:ind w:left="0"/>
              <w:jc w:val="left"/>
              <w:rPr>
                <w:rFonts w:cs="Arial"/>
                <w:sz w:val="16"/>
                <w:szCs w:val="16"/>
              </w:rPr>
            </w:pPr>
            <w:r>
              <w:rPr>
                <w:rFonts w:cs="Arial"/>
                <w:sz w:val="16"/>
                <w:szCs w:val="16"/>
              </w:rPr>
              <w:t>Small Projects</w:t>
            </w:r>
          </w:p>
          <w:p w14:paraId="54D57C29" w14:textId="7385EB00" w:rsidR="00E058FD" w:rsidRPr="00044B27" w:rsidRDefault="00E058FD" w:rsidP="008A6011">
            <w:pPr>
              <w:tabs>
                <w:tab w:val="left" w:pos="1134"/>
              </w:tabs>
              <w:ind w:left="0"/>
              <w:jc w:val="left"/>
              <w:rPr>
                <w:rFonts w:cs="Arial"/>
                <w:sz w:val="16"/>
                <w:szCs w:val="16"/>
              </w:rPr>
            </w:pPr>
            <w:r>
              <w:rPr>
                <w:rFonts w:cs="Arial"/>
                <w:sz w:val="16"/>
                <w:szCs w:val="16"/>
              </w:rPr>
              <w:t xml:space="preserve">(&gt; $15,000 - </w:t>
            </w:r>
            <w:r w:rsidRPr="008832CD">
              <w:rPr>
                <w:rFonts w:cs="Arial"/>
                <w:sz w:val="16"/>
                <w:szCs w:val="16"/>
              </w:rPr>
              <w:t>≤</w:t>
            </w:r>
            <w:r>
              <w:rPr>
                <w:rFonts w:cs="Arial"/>
                <w:sz w:val="16"/>
                <w:szCs w:val="16"/>
              </w:rPr>
              <w:t xml:space="preserve"> $100,000)</w:t>
            </w:r>
          </w:p>
        </w:tc>
        <w:tc>
          <w:tcPr>
            <w:tcW w:w="3844" w:type="dxa"/>
            <w:vAlign w:val="center"/>
          </w:tcPr>
          <w:p w14:paraId="7DCB4D07" w14:textId="19950E5C" w:rsidR="00E058FD" w:rsidRPr="00044B27" w:rsidRDefault="00E058FD" w:rsidP="00044B27">
            <w:pPr>
              <w:tabs>
                <w:tab w:val="left" w:pos="1134"/>
              </w:tabs>
              <w:ind w:left="0"/>
              <w:jc w:val="left"/>
              <w:rPr>
                <w:rFonts w:cs="Arial"/>
                <w:sz w:val="16"/>
                <w:szCs w:val="16"/>
              </w:rPr>
            </w:pPr>
            <w:r>
              <w:rPr>
                <w:rFonts w:cs="Arial"/>
                <w:sz w:val="16"/>
                <w:szCs w:val="16"/>
              </w:rPr>
              <w:t>15% of Total CCR Project value</w:t>
            </w:r>
          </w:p>
        </w:tc>
      </w:tr>
      <w:tr w:rsidR="003F0B74" w:rsidRPr="00044B27" w14:paraId="3FEF3864" w14:textId="77777777" w:rsidTr="00810BD8">
        <w:trPr>
          <w:trHeight w:val="304"/>
        </w:trPr>
        <w:tc>
          <w:tcPr>
            <w:tcW w:w="3527" w:type="dxa"/>
            <w:vMerge w:val="restart"/>
            <w:vAlign w:val="center"/>
          </w:tcPr>
          <w:p w14:paraId="6BCE386E" w14:textId="77777777" w:rsidR="003F0B74" w:rsidRDefault="003F0B74" w:rsidP="00D57CE6">
            <w:pPr>
              <w:tabs>
                <w:tab w:val="left" w:pos="1134"/>
              </w:tabs>
              <w:spacing w:after="0"/>
              <w:ind w:left="0"/>
              <w:jc w:val="left"/>
              <w:rPr>
                <w:rFonts w:cs="Arial"/>
                <w:sz w:val="16"/>
                <w:szCs w:val="16"/>
              </w:rPr>
            </w:pPr>
            <w:r>
              <w:rPr>
                <w:rFonts w:cs="Arial"/>
                <w:sz w:val="16"/>
                <w:szCs w:val="16"/>
              </w:rPr>
              <w:t>Large Projects</w:t>
            </w:r>
          </w:p>
          <w:p w14:paraId="04CB7FE3" w14:textId="14845C9C" w:rsidR="003F0B74" w:rsidRPr="005A00DB" w:rsidRDefault="003F0B74" w:rsidP="008A6011">
            <w:pPr>
              <w:tabs>
                <w:tab w:val="left" w:pos="1134"/>
              </w:tabs>
              <w:ind w:left="0"/>
              <w:jc w:val="left"/>
              <w:rPr>
                <w:rFonts w:cs="Arial"/>
                <w:sz w:val="16"/>
                <w:szCs w:val="16"/>
              </w:rPr>
            </w:pPr>
            <w:r>
              <w:rPr>
                <w:rFonts w:cs="Arial"/>
                <w:sz w:val="16"/>
                <w:szCs w:val="16"/>
              </w:rPr>
              <w:t>(&gt; $100,000)</w:t>
            </w:r>
          </w:p>
        </w:tc>
        <w:tc>
          <w:tcPr>
            <w:tcW w:w="3844" w:type="dxa"/>
            <w:vMerge w:val="restart"/>
            <w:vAlign w:val="center"/>
          </w:tcPr>
          <w:p w14:paraId="564D3FD8" w14:textId="0B9C67AA" w:rsidR="003F0B74" w:rsidRDefault="003F0B74" w:rsidP="00795A65">
            <w:pPr>
              <w:tabs>
                <w:tab w:val="left" w:pos="1134"/>
              </w:tabs>
              <w:ind w:left="0"/>
              <w:jc w:val="left"/>
              <w:rPr>
                <w:rFonts w:cs="Arial"/>
                <w:sz w:val="16"/>
                <w:szCs w:val="16"/>
              </w:rPr>
            </w:pPr>
            <w:r>
              <w:rPr>
                <w:rFonts w:cs="Arial"/>
                <w:sz w:val="16"/>
                <w:szCs w:val="16"/>
              </w:rPr>
              <w:t>45% of salary costs (including on-costs)</w:t>
            </w:r>
          </w:p>
          <w:p w14:paraId="2AE8CC38" w14:textId="0A41AA38" w:rsidR="003F0B74" w:rsidRDefault="003F0B74" w:rsidP="00795A65">
            <w:pPr>
              <w:tabs>
                <w:tab w:val="left" w:pos="1134"/>
              </w:tabs>
              <w:ind w:left="0"/>
              <w:jc w:val="left"/>
              <w:rPr>
                <w:rFonts w:cs="Arial"/>
                <w:sz w:val="16"/>
                <w:szCs w:val="16"/>
              </w:rPr>
            </w:pPr>
            <w:r>
              <w:rPr>
                <w:rFonts w:cs="Arial"/>
                <w:sz w:val="16"/>
                <w:szCs w:val="16"/>
              </w:rPr>
              <w:t>10% of non-salary costs</w:t>
            </w:r>
            <w:r w:rsidRPr="00B95AA9">
              <w:rPr>
                <w:rFonts w:cs="Arial"/>
                <w:b/>
                <w:sz w:val="16"/>
                <w:szCs w:val="16"/>
              </w:rPr>
              <w:t>*</w:t>
            </w:r>
          </w:p>
        </w:tc>
      </w:tr>
      <w:tr w:rsidR="003F0B74" w:rsidRPr="00044B27" w14:paraId="032839C3" w14:textId="77777777" w:rsidTr="00810BD8">
        <w:trPr>
          <w:trHeight w:val="304"/>
        </w:trPr>
        <w:tc>
          <w:tcPr>
            <w:tcW w:w="3527" w:type="dxa"/>
            <w:vMerge/>
            <w:vAlign w:val="center"/>
          </w:tcPr>
          <w:p w14:paraId="315455DC" w14:textId="6C9726B2" w:rsidR="003F0B74" w:rsidRDefault="003F0B74" w:rsidP="00795A65">
            <w:pPr>
              <w:tabs>
                <w:tab w:val="left" w:pos="1134"/>
              </w:tabs>
              <w:ind w:left="0"/>
              <w:jc w:val="left"/>
              <w:rPr>
                <w:rFonts w:cs="Arial"/>
                <w:sz w:val="16"/>
                <w:szCs w:val="16"/>
              </w:rPr>
            </w:pPr>
          </w:p>
        </w:tc>
        <w:tc>
          <w:tcPr>
            <w:tcW w:w="3844" w:type="dxa"/>
            <w:vMerge/>
            <w:vAlign w:val="center"/>
          </w:tcPr>
          <w:p w14:paraId="301A7C88" w14:textId="77777777" w:rsidR="003F0B74" w:rsidRDefault="003F0B74" w:rsidP="00795A65">
            <w:pPr>
              <w:tabs>
                <w:tab w:val="left" w:pos="1134"/>
              </w:tabs>
              <w:ind w:left="0"/>
              <w:jc w:val="left"/>
              <w:rPr>
                <w:rFonts w:cs="Arial"/>
                <w:sz w:val="16"/>
                <w:szCs w:val="16"/>
              </w:rPr>
            </w:pPr>
          </w:p>
        </w:tc>
      </w:tr>
    </w:tbl>
    <w:p w14:paraId="42AA39AA" w14:textId="3D94DC44" w:rsidR="00385949" w:rsidRPr="00810BD8" w:rsidRDefault="00385949" w:rsidP="00810BD8">
      <w:pPr>
        <w:tabs>
          <w:tab w:val="left" w:pos="1134"/>
        </w:tabs>
        <w:ind w:left="1985" w:right="594"/>
        <w:rPr>
          <w:rFonts w:cs="Arial"/>
          <w:sz w:val="16"/>
          <w:szCs w:val="16"/>
        </w:rPr>
      </w:pPr>
      <w:r w:rsidRPr="00B95AA9">
        <w:rPr>
          <w:rFonts w:cs="Arial"/>
          <w:b/>
          <w:sz w:val="16"/>
          <w:szCs w:val="16"/>
        </w:rPr>
        <w:t>*</w:t>
      </w:r>
      <w:r w:rsidR="00585A2C" w:rsidRPr="00810BD8">
        <w:rPr>
          <w:rFonts w:cs="Arial"/>
          <w:sz w:val="16"/>
          <w:szCs w:val="16"/>
        </w:rPr>
        <w:t>W</w:t>
      </w:r>
      <w:r w:rsidR="005A00DB" w:rsidRPr="00810BD8">
        <w:rPr>
          <w:rFonts w:cs="Arial"/>
          <w:sz w:val="16"/>
          <w:szCs w:val="16"/>
        </w:rPr>
        <w:t xml:space="preserve">here an </w:t>
      </w:r>
      <w:r w:rsidRPr="00810BD8">
        <w:rPr>
          <w:rFonts w:cs="Arial"/>
          <w:sz w:val="16"/>
          <w:szCs w:val="16"/>
        </w:rPr>
        <w:t xml:space="preserve">item of equipment </w:t>
      </w:r>
      <w:r w:rsidR="00585A2C" w:rsidRPr="00810BD8">
        <w:rPr>
          <w:rFonts w:cs="Arial"/>
          <w:sz w:val="16"/>
          <w:szCs w:val="16"/>
        </w:rPr>
        <w:t xml:space="preserve">is </w:t>
      </w:r>
      <w:r w:rsidRPr="00810BD8">
        <w:rPr>
          <w:rFonts w:cs="Arial"/>
          <w:sz w:val="16"/>
          <w:szCs w:val="16"/>
        </w:rPr>
        <w:t>purchased to conduct the Consultancy &amp; Commercial Research (CCR) Project</w:t>
      </w:r>
      <w:r w:rsidR="007954CA">
        <w:rPr>
          <w:rFonts w:cs="Arial"/>
          <w:sz w:val="16"/>
          <w:szCs w:val="16"/>
        </w:rPr>
        <w:t xml:space="preserve"> </w:t>
      </w:r>
      <w:r w:rsidRPr="00810BD8">
        <w:rPr>
          <w:rFonts w:cs="Arial"/>
          <w:sz w:val="16"/>
          <w:szCs w:val="16"/>
        </w:rPr>
        <w:t xml:space="preserve">and </w:t>
      </w:r>
      <w:r w:rsidR="005A00DB" w:rsidRPr="00810BD8">
        <w:rPr>
          <w:rFonts w:cs="Arial"/>
          <w:sz w:val="16"/>
          <w:szCs w:val="16"/>
        </w:rPr>
        <w:t xml:space="preserve">is </w:t>
      </w:r>
      <w:r w:rsidRPr="00810BD8">
        <w:rPr>
          <w:rFonts w:cs="Arial"/>
          <w:sz w:val="16"/>
          <w:szCs w:val="16"/>
        </w:rPr>
        <w:t>retained by the University following the completion of the project</w:t>
      </w:r>
      <w:r w:rsidR="00585A2C" w:rsidRPr="00810BD8">
        <w:rPr>
          <w:rFonts w:cs="Arial"/>
          <w:sz w:val="16"/>
          <w:szCs w:val="16"/>
        </w:rPr>
        <w:t xml:space="preserve"> and is valued </w:t>
      </w:r>
      <w:r w:rsidR="00585A2C" w:rsidRPr="00810BD8">
        <w:rPr>
          <w:rFonts w:cs="Arial"/>
          <w:sz w:val="16"/>
          <w:szCs w:val="16"/>
        </w:rPr>
        <w:lastRenderedPageBreak/>
        <w:t>at greater than $5,000, it</w:t>
      </w:r>
      <w:r w:rsidR="00C434D6" w:rsidRPr="00810BD8">
        <w:rPr>
          <w:rFonts w:cs="Arial"/>
          <w:sz w:val="16"/>
          <w:szCs w:val="16"/>
        </w:rPr>
        <w:t xml:space="preserve"> will not incur an Overhead C</w:t>
      </w:r>
      <w:r w:rsidR="005A00DB" w:rsidRPr="00810BD8">
        <w:rPr>
          <w:rFonts w:cs="Arial"/>
          <w:sz w:val="16"/>
          <w:szCs w:val="16"/>
        </w:rPr>
        <w:t>ost. All other equipment costs will incur 10%</w:t>
      </w:r>
      <w:r w:rsidR="00C434D6" w:rsidRPr="00810BD8">
        <w:rPr>
          <w:rFonts w:cs="Arial"/>
          <w:sz w:val="16"/>
          <w:szCs w:val="16"/>
        </w:rPr>
        <w:t xml:space="preserve"> Overhead C</w:t>
      </w:r>
      <w:r w:rsidR="005A00DB" w:rsidRPr="00810BD8">
        <w:rPr>
          <w:rFonts w:cs="Arial"/>
          <w:sz w:val="16"/>
          <w:szCs w:val="16"/>
        </w:rPr>
        <w:t>ost.</w:t>
      </w:r>
    </w:p>
    <w:p w14:paraId="42AA39AC" w14:textId="71B2D9B0" w:rsidR="00385949" w:rsidRPr="00385949" w:rsidRDefault="00385949" w:rsidP="00810BD8">
      <w:pPr>
        <w:tabs>
          <w:tab w:val="left" w:pos="1134"/>
        </w:tabs>
        <w:ind w:left="1872"/>
        <w:rPr>
          <w:rFonts w:cs="Arial"/>
          <w:sz w:val="20"/>
        </w:rPr>
      </w:pPr>
      <w:r w:rsidRPr="00385949">
        <w:rPr>
          <w:rFonts w:cs="Arial"/>
          <w:sz w:val="20"/>
        </w:rPr>
        <w:t xml:space="preserve">The University seeks to encourage Consultancy &amp; Commercial Research (CCR) Projects of strategic value to the University. </w:t>
      </w:r>
      <w:r w:rsidR="00E058FD">
        <w:rPr>
          <w:rFonts w:cs="Arial"/>
          <w:sz w:val="20"/>
        </w:rPr>
        <w:t xml:space="preserve"> </w:t>
      </w:r>
      <w:r w:rsidRPr="00385949">
        <w:rPr>
          <w:rFonts w:cs="Arial"/>
          <w:sz w:val="20"/>
        </w:rPr>
        <w:t xml:space="preserve">The inclusion of an </w:t>
      </w:r>
      <w:r w:rsidR="00C434D6">
        <w:rPr>
          <w:rFonts w:cs="Arial"/>
          <w:sz w:val="20"/>
        </w:rPr>
        <w:t>O</w:t>
      </w:r>
      <w:r w:rsidRPr="00385949">
        <w:rPr>
          <w:rFonts w:cs="Arial"/>
          <w:sz w:val="20"/>
        </w:rPr>
        <w:t xml:space="preserve">verhead </w:t>
      </w:r>
      <w:r w:rsidR="00C434D6">
        <w:rPr>
          <w:rFonts w:cs="Arial"/>
          <w:sz w:val="20"/>
        </w:rPr>
        <w:t>C</w:t>
      </w:r>
      <w:r w:rsidRPr="00385949">
        <w:rPr>
          <w:rFonts w:cs="Arial"/>
          <w:sz w:val="20"/>
        </w:rPr>
        <w:t>ost by the University is designed to reflect this approach and to take into consideration the following points:</w:t>
      </w:r>
    </w:p>
    <w:p w14:paraId="42AA39AD" w14:textId="20B4AB5D" w:rsidR="00385949" w:rsidRPr="002E362A" w:rsidRDefault="00385949" w:rsidP="000F4FE3">
      <w:pPr>
        <w:pStyle w:val="ListParagraph"/>
        <w:numPr>
          <w:ilvl w:val="0"/>
          <w:numId w:val="16"/>
        </w:numPr>
        <w:tabs>
          <w:tab w:val="left" w:pos="1134"/>
        </w:tabs>
        <w:ind w:left="2268"/>
        <w:rPr>
          <w:rFonts w:cs="Arial"/>
          <w:sz w:val="20"/>
        </w:rPr>
      </w:pPr>
      <w:r w:rsidRPr="002E362A">
        <w:rPr>
          <w:rFonts w:cs="Arial"/>
          <w:sz w:val="20"/>
        </w:rPr>
        <w:t>the financial value of the Consultancy &amp; Commercial Research (CCR) Project;</w:t>
      </w:r>
    </w:p>
    <w:p w14:paraId="42AA39AE" w14:textId="2A89FFF8" w:rsidR="00385949" w:rsidRPr="002E362A" w:rsidRDefault="00385949" w:rsidP="000F4FE3">
      <w:pPr>
        <w:pStyle w:val="ListParagraph"/>
        <w:numPr>
          <w:ilvl w:val="0"/>
          <w:numId w:val="16"/>
        </w:numPr>
        <w:tabs>
          <w:tab w:val="left" w:pos="1134"/>
        </w:tabs>
        <w:ind w:left="2268"/>
        <w:rPr>
          <w:rFonts w:cs="Arial"/>
          <w:sz w:val="20"/>
        </w:rPr>
      </w:pPr>
      <w:r w:rsidRPr="002E362A">
        <w:rPr>
          <w:rFonts w:cs="Arial"/>
          <w:sz w:val="20"/>
        </w:rPr>
        <w:t xml:space="preserve">the differential amount that </w:t>
      </w:r>
      <w:r w:rsidR="005A00DB">
        <w:rPr>
          <w:rFonts w:cs="Arial"/>
          <w:sz w:val="20"/>
        </w:rPr>
        <w:t>salary</w:t>
      </w:r>
      <w:r w:rsidR="005A00DB" w:rsidRPr="002E362A">
        <w:rPr>
          <w:rFonts w:cs="Arial"/>
          <w:sz w:val="20"/>
        </w:rPr>
        <w:t xml:space="preserve"> </w:t>
      </w:r>
      <w:r w:rsidRPr="002E362A">
        <w:rPr>
          <w:rFonts w:cs="Arial"/>
          <w:sz w:val="20"/>
        </w:rPr>
        <w:t>and non-</w:t>
      </w:r>
      <w:r w:rsidR="005A00DB">
        <w:rPr>
          <w:rFonts w:cs="Arial"/>
          <w:sz w:val="20"/>
        </w:rPr>
        <w:t>salary</w:t>
      </w:r>
      <w:r w:rsidRPr="002E362A">
        <w:rPr>
          <w:rFonts w:cs="Arial"/>
          <w:sz w:val="20"/>
        </w:rPr>
        <w:t xml:space="preserve"> costs contribute to University's </w:t>
      </w:r>
      <w:r w:rsidR="00C434D6">
        <w:rPr>
          <w:rFonts w:cs="Arial"/>
          <w:sz w:val="20"/>
        </w:rPr>
        <w:t>O</w:t>
      </w:r>
      <w:r w:rsidRPr="002E362A">
        <w:rPr>
          <w:rFonts w:cs="Arial"/>
          <w:sz w:val="20"/>
        </w:rPr>
        <w:t xml:space="preserve">verhead </w:t>
      </w:r>
      <w:r w:rsidR="00C434D6">
        <w:rPr>
          <w:rFonts w:cs="Arial"/>
          <w:sz w:val="20"/>
        </w:rPr>
        <w:t>C</w:t>
      </w:r>
      <w:r w:rsidRPr="002E362A">
        <w:rPr>
          <w:rFonts w:cs="Arial"/>
          <w:sz w:val="20"/>
        </w:rPr>
        <w:t>osts; and</w:t>
      </w:r>
    </w:p>
    <w:p w14:paraId="42AA39AF" w14:textId="33A3D3FA" w:rsidR="00385949" w:rsidRPr="002E362A" w:rsidRDefault="00385949" w:rsidP="000F4FE3">
      <w:pPr>
        <w:pStyle w:val="ListParagraph"/>
        <w:numPr>
          <w:ilvl w:val="0"/>
          <w:numId w:val="16"/>
        </w:numPr>
        <w:tabs>
          <w:tab w:val="left" w:pos="1134"/>
        </w:tabs>
        <w:ind w:left="2268"/>
        <w:rPr>
          <w:rFonts w:cs="Arial"/>
          <w:sz w:val="20"/>
        </w:rPr>
      </w:pPr>
      <w:r w:rsidRPr="002E362A">
        <w:rPr>
          <w:rFonts w:cs="Arial"/>
          <w:sz w:val="20"/>
        </w:rPr>
        <w:t xml:space="preserve">the cost of processing </w:t>
      </w:r>
      <w:r w:rsidR="005A1F26">
        <w:rPr>
          <w:rFonts w:cs="Arial"/>
          <w:sz w:val="20"/>
        </w:rPr>
        <w:t>N</w:t>
      </w:r>
      <w:r w:rsidR="007954CA">
        <w:rPr>
          <w:rFonts w:cs="Arial"/>
          <w:sz w:val="20"/>
        </w:rPr>
        <w:t>on-</w:t>
      </w:r>
      <w:r w:rsidR="005A1F26">
        <w:rPr>
          <w:rFonts w:cs="Arial"/>
          <w:sz w:val="20"/>
        </w:rPr>
        <w:t>S</w:t>
      </w:r>
      <w:r w:rsidRPr="002E362A">
        <w:rPr>
          <w:rFonts w:cs="Arial"/>
          <w:sz w:val="20"/>
        </w:rPr>
        <w:t xml:space="preserve">tandard </w:t>
      </w:r>
      <w:r w:rsidR="005A1F26">
        <w:rPr>
          <w:rFonts w:cs="Arial"/>
          <w:sz w:val="20"/>
        </w:rPr>
        <w:t>C</w:t>
      </w:r>
      <w:r w:rsidRPr="002E362A">
        <w:rPr>
          <w:rFonts w:cs="Arial"/>
          <w:sz w:val="20"/>
        </w:rPr>
        <w:t xml:space="preserve">ontracts for </w:t>
      </w:r>
      <w:r w:rsidR="00B04587">
        <w:rPr>
          <w:rFonts w:cs="Arial"/>
          <w:sz w:val="20"/>
        </w:rPr>
        <w:t>Very Small Projects, S</w:t>
      </w:r>
      <w:r w:rsidRPr="002E362A">
        <w:rPr>
          <w:rFonts w:cs="Arial"/>
          <w:sz w:val="20"/>
        </w:rPr>
        <w:t xml:space="preserve">mall </w:t>
      </w:r>
      <w:r w:rsidR="00B04587">
        <w:rPr>
          <w:rFonts w:cs="Arial"/>
          <w:sz w:val="20"/>
        </w:rPr>
        <w:t>P</w:t>
      </w:r>
      <w:r w:rsidRPr="002E362A">
        <w:rPr>
          <w:rFonts w:cs="Arial"/>
          <w:sz w:val="20"/>
        </w:rPr>
        <w:t xml:space="preserve">rojects and </w:t>
      </w:r>
      <w:r w:rsidR="00B04587">
        <w:rPr>
          <w:rFonts w:cs="Arial"/>
          <w:sz w:val="20"/>
        </w:rPr>
        <w:t>L</w:t>
      </w:r>
      <w:r w:rsidRPr="002E362A">
        <w:rPr>
          <w:rFonts w:cs="Arial"/>
          <w:sz w:val="20"/>
        </w:rPr>
        <w:t xml:space="preserve">arge </w:t>
      </w:r>
      <w:r w:rsidR="00B04587">
        <w:rPr>
          <w:rFonts w:cs="Arial"/>
          <w:sz w:val="20"/>
        </w:rPr>
        <w:t>P</w:t>
      </w:r>
      <w:r w:rsidRPr="002E362A">
        <w:rPr>
          <w:rFonts w:cs="Arial"/>
          <w:sz w:val="20"/>
        </w:rPr>
        <w:t>rojects.</w:t>
      </w:r>
    </w:p>
    <w:p w14:paraId="358075F8" w14:textId="01378439" w:rsidR="000F4FE3" w:rsidRDefault="000F4FE3" w:rsidP="002E362A">
      <w:pPr>
        <w:tabs>
          <w:tab w:val="left" w:pos="1134"/>
        </w:tabs>
        <w:ind w:left="1146"/>
        <w:rPr>
          <w:rFonts w:cs="Arial"/>
          <w:sz w:val="20"/>
        </w:rPr>
      </w:pPr>
      <w:r>
        <w:rPr>
          <w:rFonts w:cs="Arial"/>
          <w:sz w:val="20"/>
        </w:rPr>
        <w:t>4.3.3   Distribution of Overhead Cost</w:t>
      </w:r>
    </w:p>
    <w:p w14:paraId="42AA39B0" w14:textId="64250B18" w:rsidR="00385949" w:rsidRPr="00385949" w:rsidRDefault="00385949" w:rsidP="00810BD8">
      <w:pPr>
        <w:ind w:left="1843"/>
        <w:rPr>
          <w:rFonts w:cs="Arial"/>
          <w:sz w:val="20"/>
        </w:rPr>
      </w:pPr>
      <w:r w:rsidRPr="00385949">
        <w:rPr>
          <w:rFonts w:cs="Arial"/>
          <w:sz w:val="20"/>
        </w:rPr>
        <w:t xml:space="preserve">Overhead </w:t>
      </w:r>
      <w:r w:rsidR="00C434D6">
        <w:rPr>
          <w:rFonts w:cs="Arial"/>
          <w:sz w:val="20"/>
        </w:rPr>
        <w:t>C</w:t>
      </w:r>
      <w:r w:rsidRPr="00385949">
        <w:rPr>
          <w:rFonts w:cs="Arial"/>
          <w:sz w:val="20"/>
        </w:rPr>
        <w:t>osts for Consultancy &amp; Commercial Research (CCR) Projects will be distributed as follows:</w:t>
      </w:r>
    </w:p>
    <w:p w14:paraId="42AA39B1" w14:textId="77777777" w:rsidR="00385949" w:rsidRPr="002E362A" w:rsidRDefault="00385949" w:rsidP="00810BD8">
      <w:pPr>
        <w:pStyle w:val="ListParagraph"/>
        <w:numPr>
          <w:ilvl w:val="0"/>
          <w:numId w:val="17"/>
        </w:numPr>
        <w:ind w:left="2268"/>
        <w:rPr>
          <w:rFonts w:cs="Arial"/>
          <w:sz w:val="20"/>
        </w:rPr>
      </w:pPr>
      <w:r w:rsidRPr="002E362A">
        <w:rPr>
          <w:rFonts w:cs="Arial"/>
          <w:sz w:val="20"/>
        </w:rPr>
        <w:t>half to University Corporate; and</w:t>
      </w:r>
    </w:p>
    <w:p w14:paraId="42AA39B2" w14:textId="3B3F40C3" w:rsidR="00385949" w:rsidRPr="002E362A" w:rsidRDefault="00385949" w:rsidP="00810BD8">
      <w:pPr>
        <w:pStyle w:val="ListParagraph"/>
        <w:numPr>
          <w:ilvl w:val="0"/>
          <w:numId w:val="17"/>
        </w:numPr>
        <w:ind w:left="2268"/>
        <w:rPr>
          <w:rFonts w:cs="Arial"/>
          <w:sz w:val="20"/>
        </w:rPr>
      </w:pPr>
      <w:r w:rsidRPr="002E362A">
        <w:rPr>
          <w:rFonts w:cs="Arial"/>
          <w:sz w:val="20"/>
        </w:rPr>
        <w:t xml:space="preserve">half to the relevant </w:t>
      </w:r>
      <w:r w:rsidR="00EE1F03">
        <w:rPr>
          <w:rFonts w:cs="Arial"/>
          <w:sz w:val="20"/>
        </w:rPr>
        <w:t xml:space="preserve">Academic </w:t>
      </w:r>
      <w:r w:rsidRPr="002E362A">
        <w:rPr>
          <w:rFonts w:cs="Arial"/>
          <w:sz w:val="20"/>
        </w:rPr>
        <w:t>Group or Division.</w:t>
      </w:r>
    </w:p>
    <w:p w14:paraId="4B5671A5" w14:textId="466F62D3" w:rsidR="000F4FE3" w:rsidRDefault="000F4FE3" w:rsidP="002E362A">
      <w:pPr>
        <w:tabs>
          <w:tab w:val="left" w:pos="1134"/>
        </w:tabs>
        <w:ind w:left="1146"/>
        <w:rPr>
          <w:rFonts w:cs="Arial"/>
          <w:sz w:val="20"/>
        </w:rPr>
      </w:pPr>
      <w:r>
        <w:rPr>
          <w:rFonts w:cs="Arial"/>
          <w:sz w:val="20"/>
        </w:rPr>
        <w:t>4.3.4   Variation to Overhead Cost</w:t>
      </w:r>
    </w:p>
    <w:p w14:paraId="42AA39B3" w14:textId="2DEF2B22" w:rsidR="00385949" w:rsidRPr="00385949" w:rsidRDefault="00385949" w:rsidP="00810BD8">
      <w:pPr>
        <w:ind w:left="1701"/>
        <w:rPr>
          <w:rFonts w:cs="Arial"/>
          <w:sz w:val="20"/>
        </w:rPr>
      </w:pPr>
      <w:r w:rsidRPr="00385949">
        <w:rPr>
          <w:rFonts w:cs="Arial"/>
          <w:sz w:val="20"/>
        </w:rPr>
        <w:t xml:space="preserve">A variation of the </w:t>
      </w:r>
      <w:r w:rsidR="00C434D6">
        <w:rPr>
          <w:rFonts w:cs="Arial"/>
          <w:sz w:val="20"/>
        </w:rPr>
        <w:t>O</w:t>
      </w:r>
      <w:r w:rsidRPr="00385949">
        <w:rPr>
          <w:rFonts w:cs="Arial"/>
          <w:sz w:val="20"/>
        </w:rPr>
        <w:t xml:space="preserve">verhead </w:t>
      </w:r>
      <w:r w:rsidR="00C434D6">
        <w:rPr>
          <w:rFonts w:cs="Arial"/>
          <w:sz w:val="20"/>
        </w:rPr>
        <w:t>C</w:t>
      </w:r>
      <w:r w:rsidRPr="00385949">
        <w:rPr>
          <w:rFonts w:cs="Arial"/>
          <w:sz w:val="20"/>
        </w:rPr>
        <w:t>ost may be approved in the case of a Consultancy &amp; Commercial Research (CCR) Project where that Consultancy &amp; Commercial Research (CCR) Project is of strategic importance to the University.</w:t>
      </w:r>
    </w:p>
    <w:p w14:paraId="42AA39B4" w14:textId="35F40780" w:rsidR="00385949" w:rsidRPr="00385949" w:rsidRDefault="00385949" w:rsidP="00810BD8">
      <w:pPr>
        <w:ind w:left="1701"/>
        <w:rPr>
          <w:rFonts w:cs="Arial"/>
          <w:sz w:val="20"/>
        </w:rPr>
      </w:pPr>
      <w:r w:rsidRPr="00385949">
        <w:rPr>
          <w:rFonts w:cs="Arial"/>
          <w:sz w:val="20"/>
        </w:rPr>
        <w:t xml:space="preserve">Requests for a variation of </w:t>
      </w:r>
      <w:r w:rsidR="00C434D6">
        <w:rPr>
          <w:rFonts w:cs="Arial"/>
          <w:sz w:val="20"/>
        </w:rPr>
        <w:t>O</w:t>
      </w:r>
      <w:r w:rsidRPr="00385949">
        <w:rPr>
          <w:rFonts w:cs="Arial"/>
          <w:sz w:val="20"/>
        </w:rPr>
        <w:t xml:space="preserve">verhead </w:t>
      </w:r>
      <w:r w:rsidR="00C434D6">
        <w:rPr>
          <w:rFonts w:cs="Arial"/>
          <w:sz w:val="20"/>
        </w:rPr>
        <w:t>C</w:t>
      </w:r>
      <w:r w:rsidRPr="00385949">
        <w:rPr>
          <w:rFonts w:cs="Arial"/>
          <w:sz w:val="20"/>
        </w:rPr>
        <w:t xml:space="preserve">ost must be submitted to the relevant authority before or at the time of submitting a CCR Project </w:t>
      </w:r>
      <w:r w:rsidR="00A32830">
        <w:rPr>
          <w:rFonts w:cs="Arial"/>
          <w:sz w:val="20"/>
        </w:rPr>
        <w:t>Coversheet</w:t>
      </w:r>
      <w:r w:rsidRPr="00385949">
        <w:rPr>
          <w:rFonts w:cs="Arial"/>
          <w:sz w:val="20"/>
        </w:rPr>
        <w:t xml:space="preserve"> for the Consultancy &amp; Commercial Research (CCR) Project and prior to agreement of the price with the </w:t>
      </w:r>
      <w:r w:rsidR="00DF4727">
        <w:rPr>
          <w:rFonts w:cs="Arial"/>
          <w:sz w:val="20"/>
        </w:rPr>
        <w:t>E</w:t>
      </w:r>
      <w:r w:rsidRPr="00385949">
        <w:rPr>
          <w:rFonts w:cs="Arial"/>
          <w:sz w:val="20"/>
        </w:rPr>
        <w:t xml:space="preserve">xternal </w:t>
      </w:r>
      <w:r w:rsidR="00DF4727">
        <w:rPr>
          <w:rFonts w:cs="Arial"/>
          <w:sz w:val="20"/>
        </w:rPr>
        <w:t>O</w:t>
      </w:r>
      <w:r w:rsidRPr="00385949">
        <w:rPr>
          <w:rFonts w:cs="Arial"/>
          <w:sz w:val="20"/>
        </w:rPr>
        <w:t xml:space="preserve">rganisation. </w:t>
      </w:r>
      <w:r w:rsidR="00E058FD">
        <w:rPr>
          <w:rFonts w:cs="Arial"/>
          <w:sz w:val="20"/>
        </w:rPr>
        <w:t xml:space="preserve"> </w:t>
      </w:r>
      <w:r w:rsidRPr="00385949">
        <w:rPr>
          <w:rFonts w:cs="Arial"/>
          <w:sz w:val="20"/>
        </w:rPr>
        <w:t xml:space="preserve">For </w:t>
      </w:r>
      <w:r w:rsidR="00C434D6">
        <w:rPr>
          <w:rFonts w:cs="Arial"/>
          <w:sz w:val="20"/>
        </w:rPr>
        <w:t>L</w:t>
      </w:r>
      <w:r w:rsidRPr="00385949">
        <w:rPr>
          <w:rFonts w:cs="Arial"/>
          <w:sz w:val="20"/>
        </w:rPr>
        <w:t xml:space="preserve">arge </w:t>
      </w:r>
      <w:r w:rsidR="00C434D6">
        <w:rPr>
          <w:rFonts w:cs="Arial"/>
          <w:sz w:val="20"/>
        </w:rPr>
        <w:t>P</w:t>
      </w:r>
      <w:r w:rsidRPr="00385949">
        <w:rPr>
          <w:rFonts w:cs="Arial"/>
          <w:sz w:val="20"/>
        </w:rPr>
        <w:t xml:space="preserve">rojects, request for a variation of </w:t>
      </w:r>
      <w:r w:rsidR="00C434D6">
        <w:rPr>
          <w:rFonts w:cs="Arial"/>
          <w:sz w:val="20"/>
        </w:rPr>
        <w:t>O</w:t>
      </w:r>
      <w:r w:rsidRPr="00385949">
        <w:rPr>
          <w:rFonts w:cs="Arial"/>
          <w:sz w:val="20"/>
        </w:rPr>
        <w:t xml:space="preserve">verhead </w:t>
      </w:r>
      <w:r w:rsidR="00C434D6">
        <w:rPr>
          <w:rFonts w:cs="Arial"/>
          <w:sz w:val="20"/>
        </w:rPr>
        <w:t>C</w:t>
      </w:r>
      <w:r w:rsidRPr="00385949">
        <w:rPr>
          <w:rFonts w:cs="Arial"/>
          <w:sz w:val="20"/>
        </w:rPr>
        <w:t>ost must be accompanied by a recommendation from the Director - Griffith Enterprise.</w:t>
      </w:r>
    </w:p>
    <w:p w14:paraId="42AA39B5" w14:textId="77777777" w:rsidR="00385949" w:rsidRDefault="00385949" w:rsidP="00810BD8">
      <w:pPr>
        <w:ind w:left="1701"/>
        <w:rPr>
          <w:rFonts w:cs="Arial"/>
          <w:sz w:val="20"/>
        </w:rPr>
      </w:pPr>
      <w:r w:rsidRPr="00385949">
        <w:rPr>
          <w:rFonts w:cs="Arial"/>
          <w:sz w:val="20"/>
        </w:rPr>
        <w:t>Requests are to be directed as follows:</w:t>
      </w:r>
    </w:p>
    <w:tbl>
      <w:tblPr>
        <w:tblW w:w="7797" w:type="dxa"/>
        <w:tblInd w:w="169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2977"/>
        <w:gridCol w:w="4820"/>
      </w:tblGrid>
      <w:tr w:rsidR="002E362A" w:rsidRPr="002E362A" w14:paraId="42AA39B8" w14:textId="77777777" w:rsidTr="00B95AA9">
        <w:tc>
          <w:tcPr>
            <w:tcW w:w="2977" w:type="dxa"/>
            <w:shd w:val="clear" w:color="auto" w:fill="D9D9D9" w:themeFill="background1" w:themeFillShade="D9"/>
            <w:vAlign w:val="center"/>
          </w:tcPr>
          <w:p w14:paraId="42AA39B6" w14:textId="77777777" w:rsidR="002E362A" w:rsidRPr="002E362A" w:rsidRDefault="002E362A" w:rsidP="00B95AA9">
            <w:pPr>
              <w:keepNext/>
              <w:tabs>
                <w:tab w:val="num" w:pos="0"/>
                <w:tab w:val="left" w:pos="440"/>
                <w:tab w:val="right" w:leader="dot" w:pos="9060"/>
              </w:tabs>
              <w:spacing w:before="120"/>
              <w:ind w:left="0"/>
              <w:jc w:val="center"/>
              <w:outlineLvl w:val="3"/>
              <w:rPr>
                <w:rFonts w:eastAsia="Arial Unicode MS" w:cs="Arial"/>
                <w:bCs/>
                <w:noProof/>
                <w:sz w:val="20"/>
                <w:lang w:val="en-US" w:eastAsia="en-US"/>
              </w:rPr>
            </w:pPr>
            <w:r w:rsidRPr="002E362A">
              <w:rPr>
                <w:rFonts w:eastAsia="Arial Unicode MS" w:cs="Arial"/>
                <w:bCs/>
                <w:noProof/>
                <w:sz w:val="20"/>
                <w:lang w:val="en-US" w:eastAsia="en-US"/>
              </w:rPr>
              <w:t>Component of Overhead Cost</w:t>
            </w:r>
          </w:p>
        </w:tc>
        <w:tc>
          <w:tcPr>
            <w:tcW w:w="4820" w:type="dxa"/>
            <w:shd w:val="clear" w:color="auto" w:fill="D9D9D9" w:themeFill="background1" w:themeFillShade="D9"/>
            <w:vAlign w:val="center"/>
          </w:tcPr>
          <w:p w14:paraId="42AA39B7" w14:textId="77777777" w:rsidR="002E362A" w:rsidRPr="002E362A" w:rsidRDefault="002E362A" w:rsidP="00B95AA9">
            <w:pPr>
              <w:keepNext/>
              <w:tabs>
                <w:tab w:val="num" w:pos="0"/>
                <w:tab w:val="left" w:pos="440"/>
                <w:tab w:val="right" w:leader="dot" w:pos="9060"/>
              </w:tabs>
              <w:spacing w:before="120"/>
              <w:ind w:left="0"/>
              <w:jc w:val="center"/>
              <w:outlineLvl w:val="3"/>
              <w:rPr>
                <w:rFonts w:eastAsia="Arial Unicode MS" w:cs="Arial"/>
                <w:bCs/>
                <w:noProof/>
                <w:sz w:val="20"/>
                <w:lang w:val="en-US" w:eastAsia="en-US"/>
              </w:rPr>
            </w:pPr>
            <w:r w:rsidRPr="002E362A">
              <w:rPr>
                <w:rFonts w:eastAsia="Arial Unicode MS" w:cs="Arial"/>
                <w:bCs/>
                <w:noProof/>
                <w:sz w:val="20"/>
                <w:lang w:val="en-US" w:eastAsia="en-US"/>
              </w:rPr>
              <w:t>Authority in relation to variation</w:t>
            </w:r>
          </w:p>
        </w:tc>
      </w:tr>
      <w:tr w:rsidR="002E362A" w:rsidRPr="002E362A" w14:paraId="42AA39BB" w14:textId="77777777" w:rsidTr="004155CF">
        <w:tc>
          <w:tcPr>
            <w:tcW w:w="2977" w:type="dxa"/>
          </w:tcPr>
          <w:p w14:paraId="42AA39B9" w14:textId="77777777" w:rsidR="002E362A" w:rsidRPr="002E362A" w:rsidRDefault="002E362A" w:rsidP="002E362A">
            <w:pPr>
              <w:keepNext/>
              <w:tabs>
                <w:tab w:val="num" w:pos="0"/>
                <w:tab w:val="left" w:pos="440"/>
                <w:tab w:val="right" w:leader="dot" w:pos="9060"/>
              </w:tabs>
              <w:spacing w:before="120" w:after="0"/>
              <w:ind w:left="0"/>
              <w:jc w:val="center"/>
              <w:outlineLvl w:val="3"/>
              <w:rPr>
                <w:rFonts w:eastAsia="Arial Unicode MS" w:cs="Arial"/>
                <w:bCs/>
                <w:noProof/>
                <w:sz w:val="20"/>
                <w:lang w:val="en-US" w:eastAsia="en-US"/>
              </w:rPr>
            </w:pPr>
            <w:r w:rsidRPr="002E362A">
              <w:rPr>
                <w:rFonts w:eastAsia="Arial Unicode MS" w:cs="Arial"/>
                <w:bCs/>
                <w:noProof/>
                <w:sz w:val="20"/>
                <w:lang w:val="en-US" w:eastAsia="en-US"/>
              </w:rPr>
              <w:t>University Corporate</w:t>
            </w:r>
          </w:p>
        </w:tc>
        <w:tc>
          <w:tcPr>
            <w:tcW w:w="4820" w:type="dxa"/>
          </w:tcPr>
          <w:p w14:paraId="039944A8" w14:textId="24121ADF" w:rsidR="00AC0AB6" w:rsidRDefault="002B305A" w:rsidP="00FB4CED">
            <w:pPr>
              <w:keepNext/>
              <w:tabs>
                <w:tab w:val="num" w:pos="0"/>
                <w:tab w:val="left" w:pos="440"/>
                <w:tab w:val="right" w:leader="dot" w:pos="9060"/>
              </w:tabs>
              <w:spacing w:before="120" w:after="0"/>
              <w:ind w:left="0"/>
              <w:jc w:val="center"/>
              <w:outlineLvl w:val="3"/>
              <w:rPr>
                <w:rFonts w:eastAsia="Arial Unicode MS" w:cs="Arial"/>
                <w:bCs/>
                <w:noProof/>
                <w:sz w:val="20"/>
                <w:lang w:val="en-US" w:eastAsia="en-US"/>
              </w:rPr>
            </w:pPr>
            <w:r>
              <w:rPr>
                <w:rFonts w:eastAsia="Arial Unicode MS" w:cs="Arial"/>
                <w:bCs/>
                <w:noProof/>
                <w:sz w:val="20"/>
                <w:lang w:val="en-US" w:eastAsia="en-US"/>
              </w:rPr>
              <w:t xml:space="preserve">Very Small </w:t>
            </w:r>
            <w:r w:rsidR="00AC0AB6">
              <w:rPr>
                <w:rFonts w:eastAsia="Arial Unicode MS" w:cs="Arial"/>
                <w:bCs/>
                <w:noProof/>
                <w:sz w:val="20"/>
                <w:lang w:val="en-US" w:eastAsia="en-US"/>
              </w:rPr>
              <w:t>Project</w:t>
            </w:r>
            <w:r w:rsidR="002360DB">
              <w:rPr>
                <w:rFonts w:eastAsia="Arial Unicode MS" w:cs="Arial"/>
                <w:bCs/>
                <w:noProof/>
                <w:sz w:val="20"/>
                <w:lang w:val="en-US" w:eastAsia="en-US"/>
              </w:rPr>
              <w:t>s</w:t>
            </w:r>
            <w:r>
              <w:rPr>
                <w:rFonts w:eastAsia="Arial Unicode MS" w:cs="Arial"/>
                <w:bCs/>
                <w:noProof/>
                <w:sz w:val="20"/>
                <w:lang w:val="en-US" w:eastAsia="en-US"/>
              </w:rPr>
              <w:t xml:space="preserve"> and Small Projects </w:t>
            </w:r>
            <w:r w:rsidR="00AC0AB6">
              <w:rPr>
                <w:rFonts w:eastAsia="Arial Unicode MS" w:cs="Arial"/>
                <w:bCs/>
                <w:noProof/>
                <w:sz w:val="20"/>
                <w:lang w:val="en-US" w:eastAsia="en-US"/>
              </w:rPr>
              <w:t xml:space="preserve"> – Director</w:t>
            </w:r>
            <w:r>
              <w:rPr>
                <w:rFonts w:eastAsia="Arial Unicode MS" w:cs="Arial"/>
                <w:bCs/>
                <w:noProof/>
                <w:sz w:val="20"/>
                <w:lang w:val="en-US" w:eastAsia="en-US"/>
              </w:rPr>
              <w:t xml:space="preserve"> Griffith Enterprise</w:t>
            </w:r>
          </w:p>
          <w:p w14:paraId="42AA39BA" w14:textId="43265CAE" w:rsidR="002E362A" w:rsidRPr="002E362A" w:rsidRDefault="002B305A" w:rsidP="00B95AA9">
            <w:pPr>
              <w:keepNext/>
              <w:tabs>
                <w:tab w:val="num" w:pos="0"/>
                <w:tab w:val="left" w:pos="440"/>
                <w:tab w:val="right" w:leader="dot" w:pos="9060"/>
              </w:tabs>
              <w:spacing w:before="120"/>
              <w:ind w:left="0"/>
              <w:jc w:val="center"/>
              <w:outlineLvl w:val="3"/>
              <w:rPr>
                <w:rFonts w:eastAsia="Arial Unicode MS" w:cs="Arial"/>
                <w:bCs/>
                <w:noProof/>
                <w:sz w:val="20"/>
                <w:lang w:val="en-US" w:eastAsia="en-US"/>
              </w:rPr>
            </w:pPr>
            <w:r>
              <w:rPr>
                <w:rFonts w:eastAsia="Arial Unicode MS" w:cs="Arial"/>
                <w:bCs/>
                <w:noProof/>
                <w:sz w:val="20"/>
                <w:lang w:val="en-US" w:eastAsia="en-US"/>
              </w:rPr>
              <w:t>Large</w:t>
            </w:r>
            <w:r w:rsidR="00AC0AB6">
              <w:rPr>
                <w:rFonts w:eastAsia="Arial Unicode MS" w:cs="Arial"/>
                <w:bCs/>
                <w:noProof/>
                <w:sz w:val="20"/>
                <w:lang w:val="en-US" w:eastAsia="en-US"/>
              </w:rPr>
              <w:t xml:space="preserve"> Project</w:t>
            </w:r>
            <w:r w:rsidR="002360DB">
              <w:rPr>
                <w:rFonts w:eastAsia="Arial Unicode MS" w:cs="Arial"/>
                <w:bCs/>
                <w:noProof/>
                <w:sz w:val="20"/>
                <w:lang w:val="en-US" w:eastAsia="en-US"/>
              </w:rPr>
              <w:t>s</w:t>
            </w:r>
            <w:r w:rsidR="00AC0AB6">
              <w:rPr>
                <w:rFonts w:eastAsia="Arial Unicode MS" w:cs="Arial"/>
                <w:bCs/>
                <w:noProof/>
                <w:sz w:val="20"/>
                <w:lang w:val="en-US" w:eastAsia="en-US"/>
              </w:rPr>
              <w:t xml:space="preserve"> - </w:t>
            </w:r>
            <w:r w:rsidR="00D057B7">
              <w:rPr>
                <w:rFonts w:eastAsia="Arial Unicode MS" w:cs="Arial"/>
                <w:bCs/>
                <w:noProof/>
                <w:sz w:val="20"/>
                <w:lang w:val="en-US" w:eastAsia="en-US"/>
              </w:rPr>
              <w:t>Provost</w:t>
            </w:r>
          </w:p>
        </w:tc>
      </w:tr>
      <w:tr w:rsidR="002E362A" w:rsidRPr="002E362A" w14:paraId="42AA39BE" w14:textId="77777777" w:rsidTr="004155CF">
        <w:tc>
          <w:tcPr>
            <w:tcW w:w="2977" w:type="dxa"/>
          </w:tcPr>
          <w:p w14:paraId="42AA39BC" w14:textId="77777777" w:rsidR="002E362A" w:rsidRPr="002E362A" w:rsidRDefault="002E362A" w:rsidP="00B95AA9">
            <w:pPr>
              <w:keepNext/>
              <w:tabs>
                <w:tab w:val="num" w:pos="0"/>
                <w:tab w:val="left" w:pos="440"/>
                <w:tab w:val="right" w:leader="dot" w:pos="9060"/>
              </w:tabs>
              <w:spacing w:before="120"/>
              <w:ind w:left="0"/>
              <w:jc w:val="center"/>
              <w:outlineLvl w:val="3"/>
              <w:rPr>
                <w:rFonts w:eastAsia="Arial Unicode MS" w:cs="Arial"/>
                <w:bCs/>
                <w:noProof/>
                <w:sz w:val="20"/>
                <w:lang w:val="en-US" w:eastAsia="en-US"/>
              </w:rPr>
            </w:pPr>
            <w:r w:rsidRPr="002E362A">
              <w:rPr>
                <w:rFonts w:eastAsia="Arial Unicode MS" w:cs="Arial"/>
                <w:bCs/>
                <w:noProof/>
                <w:sz w:val="20"/>
                <w:lang w:val="en-US" w:eastAsia="en-US"/>
              </w:rPr>
              <w:t>Academic Group</w:t>
            </w:r>
          </w:p>
        </w:tc>
        <w:tc>
          <w:tcPr>
            <w:tcW w:w="4820" w:type="dxa"/>
          </w:tcPr>
          <w:p w14:paraId="42AA39BD" w14:textId="77777777" w:rsidR="002E362A" w:rsidRPr="002E362A" w:rsidRDefault="001B6156" w:rsidP="00B95AA9">
            <w:pPr>
              <w:keepNext/>
              <w:tabs>
                <w:tab w:val="num" w:pos="0"/>
                <w:tab w:val="left" w:pos="440"/>
                <w:tab w:val="right" w:leader="dot" w:pos="9060"/>
              </w:tabs>
              <w:spacing w:before="120"/>
              <w:ind w:left="0"/>
              <w:jc w:val="center"/>
              <w:outlineLvl w:val="3"/>
              <w:rPr>
                <w:rFonts w:eastAsia="Arial Unicode MS" w:cs="Arial"/>
                <w:bCs/>
                <w:noProof/>
                <w:sz w:val="20"/>
                <w:lang w:val="en-US" w:eastAsia="en-US"/>
              </w:rPr>
            </w:pPr>
            <w:r>
              <w:rPr>
                <w:rFonts w:eastAsia="Arial Unicode MS" w:cs="Arial"/>
                <w:bCs/>
                <w:noProof/>
                <w:sz w:val="20"/>
                <w:lang w:val="en-US" w:eastAsia="en-US"/>
              </w:rPr>
              <w:t xml:space="preserve">Group Pro </w:t>
            </w:r>
            <w:r w:rsidR="002E362A" w:rsidRPr="002E362A">
              <w:rPr>
                <w:rFonts w:eastAsia="Arial Unicode MS" w:cs="Arial"/>
                <w:bCs/>
                <w:noProof/>
                <w:sz w:val="20"/>
                <w:lang w:val="en-US" w:eastAsia="en-US"/>
              </w:rPr>
              <w:t>Vice Chancellor</w:t>
            </w:r>
          </w:p>
        </w:tc>
      </w:tr>
      <w:tr w:rsidR="002E362A" w:rsidRPr="002E362A" w14:paraId="42AA39C1" w14:textId="77777777" w:rsidTr="004155CF">
        <w:tc>
          <w:tcPr>
            <w:tcW w:w="2977" w:type="dxa"/>
          </w:tcPr>
          <w:p w14:paraId="42AA39BF" w14:textId="77777777" w:rsidR="002E362A" w:rsidRPr="002E362A" w:rsidRDefault="002E362A" w:rsidP="00B95AA9">
            <w:pPr>
              <w:keepNext/>
              <w:tabs>
                <w:tab w:val="num" w:pos="0"/>
                <w:tab w:val="left" w:pos="440"/>
                <w:tab w:val="right" w:leader="dot" w:pos="9060"/>
              </w:tabs>
              <w:spacing w:before="120"/>
              <w:ind w:left="0"/>
              <w:jc w:val="center"/>
              <w:outlineLvl w:val="3"/>
              <w:rPr>
                <w:rFonts w:eastAsia="Arial Unicode MS" w:cs="Arial"/>
                <w:bCs/>
                <w:noProof/>
                <w:sz w:val="20"/>
                <w:lang w:val="en-US" w:eastAsia="en-US"/>
              </w:rPr>
            </w:pPr>
            <w:r w:rsidRPr="002E362A">
              <w:rPr>
                <w:rFonts w:eastAsia="Arial Unicode MS" w:cs="Arial"/>
                <w:bCs/>
                <w:noProof/>
                <w:sz w:val="20"/>
                <w:lang w:val="en-US" w:eastAsia="en-US"/>
              </w:rPr>
              <w:t>Division</w:t>
            </w:r>
          </w:p>
        </w:tc>
        <w:tc>
          <w:tcPr>
            <w:tcW w:w="4820" w:type="dxa"/>
          </w:tcPr>
          <w:p w14:paraId="42AA39C0" w14:textId="6E541A6D" w:rsidR="002E362A" w:rsidRPr="002E362A" w:rsidRDefault="00396425" w:rsidP="00B95AA9">
            <w:pPr>
              <w:keepNext/>
              <w:tabs>
                <w:tab w:val="num" w:pos="0"/>
                <w:tab w:val="left" w:pos="440"/>
                <w:tab w:val="right" w:leader="dot" w:pos="9060"/>
              </w:tabs>
              <w:spacing w:before="120"/>
              <w:ind w:left="0"/>
              <w:jc w:val="center"/>
              <w:outlineLvl w:val="3"/>
              <w:rPr>
                <w:rFonts w:eastAsia="Arial Unicode MS" w:cs="Arial"/>
                <w:bCs/>
                <w:noProof/>
                <w:sz w:val="20"/>
                <w:lang w:val="en-US" w:eastAsia="en-US"/>
              </w:rPr>
            </w:pPr>
            <w:r>
              <w:rPr>
                <w:rFonts w:eastAsia="Arial Unicode MS" w:cs="Arial"/>
                <w:bCs/>
                <w:noProof/>
                <w:sz w:val="20"/>
                <w:lang w:val="en-US" w:eastAsia="en-US"/>
              </w:rPr>
              <w:t>Chief Operating Officer</w:t>
            </w:r>
            <w:r w:rsidR="002E362A" w:rsidRPr="002E362A">
              <w:rPr>
                <w:rFonts w:eastAsia="Arial Unicode MS" w:cs="Arial"/>
                <w:bCs/>
                <w:noProof/>
                <w:sz w:val="20"/>
                <w:lang w:val="en-US" w:eastAsia="en-US"/>
              </w:rPr>
              <w:t xml:space="preserve"> or </w:t>
            </w:r>
            <w:r w:rsidR="00A61239">
              <w:rPr>
                <w:rFonts w:eastAsia="Arial Unicode MS" w:cs="Arial"/>
                <w:bCs/>
                <w:noProof/>
                <w:sz w:val="20"/>
                <w:lang w:val="en-US" w:eastAsia="en-US"/>
              </w:rPr>
              <w:br/>
            </w:r>
            <w:r w:rsidR="00D057B7">
              <w:rPr>
                <w:rFonts w:eastAsia="Arial Unicode MS" w:cs="Arial"/>
                <w:bCs/>
                <w:noProof/>
                <w:sz w:val="20"/>
                <w:lang w:val="en-US" w:eastAsia="en-US"/>
              </w:rPr>
              <w:t>Provost</w:t>
            </w:r>
            <w:r w:rsidR="00626724">
              <w:rPr>
                <w:rFonts w:eastAsia="Arial Unicode MS" w:cs="Arial"/>
                <w:bCs/>
                <w:noProof/>
                <w:sz w:val="20"/>
                <w:lang w:val="en-US" w:eastAsia="en-US"/>
              </w:rPr>
              <w:t xml:space="preserve"> </w:t>
            </w:r>
            <w:r w:rsidR="002E362A" w:rsidRPr="002E362A">
              <w:rPr>
                <w:rFonts w:eastAsia="Arial Unicode MS" w:cs="Arial"/>
                <w:bCs/>
                <w:noProof/>
                <w:sz w:val="20"/>
                <w:lang w:val="en-US" w:eastAsia="en-US"/>
              </w:rPr>
              <w:t>as appropriate</w:t>
            </w:r>
          </w:p>
        </w:tc>
      </w:tr>
    </w:tbl>
    <w:p w14:paraId="42AA39C2" w14:textId="68BA76DF" w:rsidR="002E362A" w:rsidRPr="00385949" w:rsidRDefault="002E362A" w:rsidP="002E362A">
      <w:pPr>
        <w:tabs>
          <w:tab w:val="left" w:pos="1134"/>
        </w:tabs>
        <w:ind w:left="1146"/>
        <w:rPr>
          <w:rFonts w:cs="Arial"/>
          <w:sz w:val="20"/>
        </w:rPr>
      </w:pPr>
    </w:p>
    <w:p w14:paraId="42AA39C3" w14:textId="1B4B98BE" w:rsidR="00385949" w:rsidRPr="006944B6" w:rsidRDefault="00385949" w:rsidP="006944B6">
      <w:pPr>
        <w:pStyle w:val="ListParagraph"/>
        <w:numPr>
          <w:ilvl w:val="1"/>
          <w:numId w:val="28"/>
        </w:numPr>
        <w:tabs>
          <w:tab w:val="left" w:pos="1134"/>
        </w:tabs>
        <w:rPr>
          <w:rFonts w:cs="Arial"/>
          <w:b/>
          <w:sz w:val="20"/>
        </w:rPr>
      </w:pPr>
      <w:r w:rsidRPr="006944B6">
        <w:rPr>
          <w:rFonts w:cs="Arial"/>
          <w:b/>
          <w:sz w:val="20"/>
        </w:rPr>
        <w:t>Contractual Requirements</w:t>
      </w:r>
    </w:p>
    <w:p w14:paraId="42AA39C4" w14:textId="08F40DD4" w:rsidR="00385949" w:rsidRPr="00385949" w:rsidRDefault="00385949" w:rsidP="00A61239">
      <w:pPr>
        <w:tabs>
          <w:tab w:val="left" w:pos="1134"/>
        </w:tabs>
        <w:ind w:left="1146"/>
        <w:rPr>
          <w:rFonts w:cs="Arial"/>
          <w:sz w:val="20"/>
        </w:rPr>
      </w:pPr>
      <w:r w:rsidRPr="00385949">
        <w:rPr>
          <w:rFonts w:cs="Arial"/>
          <w:sz w:val="20"/>
        </w:rPr>
        <w:t xml:space="preserve">Consultancy &amp; Commercial Research (CCR) Project Work results in a legal relationship between the University and the </w:t>
      </w:r>
      <w:r w:rsidR="00DF4727">
        <w:rPr>
          <w:rFonts w:cs="Arial"/>
          <w:sz w:val="20"/>
        </w:rPr>
        <w:t>E</w:t>
      </w:r>
      <w:r w:rsidRPr="00385949">
        <w:rPr>
          <w:rFonts w:cs="Arial"/>
          <w:sz w:val="20"/>
        </w:rPr>
        <w:t xml:space="preserve">xternal </w:t>
      </w:r>
      <w:r w:rsidR="00DF4727">
        <w:rPr>
          <w:rFonts w:cs="Arial"/>
          <w:sz w:val="20"/>
        </w:rPr>
        <w:t>O</w:t>
      </w:r>
      <w:r w:rsidRPr="00385949">
        <w:rPr>
          <w:rFonts w:cs="Arial"/>
          <w:sz w:val="20"/>
        </w:rPr>
        <w:t xml:space="preserve">rganisation. </w:t>
      </w:r>
      <w:r w:rsidR="0075659A">
        <w:rPr>
          <w:rFonts w:cs="Arial"/>
          <w:sz w:val="20"/>
        </w:rPr>
        <w:t xml:space="preserve"> </w:t>
      </w:r>
      <w:r w:rsidRPr="00385949">
        <w:rPr>
          <w:rFonts w:cs="Arial"/>
          <w:sz w:val="20"/>
        </w:rPr>
        <w:t xml:space="preserve">Any contract for the provision of Consultancy &amp; Commercial Research (CCR) Project Work by a </w:t>
      </w:r>
      <w:r w:rsidR="00E20934">
        <w:rPr>
          <w:rFonts w:cs="Arial"/>
          <w:sz w:val="20"/>
        </w:rPr>
        <w:t>S</w:t>
      </w:r>
      <w:r w:rsidRPr="00385949">
        <w:rPr>
          <w:rFonts w:cs="Arial"/>
          <w:sz w:val="20"/>
        </w:rPr>
        <w:t xml:space="preserve">taff </w:t>
      </w:r>
      <w:r w:rsidR="00E20934">
        <w:rPr>
          <w:rFonts w:cs="Arial"/>
          <w:sz w:val="20"/>
        </w:rPr>
        <w:t>M</w:t>
      </w:r>
      <w:r w:rsidRPr="00385949">
        <w:rPr>
          <w:rFonts w:cs="Arial"/>
          <w:sz w:val="20"/>
        </w:rPr>
        <w:t xml:space="preserve">ember to an </w:t>
      </w:r>
      <w:r w:rsidR="00DF4727">
        <w:rPr>
          <w:rFonts w:cs="Arial"/>
          <w:sz w:val="20"/>
        </w:rPr>
        <w:t>E</w:t>
      </w:r>
      <w:r w:rsidRPr="00385949">
        <w:rPr>
          <w:rFonts w:cs="Arial"/>
          <w:sz w:val="20"/>
        </w:rPr>
        <w:t xml:space="preserve">xternal </w:t>
      </w:r>
      <w:r w:rsidR="00DF4727">
        <w:rPr>
          <w:rFonts w:cs="Arial"/>
          <w:sz w:val="20"/>
        </w:rPr>
        <w:t>O</w:t>
      </w:r>
      <w:r w:rsidRPr="00385949">
        <w:rPr>
          <w:rFonts w:cs="Arial"/>
          <w:sz w:val="20"/>
        </w:rPr>
        <w:t xml:space="preserve">rganisation must be directly between the University and the </w:t>
      </w:r>
      <w:r w:rsidR="00DF4727">
        <w:rPr>
          <w:rFonts w:cs="Arial"/>
          <w:sz w:val="20"/>
        </w:rPr>
        <w:t>E</w:t>
      </w:r>
      <w:r w:rsidRPr="00385949">
        <w:rPr>
          <w:rFonts w:cs="Arial"/>
          <w:sz w:val="20"/>
        </w:rPr>
        <w:t xml:space="preserve">xternal </w:t>
      </w:r>
      <w:r w:rsidR="00DF4727">
        <w:rPr>
          <w:rFonts w:cs="Arial"/>
          <w:sz w:val="20"/>
        </w:rPr>
        <w:t>O</w:t>
      </w:r>
      <w:r w:rsidRPr="00385949">
        <w:rPr>
          <w:rFonts w:cs="Arial"/>
          <w:sz w:val="20"/>
        </w:rPr>
        <w:t>rganisation.</w:t>
      </w:r>
    </w:p>
    <w:p w14:paraId="42AA39C5" w14:textId="6470D95C" w:rsidR="00385949" w:rsidRPr="00385949" w:rsidRDefault="00B04587" w:rsidP="00A61239">
      <w:pPr>
        <w:tabs>
          <w:tab w:val="left" w:pos="1134"/>
        </w:tabs>
        <w:ind w:left="1146"/>
        <w:rPr>
          <w:rFonts w:cs="Arial"/>
          <w:sz w:val="20"/>
        </w:rPr>
      </w:pPr>
      <w:r>
        <w:rPr>
          <w:rFonts w:cs="Arial"/>
          <w:sz w:val="20"/>
        </w:rPr>
        <w:t xml:space="preserve">Very Small Projects do not require a Formal Written Contract. </w:t>
      </w:r>
      <w:r w:rsidR="0075659A">
        <w:rPr>
          <w:rFonts w:cs="Arial"/>
          <w:sz w:val="20"/>
        </w:rPr>
        <w:t xml:space="preserve"> </w:t>
      </w:r>
      <w:r w:rsidR="007954CA">
        <w:rPr>
          <w:rFonts w:cs="Arial"/>
          <w:sz w:val="20"/>
        </w:rPr>
        <w:t>A Non-</w:t>
      </w:r>
      <w:r w:rsidR="00774E74">
        <w:rPr>
          <w:rFonts w:cs="Arial"/>
          <w:sz w:val="20"/>
        </w:rPr>
        <w:t>Standard Contract</w:t>
      </w:r>
      <w:r w:rsidR="000A43A0">
        <w:rPr>
          <w:rFonts w:cs="Arial"/>
          <w:sz w:val="20"/>
        </w:rPr>
        <w:t xml:space="preserve"> </w:t>
      </w:r>
      <w:r w:rsidR="00774E74">
        <w:rPr>
          <w:rFonts w:cs="Arial"/>
          <w:sz w:val="20"/>
        </w:rPr>
        <w:t xml:space="preserve">will not be permitted for </w:t>
      </w:r>
      <w:r>
        <w:rPr>
          <w:rFonts w:cs="Arial"/>
          <w:sz w:val="20"/>
        </w:rPr>
        <w:t xml:space="preserve">Very </w:t>
      </w:r>
      <w:r w:rsidR="00774E74">
        <w:rPr>
          <w:rFonts w:cs="Arial"/>
          <w:sz w:val="20"/>
        </w:rPr>
        <w:t xml:space="preserve">Small Projects unless the </w:t>
      </w:r>
      <w:r>
        <w:rPr>
          <w:rFonts w:cs="Arial"/>
          <w:sz w:val="20"/>
        </w:rPr>
        <w:t xml:space="preserve">Very </w:t>
      </w:r>
      <w:r w:rsidR="00774E74">
        <w:rPr>
          <w:rFonts w:cs="Arial"/>
          <w:sz w:val="20"/>
        </w:rPr>
        <w:t xml:space="preserve">Small Project includes </w:t>
      </w:r>
      <w:r w:rsidR="006061C1">
        <w:rPr>
          <w:rFonts w:cs="Arial"/>
          <w:sz w:val="20"/>
        </w:rPr>
        <w:t>a Special Project Activity.</w:t>
      </w:r>
    </w:p>
    <w:p w14:paraId="42AA39C6" w14:textId="7C7B9494" w:rsidR="00385949" w:rsidRPr="00385949" w:rsidRDefault="00385949" w:rsidP="00A61239">
      <w:pPr>
        <w:tabs>
          <w:tab w:val="left" w:pos="1134"/>
        </w:tabs>
        <w:ind w:left="1146"/>
        <w:rPr>
          <w:rFonts w:cs="Arial"/>
          <w:sz w:val="20"/>
        </w:rPr>
      </w:pPr>
      <w:r w:rsidRPr="00385949">
        <w:rPr>
          <w:rFonts w:cs="Arial"/>
          <w:sz w:val="20"/>
        </w:rPr>
        <w:t xml:space="preserve">Small </w:t>
      </w:r>
      <w:r w:rsidR="00617373">
        <w:rPr>
          <w:rFonts w:cs="Arial"/>
          <w:sz w:val="20"/>
        </w:rPr>
        <w:t>P</w:t>
      </w:r>
      <w:r w:rsidR="00617373" w:rsidRPr="00385949">
        <w:rPr>
          <w:rFonts w:cs="Arial"/>
          <w:sz w:val="20"/>
        </w:rPr>
        <w:t>rojects</w:t>
      </w:r>
      <w:r w:rsidRPr="00385949">
        <w:rPr>
          <w:rFonts w:cs="Arial"/>
          <w:sz w:val="20"/>
        </w:rPr>
        <w:t xml:space="preserve"> and </w:t>
      </w:r>
      <w:r w:rsidR="00E20934">
        <w:rPr>
          <w:rFonts w:cs="Arial"/>
          <w:sz w:val="20"/>
        </w:rPr>
        <w:t>L</w:t>
      </w:r>
      <w:r w:rsidRPr="00385949">
        <w:rPr>
          <w:rFonts w:cs="Arial"/>
          <w:sz w:val="20"/>
        </w:rPr>
        <w:t xml:space="preserve">arge </w:t>
      </w:r>
      <w:r w:rsidR="00E20934">
        <w:rPr>
          <w:rFonts w:cs="Arial"/>
          <w:sz w:val="20"/>
        </w:rPr>
        <w:t>P</w:t>
      </w:r>
      <w:r w:rsidRPr="00385949">
        <w:rPr>
          <w:rFonts w:cs="Arial"/>
          <w:sz w:val="20"/>
        </w:rPr>
        <w:t xml:space="preserve">rojects require a </w:t>
      </w:r>
      <w:r w:rsidR="00291130">
        <w:rPr>
          <w:rFonts w:cs="Arial"/>
          <w:sz w:val="20"/>
        </w:rPr>
        <w:t>F</w:t>
      </w:r>
      <w:r w:rsidRPr="00385949">
        <w:rPr>
          <w:rFonts w:cs="Arial"/>
          <w:sz w:val="20"/>
        </w:rPr>
        <w:t xml:space="preserve">ormal </w:t>
      </w:r>
      <w:r w:rsidR="00291130">
        <w:rPr>
          <w:rFonts w:cs="Arial"/>
          <w:sz w:val="20"/>
        </w:rPr>
        <w:t>W</w:t>
      </w:r>
      <w:r w:rsidRPr="00385949">
        <w:rPr>
          <w:rFonts w:cs="Arial"/>
          <w:sz w:val="20"/>
        </w:rPr>
        <w:t xml:space="preserve">ritten </w:t>
      </w:r>
      <w:r w:rsidR="00291130">
        <w:rPr>
          <w:rFonts w:cs="Arial"/>
          <w:sz w:val="20"/>
        </w:rPr>
        <w:t>C</w:t>
      </w:r>
      <w:r w:rsidRPr="00385949">
        <w:rPr>
          <w:rFonts w:cs="Arial"/>
          <w:sz w:val="20"/>
        </w:rPr>
        <w:t>ontract.</w:t>
      </w:r>
    </w:p>
    <w:p w14:paraId="42AA39C7" w14:textId="50D086B3" w:rsidR="00385949" w:rsidRPr="00385949" w:rsidRDefault="00385949" w:rsidP="00A61239">
      <w:pPr>
        <w:tabs>
          <w:tab w:val="left" w:pos="1134"/>
        </w:tabs>
        <w:ind w:left="1146"/>
        <w:rPr>
          <w:rFonts w:cs="Arial"/>
          <w:sz w:val="20"/>
        </w:rPr>
      </w:pPr>
      <w:r w:rsidRPr="00385949">
        <w:rPr>
          <w:rFonts w:cs="Arial"/>
          <w:sz w:val="20"/>
        </w:rPr>
        <w:t xml:space="preserve">The signatories in relation to </w:t>
      </w:r>
      <w:r w:rsidR="002A2203">
        <w:rPr>
          <w:rFonts w:cs="Arial"/>
          <w:sz w:val="20"/>
        </w:rPr>
        <w:t>F</w:t>
      </w:r>
      <w:r w:rsidRPr="00385949">
        <w:rPr>
          <w:rFonts w:cs="Arial"/>
          <w:sz w:val="20"/>
        </w:rPr>
        <w:t xml:space="preserve">ormal </w:t>
      </w:r>
      <w:r w:rsidR="002A2203">
        <w:rPr>
          <w:rFonts w:cs="Arial"/>
          <w:sz w:val="20"/>
        </w:rPr>
        <w:t>W</w:t>
      </w:r>
      <w:r w:rsidRPr="00385949">
        <w:rPr>
          <w:rFonts w:cs="Arial"/>
          <w:sz w:val="20"/>
        </w:rPr>
        <w:t xml:space="preserve">ritten </w:t>
      </w:r>
      <w:r w:rsidR="002A2203">
        <w:rPr>
          <w:rFonts w:cs="Arial"/>
          <w:sz w:val="20"/>
        </w:rPr>
        <w:t>C</w:t>
      </w:r>
      <w:r w:rsidRPr="00385949">
        <w:rPr>
          <w:rFonts w:cs="Arial"/>
          <w:sz w:val="20"/>
        </w:rPr>
        <w:t>ontracts are detailed at Section 7.</w:t>
      </w:r>
    </w:p>
    <w:p w14:paraId="0243CCD1" w14:textId="077A80AC" w:rsidR="006129BF" w:rsidRDefault="00385949" w:rsidP="00396425">
      <w:pPr>
        <w:tabs>
          <w:tab w:val="left" w:pos="1134"/>
        </w:tabs>
        <w:ind w:left="1146"/>
        <w:rPr>
          <w:rFonts w:cs="Arial"/>
          <w:sz w:val="20"/>
        </w:rPr>
      </w:pPr>
      <w:r w:rsidRPr="00385949">
        <w:rPr>
          <w:rFonts w:cs="Arial"/>
          <w:sz w:val="20"/>
        </w:rPr>
        <w:t xml:space="preserve">No component of a Consultancy &amp; Commercial Research (CCR) Project may be subcontracted to an entity to which a </w:t>
      </w:r>
      <w:r w:rsidR="00E20934">
        <w:rPr>
          <w:rFonts w:cs="Arial"/>
          <w:sz w:val="20"/>
        </w:rPr>
        <w:t>Staff Member</w:t>
      </w:r>
      <w:r w:rsidRPr="00385949">
        <w:rPr>
          <w:rFonts w:cs="Arial"/>
          <w:sz w:val="20"/>
        </w:rPr>
        <w:t xml:space="preserve"> has a </w:t>
      </w:r>
      <w:r w:rsidR="001F765A">
        <w:rPr>
          <w:rFonts w:cs="Arial"/>
          <w:sz w:val="20"/>
        </w:rPr>
        <w:t xml:space="preserve">beneficial interest unless it complies </w:t>
      </w:r>
      <w:r w:rsidR="00CD2527">
        <w:rPr>
          <w:rFonts w:cs="Arial"/>
          <w:sz w:val="20"/>
        </w:rPr>
        <w:t>with the Conflict of Interest Policy</w:t>
      </w:r>
      <w:r w:rsidR="00FE5BB0">
        <w:rPr>
          <w:rFonts w:cs="Arial"/>
          <w:sz w:val="20"/>
        </w:rPr>
        <w:t>.</w:t>
      </w:r>
    </w:p>
    <w:p w14:paraId="42AA39C9" w14:textId="77777777" w:rsidR="00385949" w:rsidRPr="00A61239" w:rsidRDefault="00385949" w:rsidP="006944B6">
      <w:pPr>
        <w:numPr>
          <w:ilvl w:val="1"/>
          <w:numId w:val="28"/>
        </w:numPr>
        <w:tabs>
          <w:tab w:val="left" w:pos="1134"/>
        </w:tabs>
        <w:rPr>
          <w:rFonts w:cs="Arial"/>
          <w:b/>
          <w:sz w:val="20"/>
        </w:rPr>
      </w:pPr>
      <w:r w:rsidRPr="00A61239">
        <w:rPr>
          <w:rFonts w:cs="Arial"/>
          <w:b/>
          <w:sz w:val="20"/>
        </w:rPr>
        <w:lastRenderedPageBreak/>
        <w:t>Allocation of Surplus</w:t>
      </w:r>
    </w:p>
    <w:p w14:paraId="42AA39CA" w14:textId="77777777" w:rsidR="00385949" w:rsidRPr="00385949" w:rsidRDefault="00385949" w:rsidP="006944B6">
      <w:pPr>
        <w:numPr>
          <w:ilvl w:val="2"/>
          <w:numId w:val="28"/>
        </w:numPr>
        <w:tabs>
          <w:tab w:val="left" w:pos="1134"/>
        </w:tabs>
        <w:rPr>
          <w:rFonts w:cs="Arial"/>
          <w:sz w:val="20"/>
        </w:rPr>
      </w:pPr>
      <w:r w:rsidRPr="00385949">
        <w:rPr>
          <w:rFonts w:cs="Arial"/>
          <w:sz w:val="20"/>
        </w:rPr>
        <w:t>Staff Replacement Cost</w:t>
      </w:r>
    </w:p>
    <w:p w14:paraId="42AA39CB" w14:textId="075BED9F" w:rsidR="00385949" w:rsidRPr="00385949" w:rsidRDefault="00385949" w:rsidP="00A61239">
      <w:pPr>
        <w:tabs>
          <w:tab w:val="left" w:pos="1134"/>
        </w:tabs>
        <w:ind w:left="1872"/>
        <w:rPr>
          <w:rFonts w:cs="Arial"/>
          <w:sz w:val="20"/>
        </w:rPr>
      </w:pPr>
      <w:r w:rsidRPr="00385949">
        <w:rPr>
          <w:rFonts w:cs="Arial"/>
          <w:sz w:val="20"/>
        </w:rPr>
        <w:t xml:space="preserve">Some Consultancy &amp; Commercial Research (CCR) Projects may require that a </w:t>
      </w:r>
      <w:r w:rsidR="00E20934">
        <w:rPr>
          <w:rFonts w:cs="Arial"/>
          <w:sz w:val="20"/>
        </w:rPr>
        <w:t>Staff Member</w:t>
      </w:r>
      <w:r w:rsidRPr="00385949">
        <w:rPr>
          <w:rFonts w:cs="Arial"/>
          <w:sz w:val="20"/>
        </w:rPr>
        <w:t xml:space="preserve"> be replaced or partially replaced so that they can participate in the Consultancy &amp; Commercial Research (CCR) Project. </w:t>
      </w:r>
      <w:r w:rsidR="00CE266E">
        <w:rPr>
          <w:rFonts w:cs="Arial"/>
          <w:sz w:val="20"/>
        </w:rPr>
        <w:t xml:space="preserve"> </w:t>
      </w:r>
      <w:r w:rsidRPr="00385949">
        <w:rPr>
          <w:rFonts w:cs="Arial"/>
          <w:sz w:val="20"/>
        </w:rPr>
        <w:t xml:space="preserve">An example is where the </w:t>
      </w:r>
      <w:r w:rsidR="00E20934">
        <w:rPr>
          <w:rFonts w:cs="Arial"/>
          <w:sz w:val="20"/>
        </w:rPr>
        <w:t>Staff Member</w:t>
      </w:r>
      <w:r w:rsidRPr="00385949">
        <w:rPr>
          <w:rFonts w:cs="Arial"/>
          <w:sz w:val="20"/>
        </w:rPr>
        <w:t xml:space="preserve"> becomes unavailable for teaching or other duties that the </w:t>
      </w:r>
      <w:r w:rsidR="00E20934">
        <w:rPr>
          <w:rFonts w:cs="Arial"/>
          <w:sz w:val="20"/>
        </w:rPr>
        <w:t>Staff Member</w:t>
      </w:r>
      <w:r w:rsidRPr="00385949">
        <w:rPr>
          <w:rFonts w:cs="Arial"/>
          <w:sz w:val="20"/>
        </w:rPr>
        <w:t xml:space="preserve"> would otherwise have performed.</w:t>
      </w:r>
    </w:p>
    <w:p w14:paraId="42AA39CC" w14:textId="4E789221" w:rsidR="00385949" w:rsidRPr="00385949" w:rsidRDefault="00385949" w:rsidP="00A61239">
      <w:pPr>
        <w:tabs>
          <w:tab w:val="left" w:pos="1134"/>
        </w:tabs>
        <w:ind w:left="1872"/>
        <w:rPr>
          <w:rFonts w:cs="Arial"/>
          <w:sz w:val="20"/>
        </w:rPr>
      </w:pPr>
      <w:r w:rsidRPr="00385949">
        <w:rPr>
          <w:rFonts w:cs="Arial"/>
          <w:sz w:val="20"/>
        </w:rPr>
        <w:t xml:space="preserve">Where a </w:t>
      </w:r>
      <w:r w:rsidR="00E20934">
        <w:rPr>
          <w:rFonts w:cs="Arial"/>
          <w:sz w:val="20"/>
        </w:rPr>
        <w:t>Staff Member</w:t>
      </w:r>
      <w:r w:rsidRPr="00385949">
        <w:rPr>
          <w:rFonts w:cs="Arial"/>
          <w:sz w:val="20"/>
        </w:rPr>
        <w:t xml:space="preserve"> must be replaced, the proceeds of the Consultancy &amp; Commercial Research (CCR) Project shall be applied to meeting this </w:t>
      </w:r>
      <w:r w:rsidR="0044222A">
        <w:rPr>
          <w:rFonts w:cs="Arial"/>
          <w:sz w:val="20"/>
        </w:rPr>
        <w:t>R</w:t>
      </w:r>
      <w:r w:rsidRPr="00385949">
        <w:rPr>
          <w:rFonts w:cs="Arial"/>
          <w:sz w:val="20"/>
        </w:rPr>
        <w:t xml:space="preserve">eplacement </w:t>
      </w:r>
      <w:r w:rsidR="0044222A">
        <w:rPr>
          <w:rFonts w:cs="Arial"/>
          <w:sz w:val="20"/>
        </w:rPr>
        <w:t>C</w:t>
      </w:r>
      <w:r w:rsidRPr="00385949">
        <w:rPr>
          <w:rFonts w:cs="Arial"/>
          <w:sz w:val="20"/>
        </w:rPr>
        <w:t xml:space="preserve">ost plus an administration fee of 10% of the </w:t>
      </w:r>
      <w:r w:rsidR="0044222A">
        <w:rPr>
          <w:rFonts w:cs="Arial"/>
          <w:sz w:val="20"/>
        </w:rPr>
        <w:t>R</w:t>
      </w:r>
      <w:r w:rsidRPr="00385949">
        <w:rPr>
          <w:rFonts w:cs="Arial"/>
          <w:sz w:val="20"/>
        </w:rPr>
        <w:t xml:space="preserve">eplacement </w:t>
      </w:r>
      <w:r w:rsidR="0044222A">
        <w:rPr>
          <w:rFonts w:cs="Arial"/>
          <w:sz w:val="20"/>
        </w:rPr>
        <w:t>C</w:t>
      </w:r>
      <w:r w:rsidRPr="00385949">
        <w:rPr>
          <w:rFonts w:cs="Arial"/>
          <w:sz w:val="20"/>
        </w:rPr>
        <w:t>ost prior to distribution of any surplus.</w:t>
      </w:r>
    </w:p>
    <w:p w14:paraId="42AA39CD" w14:textId="161289B9" w:rsidR="00385949" w:rsidRPr="00385949" w:rsidRDefault="00385949" w:rsidP="006944B6">
      <w:pPr>
        <w:numPr>
          <w:ilvl w:val="2"/>
          <w:numId w:val="28"/>
        </w:numPr>
        <w:tabs>
          <w:tab w:val="left" w:pos="1134"/>
        </w:tabs>
        <w:rPr>
          <w:rFonts w:cs="Arial"/>
          <w:sz w:val="20"/>
        </w:rPr>
      </w:pPr>
      <w:r w:rsidRPr="00385949">
        <w:rPr>
          <w:rFonts w:cs="Arial"/>
          <w:sz w:val="20"/>
        </w:rPr>
        <w:t>Non</w:t>
      </w:r>
      <w:r w:rsidR="000F4FE3">
        <w:rPr>
          <w:rFonts w:cs="Arial"/>
          <w:sz w:val="20"/>
        </w:rPr>
        <w:t>-</w:t>
      </w:r>
      <w:r w:rsidRPr="00385949">
        <w:rPr>
          <w:rFonts w:cs="Arial"/>
          <w:sz w:val="20"/>
        </w:rPr>
        <w:t xml:space="preserve">Institute or </w:t>
      </w:r>
      <w:r w:rsidR="00F96E99">
        <w:rPr>
          <w:rFonts w:cs="Arial"/>
          <w:sz w:val="20"/>
        </w:rPr>
        <w:t>Non</w:t>
      </w:r>
      <w:r w:rsidR="000F4FE3">
        <w:rPr>
          <w:rFonts w:cs="Arial"/>
          <w:sz w:val="20"/>
        </w:rPr>
        <w:t>-</w:t>
      </w:r>
      <w:r w:rsidRPr="00385949">
        <w:rPr>
          <w:rFonts w:cs="Arial"/>
          <w:sz w:val="20"/>
        </w:rPr>
        <w:t>Centre CCR Projects</w:t>
      </w:r>
    </w:p>
    <w:p w14:paraId="42AA39CE" w14:textId="77A426EE" w:rsidR="00385949" w:rsidRPr="00385949" w:rsidRDefault="00385949" w:rsidP="00A61239">
      <w:pPr>
        <w:tabs>
          <w:tab w:val="left" w:pos="1134"/>
        </w:tabs>
        <w:ind w:left="1872"/>
        <w:rPr>
          <w:rFonts w:cs="Arial"/>
          <w:sz w:val="20"/>
        </w:rPr>
      </w:pPr>
      <w:r w:rsidRPr="00385949">
        <w:rPr>
          <w:rFonts w:cs="Arial"/>
          <w:sz w:val="20"/>
        </w:rPr>
        <w:t xml:space="preserve">Any </w:t>
      </w:r>
      <w:r w:rsidR="008D4A2B">
        <w:rPr>
          <w:rFonts w:cs="Arial"/>
          <w:sz w:val="20"/>
        </w:rPr>
        <w:t>S</w:t>
      </w:r>
      <w:r w:rsidRPr="00385949">
        <w:rPr>
          <w:rFonts w:cs="Arial"/>
          <w:sz w:val="20"/>
        </w:rPr>
        <w:t xml:space="preserve">urplus from a Consultancy &amp; Commercial Research (CCR) Project (other than that conducted by an Institute or Centre) will be allocated to the </w:t>
      </w:r>
      <w:r w:rsidR="0059207F">
        <w:rPr>
          <w:rFonts w:cs="Arial"/>
          <w:sz w:val="20"/>
        </w:rPr>
        <w:t>Project Leader</w:t>
      </w:r>
      <w:r w:rsidRPr="00385949">
        <w:rPr>
          <w:rFonts w:cs="Arial"/>
          <w:sz w:val="20"/>
        </w:rPr>
        <w:t xml:space="preserve"> involved in the Consultancy &amp; Commercial Research (CCR) Project. </w:t>
      </w:r>
      <w:r w:rsidR="00CE266E">
        <w:rPr>
          <w:rFonts w:cs="Arial"/>
          <w:sz w:val="20"/>
        </w:rPr>
        <w:t xml:space="preserve"> </w:t>
      </w:r>
      <w:r w:rsidRPr="00385949">
        <w:rPr>
          <w:rFonts w:cs="Arial"/>
          <w:sz w:val="20"/>
        </w:rPr>
        <w:t xml:space="preserve">Where a number of </w:t>
      </w:r>
      <w:r w:rsidR="00E20934">
        <w:rPr>
          <w:rFonts w:cs="Arial"/>
          <w:sz w:val="20"/>
        </w:rPr>
        <w:t>Staff Member</w:t>
      </w:r>
      <w:r w:rsidRPr="00385949">
        <w:rPr>
          <w:rFonts w:cs="Arial"/>
          <w:sz w:val="20"/>
        </w:rPr>
        <w:t xml:space="preserve">s contribute to a Consultancy &amp; Commercial Research (CCR) Project, the </w:t>
      </w:r>
      <w:r w:rsidR="0044222A">
        <w:rPr>
          <w:rFonts w:cs="Arial"/>
          <w:sz w:val="20"/>
        </w:rPr>
        <w:t>P</w:t>
      </w:r>
      <w:r w:rsidRPr="00385949">
        <w:rPr>
          <w:rFonts w:cs="Arial"/>
          <w:sz w:val="20"/>
        </w:rPr>
        <w:t xml:space="preserve">roject </w:t>
      </w:r>
      <w:r w:rsidR="0044222A">
        <w:rPr>
          <w:rFonts w:cs="Arial"/>
          <w:sz w:val="20"/>
        </w:rPr>
        <w:t>L</w:t>
      </w:r>
      <w:r w:rsidRPr="00385949">
        <w:rPr>
          <w:rFonts w:cs="Arial"/>
          <w:sz w:val="20"/>
        </w:rPr>
        <w:t xml:space="preserve">eader shall determine the distribution of the </w:t>
      </w:r>
      <w:r w:rsidR="008D4A2B">
        <w:rPr>
          <w:rFonts w:cs="Arial"/>
          <w:sz w:val="20"/>
        </w:rPr>
        <w:t>S</w:t>
      </w:r>
      <w:r w:rsidRPr="00385949">
        <w:rPr>
          <w:rFonts w:cs="Arial"/>
          <w:sz w:val="20"/>
        </w:rPr>
        <w:t>urplus.</w:t>
      </w:r>
    </w:p>
    <w:p w14:paraId="04A0462C" w14:textId="7DFCD45A" w:rsidR="000F4FE3" w:rsidRDefault="00385949" w:rsidP="00A61239">
      <w:pPr>
        <w:tabs>
          <w:tab w:val="left" w:pos="1134"/>
        </w:tabs>
        <w:ind w:left="1872"/>
        <w:rPr>
          <w:rFonts w:cs="Arial"/>
          <w:sz w:val="20"/>
        </w:rPr>
      </w:pPr>
      <w:r w:rsidRPr="00385949">
        <w:rPr>
          <w:rFonts w:cs="Arial"/>
          <w:sz w:val="20"/>
        </w:rPr>
        <w:t xml:space="preserve">Unless otherwise agreed by the </w:t>
      </w:r>
      <w:r w:rsidR="0044222A">
        <w:rPr>
          <w:rFonts w:cs="Arial"/>
          <w:sz w:val="20"/>
        </w:rPr>
        <w:t>P</w:t>
      </w:r>
      <w:r w:rsidRPr="00385949">
        <w:rPr>
          <w:rFonts w:cs="Arial"/>
          <w:sz w:val="20"/>
        </w:rPr>
        <w:t xml:space="preserve">roject </w:t>
      </w:r>
      <w:r w:rsidR="0044222A">
        <w:rPr>
          <w:rFonts w:cs="Arial"/>
          <w:sz w:val="20"/>
        </w:rPr>
        <w:t>L</w:t>
      </w:r>
      <w:r w:rsidRPr="00385949">
        <w:rPr>
          <w:rFonts w:cs="Arial"/>
          <w:sz w:val="20"/>
        </w:rPr>
        <w:t xml:space="preserve">eader, </w:t>
      </w:r>
      <w:r w:rsidR="00E20934">
        <w:rPr>
          <w:rFonts w:cs="Arial"/>
          <w:sz w:val="20"/>
        </w:rPr>
        <w:t>Staff Member</w:t>
      </w:r>
      <w:r w:rsidRPr="00385949">
        <w:rPr>
          <w:rFonts w:cs="Arial"/>
          <w:sz w:val="20"/>
        </w:rPr>
        <w:t xml:space="preserve">s who are recruited specifically to undertake Consultancy &amp; Commercial Research (CCR) Project Work and whose salary is paid by that Consultancy &amp; Commercial Research (CCR) Project are not eligible for participation in the distribution of </w:t>
      </w:r>
      <w:r w:rsidR="008D4A2B">
        <w:rPr>
          <w:rFonts w:cs="Arial"/>
          <w:sz w:val="20"/>
        </w:rPr>
        <w:t>S</w:t>
      </w:r>
      <w:r w:rsidRPr="00385949">
        <w:rPr>
          <w:rFonts w:cs="Arial"/>
          <w:sz w:val="20"/>
        </w:rPr>
        <w:t>urplus.</w:t>
      </w:r>
    </w:p>
    <w:p w14:paraId="42AA39D0" w14:textId="77777777" w:rsidR="00385949" w:rsidRPr="00385949" w:rsidRDefault="00385949" w:rsidP="006944B6">
      <w:pPr>
        <w:numPr>
          <w:ilvl w:val="2"/>
          <w:numId w:val="28"/>
        </w:numPr>
        <w:tabs>
          <w:tab w:val="left" w:pos="1134"/>
        </w:tabs>
        <w:rPr>
          <w:rFonts w:cs="Arial"/>
          <w:sz w:val="20"/>
        </w:rPr>
      </w:pPr>
      <w:r w:rsidRPr="00385949">
        <w:rPr>
          <w:rFonts w:cs="Arial"/>
          <w:sz w:val="20"/>
        </w:rPr>
        <w:t>Institute and Centre CCR Projects</w:t>
      </w:r>
    </w:p>
    <w:p w14:paraId="42AA39D1" w14:textId="47C79170" w:rsidR="00385949" w:rsidRPr="00385949" w:rsidRDefault="00385949" w:rsidP="00A61239">
      <w:pPr>
        <w:tabs>
          <w:tab w:val="left" w:pos="1134"/>
        </w:tabs>
        <w:ind w:left="1872"/>
        <w:rPr>
          <w:rFonts w:cs="Arial"/>
          <w:sz w:val="20"/>
        </w:rPr>
      </w:pPr>
      <w:r w:rsidRPr="00385949">
        <w:rPr>
          <w:rFonts w:cs="Arial"/>
          <w:sz w:val="20"/>
        </w:rPr>
        <w:t xml:space="preserve">Any </w:t>
      </w:r>
      <w:r w:rsidR="008D4A2B">
        <w:rPr>
          <w:rFonts w:cs="Arial"/>
          <w:sz w:val="20"/>
        </w:rPr>
        <w:t>S</w:t>
      </w:r>
      <w:r w:rsidRPr="00385949">
        <w:rPr>
          <w:rFonts w:cs="Arial"/>
          <w:sz w:val="20"/>
        </w:rPr>
        <w:t xml:space="preserve">urplus emanating from Institute or Centre Consultancy &amp; Commercial Research (CCR) Project Work will be allocated in accordance with the standing arrangements approved for that Institute or Centre. </w:t>
      </w:r>
      <w:r w:rsidR="00CE266E">
        <w:rPr>
          <w:rFonts w:cs="Arial"/>
          <w:sz w:val="20"/>
        </w:rPr>
        <w:t xml:space="preserve"> </w:t>
      </w:r>
      <w:r w:rsidRPr="00385949">
        <w:rPr>
          <w:rFonts w:cs="Arial"/>
          <w:sz w:val="20"/>
        </w:rPr>
        <w:t>These arrangements may include:</w:t>
      </w:r>
    </w:p>
    <w:p w14:paraId="42AA39D2" w14:textId="64B851CE" w:rsidR="00385949" w:rsidRPr="00A61239" w:rsidRDefault="00385949" w:rsidP="00A61239">
      <w:pPr>
        <w:pStyle w:val="ListParagraph"/>
        <w:numPr>
          <w:ilvl w:val="0"/>
          <w:numId w:val="18"/>
        </w:numPr>
        <w:tabs>
          <w:tab w:val="left" w:pos="1134"/>
        </w:tabs>
        <w:rPr>
          <w:rFonts w:cs="Arial"/>
          <w:sz w:val="20"/>
        </w:rPr>
      </w:pPr>
      <w:r w:rsidRPr="00A61239">
        <w:rPr>
          <w:rFonts w:cs="Arial"/>
          <w:sz w:val="20"/>
        </w:rPr>
        <w:t xml:space="preserve">all </w:t>
      </w:r>
      <w:r w:rsidR="008D4A2B">
        <w:rPr>
          <w:rFonts w:cs="Arial"/>
          <w:sz w:val="20"/>
        </w:rPr>
        <w:t>S</w:t>
      </w:r>
      <w:r w:rsidRPr="00A61239">
        <w:rPr>
          <w:rFonts w:cs="Arial"/>
          <w:sz w:val="20"/>
        </w:rPr>
        <w:t>urplus to the Institute or Centre,</w:t>
      </w:r>
    </w:p>
    <w:p w14:paraId="42AA39D3" w14:textId="0E2741DA" w:rsidR="00385949" w:rsidRPr="00A61239" w:rsidRDefault="00385949" w:rsidP="00A61239">
      <w:pPr>
        <w:pStyle w:val="ListParagraph"/>
        <w:numPr>
          <w:ilvl w:val="0"/>
          <w:numId w:val="18"/>
        </w:numPr>
        <w:tabs>
          <w:tab w:val="left" w:pos="1134"/>
        </w:tabs>
        <w:rPr>
          <w:rFonts w:cs="Arial"/>
          <w:sz w:val="20"/>
        </w:rPr>
      </w:pPr>
      <w:r w:rsidRPr="00A61239">
        <w:rPr>
          <w:rFonts w:cs="Arial"/>
          <w:sz w:val="20"/>
        </w:rPr>
        <w:t xml:space="preserve">a sharing of </w:t>
      </w:r>
      <w:r w:rsidR="008D4A2B">
        <w:rPr>
          <w:rFonts w:cs="Arial"/>
          <w:sz w:val="20"/>
        </w:rPr>
        <w:t>S</w:t>
      </w:r>
      <w:r w:rsidRPr="00A61239">
        <w:rPr>
          <w:rFonts w:cs="Arial"/>
          <w:sz w:val="20"/>
        </w:rPr>
        <w:t xml:space="preserve">urplus between </w:t>
      </w:r>
      <w:r w:rsidR="00E20934">
        <w:rPr>
          <w:rFonts w:cs="Arial"/>
          <w:sz w:val="20"/>
        </w:rPr>
        <w:t>Staff Member</w:t>
      </w:r>
      <w:r w:rsidRPr="00A61239">
        <w:rPr>
          <w:rFonts w:cs="Arial"/>
          <w:sz w:val="20"/>
        </w:rPr>
        <w:t>(s) and the Institute or Centre, or</w:t>
      </w:r>
    </w:p>
    <w:p w14:paraId="42AA39D4" w14:textId="1315FEE5" w:rsidR="00385949" w:rsidRPr="00A61239" w:rsidRDefault="00385949" w:rsidP="00A61239">
      <w:pPr>
        <w:pStyle w:val="ListParagraph"/>
        <w:numPr>
          <w:ilvl w:val="0"/>
          <w:numId w:val="18"/>
        </w:numPr>
        <w:tabs>
          <w:tab w:val="left" w:pos="1134"/>
        </w:tabs>
        <w:rPr>
          <w:rFonts w:cs="Arial"/>
          <w:sz w:val="20"/>
        </w:rPr>
      </w:pPr>
      <w:r w:rsidRPr="00A61239">
        <w:rPr>
          <w:rFonts w:cs="Arial"/>
          <w:sz w:val="20"/>
        </w:rPr>
        <w:t xml:space="preserve">all </w:t>
      </w:r>
      <w:r w:rsidR="008D4A2B">
        <w:rPr>
          <w:rFonts w:cs="Arial"/>
          <w:sz w:val="20"/>
        </w:rPr>
        <w:t>S</w:t>
      </w:r>
      <w:r w:rsidRPr="00A61239">
        <w:rPr>
          <w:rFonts w:cs="Arial"/>
          <w:sz w:val="20"/>
        </w:rPr>
        <w:t xml:space="preserve">urplus to </w:t>
      </w:r>
      <w:r w:rsidR="00E20934">
        <w:rPr>
          <w:rFonts w:cs="Arial"/>
          <w:sz w:val="20"/>
        </w:rPr>
        <w:t>Staff Member</w:t>
      </w:r>
      <w:r w:rsidRPr="00A61239">
        <w:rPr>
          <w:rFonts w:cs="Arial"/>
          <w:sz w:val="20"/>
        </w:rPr>
        <w:t>(s).</w:t>
      </w:r>
    </w:p>
    <w:p w14:paraId="1F8BE6A9" w14:textId="2BAC1599" w:rsidR="008D4A2B" w:rsidRPr="00385949" w:rsidRDefault="00385949" w:rsidP="00A61239">
      <w:pPr>
        <w:tabs>
          <w:tab w:val="left" w:pos="1134"/>
        </w:tabs>
        <w:ind w:left="1872"/>
        <w:rPr>
          <w:rFonts w:cs="Arial"/>
          <w:sz w:val="20"/>
        </w:rPr>
      </w:pPr>
      <w:r w:rsidRPr="00385949">
        <w:rPr>
          <w:rFonts w:cs="Arial"/>
          <w:sz w:val="20"/>
        </w:rPr>
        <w:t xml:space="preserve">The relevant Group Pro Vice Chancellor is responsible for the determination of standing arrangements for the distribution of </w:t>
      </w:r>
      <w:r w:rsidR="008D4A2B">
        <w:rPr>
          <w:rFonts w:cs="Arial"/>
          <w:sz w:val="20"/>
        </w:rPr>
        <w:t>S</w:t>
      </w:r>
      <w:r w:rsidRPr="00385949">
        <w:rPr>
          <w:rFonts w:cs="Arial"/>
          <w:sz w:val="20"/>
        </w:rPr>
        <w:t>urplus in relation to an Institute or Centre Consultancy &amp; Commercial Research (CCR) Project.</w:t>
      </w:r>
      <w:r w:rsidR="00CE266E">
        <w:rPr>
          <w:rFonts w:cs="Arial"/>
          <w:sz w:val="20"/>
        </w:rPr>
        <w:t xml:space="preserve"> </w:t>
      </w:r>
      <w:r w:rsidRPr="00385949">
        <w:rPr>
          <w:rFonts w:cs="Arial"/>
          <w:sz w:val="20"/>
        </w:rPr>
        <w:t xml:space="preserve"> The Group Pro Vice Chancellor will consult with the relevant Institute or Centre Director regarding the allocation of </w:t>
      </w:r>
      <w:r w:rsidR="008D4A2B">
        <w:rPr>
          <w:rFonts w:cs="Arial"/>
          <w:sz w:val="20"/>
        </w:rPr>
        <w:t>S</w:t>
      </w:r>
      <w:r w:rsidRPr="00385949">
        <w:rPr>
          <w:rFonts w:cs="Arial"/>
          <w:sz w:val="20"/>
        </w:rPr>
        <w:t>urplus.</w:t>
      </w:r>
    </w:p>
    <w:p w14:paraId="42AA39D6" w14:textId="6ECEFEAD" w:rsidR="00385949" w:rsidRPr="00385949" w:rsidRDefault="00385949" w:rsidP="006944B6">
      <w:pPr>
        <w:numPr>
          <w:ilvl w:val="2"/>
          <w:numId w:val="28"/>
        </w:numPr>
        <w:tabs>
          <w:tab w:val="left" w:pos="1134"/>
        </w:tabs>
        <w:rPr>
          <w:rFonts w:cs="Arial"/>
          <w:sz w:val="20"/>
        </w:rPr>
      </w:pPr>
      <w:r w:rsidRPr="00385949">
        <w:rPr>
          <w:rFonts w:cs="Arial"/>
          <w:sz w:val="20"/>
        </w:rPr>
        <w:t>Access</w:t>
      </w:r>
      <w:r w:rsidR="0028411E">
        <w:rPr>
          <w:rFonts w:cs="Arial"/>
          <w:sz w:val="20"/>
        </w:rPr>
        <w:t>ing</w:t>
      </w:r>
      <w:r w:rsidRPr="00385949">
        <w:rPr>
          <w:rFonts w:cs="Arial"/>
          <w:sz w:val="20"/>
        </w:rPr>
        <w:t xml:space="preserve"> Surplus</w:t>
      </w:r>
    </w:p>
    <w:p w14:paraId="42AA39D7" w14:textId="1897001C" w:rsidR="00385949" w:rsidRPr="00810BD8" w:rsidRDefault="00631FF3" w:rsidP="00810BD8">
      <w:pPr>
        <w:pStyle w:val="ListParagraph"/>
        <w:numPr>
          <w:ilvl w:val="0"/>
          <w:numId w:val="29"/>
        </w:numPr>
        <w:tabs>
          <w:tab w:val="left" w:pos="1134"/>
        </w:tabs>
        <w:ind w:left="2268"/>
        <w:rPr>
          <w:rFonts w:cs="Arial"/>
          <w:sz w:val="20"/>
        </w:rPr>
      </w:pPr>
      <w:r w:rsidRPr="00810BD8">
        <w:rPr>
          <w:rFonts w:cs="Arial"/>
          <w:sz w:val="20"/>
        </w:rPr>
        <w:t xml:space="preserve">A </w:t>
      </w:r>
      <w:r w:rsidR="00385949" w:rsidRPr="00810BD8">
        <w:rPr>
          <w:rFonts w:cs="Arial"/>
          <w:sz w:val="20"/>
        </w:rPr>
        <w:t xml:space="preserve">Staff </w:t>
      </w:r>
      <w:r w:rsidR="0059207F" w:rsidRPr="00810BD8">
        <w:rPr>
          <w:rFonts w:cs="Arial"/>
          <w:sz w:val="20"/>
        </w:rPr>
        <w:t>M</w:t>
      </w:r>
      <w:r w:rsidR="00385949" w:rsidRPr="00810BD8">
        <w:rPr>
          <w:rFonts w:cs="Arial"/>
          <w:sz w:val="20"/>
        </w:rPr>
        <w:t xml:space="preserve">ember </w:t>
      </w:r>
      <w:r w:rsidR="0059207F" w:rsidRPr="00810BD8">
        <w:rPr>
          <w:rFonts w:cs="Arial"/>
          <w:sz w:val="20"/>
        </w:rPr>
        <w:t>(</w:t>
      </w:r>
      <w:r w:rsidR="00D332BC" w:rsidRPr="00810BD8">
        <w:rPr>
          <w:rFonts w:cs="Arial"/>
          <w:sz w:val="20"/>
        </w:rPr>
        <w:t>(</w:t>
      </w:r>
      <w:r w:rsidRPr="00810BD8">
        <w:rPr>
          <w:rFonts w:cs="Arial"/>
          <w:sz w:val="20"/>
        </w:rPr>
        <w:t>T</w:t>
      </w:r>
      <w:r w:rsidR="00576E0A" w:rsidRPr="00810BD8">
        <w:rPr>
          <w:rFonts w:cs="Arial"/>
          <w:sz w:val="20"/>
        </w:rPr>
        <w:t>ype</w:t>
      </w:r>
      <w:r w:rsidRPr="00810BD8">
        <w:rPr>
          <w:rFonts w:cs="Arial"/>
          <w:sz w:val="20"/>
        </w:rPr>
        <w:t xml:space="preserve"> A only</w:t>
      </w:r>
      <w:r w:rsidR="0059207F" w:rsidRPr="00810BD8">
        <w:rPr>
          <w:rFonts w:cs="Arial"/>
          <w:sz w:val="20"/>
        </w:rPr>
        <w:t xml:space="preserve">) </w:t>
      </w:r>
      <w:r w:rsidR="00385949" w:rsidRPr="00810BD8">
        <w:rPr>
          <w:rFonts w:cs="Arial"/>
          <w:sz w:val="20"/>
        </w:rPr>
        <w:t xml:space="preserve">may elect to receive their share of the </w:t>
      </w:r>
      <w:r w:rsidR="008D4A2B">
        <w:rPr>
          <w:rFonts w:cs="Arial"/>
          <w:sz w:val="20"/>
        </w:rPr>
        <w:t>S</w:t>
      </w:r>
      <w:r w:rsidR="00385949" w:rsidRPr="00810BD8">
        <w:rPr>
          <w:rFonts w:cs="Arial"/>
          <w:sz w:val="20"/>
        </w:rPr>
        <w:t>urplus in either of the following ways:</w:t>
      </w:r>
    </w:p>
    <w:p w14:paraId="42AA39D8" w14:textId="5FBA043E" w:rsidR="00385949" w:rsidRDefault="00631FF3" w:rsidP="00810BD8">
      <w:pPr>
        <w:pStyle w:val="ListParagraph"/>
        <w:numPr>
          <w:ilvl w:val="0"/>
          <w:numId w:val="30"/>
        </w:numPr>
        <w:tabs>
          <w:tab w:val="left" w:pos="1134"/>
        </w:tabs>
        <w:rPr>
          <w:rFonts w:cs="Arial"/>
          <w:sz w:val="20"/>
        </w:rPr>
      </w:pPr>
      <w:r>
        <w:rPr>
          <w:rFonts w:cs="Arial"/>
          <w:sz w:val="20"/>
        </w:rPr>
        <w:t>J</w:t>
      </w:r>
      <w:r w:rsidR="00385949" w:rsidRPr="00A61239">
        <w:rPr>
          <w:rFonts w:cs="Arial"/>
          <w:sz w:val="20"/>
        </w:rPr>
        <w:t xml:space="preserve">ournal transfer to a University managed </w:t>
      </w:r>
      <w:r w:rsidR="0028411E">
        <w:rPr>
          <w:rFonts w:cs="Arial"/>
          <w:sz w:val="20"/>
        </w:rPr>
        <w:t xml:space="preserve">account </w:t>
      </w:r>
      <w:r w:rsidR="00385949" w:rsidRPr="00A61239">
        <w:rPr>
          <w:rFonts w:cs="Arial"/>
          <w:sz w:val="20"/>
        </w:rPr>
        <w:t>(funds must be used for bona-fide University approved activities); or</w:t>
      </w:r>
    </w:p>
    <w:p w14:paraId="42AA39D9" w14:textId="2CC0ECCF" w:rsidR="00431ED9" w:rsidRPr="00810BD8" w:rsidRDefault="00631FF3" w:rsidP="00810BD8">
      <w:pPr>
        <w:pStyle w:val="ListParagraph"/>
        <w:numPr>
          <w:ilvl w:val="0"/>
          <w:numId w:val="30"/>
        </w:numPr>
        <w:tabs>
          <w:tab w:val="left" w:pos="1134"/>
        </w:tabs>
        <w:rPr>
          <w:rFonts w:cs="Arial"/>
          <w:sz w:val="20"/>
        </w:rPr>
      </w:pPr>
      <w:r w:rsidRPr="00810BD8">
        <w:rPr>
          <w:rFonts w:cs="Arial"/>
          <w:sz w:val="20"/>
        </w:rPr>
        <w:t>P</w:t>
      </w:r>
      <w:r w:rsidR="00385949" w:rsidRPr="00810BD8">
        <w:rPr>
          <w:rFonts w:cs="Arial"/>
          <w:sz w:val="20"/>
        </w:rPr>
        <w:t xml:space="preserve">ayment via </w:t>
      </w:r>
      <w:r w:rsidR="0028411E">
        <w:rPr>
          <w:rFonts w:cs="Arial"/>
          <w:sz w:val="20"/>
        </w:rPr>
        <w:t xml:space="preserve">the </w:t>
      </w:r>
      <w:r w:rsidR="00385949" w:rsidRPr="00810BD8">
        <w:rPr>
          <w:rFonts w:cs="Arial"/>
          <w:sz w:val="20"/>
        </w:rPr>
        <w:t>payroll system.</w:t>
      </w:r>
    </w:p>
    <w:p w14:paraId="0AA92A55" w14:textId="1A1522B5" w:rsidR="00FF69C5" w:rsidRDefault="00FF69C5" w:rsidP="000F4FE3">
      <w:pPr>
        <w:pStyle w:val="ListParagraph"/>
        <w:ind w:left="2268"/>
        <w:rPr>
          <w:rFonts w:cs="Arial"/>
          <w:sz w:val="20"/>
        </w:rPr>
      </w:pPr>
      <w:r>
        <w:rPr>
          <w:rFonts w:cs="Arial"/>
          <w:sz w:val="20"/>
        </w:rPr>
        <w:t xml:space="preserve">This election must comply with the </w:t>
      </w:r>
      <w:r w:rsidRPr="00EB7340">
        <w:rPr>
          <w:rFonts w:cs="Arial"/>
          <w:sz w:val="20"/>
        </w:rPr>
        <w:t>Procedures and Conditions for the Management and use of Surplus Returns on Consultancy and Commercial Research (CCR) Projects and Other Professional Fees</w:t>
      </w:r>
      <w:r w:rsidR="00CE266E">
        <w:rPr>
          <w:rFonts w:cs="Arial"/>
          <w:sz w:val="20"/>
        </w:rPr>
        <w:t>.</w:t>
      </w:r>
    </w:p>
    <w:p w14:paraId="7AA41342" w14:textId="00498F0E" w:rsidR="00631FF3" w:rsidRDefault="00631FF3" w:rsidP="00810BD8">
      <w:pPr>
        <w:pStyle w:val="ListParagraph"/>
        <w:numPr>
          <w:ilvl w:val="0"/>
          <w:numId w:val="29"/>
        </w:numPr>
        <w:ind w:left="2268"/>
        <w:rPr>
          <w:rFonts w:cs="Arial"/>
          <w:sz w:val="20"/>
        </w:rPr>
      </w:pPr>
      <w:r>
        <w:rPr>
          <w:rFonts w:cs="Arial"/>
          <w:sz w:val="20"/>
        </w:rPr>
        <w:t xml:space="preserve">A Staff Member (Type B only) may receive </w:t>
      </w:r>
      <w:r w:rsidR="0028411E">
        <w:rPr>
          <w:rFonts w:cs="Arial"/>
          <w:sz w:val="20"/>
        </w:rPr>
        <w:t xml:space="preserve">a </w:t>
      </w:r>
      <w:r>
        <w:rPr>
          <w:rFonts w:cs="Arial"/>
          <w:sz w:val="20"/>
        </w:rPr>
        <w:t xml:space="preserve">payment via </w:t>
      </w:r>
      <w:r w:rsidR="0028411E">
        <w:rPr>
          <w:rFonts w:cs="Arial"/>
          <w:sz w:val="20"/>
        </w:rPr>
        <w:t xml:space="preserve">the </w:t>
      </w:r>
      <w:r>
        <w:rPr>
          <w:rFonts w:cs="Arial"/>
          <w:sz w:val="20"/>
        </w:rPr>
        <w:t>payroll system only.</w:t>
      </w:r>
    </w:p>
    <w:p w14:paraId="2912F464" w14:textId="0A4900BE" w:rsidR="0028411E" w:rsidRDefault="0028411E" w:rsidP="00810BD8">
      <w:pPr>
        <w:pStyle w:val="ListParagraph"/>
        <w:numPr>
          <w:ilvl w:val="0"/>
          <w:numId w:val="29"/>
        </w:numPr>
        <w:ind w:left="2268"/>
        <w:rPr>
          <w:rFonts w:cs="Arial"/>
          <w:sz w:val="20"/>
        </w:rPr>
      </w:pPr>
      <w:r>
        <w:rPr>
          <w:rFonts w:cs="Arial"/>
          <w:sz w:val="20"/>
        </w:rPr>
        <w:t>A Staff Member (Type C only)</w:t>
      </w:r>
      <w:r w:rsidR="00F96E99">
        <w:rPr>
          <w:rFonts w:cs="Arial"/>
          <w:sz w:val="20"/>
        </w:rPr>
        <w:t>,</w:t>
      </w:r>
      <w:r w:rsidRPr="0028411E">
        <w:rPr>
          <w:rFonts w:cs="Arial"/>
          <w:sz w:val="20"/>
        </w:rPr>
        <w:t xml:space="preserve"> </w:t>
      </w:r>
      <w:r>
        <w:rPr>
          <w:rFonts w:cs="Arial"/>
          <w:sz w:val="20"/>
        </w:rPr>
        <w:t>subject to approval</w:t>
      </w:r>
      <w:r w:rsidR="009F768F">
        <w:rPr>
          <w:rFonts w:cs="Arial"/>
          <w:sz w:val="20"/>
        </w:rPr>
        <w:t xml:space="preserve"> from Business Services</w:t>
      </w:r>
      <w:r w:rsidR="00F96E99">
        <w:rPr>
          <w:rFonts w:cs="Arial"/>
          <w:sz w:val="20"/>
        </w:rPr>
        <w:t>,</w:t>
      </w:r>
      <w:r>
        <w:rPr>
          <w:rFonts w:cs="Arial"/>
          <w:sz w:val="20"/>
        </w:rPr>
        <w:t xml:space="preserve"> </w:t>
      </w:r>
      <w:r w:rsidR="008A6011">
        <w:rPr>
          <w:rFonts w:cs="Arial"/>
          <w:sz w:val="20"/>
        </w:rPr>
        <w:t xml:space="preserve">may only </w:t>
      </w:r>
      <w:r w:rsidR="000F4FE3">
        <w:rPr>
          <w:rFonts w:cs="Arial"/>
          <w:sz w:val="20"/>
        </w:rPr>
        <w:t>(</w:t>
      </w:r>
      <w:r>
        <w:rPr>
          <w:rFonts w:cs="Arial"/>
          <w:sz w:val="20"/>
        </w:rPr>
        <w:t>via a j</w:t>
      </w:r>
      <w:r w:rsidRPr="00A61239">
        <w:rPr>
          <w:rFonts w:cs="Arial"/>
          <w:sz w:val="20"/>
        </w:rPr>
        <w:t>ournal transfer</w:t>
      </w:r>
      <w:r w:rsidR="000F4FE3">
        <w:rPr>
          <w:rFonts w:cs="Arial"/>
          <w:sz w:val="20"/>
        </w:rPr>
        <w:t>)</w:t>
      </w:r>
      <w:r w:rsidR="008A6011">
        <w:rPr>
          <w:rFonts w:cs="Arial"/>
          <w:sz w:val="20"/>
        </w:rPr>
        <w:t xml:space="preserve"> allocate Surplus</w:t>
      </w:r>
      <w:r w:rsidRPr="00A61239">
        <w:rPr>
          <w:rFonts w:cs="Arial"/>
          <w:sz w:val="20"/>
        </w:rPr>
        <w:t xml:space="preserve"> to a University managed </w:t>
      </w:r>
      <w:r>
        <w:rPr>
          <w:rFonts w:cs="Arial"/>
          <w:sz w:val="20"/>
        </w:rPr>
        <w:t xml:space="preserve">account </w:t>
      </w:r>
      <w:r w:rsidR="000F4FE3">
        <w:rPr>
          <w:rFonts w:cs="Arial"/>
          <w:sz w:val="20"/>
        </w:rPr>
        <w:t xml:space="preserve">and associated </w:t>
      </w:r>
      <w:r w:rsidRPr="00A61239">
        <w:rPr>
          <w:rFonts w:cs="Arial"/>
          <w:sz w:val="20"/>
        </w:rPr>
        <w:t xml:space="preserve">funds must be used for </w:t>
      </w:r>
      <w:r>
        <w:rPr>
          <w:rFonts w:cs="Arial"/>
          <w:sz w:val="20"/>
        </w:rPr>
        <w:t>b</w:t>
      </w:r>
      <w:r w:rsidRPr="00A61239">
        <w:rPr>
          <w:rFonts w:cs="Arial"/>
          <w:sz w:val="20"/>
        </w:rPr>
        <w:t>ona-fide University approved activities</w:t>
      </w:r>
      <w:r>
        <w:rPr>
          <w:rFonts w:cs="Arial"/>
          <w:sz w:val="20"/>
        </w:rPr>
        <w:t>.</w:t>
      </w:r>
    </w:p>
    <w:p w14:paraId="1C351B79" w14:textId="52C26DDC" w:rsidR="00F96E99" w:rsidRDefault="00F96E99" w:rsidP="00810BD8">
      <w:pPr>
        <w:pStyle w:val="ListParagraph"/>
        <w:numPr>
          <w:ilvl w:val="0"/>
          <w:numId w:val="29"/>
        </w:numPr>
        <w:ind w:left="2268"/>
        <w:rPr>
          <w:rFonts w:cs="Arial"/>
          <w:sz w:val="20"/>
        </w:rPr>
      </w:pPr>
      <w:r>
        <w:rPr>
          <w:rFonts w:cs="Arial"/>
          <w:sz w:val="20"/>
        </w:rPr>
        <w:t xml:space="preserve">Where a Staff Member is not a paid employee of the University at the time of distribution of the Surplus, they forfeit the right to be paid Surplus as a payment via the payroll system. </w:t>
      </w:r>
    </w:p>
    <w:p w14:paraId="07FD7674" w14:textId="5D04DDEC" w:rsidR="005146F2" w:rsidRDefault="000C3679" w:rsidP="005146F2">
      <w:pPr>
        <w:pStyle w:val="ListParagraph"/>
        <w:rPr>
          <w:rFonts w:cs="Arial"/>
          <w:sz w:val="20"/>
        </w:rPr>
      </w:pPr>
      <w:r>
        <w:rPr>
          <w:rFonts w:cs="Arial"/>
          <w:sz w:val="20"/>
        </w:rPr>
        <w:pict w14:anchorId="21B5F857">
          <v:rect id="_x0000_i1028" style="width:476.25pt;height:1pt" o:hralign="center" o:hrstd="t" o:hrnoshade="t" o:hr="t" fillcolor="#d8d8d8 [2732]" stroked="f"/>
        </w:pict>
      </w:r>
    </w:p>
    <w:p w14:paraId="42AA39DA" w14:textId="5BFD6AC6" w:rsidR="00B35FB8" w:rsidRPr="005146F2" w:rsidRDefault="001E5544" w:rsidP="005146F2">
      <w:pPr>
        <w:pStyle w:val="ListParagraph"/>
        <w:numPr>
          <w:ilvl w:val="0"/>
          <w:numId w:val="2"/>
        </w:numPr>
        <w:spacing w:before="100" w:beforeAutospacing="1" w:after="240"/>
        <w:rPr>
          <w:rFonts w:cs="Arial"/>
          <w:b/>
          <w:caps/>
          <w:sz w:val="24"/>
          <w:szCs w:val="24"/>
        </w:rPr>
      </w:pPr>
      <w:bookmarkStart w:id="4" w:name="general"/>
      <w:bookmarkEnd w:id="4"/>
      <w:r w:rsidRPr="005146F2">
        <w:rPr>
          <w:b/>
          <w:caps/>
          <w:sz w:val="24"/>
          <w:szCs w:val="24"/>
        </w:rPr>
        <w:lastRenderedPageBreak/>
        <w:t>General</w:t>
      </w:r>
    </w:p>
    <w:p w14:paraId="42AA39DB" w14:textId="77777777" w:rsidR="001E5544" w:rsidRPr="001E5544" w:rsidRDefault="001E5544" w:rsidP="005146F2">
      <w:pPr>
        <w:numPr>
          <w:ilvl w:val="1"/>
          <w:numId w:val="2"/>
        </w:numPr>
        <w:rPr>
          <w:rFonts w:cs="Arial"/>
          <w:b/>
          <w:sz w:val="20"/>
        </w:rPr>
      </w:pPr>
      <w:r w:rsidRPr="001E5544">
        <w:rPr>
          <w:rFonts w:cs="Arial"/>
          <w:b/>
          <w:sz w:val="20"/>
        </w:rPr>
        <w:t xml:space="preserve">Limitations to CCR PROJECT WORK </w:t>
      </w:r>
    </w:p>
    <w:p w14:paraId="42AA39DC" w14:textId="14CB0420" w:rsidR="001E5544" w:rsidRPr="001E5544" w:rsidRDefault="001E5544" w:rsidP="001E5544">
      <w:pPr>
        <w:tabs>
          <w:tab w:val="left" w:pos="1134"/>
        </w:tabs>
        <w:ind w:left="1146"/>
        <w:rPr>
          <w:rFonts w:cs="Arial"/>
          <w:sz w:val="20"/>
        </w:rPr>
      </w:pPr>
      <w:r w:rsidRPr="001E5544">
        <w:rPr>
          <w:rFonts w:cs="Arial"/>
          <w:sz w:val="20"/>
        </w:rPr>
        <w:t xml:space="preserve">Consultancy &amp; Commercial Research (CCR) Project Work activities shall in total represent no more than 20% of the </w:t>
      </w:r>
      <w:r w:rsidR="00E20934">
        <w:rPr>
          <w:rFonts w:cs="Arial"/>
          <w:sz w:val="20"/>
        </w:rPr>
        <w:t>Staff Member</w:t>
      </w:r>
      <w:r w:rsidRPr="001E5544">
        <w:rPr>
          <w:rFonts w:cs="Arial"/>
          <w:sz w:val="20"/>
        </w:rPr>
        <w:t xml:space="preserve">'s substantive University duties per annum. </w:t>
      </w:r>
      <w:r w:rsidR="00CE266E">
        <w:rPr>
          <w:rFonts w:cs="Arial"/>
          <w:sz w:val="20"/>
        </w:rPr>
        <w:t xml:space="preserve"> </w:t>
      </w:r>
      <w:r w:rsidRPr="001E5544">
        <w:rPr>
          <w:rFonts w:cs="Arial"/>
          <w:sz w:val="20"/>
        </w:rPr>
        <w:t xml:space="preserve">This limitation is not an entitlement and is subject to Head of Host Element's prior written approval, taking into account the </w:t>
      </w:r>
      <w:r w:rsidR="00E20934">
        <w:rPr>
          <w:rFonts w:cs="Arial"/>
          <w:sz w:val="20"/>
        </w:rPr>
        <w:t>Staff Member</w:t>
      </w:r>
      <w:r w:rsidRPr="001E5544">
        <w:rPr>
          <w:rFonts w:cs="Arial"/>
          <w:sz w:val="20"/>
        </w:rPr>
        <w:t>'s obligations to their substantive employment and operational requirements.</w:t>
      </w:r>
    </w:p>
    <w:p w14:paraId="42AA39DD" w14:textId="6BCB9F4E" w:rsidR="001E5544" w:rsidRPr="001E5544" w:rsidRDefault="001E5544" w:rsidP="001E5544">
      <w:pPr>
        <w:tabs>
          <w:tab w:val="left" w:pos="1134"/>
        </w:tabs>
        <w:ind w:left="1146"/>
        <w:rPr>
          <w:rFonts w:cs="Arial"/>
          <w:sz w:val="20"/>
        </w:rPr>
      </w:pPr>
      <w:r w:rsidRPr="001E5544">
        <w:rPr>
          <w:rFonts w:cs="Arial"/>
          <w:sz w:val="20"/>
        </w:rPr>
        <w:t xml:space="preserve">In some cases (generally with significantly larger </w:t>
      </w:r>
      <w:r w:rsidR="009F768F" w:rsidRPr="001E5544">
        <w:rPr>
          <w:rFonts w:cs="Arial"/>
          <w:sz w:val="20"/>
        </w:rPr>
        <w:t>projects),</w:t>
      </w:r>
      <w:r w:rsidRPr="001E5544">
        <w:rPr>
          <w:rFonts w:cs="Arial"/>
          <w:sz w:val="20"/>
        </w:rPr>
        <w:t xml:space="preserve"> it may be necessary for the </w:t>
      </w:r>
      <w:r w:rsidR="00E20934">
        <w:rPr>
          <w:rFonts w:cs="Arial"/>
          <w:sz w:val="20"/>
        </w:rPr>
        <w:t>Staff Member</w:t>
      </w:r>
      <w:r w:rsidRPr="001E5544">
        <w:rPr>
          <w:rFonts w:cs="Arial"/>
          <w:sz w:val="20"/>
        </w:rPr>
        <w:t xml:space="preserve"> to exceed 20%. </w:t>
      </w:r>
      <w:r w:rsidR="00CE266E">
        <w:rPr>
          <w:rFonts w:cs="Arial"/>
          <w:sz w:val="20"/>
        </w:rPr>
        <w:t xml:space="preserve"> </w:t>
      </w:r>
      <w:r w:rsidRPr="001E5544">
        <w:rPr>
          <w:rFonts w:cs="Arial"/>
          <w:sz w:val="20"/>
        </w:rPr>
        <w:t xml:space="preserve">These cases are subject to the prior written approval of the </w:t>
      </w:r>
      <w:r w:rsidR="00D057B7">
        <w:rPr>
          <w:rFonts w:cs="Arial"/>
          <w:sz w:val="20"/>
        </w:rPr>
        <w:t>Provost</w:t>
      </w:r>
      <w:r w:rsidRPr="001E5544">
        <w:rPr>
          <w:rFonts w:cs="Arial"/>
          <w:sz w:val="20"/>
        </w:rPr>
        <w:t xml:space="preserve"> as appropriate.</w:t>
      </w:r>
    </w:p>
    <w:p w14:paraId="42AA39DE" w14:textId="77777777" w:rsidR="001E5544" w:rsidRPr="001E5544" w:rsidRDefault="001E5544" w:rsidP="005146F2">
      <w:pPr>
        <w:numPr>
          <w:ilvl w:val="1"/>
          <w:numId w:val="2"/>
        </w:numPr>
        <w:rPr>
          <w:rFonts w:cs="Arial"/>
          <w:b/>
          <w:sz w:val="20"/>
        </w:rPr>
      </w:pPr>
      <w:r w:rsidRPr="001E5544">
        <w:rPr>
          <w:rFonts w:cs="Arial"/>
          <w:b/>
          <w:sz w:val="20"/>
        </w:rPr>
        <w:t>Failure to Comply with Policy</w:t>
      </w:r>
    </w:p>
    <w:p w14:paraId="42AA39DF" w14:textId="024E7E6D" w:rsidR="001E5544" w:rsidRPr="001E5544" w:rsidRDefault="001E5544" w:rsidP="001E5544">
      <w:pPr>
        <w:tabs>
          <w:tab w:val="left" w:pos="1134"/>
        </w:tabs>
        <w:ind w:left="1146"/>
        <w:rPr>
          <w:rFonts w:cs="Arial"/>
          <w:sz w:val="20"/>
        </w:rPr>
      </w:pPr>
      <w:r w:rsidRPr="001E5544">
        <w:rPr>
          <w:rFonts w:cs="Arial"/>
          <w:sz w:val="20"/>
        </w:rPr>
        <w:t xml:space="preserve">Staff </w:t>
      </w:r>
      <w:r w:rsidR="007D54B4">
        <w:rPr>
          <w:rFonts w:cs="Arial"/>
          <w:sz w:val="20"/>
        </w:rPr>
        <w:t>M</w:t>
      </w:r>
      <w:r w:rsidRPr="001E5544">
        <w:rPr>
          <w:rFonts w:cs="Arial"/>
          <w:sz w:val="20"/>
        </w:rPr>
        <w:t xml:space="preserve">embers who fail to notify and secure approval where required in the policy will be regarded as acting in contravention of this policy and may also be in breach of their contract of employment. </w:t>
      </w:r>
      <w:r w:rsidR="00CE266E">
        <w:rPr>
          <w:rFonts w:cs="Arial"/>
          <w:sz w:val="20"/>
        </w:rPr>
        <w:t xml:space="preserve"> </w:t>
      </w:r>
      <w:r w:rsidRPr="001E5544">
        <w:rPr>
          <w:rFonts w:cs="Arial"/>
          <w:sz w:val="20"/>
        </w:rPr>
        <w:t xml:space="preserve">As a </w:t>
      </w:r>
      <w:r w:rsidR="007954CA" w:rsidRPr="001E5544">
        <w:rPr>
          <w:rFonts w:cs="Arial"/>
          <w:sz w:val="20"/>
        </w:rPr>
        <w:t>consequence,</w:t>
      </w:r>
      <w:r w:rsidRPr="001E5544">
        <w:rPr>
          <w:rFonts w:cs="Arial"/>
          <w:sz w:val="20"/>
        </w:rPr>
        <w:t xml:space="preserve"> the </w:t>
      </w:r>
      <w:r w:rsidR="00E20934">
        <w:rPr>
          <w:rFonts w:cs="Arial"/>
          <w:sz w:val="20"/>
        </w:rPr>
        <w:t>Staff Member</w:t>
      </w:r>
      <w:r w:rsidRPr="001E5544">
        <w:rPr>
          <w:rFonts w:cs="Arial"/>
          <w:sz w:val="20"/>
        </w:rPr>
        <w:t xml:space="preserve"> may face disciplinary action, including dismissal from the University. </w:t>
      </w:r>
      <w:r w:rsidR="00CE266E">
        <w:rPr>
          <w:rFonts w:cs="Arial"/>
          <w:sz w:val="20"/>
        </w:rPr>
        <w:t xml:space="preserve"> </w:t>
      </w:r>
      <w:r w:rsidRPr="001E5544">
        <w:rPr>
          <w:rFonts w:cs="Arial"/>
          <w:sz w:val="20"/>
        </w:rPr>
        <w:t xml:space="preserve">Moreover, the University may not accept any liability for work performed by a </w:t>
      </w:r>
      <w:r w:rsidR="00E20934">
        <w:rPr>
          <w:rFonts w:cs="Arial"/>
          <w:sz w:val="20"/>
        </w:rPr>
        <w:t>Staff Member</w:t>
      </w:r>
      <w:r w:rsidRPr="001E5544">
        <w:rPr>
          <w:rFonts w:cs="Arial"/>
          <w:sz w:val="20"/>
        </w:rPr>
        <w:t xml:space="preserve"> where that work has not been notified and approved in accordance with the requirements of this policy.</w:t>
      </w:r>
    </w:p>
    <w:p w14:paraId="42AA39E0" w14:textId="77777777" w:rsidR="001E5544" w:rsidRPr="001E5544" w:rsidRDefault="001E5544" w:rsidP="005146F2">
      <w:pPr>
        <w:numPr>
          <w:ilvl w:val="1"/>
          <w:numId w:val="2"/>
        </w:numPr>
        <w:rPr>
          <w:rFonts w:cs="Arial"/>
          <w:b/>
          <w:sz w:val="20"/>
        </w:rPr>
      </w:pPr>
      <w:r w:rsidRPr="001E5544">
        <w:rPr>
          <w:rFonts w:cs="Arial"/>
          <w:b/>
          <w:sz w:val="20"/>
        </w:rPr>
        <w:t>Reporting</w:t>
      </w:r>
    </w:p>
    <w:p w14:paraId="42AA39E1" w14:textId="64B1A447" w:rsidR="00D57CE6" w:rsidRDefault="001E5544" w:rsidP="001E5544">
      <w:pPr>
        <w:tabs>
          <w:tab w:val="left" w:pos="1134"/>
        </w:tabs>
        <w:ind w:left="1146"/>
        <w:rPr>
          <w:rFonts w:cs="Arial"/>
          <w:sz w:val="20"/>
        </w:rPr>
      </w:pPr>
      <w:r w:rsidRPr="001E5544">
        <w:rPr>
          <w:rFonts w:cs="Arial"/>
          <w:sz w:val="20"/>
        </w:rPr>
        <w:t>The University encourages the inclusion of Consultancy &amp; Commercial Research (CCR) Project Work in the business and performance plans of Host Elements.</w:t>
      </w:r>
    </w:p>
    <w:p w14:paraId="42AA39E2" w14:textId="77777777" w:rsidR="001E5544" w:rsidRPr="001E5544" w:rsidRDefault="001E5544" w:rsidP="005146F2">
      <w:pPr>
        <w:numPr>
          <w:ilvl w:val="1"/>
          <w:numId w:val="2"/>
        </w:numPr>
        <w:rPr>
          <w:rFonts w:cs="Arial"/>
          <w:b/>
          <w:sz w:val="20"/>
        </w:rPr>
      </w:pPr>
      <w:r w:rsidRPr="001E5544">
        <w:rPr>
          <w:rFonts w:cs="Arial"/>
          <w:b/>
          <w:sz w:val="20"/>
        </w:rPr>
        <w:t>Grievances</w:t>
      </w:r>
    </w:p>
    <w:p w14:paraId="42AA39E3" w14:textId="5FC5728F" w:rsidR="001E5544" w:rsidRPr="001E5544" w:rsidRDefault="001E5544" w:rsidP="001E5544">
      <w:pPr>
        <w:tabs>
          <w:tab w:val="left" w:pos="1134"/>
        </w:tabs>
        <w:ind w:left="1146"/>
        <w:rPr>
          <w:rFonts w:cs="Arial"/>
          <w:sz w:val="20"/>
        </w:rPr>
      </w:pPr>
      <w:r w:rsidRPr="001E5544">
        <w:rPr>
          <w:rFonts w:cs="Arial"/>
          <w:sz w:val="20"/>
        </w:rPr>
        <w:t xml:space="preserve">Staff </w:t>
      </w:r>
      <w:r w:rsidR="0044222A">
        <w:rPr>
          <w:rFonts w:cs="Arial"/>
          <w:sz w:val="20"/>
        </w:rPr>
        <w:t>M</w:t>
      </w:r>
      <w:r w:rsidRPr="001E5544">
        <w:rPr>
          <w:rFonts w:cs="Arial"/>
          <w:sz w:val="20"/>
        </w:rPr>
        <w:t>embers aggrieved by a decision relating to the administration of this policy may seek a review of the relevant decision in accordance with the University's grievance resolution procedure.</w:t>
      </w:r>
    </w:p>
    <w:p w14:paraId="42AA39E4" w14:textId="77777777" w:rsidR="001E5544" w:rsidRPr="001E5544" w:rsidRDefault="001E5544" w:rsidP="005146F2">
      <w:pPr>
        <w:numPr>
          <w:ilvl w:val="1"/>
          <w:numId w:val="2"/>
        </w:numPr>
        <w:rPr>
          <w:rFonts w:cs="Arial"/>
          <w:b/>
          <w:sz w:val="20"/>
        </w:rPr>
      </w:pPr>
      <w:r w:rsidRPr="001E5544">
        <w:rPr>
          <w:rFonts w:cs="Arial"/>
          <w:b/>
          <w:sz w:val="20"/>
        </w:rPr>
        <w:t>Transitional Arrangements</w:t>
      </w:r>
    </w:p>
    <w:p w14:paraId="42AA39E6" w14:textId="1EC2890B" w:rsidR="00431ED9" w:rsidRDefault="001E5544" w:rsidP="001E5544">
      <w:pPr>
        <w:tabs>
          <w:tab w:val="left" w:pos="1134"/>
        </w:tabs>
        <w:ind w:left="1146"/>
        <w:rPr>
          <w:rFonts w:cs="Arial"/>
          <w:sz w:val="20"/>
        </w:rPr>
      </w:pPr>
      <w:r w:rsidRPr="001E5544">
        <w:rPr>
          <w:rFonts w:cs="Arial"/>
          <w:sz w:val="20"/>
        </w:rPr>
        <w:t>Approved Consultancy &amp; Commercial Research (CCR) Project Work which is not yet completed as at the date of this policy, shall be managed as per the policy that existed at the time the project was approved.</w:t>
      </w:r>
    </w:p>
    <w:p w14:paraId="28102A76" w14:textId="3644FD62" w:rsidR="005146F2" w:rsidRPr="001E5544" w:rsidRDefault="000C3679" w:rsidP="005146F2">
      <w:pPr>
        <w:tabs>
          <w:tab w:val="left" w:pos="1134"/>
        </w:tabs>
        <w:ind w:left="0"/>
        <w:rPr>
          <w:rFonts w:cs="Arial"/>
          <w:sz w:val="20"/>
        </w:rPr>
      </w:pPr>
      <w:r>
        <w:rPr>
          <w:rFonts w:cs="Arial"/>
          <w:sz w:val="20"/>
        </w:rPr>
        <w:pict w14:anchorId="0F39C4F1">
          <v:rect id="_x0000_i1029" style="width:476.25pt;height:1pt" o:hralign="center" o:hrstd="t" o:hrnoshade="t" o:hr="t" fillcolor="#d8d8d8 [2732]" stroked="f"/>
        </w:pict>
      </w:r>
    </w:p>
    <w:p w14:paraId="42AA39E7" w14:textId="77777777" w:rsidR="00E31309" w:rsidRPr="00B34D13" w:rsidRDefault="001E5544" w:rsidP="005146F2">
      <w:pPr>
        <w:numPr>
          <w:ilvl w:val="0"/>
          <w:numId w:val="2"/>
        </w:numPr>
        <w:spacing w:before="100" w:beforeAutospacing="1" w:after="240"/>
        <w:rPr>
          <w:rFonts w:cs="Arial"/>
          <w:b/>
          <w:caps/>
          <w:sz w:val="24"/>
          <w:szCs w:val="24"/>
        </w:rPr>
      </w:pPr>
      <w:bookmarkStart w:id="5" w:name="exemptprojects"/>
      <w:bookmarkEnd w:id="5"/>
      <w:r w:rsidRPr="001E5544">
        <w:rPr>
          <w:b/>
          <w:caps/>
          <w:sz w:val="24"/>
          <w:szCs w:val="24"/>
        </w:rPr>
        <w:t>Exempt Projects</w:t>
      </w:r>
    </w:p>
    <w:p w14:paraId="42AA39E8" w14:textId="77777777" w:rsidR="001E5544" w:rsidRPr="001E5544" w:rsidRDefault="001E5544" w:rsidP="001E5544">
      <w:pPr>
        <w:rPr>
          <w:rFonts w:cs="Arial"/>
          <w:sz w:val="20"/>
        </w:rPr>
      </w:pPr>
      <w:r w:rsidRPr="001E5544">
        <w:rPr>
          <w:rFonts w:cs="Arial"/>
          <w:sz w:val="20"/>
        </w:rPr>
        <w:t>Exempt projects are:</w:t>
      </w:r>
    </w:p>
    <w:p w14:paraId="42AA39E9" w14:textId="77777777" w:rsidR="001E5544" w:rsidRPr="001E5544" w:rsidRDefault="001E5544" w:rsidP="001E5544">
      <w:pPr>
        <w:pStyle w:val="ListParagraph"/>
        <w:numPr>
          <w:ilvl w:val="0"/>
          <w:numId w:val="20"/>
        </w:numPr>
        <w:rPr>
          <w:rFonts w:cs="Arial"/>
          <w:sz w:val="20"/>
        </w:rPr>
      </w:pPr>
      <w:r w:rsidRPr="001E5544">
        <w:rPr>
          <w:rFonts w:cs="Arial"/>
          <w:sz w:val="20"/>
        </w:rPr>
        <w:t>Contracts with publishers for writing and/or publishing books.</w:t>
      </w:r>
    </w:p>
    <w:p w14:paraId="42AA39EA" w14:textId="77777777" w:rsidR="001E5544" w:rsidRPr="001E5544" w:rsidRDefault="001E5544" w:rsidP="001E5544">
      <w:pPr>
        <w:pStyle w:val="ListParagraph"/>
        <w:numPr>
          <w:ilvl w:val="0"/>
          <w:numId w:val="20"/>
        </w:numPr>
        <w:rPr>
          <w:rFonts w:cs="Arial"/>
          <w:sz w:val="20"/>
        </w:rPr>
      </w:pPr>
      <w:r w:rsidRPr="001E5544">
        <w:rPr>
          <w:rFonts w:cs="Arial"/>
          <w:sz w:val="20"/>
        </w:rPr>
        <w:t>Contracts with broadcasters and media distributors for producing film, television and digital media works (excluding software and flexible learning packages).</w:t>
      </w:r>
    </w:p>
    <w:p w14:paraId="42AA39EB" w14:textId="77777777" w:rsidR="001E5544" w:rsidRPr="001E5544" w:rsidRDefault="001E5544" w:rsidP="001E5544">
      <w:pPr>
        <w:pStyle w:val="ListParagraph"/>
        <w:numPr>
          <w:ilvl w:val="0"/>
          <w:numId w:val="20"/>
        </w:numPr>
        <w:rPr>
          <w:rFonts w:cs="Arial"/>
          <w:sz w:val="20"/>
        </w:rPr>
      </w:pPr>
      <w:r w:rsidRPr="001E5544">
        <w:rPr>
          <w:rFonts w:cs="Arial"/>
          <w:sz w:val="20"/>
        </w:rPr>
        <w:t>Journal editorship and remunerated editorial work.</w:t>
      </w:r>
    </w:p>
    <w:p w14:paraId="42AA39EC" w14:textId="77777777" w:rsidR="001E5544" w:rsidRPr="001E5544" w:rsidRDefault="001E5544" w:rsidP="001E5544">
      <w:pPr>
        <w:pStyle w:val="ListParagraph"/>
        <w:numPr>
          <w:ilvl w:val="0"/>
          <w:numId w:val="20"/>
        </w:numPr>
        <w:rPr>
          <w:rFonts w:cs="Arial"/>
          <w:sz w:val="20"/>
        </w:rPr>
      </w:pPr>
      <w:r w:rsidRPr="001E5544">
        <w:rPr>
          <w:rFonts w:cs="Arial"/>
          <w:sz w:val="20"/>
        </w:rPr>
        <w:t>External examining and contracts for the examination of theses.</w:t>
      </w:r>
    </w:p>
    <w:p w14:paraId="42AA39ED" w14:textId="7FACABCD" w:rsidR="001E5544" w:rsidRPr="001E5544" w:rsidRDefault="001E5544" w:rsidP="001E5544">
      <w:pPr>
        <w:pStyle w:val="ListParagraph"/>
        <w:numPr>
          <w:ilvl w:val="0"/>
          <w:numId w:val="20"/>
        </w:numPr>
        <w:rPr>
          <w:rFonts w:cs="Arial"/>
          <w:sz w:val="20"/>
        </w:rPr>
      </w:pPr>
      <w:r w:rsidRPr="001E5544">
        <w:rPr>
          <w:rFonts w:cs="Arial"/>
          <w:sz w:val="20"/>
        </w:rPr>
        <w:t>Occasional lectures and occasional public appearances, e</w:t>
      </w:r>
      <w:r w:rsidR="00CE266E">
        <w:rPr>
          <w:rFonts w:cs="Arial"/>
          <w:sz w:val="20"/>
        </w:rPr>
        <w:t>.</w:t>
      </w:r>
      <w:r w:rsidRPr="001E5544">
        <w:rPr>
          <w:rFonts w:cs="Arial"/>
          <w:sz w:val="20"/>
        </w:rPr>
        <w:t xml:space="preserve">g. broadcasts, newspaper articles or performances/works of art. </w:t>
      </w:r>
      <w:r w:rsidR="00CE266E">
        <w:rPr>
          <w:rFonts w:cs="Arial"/>
          <w:sz w:val="20"/>
        </w:rPr>
        <w:t xml:space="preserve"> </w:t>
      </w:r>
      <w:r w:rsidRPr="001E5544">
        <w:rPr>
          <w:rFonts w:cs="Arial"/>
          <w:sz w:val="20"/>
        </w:rPr>
        <w:t>Occasional is defined as irregular and infrequent.</w:t>
      </w:r>
    </w:p>
    <w:p w14:paraId="42AA39EE" w14:textId="77777777" w:rsidR="001E5544" w:rsidRPr="001E5544" w:rsidRDefault="001E5544" w:rsidP="001E5544">
      <w:pPr>
        <w:pStyle w:val="ListParagraph"/>
        <w:numPr>
          <w:ilvl w:val="0"/>
          <w:numId w:val="20"/>
        </w:numPr>
        <w:rPr>
          <w:rFonts w:cs="Arial"/>
          <w:sz w:val="20"/>
        </w:rPr>
      </w:pPr>
      <w:r w:rsidRPr="001E5544">
        <w:rPr>
          <w:rFonts w:cs="Arial"/>
          <w:sz w:val="20"/>
        </w:rPr>
        <w:t>Book and manuscript reviews.</w:t>
      </w:r>
    </w:p>
    <w:p w14:paraId="42AA39EF" w14:textId="535457A2" w:rsidR="001E5544" w:rsidRPr="001E5544" w:rsidRDefault="001E5544" w:rsidP="001E5544">
      <w:pPr>
        <w:pStyle w:val="ListParagraph"/>
        <w:numPr>
          <w:ilvl w:val="0"/>
          <w:numId w:val="20"/>
        </w:numPr>
        <w:rPr>
          <w:rFonts w:cs="Arial"/>
          <w:sz w:val="20"/>
        </w:rPr>
      </w:pPr>
      <w:r w:rsidRPr="001E5544">
        <w:rPr>
          <w:rFonts w:cs="Arial"/>
          <w:sz w:val="20"/>
        </w:rPr>
        <w:t xml:space="preserve">Any </w:t>
      </w:r>
      <w:r w:rsidR="00F763F6">
        <w:rPr>
          <w:rFonts w:cs="Arial"/>
          <w:sz w:val="20"/>
        </w:rPr>
        <w:t xml:space="preserve">CCR Project Work </w:t>
      </w:r>
      <w:r w:rsidRPr="001E5544">
        <w:rPr>
          <w:rFonts w:cs="Arial"/>
          <w:sz w:val="20"/>
        </w:rPr>
        <w:t xml:space="preserve">where the </w:t>
      </w:r>
      <w:r w:rsidR="00E20934">
        <w:rPr>
          <w:rFonts w:cs="Arial"/>
          <w:sz w:val="20"/>
        </w:rPr>
        <w:t>Staff Member</w:t>
      </w:r>
      <w:r w:rsidRPr="001E5544">
        <w:rPr>
          <w:rFonts w:cs="Arial"/>
          <w:sz w:val="20"/>
        </w:rPr>
        <w:t xml:space="preserve"> has </w:t>
      </w:r>
      <w:r w:rsidR="00F763F6">
        <w:rPr>
          <w:rFonts w:cs="Arial"/>
          <w:sz w:val="20"/>
        </w:rPr>
        <w:t xml:space="preserve">obtained approval under the </w:t>
      </w:r>
      <w:r w:rsidR="00CD2527">
        <w:rPr>
          <w:rFonts w:cs="Arial"/>
          <w:sz w:val="20"/>
        </w:rPr>
        <w:t>Private Practice</w:t>
      </w:r>
      <w:r w:rsidR="00F763F6">
        <w:rPr>
          <w:rFonts w:cs="Arial"/>
          <w:sz w:val="20"/>
        </w:rPr>
        <w:t xml:space="preserve"> Policy</w:t>
      </w:r>
      <w:r w:rsidR="00CD2527">
        <w:rPr>
          <w:rFonts w:cs="Arial"/>
          <w:sz w:val="20"/>
        </w:rPr>
        <w:t xml:space="preserve">. </w:t>
      </w:r>
      <w:r w:rsidRPr="001E5544">
        <w:rPr>
          <w:rFonts w:cs="Arial"/>
          <w:sz w:val="20"/>
        </w:rPr>
        <w:t xml:space="preserve"> </w:t>
      </w:r>
    </w:p>
    <w:p w14:paraId="42AA39F2" w14:textId="77777777" w:rsidR="001E5544" w:rsidRDefault="001E5544" w:rsidP="005146F2">
      <w:pPr>
        <w:numPr>
          <w:ilvl w:val="0"/>
          <w:numId w:val="2"/>
        </w:numPr>
        <w:spacing w:before="100" w:beforeAutospacing="1" w:after="240"/>
        <w:rPr>
          <w:b/>
          <w:caps/>
          <w:sz w:val="24"/>
          <w:szCs w:val="24"/>
        </w:rPr>
        <w:sectPr w:rsidR="001E5544" w:rsidSect="00147712">
          <w:headerReference w:type="default" r:id="rId23"/>
          <w:footerReference w:type="default" r:id="rId24"/>
          <w:pgSz w:w="11906" w:h="16838" w:code="9"/>
          <w:pgMar w:top="1440" w:right="1134" w:bottom="1134" w:left="1247" w:header="709" w:footer="284" w:gutter="0"/>
          <w:pgNumType w:start="1"/>
          <w:cols w:space="708"/>
          <w:docGrid w:linePitch="360"/>
        </w:sectPr>
      </w:pPr>
    </w:p>
    <w:p w14:paraId="42AA39F3" w14:textId="77777777" w:rsidR="00E31309" w:rsidRPr="00B34D13" w:rsidRDefault="001E5544" w:rsidP="005146F2">
      <w:pPr>
        <w:numPr>
          <w:ilvl w:val="0"/>
          <w:numId w:val="2"/>
        </w:numPr>
        <w:spacing w:before="100" w:beforeAutospacing="1" w:after="240"/>
        <w:rPr>
          <w:rFonts w:cs="Arial"/>
          <w:b/>
          <w:caps/>
          <w:sz w:val="24"/>
          <w:szCs w:val="24"/>
        </w:rPr>
      </w:pPr>
      <w:bookmarkStart w:id="6" w:name="readyreference"/>
      <w:bookmarkEnd w:id="6"/>
      <w:r w:rsidRPr="001E5544">
        <w:rPr>
          <w:b/>
          <w:caps/>
          <w:sz w:val="24"/>
          <w:szCs w:val="24"/>
        </w:rPr>
        <w:lastRenderedPageBreak/>
        <w:t>CCR Project Work - Ready Reference</w:t>
      </w:r>
    </w:p>
    <w:tbl>
      <w:tblPr>
        <w:tblW w:w="5000" w:type="pct"/>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1843"/>
        <w:gridCol w:w="1597"/>
        <w:gridCol w:w="1902"/>
        <w:gridCol w:w="1991"/>
        <w:gridCol w:w="1885"/>
        <w:gridCol w:w="1949"/>
        <w:gridCol w:w="2234"/>
        <w:gridCol w:w="2930"/>
        <w:gridCol w:w="2246"/>
        <w:gridCol w:w="2654"/>
      </w:tblGrid>
      <w:tr w:rsidR="00D91CFB" w:rsidRPr="00756A6A" w14:paraId="42AA39FE" w14:textId="77777777" w:rsidTr="00774490">
        <w:trPr>
          <w:trHeight w:val="1346"/>
          <w:jc w:val="center"/>
        </w:trPr>
        <w:tc>
          <w:tcPr>
            <w:tcW w:w="434" w:type="pct"/>
            <w:tcBorders>
              <w:right w:val="nil"/>
            </w:tcBorders>
            <w:shd w:val="clear" w:color="auto" w:fill="D9D9D9" w:themeFill="background1" w:themeFillShade="D9"/>
            <w:vAlign w:val="center"/>
          </w:tcPr>
          <w:p w14:paraId="42AA39F4" w14:textId="77777777" w:rsidR="00617373" w:rsidRPr="00756A6A" w:rsidRDefault="00617373" w:rsidP="00756A6A">
            <w:pPr>
              <w:tabs>
                <w:tab w:val="left" w:pos="440"/>
                <w:tab w:val="right" w:leader="dot" w:pos="9060"/>
              </w:tabs>
              <w:spacing w:before="240" w:after="0"/>
              <w:ind w:left="0"/>
              <w:jc w:val="center"/>
              <w:rPr>
                <w:rFonts w:eastAsia="Arial Unicode MS" w:cs="Arial"/>
                <w:b/>
                <w:noProof/>
                <w:color w:val="000000"/>
                <w:sz w:val="18"/>
                <w:szCs w:val="18"/>
                <w:lang w:val="en-US" w:eastAsia="en-US"/>
              </w:rPr>
            </w:pPr>
            <w:r w:rsidRPr="00756A6A">
              <w:rPr>
                <w:rFonts w:eastAsia="Arial Unicode MS" w:cs="Arial"/>
                <w:b/>
                <w:noProof/>
                <w:color w:val="000000"/>
                <w:sz w:val="18"/>
                <w:szCs w:val="18"/>
                <w:lang w:val="en-US" w:eastAsia="en-US"/>
              </w:rPr>
              <w:t>CCR PROJECT WORK CATEGORY</w:t>
            </w:r>
          </w:p>
        </w:tc>
        <w:tc>
          <w:tcPr>
            <w:tcW w:w="376" w:type="pct"/>
            <w:tcBorders>
              <w:left w:val="nil"/>
              <w:right w:val="nil"/>
            </w:tcBorders>
            <w:shd w:val="clear" w:color="auto" w:fill="D9D9D9" w:themeFill="background1" w:themeFillShade="D9"/>
            <w:vAlign w:val="center"/>
          </w:tcPr>
          <w:p w14:paraId="42AA39F5" w14:textId="77777777" w:rsidR="00617373" w:rsidRPr="00756A6A" w:rsidRDefault="00617373" w:rsidP="00756A6A">
            <w:pPr>
              <w:tabs>
                <w:tab w:val="left" w:pos="440"/>
                <w:tab w:val="right" w:leader="dot" w:pos="9060"/>
              </w:tabs>
              <w:spacing w:before="240" w:after="0"/>
              <w:ind w:left="0"/>
              <w:jc w:val="center"/>
              <w:rPr>
                <w:rFonts w:eastAsia="Arial Unicode MS" w:cs="Arial"/>
                <w:b/>
                <w:noProof/>
                <w:color w:val="000000"/>
                <w:sz w:val="18"/>
                <w:szCs w:val="18"/>
                <w:lang w:val="en-US" w:eastAsia="en-US"/>
              </w:rPr>
            </w:pPr>
            <w:r w:rsidRPr="00756A6A">
              <w:rPr>
                <w:rFonts w:eastAsia="Arial Unicode MS" w:cs="Arial"/>
                <w:b/>
                <w:noProof/>
                <w:color w:val="000000"/>
                <w:sz w:val="18"/>
                <w:szCs w:val="18"/>
                <w:lang w:val="en-US" w:eastAsia="en-US"/>
              </w:rPr>
              <w:t>VALUE</w:t>
            </w:r>
          </w:p>
          <w:p w14:paraId="42AA39F6" w14:textId="77777777" w:rsidR="00617373" w:rsidRPr="00756A6A" w:rsidRDefault="00617373" w:rsidP="00756A6A">
            <w:pPr>
              <w:tabs>
                <w:tab w:val="left" w:pos="440"/>
                <w:tab w:val="right" w:leader="dot" w:pos="9060"/>
              </w:tabs>
              <w:spacing w:before="240" w:after="0"/>
              <w:ind w:left="0"/>
              <w:jc w:val="center"/>
              <w:rPr>
                <w:rFonts w:eastAsia="Arial Unicode MS" w:cs="Arial"/>
                <w:b/>
                <w:noProof/>
                <w:color w:val="000000"/>
                <w:sz w:val="18"/>
                <w:szCs w:val="18"/>
                <w:lang w:val="en-US" w:eastAsia="en-US"/>
              </w:rPr>
            </w:pPr>
            <w:r w:rsidRPr="00756A6A">
              <w:rPr>
                <w:rFonts w:eastAsia="Arial Unicode MS" w:cs="Arial"/>
                <w:b/>
                <w:noProof/>
                <w:color w:val="000000"/>
                <w:sz w:val="18"/>
                <w:szCs w:val="18"/>
                <w:lang w:val="en-US" w:eastAsia="en-US"/>
              </w:rPr>
              <w:t>(EX GST)</w:t>
            </w:r>
          </w:p>
        </w:tc>
        <w:tc>
          <w:tcPr>
            <w:tcW w:w="448" w:type="pct"/>
            <w:tcBorders>
              <w:left w:val="nil"/>
              <w:right w:val="nil"/>
            </w:tcBorders>
            <w:shd w:val="clear" w:color="auto" w:fill="D9D9D9" w:themeFill="background1" w:themeFillShade="D9"/>
            <w:vAlign w:val="center"/>
          </w:tcPr>
          <w:p w14:paraId="42AA39F7" w14:textId="77777777" w:rsidR="00617373" w:rsidRPr="00756A6A" w:rsidRDefault="00617373" w:rsidP="00756A6A">
            <w:pPr>
              <w:tabs>
                <w:tab w:val="left" w:pos="440"/>
                <w:tab w:val="right" w:leader="dot" w:pos="9060"/>
              </w:tabs>
              <w:spacing w:before="240" w:after="0"/>
              <w:ind w:left="0"/>
              <w:jc w:val="center"/>
              <w:rPr>
                <w:rFonts w:eastAsia="Arial Unicode MS" w:cs="Arial"/>
                <w:b/>
                <w:noProof/>
                <w:color w:val="000000"/>
                <w:sz w:val="18"/>
                <w:szCs w:val="18"/>
                <w:lang w:val="en-US" w:eastAsia="en-US"/>
              </w:rPr>
            </w:pPr>
            <w:r w:rsidRPr="00756A6A">
              <w:rPr>
                <w:rFonts w:eastAsia="Arial Unicode MS" w:cs="Arial"/>
                <w:b/>
                <w:noProof/>
                <w:color w:val="000000"/>
                <w:sz w:val="18"/>
                <w:szCs w:val="18"/>
                <w:lang w:val="en-US" w:eastAsia="en-US"/>
              </w:rPr>
              <w:t>FORMAL WRITTEN CONTRACT REQUIRED?</w:t>
            </w:r>
          </w:p>
        </w:tc>
        <w:tc>
          <w:tcPr>
            <w:tcW w:w="469" w:type="pct"/>
            <w:tcBorders>
              <w:left w:val="nil"/>
              <w:bottom w:val="single" w:sz="2" w:space="0" w:color="A6A6A6" w:themeColor="background1" w:themeShade="A6"/>
              <w:right w:val="nil"/>
            </w:tcBorders>
            <w:shd w:val="clear" w:color="auto" w:fill="D9D9D9" w:themeFill="background1" w:themeFillShade="D9"/>
            <w:vAlign w:val="center"/>
          </w:tcPr>
          <w:p w14:paraId="42AA39F8" w14:textId="77777777" w:rsidR="00617373" w:rsidRPr="00756A6A" w:rsidRDefault="00617373" w:rsidP="00756A6A">
            <w:pPr>
              <w:tabs>
                <w:tab w:val="left" w:pos="440"/>
                <w:tab w:val="right" w:leader="dot" w:pos="9060"/>
              </w:tabs>
              <w:spacing w:before="240" w:after="0"/>
              <w:ind w:left="0"/>
              <w:jc w:val="center"/>
              <w:rPr>
                <w:rFonts w:eastAsia="Arial Unicode MS" w:cs="Arial"/>
                <w:b/>
                <w:noProof/>
                <w:color w:val="000000"/>
                <w:sz w:val="18"/>
                <w:szCs w:val="18"/>
                <w:lang w:val="en-US" w:eastAsia="en-US"/>
              </w:rPr>
            </w:pPr>
            <w:r w:rsidRPr="00756A6A">
              <w:rPr>
                <w:rFonts w:eastAsia="Arial Unicode MS" w:cs="Arial"/>
                <w:b/>
                <w:noProof/>
                <w:color w:val="000000"/>
                <w:sz w:val="18"/>
                <w:szCs w:val="18"/>
                <w:lang w:val="en-US" w:eastAsia="en-US"/>
              </w:rPr>
              <w:t>GRIFFITH STANDARD CONTRACT?</w:t>
            </w:r>
          </w:p>
        </w:tc>
        <w:tc>
          <w:tcPr>
            <w:tcW w:w="444" w:type="pct"/>
            <w:tcBorders>
              <w:left w:val="nil"/>
              <w:right w:val="nil"/>
            </w:tcBorders>
            <w:shd w:val="clear" w:color="auto" w:fill="D9D9D9" w:themeFill="background1" w:themeFillShade="D9"/>
          </w:tcPr>
          <w:p w14:paraId="4D8BB03C" w14:textId="173C33D2" w:rsidR="00617373" w:rsidRPr="00756A6A" w:rsidRDefault="00617373" w:rsidP="008A3E4E">
            <w:pPr>
              <w:tabs>
                <w:tab w:val="left" w:pos="440"/>
                <w:tab w:val="right" w:leader="dot" w:pos="9060"/>
              </w:tabs>
              <w:spacing w:before="240" w:after="0"/>
              <w:ind w:left="0"/>
              <w:jc w:val="center"/>
              <w:rPr>
                <w:rFonts w:eastAsia="Arial Unicode MS" w:cs="Arial"/>
                <w:b/>
                <w:noProof/>
                <w:color w:val="000000"/>
                <w:sz w:val="18"/>
                <w:szCs w:val="18"/>
                <w:lang w:val="en-US" w:eastAsia="en-US"/>
              </w:rPr>
            </w:pPr>
            <w:r w:rsidRPr="00756A6A">
              <w:rPr>
                <w:rFonts w:eastAsia="Arial Unicode MS" w:cs="Arial"/>
                <w:b/>
                <w:noProof/>
                <w:color w:val="000000"/>
                <w:sz w:val="18"/>
                <w:szCs w:val="18"/>
                <w:lang w:val="en-US" w:eastAsia="en-US"/>
              </w:rPr>
              <w:t xml:space="preserve">OVERHEAD COST </w:t>
            </w:r>
            <w:r w:rsidRPr="00756A6A">
              <w:rPr>
                <w:rFonts w:eastAsia="Arial Unicode MS" w:cs="Arial"/>
                <w:b/>
                <w:noProof/>
                <w:color w:val="000000"/>
                <w:sz w:val="18"/>
                <w:szCs w:val="18"/>
                <w:lang w:val="en-US" w:eastAsia="en-US"/>
              </w:rPr>
              <w:br/>
              <w:t xml:space="preserve">(% OF </w:t>
            </w:r>
            <w:r w:rsidR="008A3E4E">
              <w:rPr>
                <w:rFonts w:eastAsia="Arial Unicode MS" w:cs="Arial"/>
                <w:b/>
                <w:noProof/>
                <w:color w:val="000000"/>
                <w:sz w:val="18"/>
                <w:szCs w:val="18"/>
                <w:lang w:val="en-US" w:eastAsia="en-US"/>
              </w:rPr>
              <w:t>VALUE ex GST</w:t>
            </w:r>
            <w:r w:rsidRPr="00756A6A">
              <w:rPr>
                <w:rFonts w:eastAsia="Arial Unicode MS" w:cs="Arial"/>
                <w:b/>
                <w:noProof/>
                <w:color w:val="000000"/>
                <w:sz w:val="18"/>
                <w:szCs w:val="18"/>
                <w:lang w:val="en-US" w:eastAsia="en-US"/>
              </w:rPr>
              <w:t>)</w:t>
            </w:r>
          </w:p>
        </w:tc>
        <w:tc>
          <w:tcPr>
            <w:tcW w:w="459" w:type="pct"/>
            <w:tcBorders>
              <w:left w:val="nil"/>
              <w:right w:val="nil"/>
            </w:tcBorders>
            <w:shd w:val="clear" w:color="auto" w:fill="D9D9D9" w:themeFill="background1" w:themeFillShade="D9"/>
            <w:vAlign w:val="center"/>
          </w:tcPr>
          <w:p w14:paraId="42AA39F9" w14:textId="4222D67F" w:rsidR="00617373" w:rsidRPr="00756A6A" w:rsidRDefault="00617373" w:rsidP="00756A6A">
            <w:pPr>
              <w:tabs>
                <w:tab w:val="left" w:pos="440"/>
                <w:tab w:val="right" w:leader="dot" w:pos="9060"/>
              </w:tabs>
              <w:spacing w:before="240" w:after="0"/>
              <w:ind w:left="0"/>
              <w:jc w:val="center"/>
              <w:rPr>
                <w:rFonts w:eastAsia="Arial Unicode MS" w:cs="Arial"/>
                <w:b/>
                <w:noProof/>
                <w:color w:val="000000"/>
                <w:sz w:val="18"/>
                <w:szCs w:val="18"/>
                <w:lang w:val="en-US" w:eastAsia="en-US"/>
              </w:rPr>
            </w:pPr>
            <w:r w:rsidRPr="00756A6A">
              <w:rPr>
                <w:rFonts w:eastAsia="Arial Unicode MS" w:cs="Arial"/>
                <w:b/>
                <w:noProof/>
                <w:color w:val="000000"/>
                <w:sz w:val="18"/>
                <w:szCs w:val="18"/>
                <w:lang w:val="en-US" w:eastAsia="en-US"/>
              </w:rPr>
              <w:t xml:space="preserve">OVERHEAD COST </w:t>
            </w:r>
            <w:r w:rsidRPr="00756A6A">
              <w:rPr>
                <w:rFonts w:eastAsia="Arial Unicode MS" w:cs="Arial"/>
                <w:b/>
                <w:noProof/>
                <w:color w:val="000000"/>
                <w:sz w:val="18"/>
                <w:szCs w:val="18"/>
                <w:lang w:val="en-US" w:eastAsia="en-US"/>
              </w:rPr>
              <w:br/>
              <w:t>(% OF SALARY COSTS)</w:t>
            </w:r>
          </w:p>
        </w:tc>
        <w:tc>
          <w:tcPr>
            <w:tcW w:w="526" w:type="pct"/>
            <w:tcBorders>
              <w:left w:val="nil"/>
              <w:right w:val="nil"/>
            </w:tcBorders>
            <w:shd w:val="clear" w:color="auto" w:fill="D9D9D9" w:themeFill="background1" w:themeFillShade="D9"/>
            <w:vAlign w:val="center"/>
          </w:tcPr>
          <w:p w14:paraId="42AA39FA" w14:textId="77777777" w:rsidR="00617373" w:rsidRPr="00756A6A" w:rsidRDefault="00617373" w:rsidP="00756A6A">
            <w:pPr>
              <w:tabs>
                <w:tab w:val="left" w:pos="440"/>
                <w:tab w:val="right" w:leader="dot" w:pos="9060"/>
              </w:tabs>
              <w:spacing w:before="240" w:after="0"/>
              <w:ind w:left="0"/>
              <w:jc w:val="center"/>
              <w:rPr>
                <w:rFonts w:eastAsia="Arial Unicode MS" w:cs="Arial"/>
                <w:b/>
                <w:noProof/>
                <w:color w:val="000000"/>
                <w:sz w:val="18"/>
                <w:szCs w:val="18"/>
                <w:lang w:val="en-US" w:eastAsia="en-US"/>
              </w:rPr>
            </w:pPr>
            <w:r w:rsidRPr="00756A6A">
              <w:rPr>
                <w:rFonts w:eastAsia="Arial Unicode MS" w:cs="Arial"/>
                <w:b/>
                <w:noProof/>
                <w:color w:val="000000"/>
                <w:sz w:val="18"/>
                <w:szCs w:val="18"/>
                <w:lang w:val="en-US" w:eastAsia="en-US"/>
              </w:rPr>
              <w:t xml:space="preserve">OVERHEAD COST </w:t>
            </w:r>
            <w:r w:rsidRPr="00756A6A">
              <w:rPr>
                <w:rFonts w:eastAsia="Arial Unicode MS" w:cs="Arial"/>
                <w:b/>
                <w:noProof/>
                <w:color w:val="000000"/>
                <w:sz w:val="18"/>
                <w:szCs w:val="18"/>
                <w:lang w:val="en-US" w:eastAsia="en-US"/>
              </w:rPr>
              <w:br/>
              <w:t>(% OF NON-SALARY COSTS)*</w:t>
            </w:r>
          </w:p>
        </w:tc>
        <w:tc>
          <w:tcPr>
            <w:tcW w:w="690" w:type="pct"/>
            <w:tcBorders>
              <w:left w:val="nil"/>
              <w:right w:val="nil"/>
            </w:tcBorders>
            <w:shd w:val="clear" w:color="auto" w:fill="D9D9D9" w:themeFill="background1" w:themeFillShade="D9"/>
          </w:tcPr>
          <w:p w14:paraId="42AA39FB" w14:textId="77777777" w:rsidR="00617373" w:rsidRPr="00756A6A" w:rsidRDefault="00617373" w:rsidP="00756A6A">
            <w:pPr>
              <w:tabs>
                <w:tab w:val="left" w:pos="440"/>
                <w:tab w:val="right" w:leader="dot" w:pos="9060"/>
              </w:tabs>
              <w:spacing w:before="240" w:after="0"/>
              <w:ind w:left="0"/>
              <w:jc w:val="center"/>
              <w:rPr>
                <w:rFonts w:eastAsia="Arial Unicode MS" w:cs="Arial"/>
                <w:b/>
                <w:noProof/>
                <w:color w:val="000000"/>
                <w:sz w:val="18"/>
                <w:szCs w:val="18"/>
                <w:lang w:val="en-US" w:eastAsia="en-US"/>
              </w:rPr>
            </w:pPr>
            <w:r w:rsidRPr="00756A6A">
              <w:rPr>
                <w:rFonts w:eastAsia="Arial Unicode MS" w:cs="Arial"/>
                <w:b/>
                <w:noProof/>
                <w:color w:val="000000"/>
                <w:sz w:val="18"/>
                <w:szCs w:val="18"/>
                <w:lang w:val="en-US" w:eastAsia="en-US"/>
              </w:rPr>
              <w:t>ELEMENT WITH AUTHORITY TO SUBMIT A CCR PROPOSAL TO AN EXTERNAL ORGANISATION</w:t>
            </w:r>
          </w:p>
        </w:tc>
        <w:tc>
          <w:tcPr>
            <w:tcW w:w="529" w:type="pct"/>
            <w:tcBorders>
              <w:left w:val="nil"/>
              <w:right w:val="nil"/>
            </w:tcBorders>
            <w:shd w:val="clear" w:color="auto" w:fill="D9D9D9" w:themeFill="background1" w:themeFillShade="D9"/>
            <w:vAlign w:val="center"/>
          </w:tcPr>
          <w:p w14:paraId="42AA39FC" w14:textId="029C1DFD" w:rsidR="00617373" w:rsidRPr="00756A6A" w:rsidRDefault="00D02892" w:rsidP="00756A6A">
            <w:pPr>
              <w:tabs>
                <w:tab w:val="left" w:pos="440"/>
                <w:tab w:val="right" w:leader="dot" w:pos="9060"/>
              </w:tabs>
              <w:spacing w:before="240" w:after="0"/>
              <w:ind w:left="0"/>
              <w:jc w:val="center"/>
              <w:rPr>
                <w:rFonts w:eastAsia="Arial Unicode MS" w:cs="Arial"/>
                <w:b/>
                <w:noProof/>
                <w:color w:val="000000"/>
                <w:sz w:val="18"/>
                <w:szCs w:val="18"/>
                <w:lang w:val="en-US" w:eastAsia="en-US"/>
              </w:rPr>
            </w:pPr>
            <w:r>
              <w:rPr>
                <w:rFonts w:eastAsia="Arial Unicode MS" w:cs="Arial"/>
                <w:b/>
                <w:noProof/>
                <w:color w:val="000000"/>
                <w:sz w:val="18"/>
                <w:szCs w:val="18"/>
                <w:lang w:val="en-US" w:eastAsia="en-US"/>
              </w:rPr>
              <w:t xml:space="preserve">CCR PROJECT </w:t>
            </w:r>
            <w:r w:rsidR="00A32830">
              <w:rPr>
                <w:rFonts w:eastAsia="Arial Unicode MS" w:cs="Arial"/>
                <w:b/>
                <w:noProof/>
                <w:color w:val="000000"/>
                <w:sz w:val="18"/>
                <w:szCs w:val="18"/>
                <w:lang w:val="en-US" w:eastAsia="en-US"/>
              </w:rPr>
              <w:t>COVERSHEET</w:t>
            </w:r>
            <w:r w:rsidR="00617373" w:rsidRPr="00756A6A">
              <w:rPr>
                <w:rFonts w:eastAsia="Arial Unicode MS" w:cs="Arial"/>
                <w:b/>
                <w:noProof/>
                <w:color w:val="000000"/>
                <w:sz w:val="18"/>
                <w:szCs w:val="18"/>
                <w:lang w:val="en-US" w:eastAsia="en-US"/>
              </w:rPr>
              <w:t xml:space="preserve"> </w:t>
            </w:r>
            <w:r w:rsidR="00A24E54">
              <w:rPr>
                <w:rFonts w:eastAsia="Arial Unicode MS" w:cs="Arial"/>
                <w:b/>
                <w:noProof/>
                <w:color w:val="000000"/>
                <w:sz w:val="18"/>
                <w:szCs w:val="18"/>
                <w:lang w:val="en-US" w:eastAsia="en-US"/>
              </w:rPr>
              <w:t>APPROVER</w:t>
            </w:r>
          </w:p>
        </w:tc>
        <w:tc>
          <w:tcPr>
            <w:tcW w:w="625" w:type="pct"/>
            <w:tcBorders>
              <w:left w:val="nil"/>
              <w:bottom w:val="single" w:sz="2" w:space="0" w:color="A6A6A6" w:themeColor="background1" w:themeShade="A6"/>
            </w:tcBorders>
            <w:shd w:val="clear" w:color="auto" w:fill="D9D9D9" w:themeFill="background1" w:themeFillShade="D9"/>
            <w:vAlign w:val="center"/>
          </w:tcPr>
          <w:p w14:paraId="42AA39FD" w14:textId="77777777" w:rsidR="00617373" w:rsidRPr="00756A6A" w:rsidRDefault="00617373" w:rsidP="00756A6A">
            <w:pPr>
              <w:tabs>
                <w:tab w:val="left" w:pos="440"/>
                <w:tab w:val="right" w:leader="dot" w:pos="9060"/>
              </w:tabs>
              <w:spacing w:before="240" w:after="0"/>
              <w:ind w:left="0"/>
              <w:jc w:val="center"/>
              <w:rPr>
                <w:rFonts w:eastAsia="Arial Unicode MS" w:cs="Arial"/>
                <w:b/>
                <w:noProof/>
                <w:color w:val="000000"/>
                <w:sz w:val="18"/>
                <w:szCs w:val="18"/>
                <w:lang w:val="en-US" w:eastAsia="en-US"/>
              </w:rPr>
            </w:pPr>
            <w:r w:rsidRPr="00756A6A">
              <w:rPr>
                <w:rFonts w:eastAsia="Arial Unicode MS" w:cs="Arial"/>
                <w:b/>
                <w:noProof/>
                <w:color w:val="000000"/>
                <w:sz w:val="18"/>
                <w:szCs w:val="18"/>
                <w:lang w:val="en-US" w:eastAsia="en-US"/>
              </w:rPr>
              <w:t>CONTRACT SIGNATORY</w:t>
            </w:r>
          </w:p>
        </w:tc>
      </w:tr>
      <w:tr w:rsidR="00B04587" w:rsidRPr="00756A6A" w14:paraId="42AA3A08" w14:textId="77777777" w:rsidTr="00774490">
        <w:trPr>
          <w:trHeight w:val="807"/>
          <w:jc w:val="center"/>
        </w:trPr>
        <w:tc>
          <w:tcPr>
            <w:tcW w:w="434" w:type="pct"/>
            <w:vMerge w:val="restart"/>
            <w:vAlign w:val="center"/>
          </w:tcPr>
          <w:p w14:paraId="42AA39FF" w14:textId="6828A4D2"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Pr>
                <w:rFonts w:eastAsia="Arial Unicode MS" w:cs="Arial"/>
                <w:noProof/>
                <w:color w:val="000000"/>
                <w:sz w:val="18"/>
                <w:szCs w:val="18"/>
                <w:lang w:val="en-US" w:eastAsia="en-US"/>
              </w:rPr>
              <w:t xml:space="preserve">VERY </w:t>
            </w:r>
            <w:r w:rsidRPr="00756A6A">
              <w:rPr>
                <w:rFonts w:eastAsia="Arial Unicode MS" w:cs="Arial"/>
                <w:noProof/>
                <w:color w:val="000000"/>
                <w:sz w:val="18"/>
                <w:szCs w:val="18"/>
                <w:lang w:val="en-US" w:eastAsia="en-US"/>
              </w:rPr>
              <w:t>SMALL PROJECT</w:t>
            </w:r>
          </w:p>
        </w:tc>
        <w:tc>
          <w:tcPr>
            <w:tcW w:w="376" w:type="pct"/>
            <w:vMerge w:val="restart"/>
            <w:shd w:val="clear" w:color="auto" w:fill="auto"/>
            <w:vAlign w:val="center"/>
          </w:tcPr>
          <w:p w14:paraId="42AA3A00" w14:textId="49B2B15B" w:rsidR="00B04587" w:rsidRPr="00756A6A" w:rsidRDefault="00B04587" w:rsidP="009021E9">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w:t>
            </w:r>
            <w:r w:rsidR="00EB3838">
              <w:rPr>
                <w:rFonts w:eastAsia="Arial Unicode MS" w:cs="Arial"/>
                <w:noProof/>
                <w:color w:val="000000"/>
                <w:sz w:val="18"/>
                <w:szCs w:val="18"/>
                <w:lang w:val="en-US" w:eastAsia="en-US"/>
              </w:rPr>
              <w:t>1</w:t>
            </w:r>
            <w:r w:rsidR="009021E9">
              <w:rPr>
                <w:rFonts w:eastAsia="Arial Unicode MS" w:cs="Arial"/>
                <w:noProof/>
                <w:color w:val="000000"/>
                <w:sz w:val="18"/>
                <w:szCs w:val="18"/>
                <w:lang w:val="en-US" w:eastAsia="en-US"/>
              </w:rPr>
              <w:t>5</w:t>
            </w:r>
            <w:r w:rsidRPr="00756A6A">
              <w:rPr>
                <w:rFonts w:eastAsia="Arial Unicode MS" w:cs="Arial"/>
                <w:noProof/>
                <w:color w:val="000000"/>
                <w:sz w:val="18"/>
                <w:szCs w:val="18"/>
                <w:lang w:val="en-US" w:eastAsia="en-US"/>
              </w:rPr>
              <w:t>,000</w:t>
            </w:r>
          </w:p>
        </w:tc>
        <w:tc>
          <w:tcPr>
            <w:tcW w:w="448" w:type="pct"/>
            <w:vMerge w:val="restart"/>
            <w:vAlign w:val="center"/>
          </w:tcPr>
          <w:p w14:paraId="613B7A50" w14:textId="77777777" w:rsidR="00B04587"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p>
          <w:p w14:paraId="7AF287D0" w14:textId="77777777"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No</w:t>
            </w:r>
          </w:p>
          <w:p w14:paraId="42AA3A01" w14:textId="0960B5FB" w:rsidR="00B04587" w:rsidRPr="00756A6A" w:rsidRDefault="00B04587" w:rsidP="00D91CFB">
            <w:pPr>
              <w:tabs>
                <w:tab w:val="left" w:pos="440"/>
                <w:tab w:val="right" w:leader="dot" w:pos="9060"/>
              </w:tabs>
              <w:spacing w:before="240" w:after="0"/>
              <w:ind w:left="0"/>
              <w:rPr>
                <w:rFonts w:eastAsia="Arial Unicode MS" w:cs="Arial"/>
                <w:noProof/>
                <w:color w:val="000000"/>
                <w:sz w:val="18"/>
                <w:szCs w:val="18"/>
                <w:lang w:val="en-US" w:eastAsia="en-US"/>
              </w:rPr>
            </w:pPr>
          </w:p>
        </w:tc>
        <w:tc>
          <w:tcPr>
            <w:tcW w:w="469" w:type="pct"/>
            <w:shd w:val="clear" w:color="auto" w:fill="D9D9D9" w:themeFill="background1" w:themeFillShade="D9"/>
            <w:vAlign w:val="center"/>
          </w:tcPr>
          <w:p w14:paraId="42AA3A02" w14:textId="77777777"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p>
        </w:tc>
        <w:tc>
          <w:tcPr>
            <w:tcW w:w="444" w:type="pct"/>
            <w:vAlign w:val="center"/>
          </w:tcPr>
          <w:p w14:paraId="04C67C71" w14:textId="4F2DE996" w:rsidR="00B04587" w:rsidRDefault="00B04587" w:rsidP="008A3E4E">
            <w:pPr>
              <w:tabs>
                <w:tab w:val="left" w:pos="440"/>
                <w:tab w:val="right" w:leader="dot" w:pos="9060"/>
              </w:tabs>
              <w:spacing w:before="240" w:after="0"/>
              <w:ind w:left="0"/>
              <w:jc w:val="center"/>
              <w:rPr>
                <w:rFonts w:eastAsia="Arial Unicode MS" w:cs="Arial"/>
                <w:noProof/>
                <w:color w:val="000000"/>
                <w:sz w:val="18"/>
                <w:szCs w:val="18"/>
                <w:lang w:val="en-US" w:eastAsia="en-US"/>
              </w:rPr>
            </w:pPr>
            <w:r>
              <w:rPr>
                <w:rFonts w:eastAsia="Arial Unicode MS" w:cs="Arial"/>
                <w:noProof/>
                <w:color w:val="000000"/>
                <w:sz w:val="18"/>
                <w:szCs w:val="18"/>
                <w:lang w:val="en-US" w:eastAsia="en-US"/>
              </w:rPr>
              <w:t>15%</w:t>
            </w:r>
          </w:p>
        </w:tc>
        <w:tc>
          <w:tcPr>
            <w:tcW w:w="459" w:type="pct"/>
            <w:shd w:val="clear" w:color="auto" w:fill="D9D9D9" w:themeFill="background1" w:themeFillShade="D9"/>
            <w:vAlign w:val="center"/>
          </w:tcPr>
          <w:p w14:paraId="42AA3A03" w14:textId="7B8FF7BE" w:rsidR="00B04587" w:rsidRPr="00756A6A" w:rsidRDefault="00B04587" w:rsidP="00617373">
            <w:pPr>
              <w:tabs>
                <w:tab w:val="left" w:pos="440"/>
                <w:tab w:val="right" w:leader="dot" w:pos="9060"/>
              </w:tabs>
              <w:spacing w:before="240" w:after="0"/>
              <w:ind w:left="0"/>
              <w:jc w:val="center"/>
              <w:rPr>
                <w:rFonts w:eastAsia="Arial Unicode MS" w:cs="Arial"/>
                <w:noProof/>
                <w:color w:val="000000"/>
                <w:sz w:val="18"/>
                <w:szCs w:val="18"/>
                <w:lang w:val="en-US" w:eastAsia="en-US"/>
              </w:rPr>
            </w:pPr>
          </w:p>
        </w:tc>
        <w:tc>
          <w:tcPr>
            <w:tcW w:w="526" w:type="pct"/>
            <w:shd w:val="clear" w:color="auto" w:fill="D9D9D9" w:themeFill="background1" w:themeFillShade="D9"/>
            <w:vAlign w:val="center"/>
          </w:tcPr>
          <w:p w14:paraId="42AA3A04" w14:textId="38F3360F" w:rsidR="00B04587" w:rsidRPr="00756A6A" w:rsidRDefault="00B04587" w:rsidP="00617373">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 xml:space="preserve"> </w:t>
            </w:r>
          </w:p>
        </w:tc>
        <w:tc>
          <w:tcPr>
            <w:tcW w:w="690" w:type="pct"/>
            <w:vAlign w:val="center"/>
          </w:tcPr>
          <w:p w14:paraId="42AA3A05" w14:textId="16603868"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HOST ELEMENT</w:t>
            </w:r>
          </w:p>
        </w:tc>
        <w:tc>
          <w:tcPr>
            <w:tcW w:w="529" w:type="pct"/>
            <w:vAlign w:val="center"/>
          </w:tcPr>
          <w:p w14:paraId="42AA3A06" w14:textId="77777777"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Head of Host Element</w:t>
            </w:r>
          </w:p>
        </w:tc>
        <w:tc>
          <w:tcPr>
            <w:tcW w:w="625" w:type="pct"/>
            <w:shd w:val="clear" w:color="auto" w:fill="D9D9D9" w:themeFill="background1" w:themeFillShade="D9"/>
            <w:vAlign w:val="center"/>
          </w:tcPr>
          <w:p w14:paraId="42AA3A07" w14:textId="77777777"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p>
        </w:tc>
      </w:tr>
      <w:tr w:rsidR="00B04587" w:rsidRPr="00756A6A" w14:paraId="42AA3A12" w14:textId="77777777" w:rsidTr="00774490">
        <w:trPr>
          <w:trHeight w:val="807"/>
          <w:jc w:val="center"/>
        </w:trPr>
        <w:tc>
          <w:tcPr>
            <w:tcW w:w="434" w:type="pct"/>
            <w:vMerge/>
            <w:vAlign w:val="center"/>
          </w:tcPr>
          <w:p w14:paraId="42AA3A09" w14:textId="77777777"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p>
        </w:tc>
        <w:tc>
          <w:tcPr>
            <w:tcW w:w="376" w:type="pct"/>
            <w:vMerge/>
            <w:shd w:val="clear" w:color="auto" w:fill="auto"/>
            <w:vAlign w:val="center"/>
          </w:tcPr>
          <w:p w14:paraId="42AA3A0A" w14:textId="77777777"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p>
        </w:tc>
        <w:tc>
          <w:tcPr>
            <w:tcW w:w="448" w:type="pct"/>
            <w:vMerge/>
            <w:vAlign w:val="center"/>
          </w:tcPr>
          <w:p w14:paraId="42AA3A0B" w14:textId="065B6306" w:rsidR="00B04587" w:rsidRPr="00756A6A" w:rsidRDefault="00B04587" w:rsidP="006C3DDD">
            <w:pPr>
              <w:tabs>
                <w:tab w:val="left" w:pos="440"/>
                <w:tab w:val="right" w:leader="dot" w:pos="9060"/>
              </w:tabs>
              <w:spacing w:before="240" w:after="0"/>
              <w:ind w:left="0"/>
              <w:rPr>
                <w:rFonts w:eastAsia="Arial Unicode MS" w:cs="Arial"/>
                <w:noProof/>
                <w:color w:val="000000"/>
                <w:sz w:val="18"/>
                <w:szCs w:val="18"/>
                <w:lang w:val="en-US" w:eastAsia="en-US"/>
              </w:rPr>
            </w:pPr>
          </w:p>
        </w:tc>
        <w:tc>
          <w:tcPr>
            <w:tcW w:w="469" w:type="pct"/>
            <w:shd w:val="clear" w:color="auto" w:fill="FFFFFF"/>
            <w:vAlign w:val="center"/>
          </w:tcPr>
          <w:p w14:paraId="42AA3A0C" w14:textId="2075067D"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Yes</w:t>
            </w:r>
          </w:p>
        </w:tc>
        <w:tc>
          <w:tcPr>
            <w:tcW w:w="444" w:type="pct"/>
            <w:vAlign w:val="center"/>
          </w:tcPr>
          <w:p w14:paraId="274625DE" w14:textId="2F66F9DB" w:rsidR="00B04587" w:rsidRDefault="00B04587" w:rsidP="008A3E4E">
            <w:pPr>
              <w:tabs>
                <w:tab w:val="left" w:pos="440"/>
                <w:tab w:val="right" w:leader="dot" w:pos="9060"/>
              </w:tabs>
              <w:spacing w:before="240" w:after="0"/>
              <w:ind w:left="0"/>
              <w:jc w:val="center"/>
              <w:rPr>
                <w:rFonts w:eastAsia="Arial Unicode MS" w:cs="Arial"/>
                <w:noProof/>
                <w:color w:val="000000"/>
                <w:sz w:val="18"/>
                <w:szCs w:val="18"/>
                <w:lang w:val="en-US" w:eastAsia="en-US"/>
              </w:rPr>
            </w:pPr>
            <w:r>
              <w:rPr>
                <w:rFonts w:eastAsia="Arial Unicode MS" w:cs="Arial"/>
                <w:noProof/>
                <w:color w:val="000000"/>
                <w:sz w:val="18"/>
                <w:szCs w:val="18"/>
                <w:lang w:val="en-US" w:eastAsia="en-US"/>
              </w:rPr>
              <w:t>15%</w:t>
            </w:r>
          </w:p>
        </w:tc>
        <w:tc>
          <w:tcPr>
            <w:tcW w:w="459" w:type="pct"/>
            <w:shd w:val="clear" w:color="auto" w:fill="D9D9D9" w:themeFill="background1" w:themeFillShade="D9"/>
            <w:vAlign w:val="center"/>
          </w:tcPr>
          <w:p w14:paraId="42AA3A0D" w14:textId="4DFE15D6" w:rsidR="00B04587" w:rsidRPr="00756A6A" w:rsidRDefault="00B04587" w:rsidP="00617373">
            <w:pPr>
              <w:tabs>
                <w:tab w:val="left" w:pos="440"/>
                <w:tab w:val="right" w:leader="dot" w:pos="9060"/>
              </w:tabs>
              <w:spacing w:before="240" w:after="0"/>
              <w:ind w:left="0"/>
              <w:jc w:val="center"/>
              <w:rPr>
                <w:rFonts w:eastAsia="Arial Unicode MS" w:cs="Arial"/>
                <w:noProof/>
                <w:color w:val="000000"/>
                <w:sz w:val="18"/>
                <w:szCs w:val="18"/>
                <w:lang w:val="en-US" w:eastAsia="en-US"/>
              </w:rPr>
            </w:pPr>
          </w:p>
        </w:tc>
        <w:tc>
          <w:tcPr>
            <w:tcW w:w="526" w:type="pct"/>
            <w:shd w:val="clear" w:color="auto" w:fill="D9D9D9" w:themeFill="background1" w:themeFillShade="D9"/>
            <w:vAlign w:val="center"/>
          </w:tcPr>
          <w:p w14:paraId="42AA3A0E" w14:textId="205C1890" w:rsidR="00B04587" w:rsidRPr="00756A6A" w:rsidRDefault="00B04587" w:rsidP="00617373">
            <w:pPr>
              <w:tabs>
                <w:tab w:val="left" w:pos="440"/>
                <w:tab w:val="right" w:leader="dot" w:pos="9060"/>
              </w:tabs>
              <w:spacing w:before="240" w:after="0"/>
              <w:ind w:left="0"/>
              <w:jc w:val="center"/>
              <w:rPr>
                <w:rFonts w:eastAsia="Arial Unicode MS" w:cs="Arial"/>
                <w:noProof/>
                <w:color w:val="000000"/>
                <w:sz w:val="18"/>
                <w:szCs w:val="18"/>
                <w:lang w:val="en-US" w:eastAsia="en-US"/>
              </w:rPr>
            </w:pPr>
          </w:p>
        </w:tc>
        <w:tc>
          <w:tcPr>
            <w:tcW w:w="690" w:type="pct"/>
            <w:vAlign w:val="center"/>
          </w:tcPr>
          <w:p w14:paraId="42AA3A0F" w14:textId="77777777"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HOST ELEMENT</w:t>
            </w:r>
          </w:p>
        </w:tc>
        <w:tc>
          <w:tcPr>
            <w:tcW w:w="529" w:type="pct"/>
            <w:vAlign w:val="center"/>
          </w:tcPr>
          <w:p w14:paraId="42AA3A10" w14:textId="77777777"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Head of Host Element</w:t>
            </w:r>
          </w:p>
        </w:tc>
        <w:tc>
          <w:tcPr>
            <w:tcW w:w="625" w:type="pct"/>
            <w:shd w:val="clear" w:color="auto" w:fill="FFFFFF"/>
            <w:vAlign w:val="center"/>
          </w:tcPr>
          <w:p w14:paraId="42AA3A11" w14:textId="2FDEB871" w:rsidR="00B04587" w:rsidRPr="00756A6A" w:rsidRDefault="008A1498"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Pr>
                <w:rFonts w:eastAsia="Arial Unicode MS" w:cs="Arial"/>
                <w:noProof/>
                <w:color w:val="000000"/>
                <w:sz w:val="18"/>
                <w:szCs w:val="18"/>
                <w:lang w:val="en-US" w:eastAsia="en-US"/>
              </w:rPr>
              <w:t xml:space="preserve">Group PVC or </w:t>
            </w:r>
            <w:r w:rsidRPr="00756A6A">
              <w:rPr>
                <w:rFonts w:eastAsia="Arial Unicode MS" w:cs="Arial"/>
                <w:noProof/>
                <w:color w:val="000000"/>
                <w:sz w:val="18"/>
                <w:szCs w:val="18"/>
                <w:lang w:val="en-US" w:eastAsia="en-US"/>
              </w:rPr>
              <w:t>Director Griffith Enterprise</w:t>
            </w:r>
          </w:p>
        </w:tc>
      </w:tr>
      <w:tr w:rsidR="00B04587" w:rsidRPr="00756A6A" w14:paraId="42AA3A1C" w14:textId="77777777" w:rsidTr="00774490">
        <w:trPr>
          <w:trHeight w:val="807"/>
          <w:jc w:val="center"/>
        </w:trPr>
        <w:tc>
          <w:tcPr>
            <w:tcW w:w="434" w:type="pct"/>
            <w:vMerge/>
            <w:vAlign w:val="center"/>
          </w:tcPr>
          <w:p w14:paraId="42AA3A13" w14:textId="77777777"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p>
        </w:tc>
        <w:tc>
          <w:tcPr>
            <w:tcW w:w="376" w:type="pct"/>
            <w:vMerge/>
            <w:shd w:val="clear" w:color="auto" w:fill="auto"/>
            <w:vAlign w:val="center"/>
          </w:tcPr>
          <w:p w14:paraId="42AA3A14" w14:textId="77777777"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p>
        </w:tc>
        <w:tc>
          <w:tcPr>
            <w:tcW w:w="448" w:type="pct"/>
            <w:vMerge/>
            <w:vAlign w:val="center"/>
          </w:tcPr>
          <w:p w14:paraId="42AA3A15" w14:textId="77777777"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p>
        </w:tc>
        <w:tc>
          <w:tcPr>
            <w:tcW w:w="469" w:type="pct"/>
            <w:shd w:val="clear" w:color="auto" w:fill="FFFFFF"/>
            <w:vAlign w:val="center"/>
          </w:tcPr>
          <w:p w14:paraId="42AA3A16" w14:textId="7212B549" w:rsidR="00B04587" w:rsidRPr="00756A6A" w:rsidRDefault="00B04587">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No</w:t>
            </w:r>
            <w:r>
              <w:rPr>
                <w:rFonts w:eastAsia="Arial Unicode MS" w:cs="Arial"/>
                <w:noProof/>
                <w:color w:val="000000"/>
                <w:sz w:val="18"/>
                <w:szCs w:val="18"/>
                <w:lang w:val="en-US" w:eastAsia="en-US"/>
              </w:rPr>
              <w:t>*</w:t>
            </w:r>
          </w:p>
        </w:tc>
        <w:tc>
          <w:tcPr>
            <w:tcW w:w="444" w:type="pct"/>
            <w:vAlign w:val="center"/>
          </w:tcPr>
          <w:p w14:paraId="0A90C46D" w14:textId="1C8C22A6" w:rsidR="00B04587" w:rsidRDefault="00B04587" w:rsidP="008A3E4E">
            <w:pPr>
              <w:tabs>
                <w:tab w:val="left" w:pos="440"/>
                <w:tab w:val="right" w:leader="dot" w:pos="9060"/>
              </w:tabs>
              <w:spacing w:before="240" w:after="0"/>
              <w:ind w:left="0"/>
              <w:jc w:val="center"/>
              <w:rPr>
                <w:rFonts w:eastAsia="Arial Unicode MS" w:cs="Arial"/>
                <w:noProof/>
                <w:color w:val="000000"/>
                <w:sz w:val="18"/>
                <w:szCs w:val="18"/>
                <w:lang w:val="en-US" w:eastAsia="en-US"/>
              </w:rPr>
            </w:pPr>
            <w:r>
              <w:rPr>
                <w:rFonts w:eastAsia="Arial Unicode MS" w:cs="Arial"/>
                <w:noProof/>
                <w:color w:val="000000"/>
                <w:sz w:val="18"/>
                <w:szCs w:val="18"/>
                <w:lang w:val="en-US" w:eastAsia="en-US"/>
              </w:rPr>
              <w:t>15%</w:t>
            </w:r>
          </w:p>
        </w:tc>
        <w:tc>
          <w:tcPr>
            <w:tcW w:w="459" w:type="pct"/>
            <w:shd w:val="clear" w:color="auto" w:fill="D9D9D9" w:themeFill="background1" w:themeFillShade="D9"/>
            <w:vAlign w:val="center"/>
          </w:tcPr>
          <w:p w14:paraId="42AA3A17" w14:textId="1AFAF667" w:rsidR="00B04587" w:rsidRPr="00756A6A" w:rsidRDefault="00B04587" w:rsidP="00617373">
            <w:pPr>
              <w:tabs>
                <w:tab w:val="left" w:pos="440"/>
                <w:tab w:val="right" w:leader="dot" w:pos="9060"/>
              </w:tabs>
              <w:spacing w:before="240" w:after="0"/>
              <w:ind w:left="0"/>
              <w:jc w:val="center"/>
              <w:rPr>
                <w:rFonts w:eastAsia="Arial Unicode MS" w:cs="Arial"/>
                <w:noProof/>
                <w:color w:val="000000"/>
                <w:sz w:val="18"/>
                <w:szCs w:val="18"/>
                <w:lang w:val="en-US" w:eastAsia="en-US"/>
              </w:rPr>
            </w:pPr>
          </w:p>
        </w:tc>
        <w:tc>
          <w:tcPr>
            <w:tcW w:w="526" w:type="pct"/>
            <w:shd w:val="clear" w:color="auto" w:fill="D9D9D9" w:themeFill="background1" w:themeFillShade="D9"/>
            <w:vAlign w:val="center"/>
          </w:tcPr>
          <w:p w14:paraId="42AA3A18" w14:textId="2316B79D" w:rsidR="00B04587" w:rsidRPr="00756A6A" w:rsidRDefault="00B04587" w:rsidP="00617373">
            <w:pPr>
              <w:tabs>
                <w:tab w:val="left" w:pos="440"/>
                <w:tab w:val="right" w:leader="dot" w:pos="9060"/>
              </w:tabs>
              <w:spacing w:before="240" w:after="0"/>
              <w:ind w:left="0"/>
              <w:jc w:val="center"/>
              <w:rPr>
                <w:rFonts w:eastAsia="Arial Unicode MS" w:cs="Arial"/>
                <w:noProof/>
                <w:color w:val="000000"/>
                <w:sz w:val="18"/>
                <w:szCs w:val="18"/>
                <w:lang w:val="en-US" w:eastAsia="en-US"/>
              </w:rPr>
            </w:pPr>
          </w:p>
        </w:tc>
        <w:tc>
          <w:tcPr>
            <w:tcW w:w="690" w:type="pct"/>
            <w:vAlign w:val="center"/>
          </w:tcPr>
          <w:p w14:paraId="42AA3A19" w14:textId="77777777"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HOST ELEMENT</w:t>
            </w:r>
          </w:p>
        </w:tc>
        <w:tc>
          <w:tcPr>
            <w:tcW w:w="529" w:type="pct"/>
            <w:vAlign w:val="center"/>
          </w:tcPr>
          <w:p w14:paraId="42AA3A1A" w14:textId="77777777"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Head of Host Element</w:t>
            </w:r>
          </w:p>
        </w:tc>
        <w:tc>
          <w:tcPr>
            <w:tcW w:w="625" w:type="pct"/>
            <w:shd w:val="clear" w:color="auto" w:fill="FFFFFF"/>
            <w:vAlign w:val="center"/>
          </w:tcPr>
          <w:p w14:paraId="42AA3A1B" w14:textId="0E568C23" w:rsidR="00B04587" w:rsidRPr="00756A6A" w:rsidRDefault="008A1498"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Pr>
                <w:rFonts w:eastAsia="Arial Unicode MS" w:cs="Arial"/>
                <w:noProof/>
                <w:color w:val="000000"/>
                <w:sz w:val="18"/>
                <w:szCs w:val="18"/>
                <w:lang w:val="en-US" w:eastAsia="en-US"/>
              </w:rPr>
              <w:t xml:space="preserve">Group PVC or </w:t>
            </w:r>
            <w:r w:rsidRPr="00756A6A">
              <w:rPr>
                <w:rFonts w:eastAsia="Arial Unicode MS" w:cs="Arial"/>
                <w:noProof/>
                <w:color w:val="000000"/>
                <w:sz w:val="18"/>
                <w:szCs w:val="18"/>
                <w:lang w:val="en-US" w:eastAsia="en-US"/>
              </w:rPr>
              <w:t>Director Griffith Enterprise</w:t>
            </w:r>
          </w:p>
        </w:tc>
      </w:tr>
      <w:tr w:rsidR="00B04587" w:rsidRPr="00756A6A" w14:paraId="42AA3A26" w14:textId="77777777" w:rsidTr="00774490">
        <w:trPr>
          <w:trHeight w:val="290"/>
          <w:jc w:val="center"/>
        </w:trPr>
        <w:tc>
          <w:tcPr>
            <w:tcW w:w="434" w:type="pct"/>
            <w:vMerge w:val="restart"/>
            <w:vAlign w:val="center"/>
          </w:tcPr>
          <w:p w14:paraId="42AA3A1D" w14:textId="7A47F496" w:rsidR="00B04587" w:rsidRPr="00756A6A" w:rsidRDefault="00B04587" w:rsidP="00756A6A">
            <w:pPr>
              <w:tabs>
                <w:tab w:val="left" w:pos="440"/>
                <w:tab w:val="right" w:leader="dot" w:pos="9060"/>
              </w:tabs>
              <w:spacing w:before="240" w:after="0"/>
              <w:ind w:left="0"/>
              <w:jc w:val="left"/>
              <w:rPr>
                <w:rFonts w:eastAsia="Arial Unicode MS" w:cs="Arial"/>
                <w:noProof/>
                <w:color w:val="000000"/>
                <w:sz w:val="18"/>
                <w:szCs w:val="18"/>
                <w:lang w:val="en-US" w:eastAsia="en-US"/>
              </w:rPr>
            </w:pPr>
            <w:r>
              <w:rPr>
                <w:rFonts w:eastAsia="Arial Unicode MS" w:cs="Arial"/>
                <w:noProof/>
                <w:color w:val="000000"/>
                <w:sz w:val="18"/>
                <w:szCs w:val="18"/>
                <w:lang w:val="en-US" w:eastAsia="en-US"/>
              </w:rPr>
              <w:t>SMALL PROJECT</w:t>
            </w:r>
          </w:p>
        </w:tc>
        <w:tc>
          <w:tcPr>
            <w:tcW w:w="376" w:type="pct"/>
            <w:vMerge w:val="restart"/>
            <w:shd w:val="clear" w:color="auto" w:fill="auto"/>
            <w:vAlign w:val="center"/>
          </w:tcPr>
          <w:p w14:paraId="42AA3A1E" w14:textId="674AC254" w:rsidR="00B04587" w:rsidRPr="00756A6A" w:rsidRDefault="00B04587" w:rsidP="00CE266E">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&gt;$</w:t>
            </w:r>
            <w:r w:rsidR="00EB3838">
              <w:rPr>
                <w:rFonts w:eastAsia="Arial Unicode MS" w:cs="Arial"/>
                <w:noProof/>
                <w:color w:val="000000"/>
                <w:sz w:val="18"/>
                <w:szCs w:val="18"/>
                <w:lang w:val="en-US" w:eastAsia="en-US"/>
              </w:rPr>
              <w:t>1</w:t>
            </w:r>
            <w:r w:rsidR="009021E9">
              <w:rPr>
                <w:rFonts w:eastAsia="Arial Unicode MS" w:cs="Arial"/>
                <w:noProof/>
                <w:color w:val="000000"/>
                <w:sz w:val="18"/>
                <w:szCs w:val="18"/>
                <w:lang w:val="en-US" w:eastAsia="en-US"/>
              </w:rPr>
              <w:t>5</w:t>
            </w:r>
            <w:r w:rsidRPr="00756A6A">
              <w:rPr>
                <w:rFonts w:eastAsia="Arial Unicode MS" w:cs="Arial"/>
                <w:noProof/>
                <w:color w:val="000000"/>
                <w:sz w:val="18"/>
                <w:szCs w:val="18"/>
                <w:lang w:val="en-US" w:eastAsia="en-US"/>
              </w:rPr>
              <w:t>,000 and ≤$</w:t>
            </w:r>
            <w:r w:rsidR="009021E9">
              <w:rPr>
                <w:rFonts w:eastAsia="Arial Unicode MS" w:cs="Arial"/>
                <w:noProof/>
                <w:color w:val="000000"/>
                <w:sz w:val="18"/>
                <w:szCs w:val="18"/>
                <w:lang w:val="en-US" w:eastAsia="en-US"/>
              </w:rPr>
              <w:t>100</w:t>
            </w:r>
            <w:r w:rsidRPr="00756A6A">
              <w:rPr>
                <w:rFonts w:eastAsia="Arial Unicode MS" w:cs="Arial"/>
                <w:noProof/>
                <w:color w:val="000000"/>
                <w:sz w:val="18"/>
                <w:szCs w:val="18"/>
                <w:lang w:val="en-US" w:eastAsia="en-US"/>
              </w:rPr>
              <w:t>,000</w:t>
            </w:r>
          </w:p>
        </w:tc>
        <w:tc>
          <w:tcPr>
            <w:tcW w:w="448" w:type="pct"/>
            <w:vMerge w:val="restart"/>
            <w:vAlign w:val="center"/>
          </w:tcPr>
          <w:p w14:paraId="42AA3A1F" w14:textId="77777777"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Yes</w:t>
            </w:r>
          </w:p>
        </w:tc>
        <w:tc>
          <w:tcPr>
            <w:tcW w:w="469" w:type="pct"/>
            <w:vAlign w:val="center"/>
          </w:tcPr>
          <w:p w14:paraId="42AA3A20" w14:textId="77777777"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Yes</w:t>
            </w:r>
          </w:p>
        </w:tc>
        <w:tc>
          <w:tcPr>
            <w:tcW w:w="444" w:type="pct"/>
            <w:shd w:val="clear" w:color="auto" w:fill="auto"/>
          </w:tcPr>
          <w:p w14:paraId="2D4FA811" w14:textId="0839EFA5"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Pr>
                <w:rFonts w:eastAsia="Arial Unicode MS" w:cs="Arial"/>
                <w:noProof/>
                <w:color w:val="000000"/>
                <w:sz w:val="18"/>
                <w:szCs w:val="18"/>
                <w:lang w:val="en-US" w:eastAsia="en-US"/>
              </w:rPr>
              <w:t>15%</w:t>
            </w:r>
          </w:p>
        </w:tc>
        <w:tc>
          <w:tcPr>
            <w:tcW w:w="459" w:type="pct"/>
            <w:shd w:val="clear" w:color="auto" w:fill="D9D9D9" w:themeFill="background1" w:themeFillShade="D9"/>
            <w:vAlign w:val="center"/>
          </w:tcPr>
          <w:p w14:paraId="42AA3A21" w14:textId="4719F6D9"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p>
        </w:tc>
        <w:tc>
          <w:tcPr>
            <w:tcW w:w="526" w:type="pct"/>
            <w:shd w:val="clear" w:color="auto" w:fill="D9D9D9" w:themeFill="background1" w:themeFillShade="D9"/>
            <w:vAlign w:val="center"/>
          </w:tcPr>
          <w:p w14:paraId="42AA3A22" w14:textId="4A1FB3AE"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p>
        </w:tc>
        <w:tc>
          <w:tcPr>
            <w:tcW w:w="690" w:type="pct"/>
            <w:vAlign w:val="center"/>
          </w:tcPr>
          <w:p w14:paraId="42AA3A23" w14:textId="77777777"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HOST ELEMENT</w:t>
            </w:r>
          </w:p>
        </w:tc>
        <w:tc>
          <w:tcPr>
            <w:tcW w:w="529" w:type="pct"/>
            <w:vAlign w:val="center"/>
          </w:tcPr>
          <w:p w14:paraId="42AA3A24" w14:textId="77777777"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Head of Host Element</w:t>
            </w:r>
          </w:p>
        </w:tc>
        <w:tc>
          <w:tcPr>
            <w:tcW w:w="625" w:type="pct"/>
            <w:vAlign w:val="center"/>
          </w:tcPr>
          <w:p w14:paraId="42AA3A25" w14:textId="2A07F300" w:rsidR="00B04587" w:rsidRPr="00756A6A" w:rsidRDefault="00B31708"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Pr>
                <w:rFonts w:eastAsia="Arial Unicode MS" w:cs="Arial"/>
                <w:noProof/>
                <w:color w:val="000000"/>
                <w:sz w:val="18"/>
                <w:szCs w:val="18"/>
                <w:lang w:val="en-US" w:eastAsia="en-US"/>
              </w:rPr>
              <w:t>Group PVC</w:t>
            </w:r>
            <w:r w:rsidR="008A1498">
              <w:rPr>
                <w:rFonts w:eastAsia="Arial Unicode MS" w:cs="Arial"/>
                <w:noProof/>
                <w:color w:val="000000"/>
                <w:sz w:val="18"/>
                <w:szCs w:val="18"/>
                <w:lang w:val="en-US" w:eastAsia="en-US"/>
              </w:rPr>
              <w:t xml:space="preserve"> or </w:t>
            </w:r>
            <w:r w:rsidR="008A1498" w:rsidRPr="00756A6A">
              <w:rPr>
                <w:rFonts w:eastAsia="Arial Unicode MS" w:cs="Arial"/>
                <w:noProof/>
                <w:color w:val="000000"/>
                <w:sz w:val="18"/>
                <w:szCs w:val="18"/>
                <w:lang w:val="en-US" w:eastAsia="en-US"/>
              </w:rPr>
              <w:t>Director Griffith Enterprise</w:t>
            </w:r>
          </w:p>
        </w:tc>
      </w:tr>
      <w:tr w:rsidR="00B04587" w:rsidRPr="00756A6A" w14:paraId="42AA3A30" w14:textId="77777777" w:rsidTr="00774490">
        <w:trPr>
          <w:trHeight w:val="566"/>
          <w:jc w:val="center"/>
        </w:trPr>
        <w:tc>
          <w:tcPr>
            <w:tcW w:w="434" w:type="pct"/>
            <w:vMerge/>
            <w:vAlign w:val="center"/>
          </w:tcPr>
          <w:p w14:paraId="42AA3A27" w14:textId="77777777" w:rsidR="00B04587" w:rsidRPr="00756A6A" w:rsidRDefault="00B04587" w:rsidP="00756A6A">
            <w:pPr>
              <w:tabs>
                <w:tab w:val="left" w:pos="440"/>
                <w:tab w:val="right" w:leader="dot" w:pos="9060"/>
              </w:tabs>
              <w:spacing w:before="240" w:after="0"/>
              <w:ind w:left="0"/>
              <w:jc w:val="left"/>
              <w:rPr>
                <w:rFonts w:eastAsia="Arial Unicode MS" w:cs="Arial"/>
                <w:noProof/>
                <w:color w:val="000000"/>
                <w:sz w:val="18"/>
                <w:szCs w:val="18"/>
                <w:lang w:val="en-US" w:eastAsia="en-US"/>
              </w:rPr>
            </w:pPr>
          </w:p>
        </w:tc>
        <w:tc>
          <w:tcPr>
            <w:tcW w:w="376" w:type="pct"/>
            <w:vMerge/>
            <w:shd w:val="clear" w:color="auto" w:fill="auto"/>
            <w:vAlign w:val="center"/>
          </w:tcPr>
          <w:p w14:paraId="42AA3A28" w14:textId="77777777"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p>
        </w:tc>
        <w:tc>
          <w:tcPr>
            <w:tcW w:w="448" w:type="pct"/>
            <w:vMerge/>
            <w:vAlign w:val="center"/>
          </w:tcPr>
          <w:p w14:paraId="42AA3A29" w14:textId="77777777"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p>
        </w:tc>
        <w:tc>
          <w:tcPr>
            <w:tcW w:w="469" w:type="pct"/>
            <w:vAlign w:val="center"/>
          </w:tcPr>
          <w:p w14:paraId="42AA3A2A" w14:textId="77777777"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No</w:t>
            </w:r>
          </w:p>
        </w:tc>
        <w:tc>
          <w:tcPr>
            <w:tcW w:w="444" w:type="pct"/>
            <w:shd w:val="clear" w:color="auto" w:fill="auto"/>
          </w:tcPr>
          <w:p w14:paraId="701506E3" w14:textId="10976ACD"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Pr>
                <w:rFonts w:eastAsia="Arial Unicode MS" w:cs="Arial"/>
                <w:noProof/>
                <w:color w:val="000000"/>
                <w:sz w:val="18"/>
                <w:szCs w:val="18"/>
                <w:lang w:val="en-US" w:eastAsia="en-US"/>
              </w:rPr>
              <w:t>15%</w:t>
            </w:r>
          </w:p>
        </w:tc>
        <w:tc>
          <w:tcPr>
            <w:tcW w:w="459" w:type="pct"/>
            <w:shd w:val="clear" w:color="auto" w:fill="D9D9D9" w:themeFill="background1" w:themeFillShade="D9"/>
            <w:vAlign w:val="center"/>
          </w:tcPr>
          <w:p w14:paraId="42AA3A2B" w14:textId="3D3CF3AD"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p>
        </w:tc>
        <w:tc>
          <w:tcPr>
            <w:tcW w:w="526" w:type="pct"/>
            <w:shd w:val="clear" w:color="auto" w:fill="D9D9D9" w:themeFill="background1" w:themeFillShade="D9"/>
            <w:vAlign w:val="center"/>
          </w:tcPr>
          <w:p w14:paraId="42AA3A2C" w14:textId="665D090A"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p>
        </w:tc>
        <w:tc>
          <w:tcPr>
            <w:tcW w:w="690" w:type="pct"/>
            <w:vAlign w:val="center"/>
          </w:tcPr>
          <w:p w14:paraId="42AA3A2D" w14:textId="77777777"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HOST ELEMENT</w:t>
            </w:r>
          </w:p>
        </w:tc>
        <w:tc>
          <w:tcPr>
            <w:tcW w:w="529" w:type="pct"/>
            <w:vAlign w:val="center"/>
          </w:tcPr>
          <w:p w14:paraId="42AA3A2E" w14:textId="77777777" w:rsidR="00B04587" w:rsidRPr="00756A6A" w:rsidRDefault="00B04587"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Head of Host Element</w:t>
            </w:r>
          </w:p>
        </w:tc>
        <w:tc>
          <w:tcPr>
            <w:tcW w:w="625" w:type="pct"/>
            <w:vAlign w:val="center"/>
          </w:tcPr>
          <w:p w14:paraId="42AA3A2F" w14:textId="0E0213CE" w:rsidR="00B04587" w:rsidRPr="00756A6A" w:rsidRDefault="00B31708"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Pr>
                <w:rFonts w:eastAsia="Arial Unicode MS" w:cs="Arial"/>
                <w:noProof/>
                <w:color w:val="000000"/>
                <w:sz w:val="18"/>
                <w:szCs w:val="18"/>
                <w:lang w:val="en-US" w:eastAsia="en-US"/>
              </w:rPr>
              <w:t>Group PVC</w:t>
            </w:r>
            <w:r w:rsidR="008A1498">
              <w:rPr>
                <w:rFonts w:eastAsia="Arial Unicode MS" w:cs="Arial"/>
                <w:noProof/>
                <w:color w:val="000000"/>
                <w:sz w:val="18"/>
                <w:szCs w:val="18"/>
                <w:lang w:val="en-US" w:eastAsia="en-US"/>
              </w:rPr>
              <w:t xml:space="preserve"> or </w:t>
            </w:r>
            <w:r w:rsidR="008A1498" w:rsidRPr="00756A6A">
              <w:rPr>
                <w:rFonts w:eastAsia="Arial Unicode MS" w:cs="Arial"/>
                <w:noProof/>
                <w:color w:val="000000"/>
                <w:sz w:val="18"/>
                <w:szCs w:val="18"/>
                <w:lang w:val="en-US" w:eastAsia="en-US"/>
              </w:rPr>
              <w:t>Director Griffith Enterprise</w:t>
            </w:r>
          </w:p>
        </w:tc>
      </w:tr>
      <w:tr w:rsidR="00617373" w:rsidRPr="00756A6A" w14:paraId="42AA3A44" w14:textId="77777777" w:rsidTr="00774490">
        <w:trPr>
          <w:trHeight w:val="823"/>
          <w:jc w:val="center"/>
        </w:trPr>
        <w:tc>
          <w:tcPr>
            <w:tcW w:w="434" w:type="pct"/>
            <w:vMerge w:val="restart"/>
            <w:vAlign w:val="center"/>
          </w:tcPr>
          <w:p w14:paraId="42AA3A3B" w14:textId="77777777" w:rsidR="00617373" w:rsidRPr="00756A6A" w:rsidRDefault="00617373"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LARGE PROJECT</w:t>
            </w:r>
          </w:p>
        </w:tc>
        <w:tc>
          <w:tcPr>
            <w:tcW w:w="376" w:type="pct"/>
            <w:vAlign w:val="center"/>
          </w:tcPr>
          <w:p w14:paraId="42AA3A3C" w14:textId="00BE8049" w:rsidR="00617373" w:rsidRPr="00756A6A" w:rsidRDefault="00617373" w:rsidP="009021E9">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&gt;$</w:t>
            </w:r>
            <w:r w:rsidR="009021E9">
              <w:rPr>
                <w:rFonts w:eastAsia="Arial Unicode MS" w:cs="Arial"/>
                <w:noProof/>
                <w:color w:val="000000"/>
                <w:sz w:val="18"/>
                <w:szCs w:val="18"/>
                <w:lang w:val="en-US" w:eastAsia="en-US"/>
              </w:rPr>
              <w:t>100</w:t>
            </w:r>
            <w:r w:rsidRPr="00756A6A">
              <w:rPr>
                <w:rFonts w:eastAsia="Arial Unicode MS" w:cs="Arial"/>
                <w:noProof/>
                <w:color w:val="000000"/>
                <w:sz w:val="18"/>
                <w:szCs w:val="18"/>
                <w:lang w:val="en-US" w:eastAsia="en-US"/>
              </w:rPr>
              <w:t>,000 and ≤$</w:t>
            </w:r>
            <w:r w:rsidR="00C0335C">
              <w:rPr>
                <w:rFonts w:eastAsia="Arial Unicode MS" w:cs="Arial"/>
                <w:noProof/>
                <w:color w:val="000000"/>
                <w:sz w:val="18"/>
                <w:szCs w:val="18"/>
                <w:lang w:val="en-US" w:eastAsia="en-US"/>
              </w:rPr>
              <w:t>25</w:t>
            </w:r>
            <w:r w:rsidRPr="00756A6A">
              <w:rPr>
                <w:rFonts w:eastAsia="Arial Unicode MS" w:cs="Arial"/>
                <w:noProof/>
                <w:color w:val="000000"/>
                <w:sz w:val="18"/>
                <w:szCs w:val="18"/>
                <w:lang w:val="en-US" w:eastAsia="en-US"/>
              </w:rPr>
              <w:t>0,000</w:t>
            </w:r>
          </w:p>
        </w:tc>
        <w:tc>
          <w:tcPr>
            <w:tcW w:w="448" w:type="pct"/>
            <w:vAlign w:val="center"/>
          </w:tcPr>
          <w:p w14:paraId="42AA3A3D" w14:textId="77777777" w:rsidR="00617373" w:rsidRPr="00756A6A" w:rsidRDefault="00617373"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Yes</w:t>
            </w:r>
          </w:p>
        </w:tc>
        <w:tc>
          <w:tcPr>
            <w:tcW w:w="469" w:type="pct"/>
            <w:shd w:val="clear" w:color="auto" w:fill="auto"/>
            <w:vAlign w:val="center"/>
          </w:tcPr>
          <w:p w14:paraId="42AA3A3E" w14:textId="77777777" w:rsidR="00617373" w:rsidRPr="00756A6A" w:rsidRDefault="00617373"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Yes/No</w:t>
            </w:r>
          </w:p>
        </w:tc>
        <w:tc>
          <w:tcPr>
            <w:tcW w:w="444" w:type="pct"/>
            <w:shd w:val="clear" w:color="auto" w:fill="D9D9D9" w:themeFill="background1" w:themeFillShade="D9"/>
          </w:tcPr>
          <w:p w14:paraId="5B2CB7DD" w14:textId="77777777" w:rsidR="00617373" w:rsidRPr="00756A6A" w:rsidRDefault="00617373"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p>
        </w:tc>
        <w:tc>
          <w:tcPr>
            <w:tcW w:w="459" w:type="pct"/>
            <w:vAlign w:val="center"/>
          </w:tcPr>
          <w:p w14:paraId="42AA3A3F" w14:textId="1F1DF42A" w:rsidR="00617373" w:rsidRPr="00756A6A" w:rsidRDefault="00617373"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45%</w:t>
            </w:r>
          </w:p>
        </w:tc>
        <w:tc>
          <w:tcPr>
            <w:tcW w:w="526" w:type="pct"/>
            <w:vAlign w:val="center"/>
          </w:tcPr>
          <w:p w14:paraId="42AA3A40" w14:textId="77777777" w:rsidR="00617373" w:rsidRPr="00756A6A" w:rsidRDefault="00617373"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10%</w:t>
            </w:r>
          </w:p>
        </w:tc>
        <w:tc>
          <w:tcPr>
            <w:tcW w:w="690" w:type="pct"/>
            <w:vAlign w:val="center"/>
          </w:tcPr>
          <w:p w14:paraId="42AA3A41" w14:textId="2308743E" w:rsidR="00617373" w:rsidRPr="00756A6A" w:rsidRDefault="00617373"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HOST ELEMENT</w:t>
            </w:r>
            <w:r w:rsidR="00D02892">
              <w:rPr>
                <w:rFonts w:eastAsia="Arial Unicode MS" w:cs="Arial"/>
                <w:noProof/>
                <w:color w:val="000000"/>
                <w:sz w:val="18"/>
                <w:szCs w:val="18"/>
                <w:lang w:val="en-US" w:eastAsia="en-US"/>
              </w:rPr>
              <w:t xml:space="preserve"> or Griffith Enterprise</w:t>
            </w:r>
          </w:p>
        </w:tc>
        <w:tc>
          <w:tcPr>
            <w:tcW w:w="529" w:type="pct"/>
            <w:vAlign w:val="center"/>
          </w:tcPr>
          <w:p w14:paraId="42AA3A42" w14:textId="1A30B2A1" w:rsidR="00617373" w:rsidRPr="00756A6A" w:rsidRDefault="00617373" w:rsidP="00FB4CED">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Director Griffith Enterprise</w:t>
            </w:r>
          </w:p>
        </w:tc>
        <w:tc>
          <w:tcPr>
            <w:tcW w:w="625" w:type="pct"/>
            <w:vAlign w:val="center"/>
          </w:tcPr>
          <w:p w14:paraId="42AA3A43" w14:textId="44449377" w:rsidR="00617373" w:rsidRPr="00756A6A" w:rsidRDefault="00617373"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Director Griffith Enterprise</w:t>
            </w:r>
          </w:p>
        </w:tc>
      </w:tr>
      <w:tr w:rsidR="00617373" w:rsidRPr="00756A6A" w14:paraId="42AA3A58" w14:textId="77777777" w:rsidTr="00774490">
        <w:trPr>
          <w:trHeight w:val="136"/>
          <w:jc w:val="center"/>
        </w:trPr>
        <w:tc>
          <w:tcPr>
            <w:tcW w:w="434" w:type="pct"/>
            <w:vMerge/>
            <w:vAlign w:val="center"/>
          </w:tcPr>
          <w:p w14:paraId="42AA3A4F" w14:textId="77777777" w:rsidR="00617373" w:rsidRPr="00756A6A" w:rsidRDefault="00617373"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p>
        </w:tc>
        <w:tc>
          <w:tcPr>
            <w:tcW w:w="376" w:type="pct"/>
            <w:vAlign w:val="center"/>
          </w:tcPr>
          <w:p w14:paraId="42AA3A50" w14:textId="7DCD2AA3" w:rsidR="00617373" w:rsidRPr="00756A6A" w:rsidRDefault="00617373" w:rsidP="00C0335C">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&gt;$</w:t>
            </w:r>
            <w:r w:rsidR="00C0335C">
              <w:rPr>
                <w:rFonts w:eastAsia="Arial Unicode MS" w:cs="Arial"/>
                <w:noProof/>
                <w:color w:val="000000"/>
                <w:sz w:val="18"/>
                <w:szCs w:val="18"/>
                <w:lang w:val="en-US" w:eastAsia="en-US"/>
              </w:rPr>
              <w:t>250</w:t>
            </w:r>
            <w:r w:rsidRPr="00756A6A">
              <w:rPr>
                <w:rFonts w:eastAsia="Arial Unicode MS" w:cs="Arial"/>
                <w:noProof/>
                <w:color w:val="000000"/>
                <w:sz w:val="18"/>
                <w:szCs w:val="18"/>
                <w:lang w:val="en-US" w:eastAsia="en-US"/>
              </w:rPr>
              <w:t>,000</w:t>
            </w:r>
          </w:p>
        </w:tc>
        <w:tc>
          <w:tcPr>
            <w:tcW w:w="448" w:type="pct"/>
            <w:vAlign w:val="center"/>
          </w:tcPr>
          <w:p w14:paraId="42AA3A51" w14:textId="77777777" w:rsidR="00617373" w:rsidRPr="00756A6A" w:rsidRDefault="00617373"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Yes</w:t>
            </w:r>
          </w:p>
        </w:tc>
        <w:tc>
          <w:tcPr>
            <w:tcW w:w="469" w:type="pct"/>
            <w:shd w:val="clear" w:color="auto" w:fill="auto"/>
            <w:vAlign w:val="center"/>
          </w:tcPr>
          <w:p w14:paraId="42AA3A52" w14:textId="77777777" w:rsidR="00617373" w:rsidRPr="00756A6A" w:rsidRDefault="00617373"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Yes/No</w:t>
            </w:r>
          </w:p>
        </w:tc>
        <w:tc>
          <w:tcPr>
            <w:tcW w:w="444" w:type="pct"/>
            <w:shd w:val="clear" w:color="auto" w:fill="D9D9D9" w:themeFill="background1" w:themeFillShade="D9"/>
          </w:tcPr>
          <w:p w14:paraId="27EC0C64" w14:textId="77777777" w:rsidR="00617373" w:rsidRPr="00756A6A" w:rsidRDefault="00617373"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p>
        </w:tc>
        <w:tc>
          <w:tcPr>
            <w:tcW w:w="459" w:type="pct"/>
            <w:vAlign w:val="center"/>
          </w:tcPr>
          <w:p w14:paraId="42AA3A53" w14:textId="1033A275" w:rsidR="00617373" w:rsidRPr="00756A6A" w:rsidRDefault="00617373"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45%</w:t>
            </w:r>
          </w:p>
        </w:tc>
        <w:tc>
          <w:tcPr>
            <w:tcW w:w="526" w:type="pct"/>
            <w:vAlign w:val="center"/>
          </w:tcPr>
          <w:p w14:paraId="42AA3A54" w14:textId="77777777" w:rsidR="00617373" w:rsidRPr="00756A6A" w:rsidRDefault="00617373"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10%</w:t>
            </w:r>
          </w:p>
        </w:tc>
        <w:tc>
          <w:tcPr>
            <w:tcW w:w="690" w:type="pct"/>
            <w:vAlign w:val="center"/>
          </w:tcPr>
          <w:p w14:paraId="42AA3A55" w14:textId="77777777" w:rsidR="00617373" w:rsidRPr="00756A6A" w:rsidRDefault="00617373"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Griffith Enterprise</w:t>
            </w:r>
          </w:p>
        </w:tc>
        <w:tc>
          <w:tcPr>
            <w:tcW w:w="529" w:type="pct"/>
            <w:vAlign w:val="center"/>
          </w:tcPr>
          <w:p w14:paraId="42AA3A56" w14:textId="32E444AE" w:rsidR="00617373" w:rsidRPr="00756A6A" w:rsidRDefault="00D057B7" w:rsidP="00FB4CED">
            <w:pPr>
              <w:tabs>
                <w:tab w:val="left" w:pos="440"/>
                <w:tab w:val="right" w:leader="dot" w:pos="9060"/>
              </w:tabs>
              <w:spacing w:before="240" w:after="0"/>
              <w:ind w:left="0"/>
              <w:jc w:val="center"/>
              <w:rPr>
                <w:rFonts w:eastAsia="Arial Unicode MS" w:cs="Arial"/>
                <w:noProof/>
                <w:color w:val="000000"/>
                <w:sz w:val="18"/>
                <w:szCs w:val="18"/>
                <w:lang w:val="en-US" w:eastAsia="en-US"/>
              </w:rPr>
            </w:pPr>
            <w:r>
              <w:rPr>
                <w:rFonts w:eastAsia="Arial Unicode MS" w:cs="Arial"/>
                <w:noProof/>
                <w:color w:val="000000"/>
                <w:sz w:val="18"/>
                <w:szCs w:val="18"/>
                <w:lang w:val="en-US" w:eastAsia="en-US"/>
              </w:rPr>
              <w:t>Provost</w:t>
            </w:r>
          </w:p>
        </w:tc>
        <w:tc>
          <w:tcPr>
            <w:tcW w:w="625" w:type="pct"/>
            <w:vAlign w:val="center"/>
          </w:tcPr>
          <w:p w14:paraId="42AA3A57" w14:textId="274C17B5" w:rsidR="00617373" w:rsidRPr="00756A6A" w:rsidRDefault="009829C8" w:rsidP="00756A6A">
            <w:pPr>
              <w:tabs>
                <w:tab w:val="left" w:pos="440"/>
                <w:tab w:val="right" w:leader="dot" w:pos="9060"/>
              </w:tabs>
              <w:spacing w:before="240" w:after="0"/>
              <w:ind w:left="0"/>
              <w:jc w:val="center"/>
              <w:rPr>
                <w:rFonts w:eastAsia="Arial Unicode MS" w:cs="Arial"/>
                <w:noProof/>
                <w:color w:val="000000"/>
                <w:sz w:val="18"/>
                <w:szCs w:val="18"/>
                <w:lang w:val="en-US" w:eastAsia="en-US"/>
              </w:rPr>
            </w:pPr>
            <w:r w:rsidRPr="00756A6A">
              <w:rPr>
                <w:rFonts w:eastAsia="Arial Unicode MS" w:cs="Arial"/>
                <w:noProof/>
                <w:color w:val="000000"/>
                <w:sz w:val="18"/>
                <w:szCs w:val="18"/>
                <w:lang w:val="en-US" w:eastAsia="en-US"/>
              </w:rPr>
              <w:t xml:space="preserve"> Director Griffith Enterprise</w:t>
            </w:r>
          </w:p>
        </w:tc>
      </w:tr>
    </w:tbl>
    <w:p w14:paraId="42AA3A59" w14:textId="39C5B0A1" w:rsidR="00E31309" w:rsidRPr="00A62490" w:rsidRDefault="00044B27" w:rsidP="00756A6A">
      <w:pPr>
        <w:ind w:left="0"/>
        <w:rPr>
          <w:rFonts w:cs="Arial"/>
          <w:sz w:val="20"/>
        </w:rPr>
      </w:pPr>
      <w:r>
        <w:rPr>
          <w:rFonts w:cs="Arial"/>
          <w:sz w:val="20"/>
        </w:rPr>
        <w:t>*</w:t>
      </w:r>
      <w:r w:rsidR="0021148B">
        <w:rPr>
          <w:rFonts w:cs="Arial"/>
          <w:sz w:val="20"/>
        </w:rPr>
        <w:t xml:space="preserve">A </w:t>
      </w:r>
      <w:r w:rsidR="007954CA">
        <w:rPr>
          <w:rFonts w:cs="Arial"/>
          <w:sz w:val="20"/>
        </w:rPr>
        <w:t>Non-</w:t>
      </w:r>
      <w:r w:rsidR="00A136C8">
        <w:rPr>
          <w:rFonts w:cs="Arial"/>
          <w:sz w:val="20"/>
        </w:rPr>
        <w:t xml:space="preserve">Standard Contract </w:t>
      </w:r>
      <w:r w:rsidR="0021148B">
        <w:rPr>
          <w:rFonts w:cs="Arial"/>
          <w:sz w:val="20"/>
        </w:rPr>
        <w:t xml:space="preserve">is permitted </w:t>
      </w:r>
      <w:r w:rsidR="00A136C8">
        <w:rPr>
          <w:rFonts w:cs="Arial"/>
          <w:sz w:val="20"/>
        </w:rPr>
        <w:t xml:space="preserve">for </w:t>
      </w:r>
      <w:r w:rsidR="0021148B">
        <w:rPr>
          <w:rFonts w:cs="Arial"/>
          <w:sz w:val="20"/>
        </w:rPr>
        <w:t>a Special Project Activity.</w:t>
      </w:r>
    </w:p>
    <w:sectPr w:rsidR="00E31309" w:rsidRPr="00A62490" w:rsidSect="00810BD8">
      <w:pgSz w:w="23811" w:h="16838" w:orient="landscape" w:code="8"/>
      <w:pgMar w:top="1247" w:right="1440" w:bottom="1134" w:left="1134"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A026" w14:textId="77777777" w:rsidR="000901C4" w:rsidRDefault="000901C4">
      <w:r>
        <w:separator/>
      </w:r>
    </w:p>
  </w:endnote>
  <w:endnote w:type="continuationSeparator" w:id="0">
    <w:p w14:paraId="677236DD" w14:textId="77777777" w:rsidR="000901C4" w:rsidRDefault="000901C4">
      <w:r>
        <w:continuationSeparator/>
      </w:r>
    </w:p>
  </w:endnote>
  <w:endnote w:type="continuationNotice" w:id="1">
    <w:p w14:paraId="0BAB494C" w14:textId="77777777" w:rsidR="00324708" w:rsidRDefault="003247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2201"/>
      <w:gridCol w:w="19036"/>
    </w:tblGrid>
    <w:tr w:rsidR="00EE4065" w:rsidRPr="00D96726" w14:paraId="42AA3A65" w14:textId="77777777" w:rsidTr="00C245CA">
      <w:tc>
        <w:tcPr>
          <w:tcW w:w="918" w:type="dxa"/>
          <w:vAlign w:val="bottom"/>
        </w:tcPr>
        <w:p w14:paraId="42AA3A63" w14:textId="24C168FC" w:rsidR="00EE4065" w:rsidRPr="0089097B" w:rsidRDefault="00EE4065"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0C0574" w:rsidRPr="000C0574">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14:paraId="42AA3A64" w14:textId="77777777" w:rsidR="00EE4065" w:rsidRPr="0089097B" w:rsidRDefault="00EE4065" w:rsidP="00E00460">
          <w:pPr>
            <w:pStyle w:val="Footer"/>
            <w:spacing w:before="20" w:after="20"/>
            <w:ind w:left="0"/>
            <w:rPr>
              <w:color w:val="BFBFBF" w:themeColor="background1" w:themeShade="BF"/>
              <w:sz w:val="16"/>
              <w:szCs w:val="16"/>
            </w:rPr>
          </w:pPr>
          <w:r w:rsidRPr="009D745D">
            <w:rPr>
              <w:color w:val="BFBFBF" w:themeColor="background1" w:themeShade="BF"/>
              <w:sz w:val="16"/>
              <w:szCs w:val="16"/>
            </w:rPr>
            <w:t>Consultancy and Commercial Research Policy</w:t>
          </w:r>
        </w:p>
      </w:tc>
    </w:tr>
  </w:tbl>
  <w:p w14:paraId="42AA3A66" w14:textId="77777777" w:rsidR="00EE4065" w:rsidRPr="0084456D" w:rsidRDefault="00EE4065"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76B81" w14:textId="77777777" w:rsidR="000901C4" w:rsidRDefault="000901C4">
      <w:r>
        <w:separator/>
      </w:r>
    </w:p>
  </w:footnote>
  <w:footnote w:type="continuationSeparator" w:id="0">
    <w:p w14:paraId="0824AFA2" w14:textId="77777777" w:rsidR="000901C4" w:rsidRDefault="000901C4">
      <w:r>
        <w:continuationSeparator/>
      </w:r>
    </w:p>
  </w:footnote>
  <w:footnote w:type="continuationNotice" w:id="1">
    <w:p w14:paraId="5DB9F44F" w14:textId="77777777" w:rsidR="00324708" w:rsidRDefault="003247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3A61" w14:textId="2CA3F62D" w:rsidR="00EE4065" w:rsidRDefault="00EE4065">
    <w:pPr>
      <w:pStyle w:val="Header"/>
      <w:tabs>
        <w:tab w:val="right" w:pos="819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9694095"/>
    <w:multiLevelType w:val="hybridMultilevel"/>
    <w:tmpl w:val="9070B594"/>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0C0143DE"/>
    <w:multiLevelType w:val="hybridMultilevel"/>
    <w:tmpl w:val="C3D8D2C4"/>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3722275"/>
    <w:multiLevelType w:val="hybridMultilevel"/>
    <w:tmpl w:val="4DC03C0A"/>
    <w:lvl w:ilvl="0" w:tplc="0C090017">
      <w:start w:val="1"/>
      <w:numFmt w:val="lowerLetter"/>
      <w:lvlText w:val="%1)"/>
      <w:lvlJc w:val="left"/>
      <w:pPr>
        <w:ind w:left="2232" w:hanging="360"/>
      </w:pPr>
    </w:lvl>
    <w:lvl w:ilvl="1" w:tplc="0C090019" w:tentative="1">
      <w:start w:val="1"/>
      <w:numFmt w:val="lowerLetter"/>
      <w:lvlText w:val="%2."/>
      <w:lvlJc w:val="left"/>
      <w:pPr>
        <w:ind w:left="2952" w:hanging="360"/>
      </w:pPr>
    </w:lvl>
    <w:lvl w:ilvl="2" w:tplc="0C09001B" w:tentative="1">
      <w:start w:val="1"/>
      <w:numFmt w:val="lowerRoman"/>
      <w:lvlText w:val="%3."/>
      <w:lvlJc w:val="right"/>
      <w:pPr>
        <w:ind w:left="3672" w:hanging="180"/>
      </w:pPr>
    </w:lvl>
    <w:lvl w:ilvl="3" w:tplc="0C09000F" w:tentative="1">
      <w:start w:val="1"/>
      <w:numFmt w:val="decimal"/>
      <w:lvlText w:val="%4."/>
      <w:lvlJc w:val="left"/>
      <w:pPr>
        <w:ind w:left="4392" w:hanging="360"/>
      </w:pPr>
    </w:lvl>
    <w:lvl w:ilvl="4" w:tplc="0C090019" w:tentative="1">
      <w:start w:val="1"/>
      <w:numFmt w:val="lowerLetter"/>
      <w:lvlText w:val="%5."/>
      <w:lvlJc w:val="left"/>
      <w:pPr>
        <w:ind w:left="5112" w:hanging="360"/>
      </w:pPr>
    </w:lvl>
    <w:lvl w:ilvl="5" w:tplc="0C09001B" w:tentative="1">
      <w:start w:val="1"/>
      <w:numFmt w:val="lowerRoman"/>
      <w:lvlText w:val="%6."/>
      <w:lvlJc w:val="right"/>
      <w:pPr>
        <w:ind w:left="5832" w:hanging="180"/>
      </w:pPr>
    </w:lvl>
    <w:lvl w:ilvl="6" w:tplc="0C09000F" w:tentative="1">
      <w:start w:val="1"/>
      <w:numFmt w:val="decimal"/>
      <w:lvlText w:val="%7."/>
      <w:lvlJc w:val="left"/>
      <w:pPr>
        <w:ind w:left="6552" w:hanging="360"/>
      </w:pPr>
    </w:lvl>
    <w:lvl w:ilvl="7" w:tplc="0C090019" w:tentative="1">
      <w:start w:val="1"/>
      <w:numFmt w:val="lowerLetter"/>
      <w:lvlText w:val="%8."/>
      <w:lvlJc w:val="left"/>
      <w:pPr>
        <w:ind w:left="7272" w:hanging="360"/>
      </w:pPr>
    </w:lvl>
    <w:lvl w:ilvl="8" w:tplc="0C09001B" w:tentative="1">
      <w:start w:val="1"/>
      <w:numFmt w:val="lowerRoman"/>
      <w:lvlText w:val="%9."/>
      <w:lvlJc w:val="right"/>
      <w:pPr>
        <w:ind w:left="7992" w:hanging="180"/>
      </w:pPr>
    </w:lvl>
  </w:abstractNum>
  <w:abstractNum w:abstractNumId="5" w15:restartNumberingAfterBreak="0">
    <w:nsid w:val="19E5122D"/>
    <w:multiLevelType w:val="hybridMultilevel"/>
    <w:tmpl w:val="0346EC1A"/>
    <w:lvl w:ilvl="0" w:tplc="0C090017">
      <w:start w:val="1"/>
      <w:numFmt w:val="lowerLetter"/>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6" w15:restartNumberingAfterBreak="0">
    <w:nsid w:val="19FF0FB7"/>
    <w:multiLevelType w:val="hybridMultilevel"/>
    <w:tmpl w:val="2702D310"/>
    <w:lvl w:ilvl="0" w:tplc="0C090017">
      <w:start w:val="1"/>
      <w:numFmt w:val="lowerLetter"/>
      <w:lvlText w:val="%1)"/>
      <w:lvlJc w:val="left"/>
      <w:pPr>
        <w:ind w:left="2232" w:hanging="360"/>
      </w:pPr>
    </w:lvl>
    <w:lvl w:ilvl="1" w:tplc="0C090019">
      <w:start w:val="1"/>
      <w:numFmt w:val="lowerLetter"/>
      <w:lvlText w:val="%2."/>
      <w:lvlJc w:val="left"/>
      <w:pPr>
        <w:ind w:left="2952" w:hanging="360"/>
      </w:pPr>
    </w:lvl>
    <w:lvl w:ilvl="2" w:tplc="0C09001B" w:tentative="1">
      <w:start w:val="1"/>
      <w:numFmt w:val="lowerRoman"/>
      <w:lvlText w:val="%3."/>
      <w:lvlJc w:val="right"/>
      <w:pPr>
        <w:ind w:left="3672" w:hanging="180"/>
      </w:pPr>
    </w:lvl>
    <w:lvl w:ilvl="3" w:tplc="0C09000F" w:tentative="1">
      <w:start w:val="1"/>
      <w:numFmt w:val="decimal"/>
      <w:lvlText w:val="%4."/>
      <w:lvlJc w:val="left"/>
      <w:pPr>
        <w:ind w:left="4392" w:hanging="360"/>
      </w:pPr>
    </w:lvl>
    <w:lvl w:ilvl="4" w:tplc="0C090019" w:tentative="1">
      <w:start w:val="1"/>
      <w:numFmt w:val="lowerLetter"/>
      <w:lvlText w:val="%5."/>
      <w:lvlJc w:val="left"/>
      <w:pPr>
        <w:ind w:left="5112" w:hanging="360"/>
      </w:pPr>
    </w:lvl>
    <w:lvl w:ilvl="5" w:tplc="0C09001B" w:tentative="1">
      <w:start w:val="1"/>
      <w:numFmt w:val="lowerRoman"/>
      <w:lvlText w:val="%6."/>
      <w:lvlJc w:val="right"/>
      <w:pPr>
        <w:ind w:left="5832" w:hanging="180"/>
      </w:pPr>
    </w:lvl>
    <w:lvl w:ilvl="6" w:tplc="0C09000F" w:tentative="1">
      <w:start w:val="1"/>
      <w:numFmt w:val="decimal"/>
      <w:lvlText w:val="%7."/>
      <w:lvlJc w:val="left"/>
      <w:pPr>
        <w:ind w:left="6552" w:hanging="360"/>
      </w:pPr>
    </w:lvl>
    <w:lvl w:ilvl="7" w:tplc="0C090019" w:tentative="1">
      <w:start w:val="1"/>
      <w:numFmt w:val="lowerLetter"/>
      <w:lvlText w:val="%8."/>
      <w:lvlJc w:val="left"/>
      <w:pPr>
        <w:ind w:left="7272" w:hanging="360"/>
      </w:pPr>
    </w:lvl>
    <w:lvl w:ilvl="8" w:tplc="0C09001B" w:tentative="1">
      <w:start w:val="1"/>
      <w:numFmt w:val="lowerRoman"/>
      <w:lvlText w:val="%9."/>
      <w:lvlJc w:val="right"/>
      <w:pPr>
        <w:ind w:left="7992" w:hanging="180"/>
      </w:pPr>
    </w:lvl>
  </w:abstractNum>
  <w:abstractNum w:abstractNumId="7" w15:restartNumberingAfterBreak="0">
    <w:nsid w:val="20552230"/>
    <w:multiLevelType w:val="hybridMultilevel"/>
    <w:tmpl w:val="A46A25B4"/>
    <w:lvl w:ilvl="0" w:tplc="622A6EF6">
      <w:start w:val="1"/>
      <w:numFmt w:val="lowerRoman"/>
      <w:lvlText w:val="%1."/>
      <w:lvlJc w:val="left"/>
      <w:pPr>
        <w:ind w:left="1287" w:hanging="360"/>
      </w:pPr>
      <w:rPr>
        <w:rFonts w:hint="default"/>
      </w:rPr>
    </w:lvl>
    <w:lvl w:ilvl="1" w:tplc="0C09001B">
      <w:start w:val="1"/>
      <w:numFmt w:val="lowerRoman"/>
      <w:lvlText w:val="%2."/>
      <w:lvlJc w:val="righ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229F70DB"/>
    <w:multiLevelType w:val="hybridMultilevel"/>
    <w:tmpl w:val="AA90D9E6"/>
    <w:lvl w:ilvl="0" w:tplc="0C090017">
      <w:start w:val="1"/>
      <w:numFmt w:val="lowerLetter"/>
      <w:lvlText w:val="%1)"/>
      <w:lvlJc w:val="left"/>
      <w:pPr>
        <w:ind w:left="2232" w:hanging="360"/>
      </w:pPr>
    </w:lvl>
    <w:lvl w:ilvl="1" w:tplc="0C090019">
      <w:start w:val="1"/>
      <w:numFmt w:val="lowerLetter"/>
      <w:lvlText w:val="%2."/>
      <w:lvlJc w:val="left"/>
      <w:pPr>
        <w:ind w:left="2952" w:hanging="360"/>
      </w:pPr>
    </w:lvl>
    <w:lvl w:ilvl="2" w:tplc="0C09001B" w:tentative="1">
      <w:start w:val="1"/>
      <w:numFmt w:val="lowerRoman"/>
      <w:lvlText w:val="%3."/>
      <w:lvlJc w:val="right"/>
      <w:pPr>
        <w:ind w:left="3672" w:hanging="180"/>
      </w:pPr>
    </w:lvl>
    <w:lvl w:ilvl="3" w:tplc="0C09000F" w:tentative="1">
      <w:start w:val="1"/>
      <w:numFmt w:val="decimal"/>
      <w:lvlText w:val="%4."/>
      <w:lvlJc w:val="left"/>
      <w:pPr>
        <w:ind w:left="4392" w:hanging="360"/>
      </w:pPr>
    </w:lvl>
    <w:lvl w:ilvl="4" w:tplc="0C090019" w:tentative="1">
      <w:start w:val="1"/>
      <w:numFmt w:val="lowerLetter"/>
      <w:lvlText w:val="%5."/>
      <w:lvlJc w:val="left"/>
      <w:pPr>
        <w:ind w:left="5112" w:hanging="360"/>
      </w:pPr>
    </w:lvl>
    <w:lvl w:ilvl="5" w:tplc="0C09001B" w:tentative="1">
      <w:start w:val="1"/>
      <w:numFmt w:val="lowerRoman"/>
      <w:lvlText w:val="%6."/>
      <w:lvlJc w:val="right"/>
      <w:pPr>
        <w:ind w:left="5832" w:hanging="180"/>
      </w:pPr>
    </w:lvl>
    <w:lvl w:ilvl="6" w:tplc="0C09000F" w:tentative="1">
      <w:start w:val="1"/>
      <w:numFmt w:val="decimal"/>
      <w:lvlText w:val="%7."/>
      <w:lvlJc w:val="left"/>
      <w:pPr>
        <w:ind w:left="6552" w:hanging="360"/>
      </w:pPr>
    </w:lvl>
    <w:lvl w:ilvl="7" w:tplc="0C090019" w:tentative="1">
      <w:start w:val="1"/>
      <w:numFmt w:val="lowerLetter"/>
      <w:lvlText w:val="%8."/>
      <w:lvlJc w:val="left"/>
      <w:pPr>
        <w:ind w:left="7272" w:hanging="360"/>
      </w:pPr>
    </w:lvl>
    <w:lvl w:ilvl="8" w:tplc="0C09001B" w:tentative="1">
      <w:start w:val="1"/>
      <w:numFmt w:val="lowerRoman"/>
      <w:lvlText w:val="%9."/>
      <w:lvlJc w:val="right"/>
      <w:pPr>
        <w:ind w:left="7992" w:hanging="180"/>
      </w:pPr>
    </w:lvl>
  </w:abstractNum>
  <w:abstractNum w:abstractNumId="9" w15:restartNumberingAfterBreak="0">
    <w:nsid w:val="2B505257"/>
    <w:multiLevelType w:val="hybridMultilevel"/>
    <w:tmpl w:val="144AB2A4"/>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2CDF1FB8"/>
    <w:multiLevelType w:val="hybridMultilevel"/>
    <w:tmpl w:val="0846B794"/>
    <w:lvl w:ilvl="0" w:tplc="0C090019">
      <w:start w:val="1"/>
      <w:numFmt w:val="lowerLetter"/>
      <w:lvlText w:val="%1."/>
      <w:lvlJc w:val="left"/>
      <w:pPr>
        <w:ind w:left="2592" w:hanging="360"/>
      </w:pPr>
    </w:lvl>
    <w:lvl w:ilvl="1" w:tplc="0C090019" w:tentative="1">
      <w:start w:val="1"/>
      <w:numFmt w:val="lowerLetter"/>
      <w:lvlText w:val="%2."/>
      <w:lvlJc w:val="left"/>
      <w:pPr>
        <w:ind w:left="3312" w:hanging="360"/>
      </w:pPr>
    </w:lvl>
    <w:lvl w:ilvl="2" w:tplc="0C09001B" w:tentative="1">
      <w:start w:val="1"/>
      <w:numFmt w:val="lowerRoman"/>
      <w:lvlText w:val="%3."/>
      <w:lvlJc w:val="right"/>
      <w:pPr>
        <w:ind w:left="4032" w:hanging="180"/>
      </w:pPr>
    </w:lvl>
    <w:lvl w:ilvl="3" w:tplc="0C09000F" w:tentative="1">
      <w:start w:val="1"/>
      <w:numFmt w:val="decimal"/>
      <w:lvlText w:val="%4."/>
      <w:lvlJc w:val="left"/>
      <w:pPr>
        <w:ind w:left="4752" w:hanging="360"/>
      </w:pPr>
    </w:lvl>
    <w:lvl w:ilvl="4" w:tplc="0C090019" w:tentative="1">
      <w:start w:val="1"/>
      <w:numFmt w:val="lowerLetter"/>
      <w:lvlText w:val="%5."/>
      <w:lvlJc w:val="left"/>
      <w:pPr>
        <w:ind w:left="5472" w:hanging="360"/>
      </w:pPr>
    </w:lvl>
    <w:lvl w:ilvl="5" w:tplc="0C09001B" w:tentative="1">
      <w:start w:val="1"/>
      <w:numFmt w:val="lowerRoman"/>
      <w:lvlText w:val="%6."/>
      <w:lvlJc w:val="right"/>
      <w:pPr>
        <w:ind w:left="6192" w:hanging="180"/>
      </w:pPr>
    </w:lvl>
    <w:lvl w:ilvl="6" w:tplc="0C09000F" w:tentative="1">
      <w:start w:val="1"/>
      <w:numFmt w:val="decimal"/>
      <w:lvlText w:val="%7."/>
      <w:lvlJc w:val="left"/>
      <w:pPr>
        <w:ind w:left="6912" w:hanging="360"/>
      </w:pPr>
    </w:lvl>
    <w:lvl w:ilvl="7" w:tplc="0C090019" w:tentative="1">
      <w:start w:val="1"/>
      <w:numFmt w:val="lowerLetter"/>
      <w:lvlText w:val="%8."/>
      <w:lvlJc w:val="left"/>
      <w:pPr>
        <w:ind w:left="7632" w:hanging="360"/>
      </w:pPr>
    </w:lvl>
    <w:lvl w:ilvl="8" w:tplc="0C09001B" w:tentative="1">
      <w:start w:val="1"/>
      <w:numFmt w:val="lowerRoman"/>
      <w:lvlText w:val="%9."/>
      <w:lvlJc w:val="right"/>
      <w:pPr>
        <w:ind w:left="8352" w:hanging="180"/>
      </w:pPr>
    </w:lvl>
  </w:abstractNum>
  <w:abstractNum w:abstractNumId="11" w15:restartNumberingAfterBreak="0">
    <w:nsid w:val="2E70377B"/>
    <w:multiLevelType w:val="hybridMultilevel"/>
    <w:tmpl w:val="3808EE0A"/>
    <w:lvl w:ilvl="0" w:tplc="0C090017">
      <w:start w:val="1"/>
      <w:numFmt w:val="lowerLetter"/>
      <w:lvlText w:val="%1)"/>
      <w:lvlJc w:val="left"/>
      <w:pPr>
        <w:ind w:left="2232" w:hanging="360"/>
      </w:pPr>
    </w:lvl>
    <w:lvl w:ilvl="1" w:tplc="0C090019">
      <w:start w:val="1"/>
      <w:numFmt w:val="lowerLetter"/>
      <w:lvlText w:val="%2."/>
      <w:lvlJc w:val="left"/>
      <w:pPr>
        <w:ind w:left="2952" w:hanging="360"/>
      </w:pPr>
    </w:lvl>
    <w:lvl w:ilvl="2" w:tplc="0C09001B" w:tentative="1">
      <w:start w:val="1"/>
      <w:numFmt w:val="lowerRoman"/>
      <w:lvlText w:val="%3."/>
      <w:lvlJc w:val="right"/>
      <w:pPr>
        <w:ind w:left="3672" w:hanging="180"/>
      </w:pPr>
    </w:lvl>
    <w:lvl w:ilvl="3" w:tplc="0C09000F" w:tentative="1">
      <w:start w:val="1"/>
      <w:numFmt w:val="decimal"/>
      <w:lvlText w:val="%4."/>
      <w:lvlJc w:val="left"/>
      <w:pPr>
        <w:ind w:left="4392" w:hanging="360"/>
      </w:pPr>
    </w:lvl>
    <w:lvl w:ilvl="4" w:tplc="0C090019" w:tentative="1">
      <w:start w:val="1"/>
      <w:numFmt w:val="lowerLetter"/>
      <w:lvlText w:val="%5."/>
      <w:lvlJc w:val="left"/>
      <w:pPr>
        <w:ind w:left="5112" w:hanging="360"/>
      </w:pPr>
    </w:lvl>
    <w:lvl w:ilvl="5" w:tplc="0C09001B" w:tentative="1">
      <w:start w:val="1"/>
      <w:numFmt w:val="lowerRoman"/>
      <w:lvlText w:val="%6."/>
      <w:lvlJc w:val="right"/>
      <w:pPr>
        <w:ind w:left="5832" w:hanging="180"/>
      </w:pPr>
    </w:lvl>
    <w:lvl w:ilvl="6" w:tplc="0C09000F" w:tentative="1">
      <w:start w:val="1"/>
      <w:numFmt w:val="decimal"/>
      <w:lvlText w:val="%7."/>
      <w:lvlJc w:val="left"/>
      <w:pPr>
        <w:ind w:left="6552" w:hanging="360"/>
      </w:pPr>
    </w:lvl>
    <w:lvl w:ilvl="7" w:tplc="0C090019" w:tentative="1">
      <w:start w:val="1"/>
      <w:numFmt w:val="lowerLetter"/>
      <w:lvlText w:val="%8."/>
      <w:lvlJc w:val="left"/>
      <w:pPr>
        <w:ind w:left="7272" w:hanging="360"/>
      </w:pPr>
    </w:lvl>
    <w:lvl w:ilvl="8" w:tplc="0C09001B" w:tentative="1">
      <w:start w:val="1"/>
      <w:numFmt w:val="lowerRoman"/>
      <w:lvlText w:val="%9."/>
      <w:lvlJc w:val="right"/>
      <w:pPr>
        <w:ind w:left="7992" w:hanging="180"/>
      </w:pPr>
    </w:lvl>
  </w:abstractNum>
  <w:abstractNum w:abstractNumId="12" w15:restartNumberingAfterBreak="0">
    <w:nsid w:val="31F54CBC"/>
    <w:multiLevelType w:val="hybridMultilevel"/>
    <w:tmpl w:val="2D8CC440"/>
    <w:lvl w:ilvl="0" w:tplc="0C090017">
      <w:start w:val="1"/>
      <w:numFmt w:val="lowerLetter"/>
      <w:lvlText w:val="%1)"/>
      <w:lvlJc w:val="left"/>
      <w:pPr>
        <w:ind w:left="1506" w:hanging="360"/>
      </w:pPr>
    </w:lvl>
    <w:lvl w:ilvl="1" w:tplc="0C090019">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3" w15:restartNumberingAfterBreak="0">
    <w:nsid w:val="324C4BC9"/>
    <w:multiLevelType w:val="hybridMultilevel"/>
    <w:tmpl w:val="3BC8BED8"/>
    <w:lvl w:ilvl="0" w:tplc="0C090017">
      <w:start w:val="1"/>
      <w:numFmt w:val="lowerLetter"/>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4" w15:restartNumberingAfterBreak="0">
    <w:nsid w:val="3317270C"/>
    <w:multiLevelType w:val="hybridMultilevel"/>
    <w:tmpl w:val="4B485FB4"/>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3E087D94"/>
    <w:multiLevelType w:val="hybridMultilevel"/>
    <w:tmpl w:val="DE04B908"/>
    <w:lvl w:ilvl="0" w:tplc="0C090017">
      <w:start w:val="1"/>
      <w:numFmt w:val="lowerLetter"/>
      <w:lvlText w:val="%1)"/>
      <w:lvlJc w:val="left"/>
      <w:pPr>
        <w:ind w:left="2232" w:hanging="360"/>
      </w:pPr>
    </w:lvl>
    <w:lvl w:ilvl="1" w:tplc="0C090019">
      <w:start w:val="1"/>
      <w:numFmt w:val="lowerLetter"/>
      <w:lvlText w:val="%2."/>
      <w:lvlJc w:val="left"/>
      <w:pPr>
        <w:ind w:left="2952" w:hanging="360"/>
      </w:pPr>
    </w:lvl>
    <w:lvl w:ilvl="2" w:tplc="0C09001B" w:tentative="1">
      <w:start w:val="1"/>
      <w:numFmt w:val="lowerRoman"/>
      <w:lvlText w:val="%3."/>
      <w:lvlJc w:val="right"/>
      <w:pPr>
        <w:ind w:left="3672" w:hanging="180"/>
      </w:pPr>
    </w:lvl>
    <w:lvl w:ilvl="3" w:tplc="0C09000F" w:tentative="1">
      <w:start w:val="1"/>
      <w:numFmt w:val="decimal"/>
      <w:lvlText w:val="%4."/>
      <w:lvlJc w:val="left"/>
      <w:pPr>
        <w:ind w:left="4392" w:hanging="360"/>
      </w:pPr>
    </w:lvl>
    <w:lvl w:ilvl="4" w:tplc="0C090019" w:tentative="1">
      <w:start w:val="1"/>
      <w:numFmt w:val="lowerLetter"/>
      <w:lvlText w:val="%5."/>
      <w:lvlJc w:val="left"/>
      <w:pPr>
        <w:ind w:left="5112" w:hanging="360"/>
      </w:pPr>
    </w:lvl>
    <w:lvl w:ilvl="5" w:tplc="0C09001B" w:tentative="1">
      <w:start w:val="1"/>
      <w:numFmt w:val="lowerRoman"/>
      <w:lvlText w:val="%6."/>
      <w:lvlJc w:val="right"/>
      <w:pPr>
        <w:ind w:left="5832" w:hanging="180"/>
      </w:pPr>
    </w:lvl>
    <w:lvl w:ilvl="6" w:tplc="0C09000F" w:tentative="1">
      <w:start w:val="1"/>
      <w:numFmt w:val="decimal"/>
      <w:lvlText w:val="%7."/>
      <w:lvlJc w:val="left"/>
      <w:pPr>
        <w:ind w:left="6552" w:hanging="360"/>
      </w:pPr>
    </w:lvl>
    <w:lvl w:ilvl="7" w:tplc="0C090019" w:tentative="1">
      <w:start w:val="1"/>
      <w:numFmt w:val="lowerLetter"/>
      <w:lvlText w:val="%8."/>
      <w:lvlJc w:val="left"/>
      <w:pPr>
        <w:ind w:left="7272" w:hanging="360"/>
      </w:pPr>
    </w:lvl>
    <w:lvl w:ilvl="8" w:tplc="0C09001B" w:tentative="1">
      <w:start w:val="1"/>
      <w:numFmt w:val="lowerRoman"/>
      <w:lvlText w:val="%9."/>
      <w:lvlJc w:val="right"/>
      <w:pPr>
        <w:ind w:left="7992" w:hanging="180"/>
      </w:pPr>
    </w:lvl>
  </w:abstractNum>
  <w:abstractNum w:abstractNumId="16" w15:restartNumberingAfterBreak="0">
    <w:nsid w:val="3E2E3E17"/>
    <w:multiLevelType w:val="multilevel"/>
    <w:tmpl w:val="65F27EA4"/>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244793F"/>
    <w:multiLevelType w:val="hybridMultilevel"/>
    <w:tmpl w:val="36049DC6"/>
    <w:lvl w:ilvl="0" w:tplc="0C090017">
      <w:start w:val="1"/>
      <w:numFmt w:val="lowerLetter"/>
      <w:lvlText w:val="%1)"/>
      <w:lvlJc w:val="left"/>
      <w:pPr>
        <w:ind w:left="1506" w:hanging="360"/>
      </w:pPr>
    </w:lvl>
    <w:lvl w:ilvl="1" w:tplc="42D44A2E">
      <w:start w:val="1"/>
      <w:numFmt w:val="lowerLetter"/>
      <w:lvlText w:val="%2)"/>
      <w:lvlJc w:val="left"/>
      <w:pPr>
        <w:ind w:left="2226" w:hanging="360"/>
      </w:pPr>
      <w:rPr>
        <w:rFonts w:hint="default"/>
      </w:rPr>
    </w:lvl>
    <w:lvl w:ilvl="2" w:tplc="622A6EF6">
      <w:start w:val="1"/>
      <w:numFmt w:val="lowerRoman"/>
      <w:lvlText w:val="%3."/>
      <w:lvlJc w:val="left"/>
      <w:pPr>
        <w:ind w:left="3486" w:hanging="720"/>
      </w:pPr>
      <w:rPr>
        <w:rFonts w:hint="default"/>
      </w:r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8"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9" w15:restartNumberingAfterBreak="0">
    <w:nsid w:val="4F49776A"/>
    <w:multiLevelType w:val="hybridMultilevel"/>
    <w:tmpl w:val="F26CC3F4"/>
    <w:lvl w:ilvl="0" w:tplc="0C090017">
      <w:start w:val="1"/>
      <w:numFmt w:val="lowerLetter"/>
      <w:lvlText w:val="%1)"/>
      <w:lvlJc w:val="left"/>
      <w:pPr>
        <w:ind w:left="2232" w:hanging="360"/>
      </w:pPr>
    </w:lvl>
    <w:lvl w:ilvl="1" w:tplc="0C090019">
      <w:start w:val="1"/>
      <w:numFmt w:val="lowerLetter"/>
      <w:lvlText w:val="%2."/>
      <w:lvlJc w:val="left"/>
      <w:pPr>
        <w:ind w:left="2952" w:hanging="360"/>
      </w:pPr>
    </w:lvl>
    <w:lvl w:ilvl="2" w:tplc="0C09001B" w:tentative="1">
      <w:start w:val="1"/>
      <w:numFmt w:val="lowerRoman"/>
      <w:lvlText w:val="%3."/>
      <w:lvlJc w:val="right"/>
      <w:pPr>
        <w:ind w:left="3672" w:hanging="180"/>
      </w:pPr>
    </w:lvl>
    <w:lvl w:ilvl="3" w:tplc="0C09000F" w:tentative="1">
      <w:start w:val="1"/>
      <w:numFmt w:val="decimal"/>
      <w:lvlText w:val="%4."/>
      <w:lvlJc w:val="left"/>
      <w:pPr>
        <w:ind w:left="4392" w:hanging="360"/>
      </w:pPr>
    </w:lvl>
    <w:lvl w:ilvl="4" w:tplc="0C090019" w:tentative="1">
      <w:start w:val="1"/>
      <w:numFmt w:val="lowerLetter"/>
      <w:lvlText w:val="%5."/>
      <w:lvlJc w:val="left"/>
      <w:pPr>
        <w:ind w:left="5112" w:hanging="360"/>
      </w:pPr>
    </w:lvl>
    <w:lvl w:ilvl="5" w:tplc="0C09001B" w:tentative="1">
      <w:start w:val="1"/>
      <w:numFmt w:val="lowerRoman"/>
      <w:lvlText w:val="%6."/>
      <w:lvlJc w:val="right"/>
      <w:pPr>
        <w:ind w:left="5832" w:hanging="180"/>
      </w:pPr>
    </w:lvl>
    <w:lvl w:ilvl="6" w:tplc="0C09000F" w:tentative="1">
      <w:start w:val="1"/>
      <w:numFmt w:val="decimal"/>
      <w:lvlText w:val="%7."/>
      <w:lvlJc w:val="left"/>
      <w:pPr>
        <w:ind w:left="6552" w:hanging="360"/>
      </w:pPr>
    </w:lvl>
    <w:lvl w:ilvl="7" w:tplc="0C090019" w:tentative="1">
      <w:start w:val="1"/>
      <w:numFmt w:val="lowerLetter"/>
      <w:lvlText w:val="%8."/>
      <w:lvlJc w:val="left"/>
      <w:pPr>
        <w:ind w:left="7272" w:hanging="360"/>
      </w:pPr>
    </w:lvl>
    <w:lvl w:ilvl="8" w:tplc="0C09001B" w:tentative="1">
      <w:start w:val="1"/>
      <w:numFmt w:val="lowerRoman"/>
      <w:lvlText w:val="%9."/>
      <w:lvlJc w:val="right"/>
      <w:pPr>
        <w:ind w:left="7992" w:hanging="180"/>
      </w:pPr>
    </w:lvl>
  </w:abstractNum>
  <w:abstractNum w:abstractNumId="20" w15:restartNumberingAfterBreak="0">
    <w:nsid w:val="565C442C"/>
    <w:multiLevelType w:val="hybridMultilevel"/>
    <w:tmpl w:val="306AC14A"/>
    <w:lvl w:ilvl="0" w:tplc="0C09000F">
      <w:start w:val="1"/>
      <w:numFmt w:val="decimal"/>
      <w:lvlText w:val="%1."/>
      <w:lvlJc w:val="left"/>
      <w:pPr>
        <w:ind w:left="2592" w:hanging="360"/>
      </w:pPr>
    </w:lvl>
    <w:lvl w:ilvl="1" w:tplc="0C090019" w:tentative="1">
      <w:start w:val="1"/>
      <w:numFmt w:val="lowerLetter"/>
      <w:lvlText w:val="%2."/>
      <w:lvlJc w:val="left"/>
      <w:pPr>
        <w:ind w:left="3312" w:hanging="360"/>
      </w:pPr>
    </w:lvl>
    <w:lvl w:ilvl="2" w:tplc="0C09001B" w:tentative="1">
      <w:start w:val="1"/>
      <w:numFmt w:val="lowerRoman"/>
      <w:lvlText w:val="%3."/>
      <w:lvlJc w:val="right"/>
      <w:pPr>
        <w:ind w:left="4032" w:hanging="180"/>
      </w:pPr>
    </w:lvl>
    <w:lvl w:ilvl="3" w:tplc="0C09000F" w:tentative="1">
      <w:start w:val="1"/>
      <w:numFmt w:val="decimal"/>
      <w:lvlText w:val="%4."/>
      <w:lvlJc w:val="left"/>
      <w:pPr>
        <w:ind w:left="4752" w:hanging="360"/>
      </w:pPr>
    </w:lvl>
    <w:lvl w:ilvl="4" w:tplc="0C090019" w:tentative="1">
      <w:start w:val="1"/>
      <w:numFmt w:val="lowerLetter"/>
      <w:lvlText w:val="%5."/>
      <w:lvlJc w:val="left"/>
      <w:pPr>
        <w:ind w:left="5472" w:hanging="360"/>
      </w:pPr>
    </w:lvl>
    <w:lvl w:ilvl="5" w:tplc="0C09001B" w:tentative="1">
      <w:start w:val="1"/>
      <w:numFmt w:val="lowerRoman"/>
      <w:lvlText w:val="%6."/>
      <w:lvlJc w:val="right"/>
      <w:pPr>
        <w:ind w:left="6192" w:hanging="180"/>
      </w:pPr>
    </w:lvl>
    <w:lvl w:ilvl="6" w:tplc="0C09000F" w:tentative="1">
      <w:start w:val="1"/>
      <w:numFmt w:val="decimal"/>
      <w:lvlText w:val="%7."/>
      <w:lvlJc w:val="left"/>
      <w:pPr>
        <w:ind w:left="6912" w:hanging="360"/>
      </w:pPr>
    </w:lvl>
    <w:lvl w:ilvl="7" w:tplc="0C090019" w:tentative="1">
      <w:start w:val="1"/>
      <w:numFmt w:val="lowerLetter"/>
      <w:lvlText w:val="%8."/>
      <w:lvlJc w:val="left"/>
      <w:pPr>
        <w:ind w:left="7632" w:hanging="360"/>
      </w:pPr>
    </w:lvl>
    <w:lvl w:ilvl="8" w:tplc="0C09001B" w:tentative="1">
      <w:start w:val="1"/>
      <w:numFmt w:val="lowerRoman"/>
      <w:lvlText w:val="%9."/>
      <w:lvlJc w:val="right"/>
      <w:pPr>
        <w:ind w:left="8352" w:hanging="180"/>
      </w:pPr>
    </w:lvl>
  </w:abstractNum>
  <w:abstractNum w:abstractNumId="21" w15:restartNumberingAfterBreak="0">
    <w:nsid w:val="570E7E12"/>
    <w:multiLevelType w:val="hybridMultilevel"/>
    <w:tmpl w:val="992CC9DC"/>
    <w:lvl w:ilvl="0" w:tplc="0C090017">
      <w:start w:val="1"/>
      <w:numFmt w:val="lowerLetter"/>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22" w15:restartNumberingAfterBreak="0">
    <w:nsid w:val="5CDA5B44"/>
    <w:multiLevelType w:val="hybridMultilevel"/>
    <w:tmpl w:val="F3E41D82"/>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3" w15:restartNumberingAfterBreak="0">
    <w:nsid w:val="5E9E1FC9"/>
    <w:multiLevelType w:val="hybridMultilevel"/>
    <w:tmpl w:val="100AA64A"/>
    <w:lvl w:ilvl="0" w:tplc="0C090017">
      <w:start w:val="1"/>
      <w:numFmt w:val="lowerLetter"/>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24" w15:restartNumberingAfterBreak="0">
    <w:nsid w:val="5F114AB7"/>
    <w:multiLevelType w:val="hybridMultilevel"/>
    <w:tmpl w:val="33C09C88"/>
    <w:lvl w:ilvl="0" w:tplc="0C090017">
      <w:start w:val="1"/>
      <w:numFmt w:val="lowerLetter"/>
      <w:lvlText w:val="%1)"/>
      <w:lvlJc w:val="left"/>
      <w:pPr>
        <w:ind w:left="1506" w:hanging="360"/>
      </w:pPr>
    </w:lvl>
    <w:lvl w:ilvl="1" w:tplc="0C090019">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25" w15:restartNumberingAfterBreak="0">
    <w:nsid w:val="5F4B172F"/>
    <w:multiLevelType w:val="hybridMultilevel"/>
    <w:tmpl w:val="2474D21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631856B7"/>
    <w:multiLevelType w:val="hybridMultilevel"/>
    <w:tmpl w:val="C70EE25E"/>
    <w:lvl w:ilvl="0" w:tplc="0C090017">
      <w:start w:val="1"/>
      <w:numFmt w:val="lowerLetter"/>
      <w:lvlText w:val="%1)"/>
      <w:lvlJc w:val="left"/>
      <w:pPr>
        <w:ind w:left="927" w:hanging="36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6DB74FD9"/>
    <w:multiLevelType w:val="hybridMultilevel"/>
    <w:tmpl w:val="0D586FC2"/>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75064902"/>
    <w:multiLevelType w:val="hybridMultilevel"/>
    <w:tmpl w:val="F818790C"/>
    <w:lvl w:ilvl="0" w:tplc="0C090017">
      <w:start w:val="1"/>
      <w:numFmt w:val="lowerLetter"/>
      <w:lvlText w:val="%1)"/>
      <w:lvlJc w:val="left"/>
      <w:pPr>
        <w:ind w:left="2592" w:hanging="360"/>
      </w:pPr>
    </w:lvl>
    <w:lvl w:ilvl="1" w:tplc="0C090019" w:tentative="1">
      <w:start w:val="1"/>
      <w:numFmt w:val="lowerLetter"/>
      <w:lvlText w:val="%2."/>
      <w:lvlJc w:val="left"/>
      <w:pPr>
        <w:ind w:left="3312" w:hanging="360"/>
      </w:pPr>
    </w:lvl>
    <w:lvl w:ilvl="2" w:tplc="0C09001B" w:tentative="1">
      <w:start w:val="1"/>
      <w:numFmt w:val="lowerRoman"/>
      <w:lvlText w:val="%3."/>
      <w:lvlJc w:val="right"/>
      <w:pPr>
        <w:ind w:left="4032" w:hanging="180"/>
      </w:pPr>
    </w:lvl>
    <w:lvl w:ilvl="3" w:tplc="0C09000F" w:tentative="1">
      <w:start w:val="1"/>
      <w:numFmt w:val="decimal"/>
      <w:lvlText w:val="%4."/>
      <w:lvlJc w:val="left"/>
      <w:pPr>
        <w:ind w:left="4752" w:hanging="360"/>
      </w:pPr>
    </w:lvl>
    <w:lvl w:ilvl="4" w:tplc="0C090019" w:tentative="1">
      <w:start w:val="1"/>
      <w:numFmt w:val="lowerLetter"/>
      <w:lvlText w:val="%5."/>
      <w:lvlJc w:val="left"/>
      <w:pPr>
        <w:ind w:left="5472" w:hanging="360"/>
      </w:pPr>
    </w:lvl>
    <w:lvl w:ilvl="5" w:tplc="0C09001B" w:tentative="1">
      <w:start w:val="1"/>
      <w:numFmt w:val="lowerRoman"/>
      <w:lvlText w:val="%6."/>
      <w:lvlJc w:val="right"/>
      <w:pPr>
        <w:ind w:left="6192" w:hanging="180"/>
      </w:pPr>
    </w:lvl>
    <w:lvl w:ilvl="6" w:tplc="0C09000F" w:tentative="1">
      <w:start w:val="1"/>
      <w:numFmt w:val="decimal"/>
      <w:lvlText w:val="%7."/>
      <w:lvlJc w:val="left"/>
      <w:pPr>
        <w:ind w:left="6912" w:hanging="360"/>
      </w:pPr>
    </w:lvl>
    <w:lvl w:ilvl="7" w:tplc="0C090019" w:tentative="1">
      <w:start w:val="1"/>
      <w:numFmt w:val="lowerLetter"/>
      <w:lvlText w:val="%8."/>
      <w:lvlJc w:val="left"/>
      <w:pPr>
        <w:ind w:left="7632" w:hanging="360"/>
      </w:pPr>
    </w:lvl>
    <w:lvl w:ilvl="8" w:tplc="0C09001B" w:tentative="1">
      <w:start w:val="1"/>
      <w:numFmt w:val="lowerRoman"/>
      <w:lvlText w:val="%9."/>
      <w:lvlJc w:val="right"/>
      <w:pPr>
        <w:ind w:left="8352" w:hanging="180"/>
      </w:pPr>
    </w:lvl>
  </w:abstractNum>
  <w:abstractNum w:abstractNumId="29" w15:restartNumberingAfterBreak="0">
    <w:nsid w:val="799D42EA"/>
    <w:multiLevelType w:val="hybridMultilevel"/>
    <w:tmpl w:val="AF12D934"/>
    <w:lvl w:ilvl="0" w:tplc="0C09001B">
      <w:start w:val="1"/>
      <w:numFmt w:val="lowerRoman"/>
      <w:lvlText w:val="%1."/>
      <w:lvlJc w:val="right"/>
      <w:pPr>
        <w:ind w:left="2952" w:hanging="360"/>
      </w:pPr>
    </w:lvl>
    <w:lvl w:ilvl="1" w:tplc="0C090019" w:tentative="1">
      <w:start w:val="1"/>
      <w:numFmt w:val="lowerLetter"/>
      <w:lvlText w:val="%2."/>
      <w:lvlJc w:val="left"/>
      <w:pPr>
        <w:ind w:left="3672" w:hanging="360"/>
      </w:pPr>
    </w:lvl>
    <w:lvl w:ilvl="2" w:tplc="0C09001B" w:tentative="1">
      <w:start w:val="1"/>
      <w:numFmt w:val="lowerRoman"/>
      <w:lvlText w:val="%3."/>
      <w:lvlJc w:val="right"/>
      <w:pPr>
        <w:ind w:left="4392" w:hanging="180"/>
      </w:pPr>
    </w:lvl>
    <w:lvl w:ilvl="3" w:tplc="0C09000F" w:tentative="1">
      <w:start w:val="1"/>
      <w:numFmt w:val="decimal"/>
      <w:lvlText w:val="%4."/>
      <w:lvlJc w:val="left"/>
      <w:pPr>
        <w:ind w:left="5112" w:hanging="360"/>
      </w:pPr>
    </w:lvl>
    <w:lvl w:ilvl="4" w:tplc="0C090019" w:tentative="1">
      <w:start w:val="1"/>
      <w:numFmt w:val="lowerLetter"/>
      <w:lvlText w:val="%5."/>
      <w:lvlJc w:val="left"/>
      <w:pPr>
        <w:ind w:left="5832" w:hanging="360"/>
      </w:pPr>
    </w:lvl>
    <w:lvl w:ilvl="5" w:tplc="0C09001B" w:tentative="1">
      <w:start w:val="1"/>
      <w:numFmt w:val="lowerRoman"/>
      <w:lvlText w:val="%6."/>
      <w:lvlJc w:val="right"/>
      <w:pPr>
        <w:ind w:left="6552" w:hanging="180"/>
      </w:pPr>
    </w:lvl>
    <w:lvl w:ilvl="6" w:tplc="0C09000F" w:tentative="1">
      <w:start w:val="1"/>
      <w:numFmt w:val="decimal"/>
      <w:lvlText w:val="%7."/>
      <w:lvlJc w:val="left"/>
      <w:pPr>
        <w:ind w:left="7272" w:hanging="360"/>
      </w:pPr>
    </w:lvl>
    <w:lvl w:ilvl="7" w:tplc="0C090019" w:tentative="1">
      <w:start w:val="1"/>
      <w:numFmt w:val="lowerLetter"/>
      <w:lvlText w:val="%8."/>
      <w:lvlJc w:val="left"/>
      <w:pPr>
        <w:ind w:left="7992" w:hanging="360"/>
      </w:pPr>
    </w:lvl>
    <w:lvl w:ilvl="8" w:tplc="0C09001B" w:tentative="1">
      <w:start w:val="1"/>
      <w:numFmt w:val="lowerRoman"/>
      <w:lvlText w:val="%9."/>
      <w:lvlJc w:val="right"/>
      <w:pPr>
        <w:ind w:left="8712" w:hanging="180"/>
      </w:pPr>
    </w:lvl>
  </w:abstractNum>
  <w:abstractNum w:abstractNumId="30" w15:restartNumberingAfterBreak="0">
    <w:nsid w:val="7A2705EF"/>
    <w:multiLevelType w:val="hybridMultilevel"/>
    <w:tmpl w:val="30BABA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73811795">
    <w:abstractNumId w:val="0"/>
  </w:num>
  <w:num w:numId="2" w16cid:durableId="1148592747">
    <w:abstractNumId w:val="1"/>
  </w:num>
  <w:num w:numId="3" w16cid:durableId="395132322">
    <w:abstractNumId w:val="18"/>
  </w:num>
  <w:num w:numId="4" w16cid:durableId="1117917997">
    <w:abstractNumId w:val="13"/>
  </w:num>
  <w:num w:numId="5" w16cid:durableId="1269241708">
    <w:abstractNumId w:val="23"/>
  </w:num>
  <w:num w:numId="6" w16cid:durableId="1264461139">
    <w:abstractNumId w:val="21"/>
  </w:num>
  <w:num w:numId="7" w16cid:durableId="1593977746">
    <w:abstractNumId w:val="5"/>
  </w:num>
  <w:num w:numId="8" w16cid:durableId="663818659">
    <w:abstractNumId w:val="17"/>
  </w:num>
  <w:num w:numId="9" w16cid:durableId="1436946842">
    <w:abstractNumId w:val="27"/>
  </w:num>
  <w:num w:numId="10" w16cid:durableId="1747649631">
    <w:abstractNumId w:val="2"/>
  </w:num>
  <w:num w:numId="11" w16cid:durableId="524682197">
    <w:abstractNumId w:val="14"/>
  </w:num>
  <w:num w:numId="12" w16cid:durableId="478303834">
    <w:abstractNumId w:val="3"/>
  </w:num>
  <w:num w:numId="13" w16cid:durableId="1693065959">
    <w:abstractNumId w:val="15"/>
  </w:num>
  <w:num w:numId="14" w16cid:durableId="2127506500">
    <w:abstractNumId w:val="19"/>
  </w:num>
  <w:num w:numId="15" w16cid:durableId="366688552">
    <w:abstractNumId w:val="11"/>
  </w:num>
  <w:num w:numId="16" w16cid:durableId="707023472">
    <w:abstractNumId w:val="12"/>
  </w:num>
  <w:num w:numId="17" w16cid:durableId="77139256">
    <w:abstractNumId w:val="24"/>
  </w:num>
  <w:num w:numId="18" w16cid:durableId="908540353">
    <w:abstractNumId w:val="8"/>
  </w:num>
  <w:num w:numId="19" w16cid:durableId="2112235247">
    <w:abstractNumId w:val="6"/>
  </w:num>
  <w:num w:numId="20" w16cid:durableId="1474523915">
    <w:abstractNumId w:val="26"/>
  </w:num>
  <w:num w:numId="21" w16cid:durableId="96870753">
    <w:abstractNumId w:val="9"/>
  </w:num>
  <w:num w:numId="22" w16cid:durableId="1846092859">
    <w:abstractNumId w:val="7"/>
  </w:num>
  <w:num w:numId="23" w16cid:durableId="246890071">
    <w:abstractNumId w:val="20"/>
  </w:num>
  <w:num w:numId="24" w16cid:durableId="1864857657">
    <w:abstractNumId w:val="10"/>
  </w:num>
  <w:num w:numId="25" w16cid:durableId="565065744">
    <w:abstractNumId w:val="4"/>
  </w:num>
  <w:num w:numId="26" w16cid:durableId="1190140910">
    <w:abstractNumId w:val="22"/>
  </w:num>
  <w:num w:numId="27" w16cid:durableId="294987556">
    <w:abstractNumId w:val="30"/>
  </w:num>
  <w:num w:numId="28" w16cid:durableId="220019773">
    <w:abstractNumId w:val="16"/>
  </w:num>
  <w:num w:numId="29" w16cid:durableId="500704601">
    <w:abstractNumId w:val="28"/>
  </w:num>
  <w:num w:numId="30" w16cid:durableId="2072607852">
    <w:abstractNumId w:val="29"/>
  </w:num>
  <w:num w:numId="31" w16cid:durableId="2009475998">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45D"/>
    <w:rsid w:val="000039EC"/>
    <w:rsid w:val="000042BF"/>
    <w:rsid w:val="0001326A"/>
    <w:rsid w:val="00016325"/>
    <w:rsid w:val="000168FD"/>
    <w:rsid w:val="00020317"/>
    <w:rsid w:val="0002197A"/>
    <w:rsid w:val="00021D3F"/>
    <w:rsid w:val="00024C96"/>
    <w:rsid w:val="0002656D"/>
    <w:rsid w:val="00041B9F"/>
    <w:rsid w:val="00043A00"/>
    <w:rsid w:val="00044B27"/>
    <w:rsid w:val="000574B5"/>
    <w:rsid w:val="000623C6"/>
    <w:rsid w:val="00063F62"/>
    <w:rsid w:val="00064C50"/>
    <w:rsid w:val="000667F4"/>
    <w:rsid w:val="0007378A"/>
    <w:rsid w:val="000806FA"/>
    <w:rsid w:val="000815C5"/>
    <w:rsid w:val="00085C96"/>
    <w:rsid w:val="0008782B"/>
    <w:rsid w:val="000901C4"/>
    <w:rsid w:val="00090B14"/>
    <w:rsid w:val="000914A3"/>
    <w:rsid w:val="00095765"/>
    <w:rsid w:val="00095B6A"/>
    <w:rsid w:val="000A32A8"/>
    <w:rsid w:val="000A43A0"/>
    <w:rsid w:val="000B2A3C"/>
    <w:rsid w:val="000B4093"/>
    <w:rsid w:val="000B5F39"/>
    <w:rsid w:val="000C0574"/>
    <w:rsid w:val="000C3679"/>
    <w:rsid w:val="000D02B0"/>
    <w:rsid w:val="000E3DFF"/>
    <w:rsid w:val="000F0F40"/>
    <w:rsid w:val="000F4FE3"/>
    <w:rsid w:val="00111C62"/>
    <w:rsid w:val="00113FE9"/>
    <w:rsid w:val="001144F3"/>
    <w:rsid w:val="001161F5"/>
    <w:rsid w:val="00117269"/>
    <w:rsid w:val="00120784"/>
    <w:rsid w:val="00122286"/>
    <w:rsid w:val="00123E35"/>
    <w:rsid w:val="00125598"/>
    <w:rsid w:val="00125B7C"/>
    <w:rsid w:val="00126B3F"/>
    <w:rsid w:val="0013508A"/>
    <w:rsid w:val="00135D26"/>
    <w:rsid w:val="0014494F"/>
    <w:rsid w:val="001457DC"/>
    <w:rsid w:val="00147712"/>
    <w:rsid w:val="00161FE6"/>
    <w:rsid w:val="001650D4"/>
    <w:rsid w:val="00165E66"/>
    <w:rsid w:val="00166645"/>
    <w:rsid w:val="00170334"/>
    <w:rsid w:val="00170EFB"/>
    <w:rsid w:val="001726B4"/>
    <w:rsid w:val="001831DA"/>
    <w:rsid w:val="001841E3"/>
    <w:rsid w:val="00192273"/>
    <w:rsid w:val="00194712"/>
    <w:rsid w:val="00195922"/>
    <w:rsid w:val="001A383A"/>
    <w:rsid w:val="001A43F5"/>
    <w:rsid w:val="001A50B4"/>
    <w:rsid w:val="001A762E"/>
    <w:rsid w:val="001B2DB3"/>
    <w:rsid w:val="001B6156"/>
    <w:rsid w:val="001C0A6C"/>
    <w:rsid w:val="001C1128"/>
    <w:rsid w:val="001C2CA3"/>
    <w:rsid w:val="001C7444"/>
    <w:rsid w:val="001E0403"/>
    <w:rsid w:val="001E5544"/>
    <w:rsid w:val="001E6124"/>
    <w:rsid w:val="001F66C9"/>
    <w:rsid w:val="001F765A"/>
    <w:rsid w:val="00201B73"/>
    <w:rsid w:val="002023B8"/>
    <w:rsid w:val="0021148B"/>
    <w:rsid w:val="002233B0"/>
    <w:rsid w:val="002235B6"/>
    <w:rsid w:val="0022366D"/>
    <w:rsid w:val="00232290"/>
    <w:rsid w:val="002360DB"/>
    <w:rsid w:val="002418DB"/>
    <w:rsid w:val="00243FB3"/>
    <w:rsid w:val="002449C6"/>
    <w:rsid w:val="0024690C"/>
    <w:rsid w:val="00246C8E"/>
    <w:rsid w:val="00261CAC"/>
    <w:rsid w:val="0026268A"/>
    <w:rsid w:val="00272C53"/>
    <w:rsid w:val="00272CE4"/>
    <w:rsid w:val="0027687D"/>
    <w:rsid w:val="00277120"/>
    <w:rsid w:val="00277F45"/>
    <w:rsid w:val="00280472"/>
    <w:rsid w:val="0028411E"/>
    <w:rsid w:val="00284A3D"/>
    <w:rsid w:val="00285E21"/>
    <w:rsid w:val="00287DE4"/>
    <w:rsid w:val="00291130"/>
    <w:rsid w:val="00297599"/>
    <w:rsid w:val="002A2203"/>
    <w:rsid w:val="002A2874"/>
    <w:rsid w:val="002A5651"/>
    <w:rsid w:val="002A6AA2"/>
    <w:rsid w:val="002B053D"/>
    <w:rsid w:val="002B1AF8"/>
    <w:rsid w:val="002B305A"/>
    <w:rsid w:val="002B3E10"/>
    <w:rsid w:val="002B756C"/>
    <w:rsid w:val="002B7EB5"/>
    <w:rsid w:val="002D1072"/>
    <w:rsid w:val="002D1B78"/>
    <w:rsid w:val="002D294E"/>
    <w:rsid w:val="002D7B77"/>
    <w:rsid w:val="002E3367"/>
    <w:rsid w:val="002E362A"/>
    <w:rsid w:val="002F0496"/>
    <w:rsid w:val="002F224E"/>
    <w:rsid w:val="002F4AFF"/>
    <w:rsid w:val="002F507E"/>
    <w:rsid w:val="002F5EE9"/>
    <w:rsid w:val="00310DB8"/>
    <w:rsid w:val="003134C8"/>
    <w:rsid w:val="00321016"/>
    <w:rsid w:val="003218C3"/>
    <w:rsid w:val="003230C0"/>
    <w:rsid w:val="00324708"/>
    <w:rsid w:val="00326B6D"/>
    <w:rsid w:val="0034016D"/>
    <w:rsid w:val="003458F5"/>
    <w:rsid w:val="003478C6"/>
    <w:rsid w:val="00347F8E"/>
    <w:rsid w:val="003578D8"/>
    <w:rsid w:val="00360225"/>
    <w:rsid w:val="00381013"/>
    <w:rsid w:val="00385949"/>
    <w:rsid w:val="00387022"/>
    <w:rsid w:val="0039340D"/>
    <w:rsid w:val="00394264"/>
    <w:rsid w:val="00395C14"/>
    <w:rsid w:val="00396094"/>
    <w:rsid w:val="00396425"/>
    <w:rsid w:val="00396DFB"/>
    <w:rsid w:val="003A2BEA"/>
    <w:rsid w:val="003C5B29"/>
    <w:rsid w:val="003C67F5"/>
    <w:rsid w:val="003C682E"/>
    <w:rsid w:val="003D019D"/>
    <w:rsid w:val="003E558A"/>
    <w:rsid w:val="003E5D96"/>
    <w:rsid w:val="003E6288"/>
    <w:rsid w:val="003F0B74"/>
    <w:rsid w:val="004000E1"/>
    <w:rsid w:val="00411665"/>
    <w:rsid w:val="004132C3"/>
    <w:rsid w:val="00413917"/>
    <w:rsid w:val="0041440C"/>
    <w:rsid w:val="00414F6F"/>
    <w:rsid w:val="004155CF"/>
    <w:rsid w:val="00416FF5"/>
    <w:rsid w:val="00422440"/>
    <w:rsid w:val="004275CB"/>
    <w:rsid w:val="00427DC7"/>
    <w:rsid w:val="0043193E"/>
    <w:rsid w:val="00431ED9"/>
    <w:rsid w:val="004367FD"/>
    <w:rsid w:val="004379AA"/>
    <w:rsid w:val="0044222A"/>
    <w:rsid w:val="0044443B"/>
    <w:rsid w:val="00444BB6"/>
    <w:rsid w:val="004539FC"/>
    <w:rsid w:val="004604B9"/>
    <w:rsid w:val="00461BB9"/>
    <w:rsid w:val="004657B6"/>
    <w:rsid w:val="00474A46"/>
    <w:rsid w:val="00474FF5"/>
    <w:rsid w:val="00484CEA"/>
    <w:rsid w:val="00486875"/>
    <w:rsid w:val="004907AB"/>
    <w:rsid w:val="0049145B"/>
    <w:rsid w:val="0049394F"/>
    <w:rsid w:val="00495C41"/>
    <w:rsid w:val="00497B78"/>
    <w:rsid w:val="004A3DF6"/>
    <w:rsid w:val="004B0D61"/>
    <w:rsid w:val="004B5A72"/>
    <w:rsid w:val="004B5AF2"/>
    <w:rsid w:val="004B5E8F"/>
    <w:rsid w:val="004B6B77"/>
    <w:rsid w:val="004C4763"/>
    <w:rsid w:val="004D517E"/>
    <w:rsid w:val="004D5632"/>
    <w:rsid w:val="004D6165"/>
    <w:rsid w:val="004D679A"/>
    <w:rsid w:val="004E1C8C"/>
    <w:rsid w:val="004E3F88"/>
    <w:rsid w:val="004F1571"/>
    <w:rsid w:val="00500E1A"/>
    <w:rsid w:val="005076BB"/>
    <w:rsid w:val="005146F2"/>
    <w:rsid w:val="00515ADA"/>
    <w:rsid w:val="00516A82"/>
    <w:rsid w:val="00517F6E"/>
    <w:rsid w:val="00521797"/>
    <w:rsid w:val="00524CFB"/>
    <w:rsid w:val="0053062E"/>
    <w:rsid w:val="00537826"/>
    <w:rsid w:val="00537DA2"/>
    <w:rsid w:val="00540C27"/>
    <w:rsid w:val="00546452"/>
    <w:rsid w:val="00547101"/>
    <w:rsid w:val="00553BA2"/>
    <w:rsid w:val="00555E81"/>
    <w:rsid w:val="00560908"/>
    <w:rsid w:val="00570E6F"/>
    <w:rsid w:val="005740C1"/>
    <w:rsid w:val="00576E0A"/>
    <w:rsid w:val="00581324"/>
    <w:rsid w:val="005845E9"/>
    <w:rsid w:val="00585A2C"/>
    <w:rsid w:val="0059207F"/>
    <w:rsid w:val="00596AB8"/>
    <w:rsid w:val="005A00DB"/>
    <w:rsid w:val="005A1F26"/>
    <w:rsid w:val="005B2DF0"/>
    <w:rsid w:val="005B47C4"/>
    <w:rsid w:val="005B50CF"/>
    <w:rsid w:val="005B7654"/>
    <w:rsid w:val="005B786F"/>
    <w:rsid w:val="005C36E1"/>
    <w:rsid w:val="005D314F"/>
    <w:rsid w:val="005E737F"/>
    <w:rsid w:val="005E791A"/>
    <w:rsid w:val="005F2476"/>
    <w:rsid w:val="005F3A85"/>
    <w:rsid w:val="005F509F"/>
    <w:rsid w:val="005F5B15"/>
    <w:rsid w:val="005F75A9"/>
    <w:rsid w:val="006061C1"/>
    <w:rsid w:val="006129BF"/>
    <w:rsid w:val="00617373"/>
    <w:rsid w:val="00622A7B"/>
    <w:rsid w:val="00626724"/>
    <w:rsid w:val="00626982"/>
    <w:rsid w:val="00627BE7"/>
    <w:rsid w:val="00627F78"/>
    <w:rsid w:val="00631FF3"/>
    <w:rsid w:val="006336B0"/>
    <w:rsid w:val="00633B37"/>
    <w:rsid w:val="006349E4"/>
    <w:rsid w:val="00636862"/>
    <w:rsid w:val="00641C07"/>
    <w:rsid w:val="00643FE0"/>
    <w:rsid w:val="0064519D"/>
    <w:rsid w:val="00653543"/>
    <w:rsid w:val="00657977"/>
    <w:rsid w:val="006615CA"/>
    <w:rsid w:val="0066306D"/>
    <w:rsid w:val="0066357B"/>
    <w:rsid w:val="006762A7"/>
    <w:rsid w:val="0068028D"/>
    <w:rsid w:val="0068303C"/>
    <w:rsid w:val="00686173"/>
    <w:rsid w:val="006906C1"/>
    <w:rsid w:val="006944B6"/>
    <w:rsid w:val="0069546E"/>
    <w:rsid w:val="006A1820"/>
    <w:rsid w:val="006A478C"/>
    <w:rsid w:val="006B1774"/>
    <w:rsid w:val="006B2D4F"/>
    <w:rsid w:val="006B32D6"/>
    <w:rsid w:val="006B679C"/>
    <w:rsid w:val="006C013C"/>
    <w:rsid w:val="006C3DDD"/>
    <w:rsid w:val="006D23C2"/>
    <w:rsid w:val="006D2573"/>
    <w:rsid w:val="006D7DEA"/>
    <w:rsid w:val="006E3DA4"/>
    <w:rsid w:val="006E5BD3"/>
    <w:rsid w:val="006F15BE"/>
    <w:rsid w:val="006F28D2"/>
    <w:rsid w:val="006F5216"/>
    <w:rsid w:val="006F53AE"/>
    <w:rsid w:val="00702232"/>
    <w:rsid w:val="00705462"/>
    <w:rsid w:val="00706C0E"/>
    <w:rsid w:val="00714A75"/>
    <w:rsid w:val="00715AF5"/>
    <w:rsid w:val="00720192"/>
    <w:rsid w:val="00723FB3"/>
    <w:rsid w:val="00737424"/>
    <w:rsid w:val="00740BDF"/>
    <w:rsid w:val="00741E3C"/>
    <w:rsid w:val="0074600E"/>
    <w:rsid w:val="00747D25"/>
    <w:rsid w:val="00753867"/>
    <w:rsid w:val="00754458"/>
    <w:rsid w:val="00755120"/>
    <w:rsid w:val="0075659A"/>
    <w:rsid w:val="00756A6A"/>
    <w:rsid w:val="007571A4"/>
    <w:rsid w:val="00757917"/>
    <w:rsid w:val="00765931"/>
    <w:rsid w:val="00766B60"/>
    <w:rsid w:val="00774490"/>
    <w:rsid w:val="00774E74"/>
    <w:rsid w:val="00775885"/>
    <w:rsid w:val="00780B46"/>
    <w:rsid w:val="00780C5E"/>
    <w:rsid w:val="00780D74"/>
    <w:rsid w:val="00785843"/>
    <w:rsid w:val="00791AA3"/>
    <w:rsid w:val="00792D75"/>
    <w:rsid w:val="007935CB"/>
    <w:rsid w:val="00794D97"/>
    <w:rsid w:val="007954CA"/>
    <w:rsid w:val="00795A65"/>
    <w:rsid w:val="007978D7"/>
    <w:rsid w:val="007A76B5"/>
    <w:rsid w:val="007B1A9B"/>
    <w:rsid w:val="007B3CC4"/>
    <w:rsid w:val="007B75C3"/>
    <w:rsid w:val="007D3EAD"/>
    <w:rsid w:val="007D54B4"/>
    <w:rsid w:val="007D6AC1"/>
    <w:rsid w:val="007D79E4"/>
    <w:rsid w:val="007D7FE8"/>
    <w:rsid w:val="007E0538"/>
    <w:rsid w:val="007E3132"/>
    <w:rsid w:val="007E48B2"/>
    <w:rsid w:val="007E4EA3"/>
    <w:rsid w:val="007F3E07"/>
    <w:rsid w:val="007F56D9"/>
    <w:rsid w:val="007F6111"/>
    <w:rsid w:val="007F7FC0"/>
    <w:rsid w:val="00810BD8"/>
    <w:rsid w:val="00810C01"/>
    <w:rsid w:val="00813A3A"/>
    <w:rsid w:val="00817A96"/>
    <w:rsid w:val="00820725"/>
    <w:rsid w:val="00826C75"/>
    <w:rsid w:val="0082755C"/>
    <w:rsid w:val="008300F5"/>
    <w:rsid w:val="00832F9F"/>
    <w:rsid w:val="00833FD3"/>
    <w:rsid w:val="00835399"/>
    <w:rsid w:val="00842D7C"/>
    <w:rsid w:val="0084456D"/>
    <w:rsid w:val="00862B37"/>
    <w:rsid w:val="00863BBF"/>
    <w:rsid w:val="00863D60"/>
    <w:rsid w:val="0086705D"/>
    <w:rsid w:val="00871D16"/>
    <w:rsid w:val="00873851"/>
    <w:rsid w:val="00875320"/>
    <w:rsid w:val="00881BAA"/>
    <w:rsid w:val="00883C6F"/>
    <w:rsid w:val="00885A9D"/>
    <w:rsid w:val="0089097B"/>
    <w:rsid w:val="00893854"/>
    <w:rsid w:val="008977CE"/>
    <w:rsid w:val="008A04B8"/>
    <w:rsid w:val="008A1498"/>
    <w:rsid w:val="008A3E4E"/>
    <w:rsid w:val="008A40EA"/>
    <w:rsid w:val="008A4C8E"/>
    <w:rsid w:val="008A585E"/>
    <w:rsid w:val="008A6011"/>
    <w:rsid w:val="008B1AD3"/>
    <w:rsid w:val="008B49BB"/>
    <w:rsid w:val="008B701D"/>
    <w:rsid w:val="008C0D58"/>
    <w:rsid w:val="008C40F0"/>
    <w:rsid w:val="008D4244"/>
    <w:rsid w:val="008D4A2B"/>
    <w:rsid w:val="008D4A9C"/>
    <w:rsid w:val="008D4EAF"/>
    <w:rsid w:val="008D5BB7"/>
    <w:rsid w:val="008E3426"/>
    <w:rsid w:val="008E623C"/>
    <w:rsid w:val="008F1284"/>
    <w:rsid w:val="008F54A8"/>
    <w:rsid w:val="008F6339"/>
    <w:rsid w:val="008F6C5D"/>
    <w:rsid w:val="00900AF4"/>
    <w:rsid w:val="009021E9"/>
    <w:rsid w:val="00902A40"/>
    <w:rsid w:val="00907203"/>
    <w:rsid w:val="009148CE"/>
    <w:rsid w:val="00915B87"/>
    <w:rsid w:val="00920994"/>
    <w:rsid w:val="0092301A"/>
    <w:rsid w:val="009277E8"/>
    <w:rsid w:val="00927957"/>
    <w:rsid w:val="0093510F"/>
    <w:rsid w:val="00945C2A"/>
    <w:rsid w:val="009509A6"/>
    <w:rsid w:val="00952333"/>
    <w:rsid w:val="00963ACF"/>
    <w:rsid w:val="00967B3F"/>
    <w:rsid w:val="009826CE"/>
    <w:rsid w:val="009829C8"/>
    <w:rsid w:val="0099409C"/>
    <w:rsid w:val="009A72CD"/>
    <w:rsid w:val="009B51BE"/>
    <w:rsid w:val="009C63BA"/>
    <w:rsid w:val="009C750A"/>
    <w:rsid w:val="009C7BF1"/>
    <w:rsid w:val="009D19FC"/>
    <w:rsid w:val="009D31AA"/>
    <w:rsid w:val="009D4604"/>
    <w:rsid w:val="009D745D"/>
    <w:rsid w:val="009F0FF1"/>
    <w:rsid w:val="009F328C"/>
    <w:rsid w:val="009F52B4"/>
    <w:rsid w:val="009F71B2"/>
    <w:rsid w:val="009F768F"/>
    <w:rsid w:val="00A03E63"/>
    <w:rsid w:val="00A03FF8"/>
    <w:rsid w:val="00A04CCC"/>
    <w:rsid w:val="00A0504A"/>
    <w:rsid w:val="00A06904"/>
    <w:rsid w:val="00A07573"/>
    <w:rsid w:val="00A136C8"/>
    <w:rsid w:val="00A1398A"/>
    <w:rsid w:val="00A177FC"/>
    <w:rsid w:val="00A20280"/>
    <w:rsid w:val="00A20A97"/>
    <w:rsid w:val="00A24E54"/>
    <w:rsid w:val="00A32830"/>
    <w:rsid w:val="00A32B05"/>
    <w:rsid w:val="00A34635"/>
    <w:rsid w:val="00A413DF"/>
    <w:rsid w:val="00A42824"/>
    <w:rsid w:val="00A5182E"/>
    <w:rsid w:val="00A557BD"/>
    <w:rsid w:val="00A60AB8"/>
    <w:rsid w:val="00A61239"/>
    <w:rsid w:val="00A619C7"/>
    <w:rsid w:val="00A62490"/>
    <w:rsid w:val="00A6489A"/>
    <w:rsid w:val="00A65D24"/>
    <w:rsid w:val="00A77C04"/>
    <w:rsid w:val="00A848F4"/>
    <w:rsid w:val="00A85022"/>
    <w:rsid w:val="00A869E6"/>
    <w:rsid w:val="00A9050A"/>
    <w:rsid w:val="00AB0069"/>
    <w:rsid w:val="00AB13FC"/>
    <w:rsid w:val="00AB6C4F"/>
    <w:rsid w:val="00AB784B"/>
    <w:rsid w:val="00AC0AB6"/>
    <w:rsid w:val="00AC7DF6"/>
    <w:rsid w:val="00AD07D2"/>
    <w:rsid w:val="00AF32A2"/>
    <w:rsid w:val="00AF37D5"/>
    <w:rsid w:val="00AF4189"/>
    <w:rsid w:val="00AF62A9"/>
    <w:rsid w:val="00AF6814"/>
    <w:rsid w:val="00AF723D"/>
    <w:rsid w:val="00B0238C"/>
    <w:rsid w:val="00B04587"/>
    <w:rsid w:val="00B04FA0"/>
    <w:rsid w:val="00B13891"/>
    <w:rsid w:val="00B16430"/>
    <w:rsid w:val="00B205C2"/>
    <w:rsid w:val="00B26D8C"/>
    <w:rsid w:val="00B27EEB"/>
    <w:rsid w:val="00B31708"/>
    <w:rsid w:val="00B33DC3"/>
    <w:rsid w:val="00B34D13"/>
    <w:rsid w:val="00B35FB8"/>
    <w:rsid w:val="00B36919"/>
    <w:rsid w:val="00B37A87"/>
    <w:rsid w:val="00B41E1C"/>
    <w:rsid w:val="00B472A5"/>
    <w:rsid w:val="00B621E1"/>
    <w:rsid w:val="00B64C7B"/>
    <w:rsid w:val="00B66CBA"/>
    <w:rsid w:val="00B76FEF"/>
    <w:rsid w:val="00B84DB5"/>
    <w:rsid w:val="00B85A91"/>
    <w:rsid w:val="00B8613F"/>
    <w:rsid w:val="00B86B55"/>
    <w:rsid w:val="00B94C7A"/>
    <w:rsid w:val="00B95AA9"/>
    <w:rsid w:val="00BA24BE"/>
    <w:rsid w:val="00BA39D3"/>
    <w:rsid w:val="00BA5BDC"/>
    <w:rsid w:val="00BB416E"/>
    <w:rsid w:val="00BB4E66"/>
    <w:rsid w:val="00BB576A"/>
    <w:rsid w:val="00BB5BAF"/>
    <w:rsid w:val="00BB7175"/>
    <w:rsid w:val="00BC0F6D"/>
    <w:rsid w:val="00BC1F5E"/>
    <w:rsid w:val="00BC21A8"/>
    <w:rsid w:val="00BC50C1"/>
    <w:rsid w:val="00BC5CA5"/>
    <w:rsid w:val="00BC7428"/>
    <w:rsid w:val="00BC7A77"/>
    <w:rsid w:val="00BD070F"/>
    <w:rsid w:val="00BD29D3"/>
    <w:rsid w:val="00BD72DD"/>
    <w:rsid w:val="00BE314E"/>
    <w:rsid w:val="00BF01F1"/>
    <w:rsid w:val="00BF0C20"/>
    <w:rsid w:val="00BF0F81"/>
    <w:rsid w:val="00BF1299"/>
    <w:rsid w:val="00C0335C"/>
    <w:rsid w:val="00C0540C"/>
    <w:rsid w:val="00C05D05"/>
    <w:rsid w:val="00C0705D"/>
    <w:rsid w:val="00C115E1"/>
    <w:rsid w:val="00C1576F"/>
    <w:rsid w:val="00C158A2"/>
    <w:rsid w:val="00C21BCB"/>
    <w:rsid w:val="00C245CA"/>
    <w:rsid w:val="00C313AC"/>
    <w:rsid w:val="00C332A4"/>
    <w:rsid w:val="00C41651"/>
    <w:rsid w:val="00C434D6"/>
    <w:rsid w:val="00C448F7"/>
    <w:rsid w:val="00C4647B"/>
    <w:rsid w:val="00C50A1F"/>
    <w:rsid w:val="00C525D3"/>
    <w:rsid w:val="00C56C9C"/>
    <w:rsid w:val="00C57954"/>
    <w:rsid w:val="00C6259E"/>
    <w:rsid w:val="00C6789E"/>
    <w:rsid w:val="00C738F3"/>
    <w:rsid w:val="00C762CF"/>
    <w:rsid w:val="00C821AE"/>
    <w:rsid w:val="00C8484F"/>
    <w:rsid w:val="00C86B98"/>
    <w:rsid w:val="00CA23E7"/>
    <w:rsid w:val="00CA3E2C"/>
    <w:rsid w:val="00CB0463"/>
    <w:rsid w:val="00CB185A"/>
    <w:rsid w:val="00CC0242"/>
    <w:rsid w:val="00CC31E3"/>
    <w:rsid w:val="00CD2527"/>
    <w:rsid w:val="00CD3138"/>
    <w:rsid w:val="00CE266E"/>
    <w:rsid w:val="00CE3B1D"/>
    <w:rsid w:val="00CE42A9"/>
    <w:rsid w:val="00CF0319"/>
    <w:rsid w:val="00CF0F86"/>
    <w:rsid w:val="00CF3462"/>
    <w:rsid w:val="00D018ED"/>
    <w:rsid w:val="00D0248C"/>
    <w:rsid w:val="00D02892"/>
    <w:rsid w:val="00D047CD"/>
    <w:rsid w:val="00D057B7"/>
    <w:rsid w:val="00D05D2C"/>
    <w:rsid w:val="00D06CB7"/>
    <w:rsid w:val="00D07CAF"/>
    <w:rsid w:val="00D10D24"/>
    <w:rsid w:val="00D2236E"/>
    <w:rsid w:val="00D231E0"/>
    <w:rsid w:val="00D23DED"/>
    <w:rsid w:val="00D2648D"/>
    <w:rsid w:val="00D27B8F"/>
    <w:rsid w:val="00D3247B"/>
    <w:rsid w:val="00D332BC"/>
    <w:rsid w:val="00D42D21"/>
    <w:rsid w:val="00D44C90"/>
    <w:rsid w:val="00D5253F"/>
    <w:rsid w:val="00D52CAC"/>
    <w:rsid w:val="00D555F9"/>
    <w:rsid w:val="00D55BC3"/>
    <w:rsid w:val="00D57CE6"/>
    <w:rsid w:val="00D614DF"/>
    <w:rsid w:val="00D61728"/>
    <w:rsid w:val="00D85F00"/>
    <w:rsid w:val="00D9114F"/>
    <w:rsid w:val="00D91CFB"/>
    <w:rsid w:val="00D920FB"/>
    <w:rsid w:val="00D944DB"/>
    <w:rsid w:val="00D96309"/>
    <w:rsid w:val="00D96726"/>
    <w:rsid w:val="00DA75FD"/>
    <w:rsid w:val="00DB0479"/>
    <w:rsid w:val="00DB16B9"/>
    <w:rsid w:val="00DB4612"/>
    <w:rsid w:val="00DC2DFC"/>
    <w:rsid w:val="00DC7EE4"/>
    <w:rsid w:val="00DD6F07"/>
    <w:rsid w:val="00DE05DC"/>
    <w:rsid w:val="00DE4AA9"/>
    <w:rsid w:val="00DE5BBB"/>
    <w:rsid w:val="00DF4727"/>
    <w:rsid w:val="00E00460"/>
    <w:rsid w:val="00E058FD"/>
    <w:rsid w:val="00E15427"/>
    <w:rsid w:val="00E17EAE"/>
    <w:rsid w:val="00E20578"/>
    <w:rsid w:val="00E20934"/>
    <w:rsid w:val="00E222F1"/>
    <w:rsid w:val="00E31309"/>
    <w:rsid w:val="00E34B2B"/>
    <w:rsid w:val="00E36743"/>
    <w:rsid w:val="00E368A1"/>
    <w:rsid w:val="00E443E4"/>
    <w:rsid w:val="00E479E0"/>
    <w:rsid w:val="00E52DA6"/>
    <w:rsid w:val="00E52F57"/>
    <w:rsid w:val="00E53105"/>
    <w:rsid w:val="00E54794"/>
    <w:rsid w:val="00E56164"/>
    <w:rsid w:val="00E63649"/>
    <w:rsid w:val="00E70827"/>
    <w:rsid w:val="00E70EA2"/>
    <w:rsid w:val="00E74827"/>
    <w:rsid w:val="00E75525"/>
    <w:rsid w:val="00E77601"/>
    <w:rsid w:val="00E81B11"/>
    <w:rsid w:val="00E8319B"/>
    <w:rsid w:val="00E8578F"/>
    <w:rsid w:val="00E864AF"/>
    <w:rsid w:val="00E93BAC"/>
    <w:rsid w:val="00E97F61"/>
    <w:rsid w:val="00EA198C"/>
    <w:rsid w:val="00EA5043"/>
    <w:rsid w:val="00EA79C7"/>
    <w:rsid w:val="00EB3838"/>
    <w:rsid w:val="00EB591A"/>
    <w:rsid w:val="00EB7340"/>
    <w:rsid w:val="00EC0162"/>
    <w:rsid w:val="00EC4C93"/>
    <w:rsid w:val="00EC6D51"/>
    <w:rsid w:val="00ED27FE"/>
    <w:rsid w:val="00ED2CB3"/>
    <w:rsid w:val="00EE107B"/>
    <w:rsid w:val="00EE1F03"/>
    <w:rsid w:val="00EE30B7"/>
    <w:rsid w:val="00EE4065"/>
    <w:rsid w:val="00EE4F80"/>
    <w:rsid w:val="00EF33D7"/>
    <w:rsid w:val="00EF7145"/>
    <w:rsid w:val="00EF730A"/>
    <w:rsid w:val="00F015F9"/>
    <w:rsid w:val="00F147C2"/>
    <w:rsid w:val="00F33C08"/>
    <w:rsid w:val="00F61824"/>
    <w:rsid w:val="00F62D80"/>
    <w:rsid w:val="00F63503"/>
    <w:rsid w:val="00F63B24"/>
    <w:rsid w:val="00F64A6C"/>
    <w:rsid w:val="00F660A5"/>
    <w:rsid w:val="00F718CA"/>
    <w:rsid w:val="00F763F6"/>
    <w:rsid w:val="00F7650E"/>
    <w:rsid w:val="00F87704"/>
    <w:rsid w:val="00F96E99"/>
    <w:rsid w:val="00FA1843"/>
    <w:rsid w:val="00FA2299"/>
    <w:rsid w:val="00FA6EFF"/>
    <w:rsid w:val="00FB4A72"/>
    <w:rsid w:val="00FB4CED"/>
    <w:rsid w:val="00FB58A1"/>
    <w:rsid w:val="00FC36B0"/>
    <w:rsid w:val="00FC4B0A"/>
    <w:rsid w:val="00FC4C59"/>
    <w:rsid w:val="00FC5B04"/>
    <w:rsid w:val="00FD2EE6"/>
    <w:rsid w:val="00FD382F"/>
    <w:rsid w:val="00FD77A2"/>
    <w:rsid w:val="00FE12B1"/>
    <w:rsid w:val="00FE4F0C"/>
    <w:rsid w:val="00FE5BB0"/>
    <w:rsid w:val="00FE74D2"/>
    <w:rsid w:val="00FF118B"/>
    <w:rsid w:val="00FF2683"/>
    <w:rsid w:val="00FF2C84"/>
    <w:rsid w:val="00FF3BFB"/>
    <w:rsid w:val="00FF45F2"/>
    <w:rsid w:val="00FF69C5"/>
    <w:rsid w:val="00FF72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2AA38EE"/>
  <w15:docId w15:val="{D1174D69-4BE0-4EBA-9A0C-C7D73CBD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paragraph" w:styleId="Revision">
    <w:name w:val="Revision"/>
    <w:hidden/>
    <w:uiPriority w:val="99"/>
    <w:semiHidden/>
    <w:rsid w:val="008A3E4E"/>
    <w:pPr>
      <w:spacing w:after="0"/>
      <w:ind w:left="0"/>
      <w:jc w:val="left"/>
    </w:pPr>
    <w:rPr>
      <w:rFonts w:ascii="Arial" w:hAnsi="Arial"/>
      <w:sz w:val="22"/>
    </w:rPr>
  </w:style>
  <w:style w:type="character" w:styleId="FollowedHyperlink">
    <w:name w:val="FollowedHyperlink"/>
    <w:basedOn w:val="DefaultParagraphFont"/>
    <w:uiPriority w:val="99"/>
    <w:semiHidden/>
    <w:unhideWhenUsed/>
    <w:rsid w:val="004132C3"/>
    <w:rPr>
      <w:color w:val="800080" w:themeColor="followedHyperlink"/>
      <w:u w:val="single"/>
    </w:rPr>
  </w:style>
  <w:style w:type="character" w:styleId="UnresolvedMention">
    <w:name w:val="Unresolved Mention"/>
    <w:basedOn w:val="DefaultParagraphFont"/>
    <w:uiPriority w:val="99"/>
    <w:semiHidden/>
    <w:unhideWhenUsed/>
    <w:rsid w:val="00F71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830900282">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licies.griffith.edu.au/pdf/Academic%20Freedom%20and%20Freedom%20of%20Speech%20Policy.pdf" TargetMode="External"/><Relationship Id="rId18" Type="http://schemas.openxmlformats.org/officeDocument/2006/relationships/hyperlink" Target="http://policies.griffith.edu.au/pdf/Code%20of%20Conduct.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policies.griffith.edu.au/pdf/Consultancy%20and%20Commercial%20Research%20Policy.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policies.griffith.edu.au/pdf/Intellectual%20Property%20Policy.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olicies.griffith.edu.au/pdf/Private%20Practice%20Policy.pdf" TargetMode="External"/><Relationship Id="rId20" Type="http://schemas.openxmlformats.org/officeDocument/2006/relationships/hyperlink" Target="http://policies.griffith.edu.au/pdf/Conflict%20of%20Interest%20Policy.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intranet.secure.griffith.edu.au/research/griffith-enterprise/consultancy-and-commercial-research2/ccr-documents/FAQs.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policies.griffith.edu.au/pdf/Responsible%20Conduct%20of%20Commercialisation%20Activiti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secure.griffith.edu.au/research/griffith-enterprise/consultancy-and-commercial-research2/process-my-ccr-project?REF=0B84296D70CFFB8F8617178BDCA3C916EA2F156FCDDFA9C4702E978A0004" TargetMode="External"/><Relationship Id="rId22" Type="http://schemas.openxmlformats.org/officeDocument/2006/relationships/hyperlink" Target="https://www.education.gov.au/australian-competitive-grants-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543</Value>
      <Value>522</Value>
      <Value>47</Value>
      <Value>165</Value>
      <Value>78</Value>
      <Value>77</Value>
      <Value>69</Value>
    </TaxCatchAll>
    <policyadvisor xmlns="2f261a70-825f-4a37-b7b5-f6ecc2f4c5fa">
      <UserInfo>
        <DisplayName>Mark Ashton</DisplayName>
        <AccountId>918</AccountId>
        <AccountType/>
      </UserInfo>
    </policyadvisor>
    <datedeclared xmlns="2f261a70-825f-4a37-b7b5-f6ecc2f4c5fa">2018-12-02T14:00:00+00:00</datedeclared>
    <extlink xmlns="2f261a70-825f-4a37-b7b5-f6ecc2f4c5fa">
      <Url xsi:nil="true"/>
      <Description xsi:nil="true"/>
    </extlink>
    <policysummary xmlns="2f261a70-825f-4a37-b7b5-f6ecc2f4c5fa">This policy governs the provision of Consultancy &amp; Commercial Research (CCR) Project Work performed by a Staff Member for an External Organisation.</policysummary>
    <docsort xmlns="2f261a70-825f-4a37-b7b5-f6ecc2f4c5fa">50</docsort>
    <doccomments xmlns="2f261a70-825f-4a37-b7b5-f6ecc2f4c5fa">Standing COO approval for editorial changes to position titles - SDVC to DVC(E) - 4 May 2021.
07/04/2022 - COO approved the administrative updates for policy references from DVC(E) to Provost.</doccomments>
    <PublishOn xmlns="2f261a70-825f-4a37-b7b5-f6ecc2f4c5fa">2021-02-05T09:42:27+00:00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GE</TermName>
          <TermId xmlns="http://schemas.microsoft.com/office/infopath/2007/PartnerControls">844ebfce-fccc-404e-a628-493e289edccb</TermId>
        </TermInfo>
      </Terms>
    </l92b321e1c6d4932b3b7fc50f551e57a>
    <PDFBlobURL xmlns="2f261a70-825f-4a37-b7b5-f6ecc2f4c5fa" xsi:nil="true"/>
    <PolicyCategoryPath xmlns="2f261a70-825f-4a37-b7b5-f6ecc2f4c5fa">Operational:Staff</PolicyCategoryPath>
    <PolicyCategory0 xmlns="2f261a70-825f-4a37-b7b5-f6ecc2f4c5fa">Staff</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Employment Conditions</TermName>
          <TermId xmlns="http://schemas.microsoft.com/office/infopath/2007/PartnerControls">d0b8c2bf-4206-4850-920a-85961aa91420</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Operational</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895e1bd4-e176-48a8-a408-81b6fcc49086</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DVC (Research)</TermName>
          <TermId xmlns="http://schemas.microsoft.com/office/infopath/2007/PartnerControls">43b40559-8059-4e74-80b6-439260334b1b</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BED6D-0738-41C9-B274-B00E80659386}">
  <ds:schemaRefs>
    <ds:schemaRef ds:uri="http://purl.org/dc/elements/1.1/"/>
    <ds:schemaRef ds:uri="http://purl.org/dc/terms/"/>
    <ds:schemaRef ds:uri="2f261a70-825f-4a37-b7b5-f6ecc2f4c5fa"/>
    <ds:schemaRef ds:uri="b40c662e-0380-4817-843d-2c7e10d40c39"/>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223907D-1E68-4DB4-A571-6D9B4B81E75C}">
  <ds:schemaRefs>
    <ds:schemaRef ds:uri="http://schemas.microsoft.com/office/2006/customDocumentInformationPanel"/>
  </ds:schemaRefs>
</ds:datastoreItem>
</file>

<file path=customXml/itemProps3.xml><?xml version="1.0" encoding="utf-8"?>
<ds:datastoreItem xmlns:ds="http://schemas.openxmlformats.org/officeDocument/2006/customXml" ds:itemID="{1B63373D-ADDC-40AF-9495-7F7BE6B347F9}">
  <ds:schemaRefs>
    <ds:schemaRef ds:uri="http://schemas.microsoft.com/sharepoint/v3/contenttype/forms"/>
  </ds:schemaRefs>
</ds:datastoreItem>
</file>

<file path=customXml/itemProps4.xml><?xml version="1.0" encoding="utf-8"?>
<ds:datastoreItem xmlns:ds="http://schemas.openxmlformats.org/officeDocument/2006/customXml" ds:itemID="{5905FFA6-56AE-482E-806E-0251935963A9}">
  <ds:schemaRefs>
    <ds:schemaRef ds:uri="http://schemas.openxmlformats.org/officeDocument/2006/bibliography"/>
  </ds:schemaRefs>
</ds:datastoreItem>
</file>

<file path=customXml/itemProps5.xml><?xml version="1.0" encoding="utf-8"?>
<ds:datastoreItem xmlns:ds="http://schemas.openxmlformats.org/officeDocument/2006/customXml" ds:itemID="{1F47D7E1-715A-4539-9D22-192CC2E71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8</TotalTime>
  <Pages>11</Pages>
  <Words>4951</Words>
  <Characters>28222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Consultancy and Commercial Research Policy</vt:lpstr>
    </vt:vector>
  </TitlesOfParts>
  <Company>Griffith University</Company>
  <LinksUpToDate>false</LinksUpToDate>
  <CharactersWithSpaces>33107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and Commercial Research Policy</dc:title>
  <dc:subject/>
  <dc:creator>Gabrielle Ingram</dc:creator>
  <cp:keywords>CCR project work, guiding principles for CCR project work,</cp:keywords>
  <dc:description/>
  <cp:lastModifiedBy>John Montgomery</cp:lastModifiedBy>
  <cp:revision>14</cp:revision>
  <cp:lastPrinted>2018-11-06T04:41:00Z</cp:lastPrinted>
  <dcterms:created xsi:type="dcterms:W3CDTF">2020-07-01T08:33:00Z</dcterms:created>
  <dcterms:modified xsi:type="dcterms:W3CDTF">2024-04-26T02:52:00Z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policyId">
    <vt:lpwstr>0x010100CCB10AA9A57F62429EA6968F7587FFF2|1453938073</vt:lpwstr>
  </property>
  <property fmtid="{D5CDD505-2E9C-101B-9397-08002B2CF9AE}" pid="4"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5" name="_dlc_DocIdItemGuid">
    <vt:lpwstr>352db096-8d98-4709-a602-3e28d62bf4b0</vt:lpwstr>
  </property>
  <property fmtid="{D5CDD505-2E9C-101B-9397-08002B2CF9AE}" pid="6" name="Audience1">
    <vt:lpwstr>19;#Staff|234b4c02-4f11-4558-b1da-d19b9b209556</vt:lpwstr>
  </property>
  <property fmtid="{D5CDD505-2E9C-101B-9397-08002B2CF9AE}" pid="7" name="Category Type">
    <vt:lpwstr>22;#Policy|6ea67854-4618-4b05-bd31-1dfafb0e2b14</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Order">
    <vt:r8>3100</vt:r8>
  </property>
  <property fmtid="{D5CDD505-2E9C-101B-9397-08002B2CF9AE}" pid="12" name="HTML Link">
    <vt:lpwstr>http://policies.griffith.edu.au/pdf/Consultancy%20and%20Commercial%20Research%20Policy.pdf, View PDF Version</vt:lpwstr>
  </property>
  <property fmtid="{D5CDD505-2E9C-101B-9397-08002B2CF9AE}" pid="13" name="policysection">
    <vt:lpwstr>47;#Employment Conditions|d0b8c2bf-4206-4850-920a-85961aa91420</vt:lpwstr>
  </property>
  <property fmtid="{D5CDD505-2E9C-101B-9397-08002B2CF9AE}" pid="14" name="appauthority">
    <vt:lpwstr>543;#DVC (Research)|43b40559-8059-4e74-80b6-439260334b1b</vt:lpwstr>
  </property>
  <property fmtid="{D5CDD505-2E9C-101B-9397-08002B2CF9AE}" pid="15" name="policycategory">
    <vt:lpwstr>69;#Policy|9279309a-7669-47c5-bf96-cc165d8b3ede</vt:lpwstr>
  </property>
  <property fmtid="{D5CDD505-2E9C-101B-9397-08002B2CF9AE}" pid="16" name="glossaryterms">
    <vt:lpwstr/>
  </property>
  <property fmtid="{D5CDD505-2E9C-101B-9397-08002B2CF9AE}" pid="17" name="officearea">
    <vt:lpwstr>165;#GE|844ebfce-fccc-404e-a628-493e289edccb</vt:lpwstr>
  </property>
  <property fmtid="{D5CDD505-2E9C-101B-9397-08002B2CF9AE}" pid="18" name="policyreview">
    <vt:lpwstr>78;#2023|895e1bd4-e176-48a8-a408-81b6fcc49086</vt:lpwstr>
  </property>
  <property fmtid="{D5CDD505-2E9C-101B-9397-08002B2CF9AE}" pid="19" name="policyaudience">
    <vt:lpwstr>77;#Staff|45ee306d-49ae-43fa-a3ef-02f70754fd2d</vt:lpwstr>
  </property>
  <property fmtid="{D5CDD505-2E9C-101B-9397-08002B2CF9AE}" pid="20" name="doccomments">
    <vt:lpwstr/>
  </property>
  <property fmtid="{D5CDD505-2E9C-101B-9397-08002B2CF9AE}" pid="21" name="policy-category">
    <vt:lpwstr/>
  </property>
  <property fmtid="{D5CDD505-2E9C-101B-9397-08002B2CF9AE}" pid="22" name="eedb2b835b69435aa9176b937455bd2f">
    <vt:lpwstr>|3e9f4474-6295-47f7-a166-0065c4fb1613</vt:lpwstr>
  </property>
  <property fmtid="{D5CDD505-2E9C-101B-9397-08002B2CF9AE}" pid="23" name="policy_x002d_category">
    <vt:lpwstr/>
  </property>
  <property fmtid="{D5CDD505-2E9C-101B-9397-08002B2CF9AE}" pid="24" name="DelayPublish">
    <vt:lpwstr>No</vt:lpwstr>
  </property>
  <property fmtid="{D5CDD505-2E9C-101B-9397-08002B2CF9AE}" pid="25" name="Managed_Testing_Field">
    <vt:lpwstr/>
  </property>
</Properties>
</file>