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w:rsidR="00E864AF" w:rsidP="002A6AA2" w:rsidRDefault="00CA3E2C" w14:paraId="41554EB7" w14:textId="77777777">
      <w:pPr>
        <w:rPr>
          <w:sz w:val="20"/>
        </w:rPr>
      </w:pPr>
      <w:r>
        <w:rPr>
          <w:noProof/>
          <w:sz w:val="20"/>
        </w:rPr>
        <mc:AlternateContent>
          <mc:Choice Requires="wps">
            <w:drawing>
              <wp:anchor distT="0" distB="0" distL="114300" distR="114300" simplePos="0" relativeHeight="251658240" behindDoc="0" locked="0" layoutInCell="1" allowOverlap="1" wp14:anchorId="41554EF5" wp14:editId="41554EF6">
                <wp:simplePos x="0" y="0"/>
                <wp:positionH relativeFrom="column">
                  <wp:posOffset>-371475</wp:posOffset>
                </wp:positionH>
                <wp:positionV relativeFrom="paragraph">
                  <wp:posOffset>-381000</wp:posOffset>
                </wp:positionV>
                <wp:extent cx="1966595" cy="60198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60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1EC" w:rsidP="00B66CBA" w:rsidRDefault="00BE61EC" w14:paraId="41554F07" w14:textId="77777777">
                            <w:pPr>
                              <w:ind w:left="426"/>
                            </w:pPr>
                            <w:r>
                              <w:rPr>
                                <w:noProof/>
                              </w:rPr>
                              <w:drawing>
                                <wp:inline distT="0" distB="0" distL="0" distR="0" wp14:anchorId="41554F08" wp14:editId="41554F09">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1554EF5">
                <v:stroke joinstyle="miter"/>
                <v:path gradientshapeok="t" o:connecttype="rect"/>
              </v:shapetype>
              <v:shape id="Text Box 3" style="position:absolute;left:0;text-align:left;margin-left:-29.25pt;margin-top:-30pt;width:154.85pt;height:47.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">
                <v:textbox style="mso-fit-shape-to-text:t">
                  <w:txbxContent>
                    <w:p w:rsidR="00BE61EC" w:rsidP="00B66CBA" w:rsidRDefault="00BE61EC" w14:paraId="41554F07" w14:textId="77777777">
                      <w:pPr>
                        <w:ind w:left="426"/>
                      </w:pPr>
                      <w:r>
                        <w:rPr>
                          <w:noProof/>
                        </w:rPr>
                        <w:drawing>
                          <wp:inline distT="0" distB="0" distL="0" distR="0" wp14:anchorId="41554F08" wp14:editId="41554F09">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v:textbox>
              </v:shape>
            </w:pict>
          </mc:Fallback>
        </mc:AlternateContent>
      </w:r>
    </w:p>
    <w:p w:rsidRPr="00862B37" w:rsidR="00C0705D" w:rsidP="002A6AA2" w:rsidRDefault="00E74ABD" w14:paraId="41554EB8" w14:textId="77777777">
      <w:pPr>
        <w:spacing w:before="360" w:after="240"/>
        <w:ind w:left="0"/>
        <w:jc w:val="left"/>
        <w:rPr>
          <w:rFonts w:cs="Arial"/>
          <w:sz w:val="32"/>
          <w:szCs w:val="32"/>
        </w:rPr>
      </w:pPr>
      <w:r w:rsidRPr="00E74ABD">
        <w:rPr>
          <w:rFonts w:cs="Arial"/>
          <w:color w:val="333333"/>
          <w:sz w:val="32"/>
          <w:szCs w:val="32"/>
        </w:rPr>
        <w:t>Casual Academic Staff Professional Development Teaching and Learning Program Policy</w:t>
      </w:r>
    </w:p>
    <w:tbl>
      <w:tblPr>
        <w:tblW w:w="9639" w:type="dxa"/>
        <w:tblInd w:w="108" w:type="dxa"/>
        <w:tblBorders>
          <w:insideV w:val="single" w:color="BFBFBF" w:sz="12" w:space="0"/>
        </w:tblBorders>
        <w:tblLook w:val="01E0" w:firstRow="1" w:lastRow="1" w:firstColumn="1" w:lastColumn="1" w:noHBand="0" w:noVBand="0"/>
      </w:tblPr>
      <w:tblGrid>
        <w:gridCol w:w="2410"/>
        <w:gridCol w:w="7229"/>
      </w:tblGrid>
      <w:tr w:rsidRPr="00423A1D" w:rsidR="00B86B55" w:rsidTr="2B75456B" w14:paraId="41554EBB" w14:textId="77777777">
        <w:tc>
          <w:tcPr>
            <w:tcW w:w="2410" w:type="dxa"/>
            <w:tcBorders>
              <w:top w:val="single" w:color="D9D9D9" w:themeColor="background1" w:themeShade="D9" w:sz="12" w:space="0"/>
              <w:right w:val="single" w:color="D9D9D9" w:themeColor="background1" w:themeShade="D9" w:sz="12" w:space="0"/>
            </w:tcBorders>
            <w:tcMar/>
          </w:tcPr>
          <w:p w:rsidRPr="00423A1D" w:rsidR="00B86B55" w:rsidP="002A6AA2" w:rsidRDefault="00B86B55" w14:paraId="41554EB9" w14:textId="77777777">
            <w:pPr>
              <w:spacing w:after="0"/>
              <w:rPr>
                <w:rFonts w:cs="Arial"/>
                <w:b/>
                <w:sz w:val="12"/>
                <w:szCs w:val="12"/>
              </w:rPr>
            </w:pPr>
          </w:p>
        </w:tc>
        <w:tc>
          <w:tcPr>
            <w:tcW w:w="7229" w:type="dxa"/>
            <w:tcBorders>
              <w:top w:val="single" w:color="D9D9D9" w:themeColor="background1" w:themeShade="D9" w:sz="12" w:space="0"/>
              <w:left w:val="single" w:color="D9D9D9" w:themeColor="background1" w:themeShade="D9" w:sz="12" w:space="0"/>
            </w:tcBorders>
            <w:tcMar/>
          </w:tcPr>
          <w:p w:rsidRPr="00423A1D" w:rsidR="00B86B55" w:rsidP="002A6AA2" w:rsidRDefault="00B86B55" w14:paraId="41554EBA" w14:textId="77777777">
            <w:pPr>
              <w:spacing w:after="0"/>
              <w:ind w:left="159"/>
              <w:rPr>
                <w:rFonts w:cs="Arial"/>
                <w:sz w:val="12"/>
                <w:szCs w:val="12"/>
              </w:rPr>
            </w:pPr>
          </w:p>
        </w:tc>
      </w:tr>
      <w:tr w:rsidRPr="00D614DF" w:rsidR="00B86B55" w:rsidTr="2B75456B" w14:paraId="41554EBE" w14:textId="77777777">
        <w:tc>
          <w:tcPr>
            <w:tcW w:w="2410" w:type="dxa"/>
            <w:tcBorders>
              <w:right w:val="single" w:color="D9D9D9" w:themeColor="background1" w:themeShade="D9" w:sz="12" w:space="0"/>
            </w:tcBorders>
            <w:tcMar/>
            <w:vAlign w:val="center"/>
          </w:tcPr>
          <w:p w:rsidRPr="00D614DF" w:rsidR="00B86B55" w:rsidP="002A6AA2" w:rsidRDefault="00B86B55" w14:paraId="41554EBC" w14:textId="77777777">
            <w:pPr>
              <w:spacing w:before="60" w:after="60"/>
              <w:ind w:left="0"/>
              <w:rPr>
                <w:rFonts w:cs="Arial"/>
                <w:b/>
                <w:sz w:val="20"/>
              </w:rPr>
            </w:pPr>
            <w:r>
              <w:rPr>
                <w:rFonts w:cs="Arial"/>
                <w:b/>
                <w:sz w:val="20"/>
              </w:rPr>
              <w:t>Approving a</w:t>
            </w:r>
            <w:r w:rsidRPr="00D614DF">
              <w:rPr>
                <w:rFonts w:cs="Arial"/>
                <w:b/>
                <w:sz w:val="20"/>
              </w:rPr>
              <w:t>uthority</w:t>
            </w:r>
          </w:p>
        </w:tc>
        <w:tc>
          <w:tcPr>
            <w:tcW w:w="7229" w:type="dxa"/>
            <w:tcBorders>
              <w:left w:val="single" w:color="D9D9D9" w:themeColor="background1" w:themeShade="D9" w:sz="12" w:space="0"/>
            </w:tcBorders>
            <w:tcMar/>
            <w:vAlign w:val="center"/>
          </w:tcPr>
          <w:p w:rsidRPr="00D614DF" w:rsidR="00B86B55" w:rsidP="002A6AA2" w:rsidRDefault="004A2DAE" w14:paraId="41554EBD" w14:textId="77777777">
            <w:pPr>
              <w:spacing w:before="60" w:after="60"/>
              <w:ind w:left="159"/>
              <w:rPr>
                <w:rFonts w:cs="Arial"/>
                <w:sz w:val="20"/>
              </w:rPr>
            </w:pPr>
            <w:r>
              <w:rPr>
                <w:rFonts w:cs="Arial"/>
                <w:sz w:val="20"/>
              </w:rPr>
              <w:t>Academic Committee</w:t>
            </w:r>
          </w:p>
        </w:tc>
      </w:tr>
      <w:tr w:rsidRPr="00D614DF" w:rsidR="00B86B55" w:rsidTr="2B75456B" w14:paraId="41554EC1" w14:textId="77777777">
        <w:tc>
          <w:tcPr>
            <w:tcW w:w="2410" w:type="dxa"/>
            <w:tcBorders>
              <w:right w:val="single" w:color="D9D9D9" w:themeColor="background1" w:themeShade="D9" w:sz="12" w:space="0"/>
            </w:tcBorders>
            <w:tcMar/>
            <w:vAlign w:val="center"/>
          </w:tcPr>
          <w:p w:rsidRPr="00D614DF" w:rsidR="00B86B55" w:rsidP="002A6AA2" w:rsidRDefault="00B86B55" w14:paraId="41554EBF" w14:textId="77777777">
            <w:pPr>
              <w:spacing w:before="60" w:after="60"/>
              <w:ind w:left="0"/>
              <w:rPr>
                <w:rFonts w:cs="Arial"/>
                <w:b/>
                <w:sz w:val="20"/>
              </w:rPr>
            </w:pPr>
            <w:r>
              <w:rPr>
                <w:rFonts w:cs="Arial"/>
                <w:b/>
                <w:sz w:val="20"/>
              </w:rPr>
              <w:t>Approval date</w:t>
            </w:r>
          </w:p>
        </w:tc>
        <w:tc>
          <w:tcPr>
            <w:tcW w:w="7229" w:type="dxa"/>
            <w:tcBorders>
              <w:left w:val="single" w:color="D9D9D9" w:themeColor="background1" w:themeShade="D9" w:sz="12" w:space="0"/>
            </w:tcBorders>
            <w:tcMar/>
          </w:tcPr>
          <w:p w:rsidRPr="00D614DF" w:rsidR="00B86B55" w:rsidP="00020514" w:rsidRDefault="004A2DAE" w14:paraId="41554EC0" w14:textId="05D9A3D6">
            <w:pPr>
              <w:spacing w:before="60" w:after="60"/>
              <w:ind w:left="159"/>
              <w:rPr>
                <w:rFonts w:cs="Arial"/>
                <w:sz w:val="20"/>
              </w:rPr>
            </w:pPr>
            <w:r>
              <w:rPr>
                <w:rFonts w:cs="Arial"/>
                <w:sz w:val="20"/>
              </w:rPr>
              <w:t>21</w:t>
            </w:r>
            <w:r w:rsidR="00020514">
              <w:rPr>
                <w:rFonts w:cs="Arial"/>
                <w:sz w:val="20"/>
              </w:rPr>
              <w:t xml:space="preserve"> July </w:t>
            </w:r>
            <w:r>
              <w:rPr>
                <w:rFonts w:cs="Arial"/>
                <w:sz w:val="20"/>
              </w:rPr>
              <w:t>2005</w:t>
            </w:r>
          </w:p>
        </w:tc>
      </w:tr>
      <w:tr w:rsidRPr="00D614DF" w:rsidR="00020514" w:rsidTr="2B75456B" w14:paraId="53E9FD48" w14:textId="77777777">
        <w:tc>
          <w:tcPr>
            <w:tcW w:w="2410" w:type="dxa"/>
            <w:tcBorders>
              <w:right w:val="single" w:color="D9D9D9" w:themeColor="background1" w:themeShade="D9" w:sz="12" w:space="0"/>
            </w:tcBorders>
            <w:tcMar/>
          </w:tcPr>
          <w:p w:rsidR="00020514" w:rsidP="002A6AA2" w:rsidRDefault="00020514" w14:paraId="587B6EC0" w14:textId="447AC7D4">
            <w:pPr>
              <w:spacing w:before="60" w:after="60"/>
              <w:ind w:left="0"/>
              <w:rPr>
                <w:rFonts w:cs="Arial"/>
                <w:b/>
                <w:sz w:val="20"/>
              </w:rPr>
            </w:pPr>
            <w:r>
              <w:rPr>
                <w:rFonts w:cs="Arial"/>
                <w:b/>
                <w:sz w:val="20"/>
              </w:rPr>
              <w:t>Advisor</w:t>
            </w:r>
          </w:p>
        </w:tc>
        <w:tc>
          <w:tcPr>
            <w:tcW w:w="7229" w:type="dxa"/>
            <w:tcBorders>
              <w:left w:val="single" w:color="D9D9D9" w:themeColor="background1" w:themeShade="D9" w:sz="12" w:space="0"/>
            </w:tcBorders>
            <w:tcMar/>
            <w:vAlign w:val="center"/>
          </w:tcPr>
          <w:p w:rsidRPr="004A2DAE" w:rsidR="00020514" w:rsidP="00DE13FB" w:rsidRDefault="00243EAA" w14:paraId="1254A27B" w14:textId="1DF6AEEF">
            <w:pPr>
              <w:spacing w:before="60" w:after="60"/>
              <w:ind w:left="159"/>
              <w:rPr>
                <w:rFonts w:cs="Arial"/>
                <w:sz w:val="20"/>
              </w:rPr>
            </w:pPr>
            <w:r>
              <w:rPr>
                <w:rFonts w:cs="Arial"/>
                <w:sz w:val="20"/>
              </w:rPr>
              <w:t>Deputy Director (Teaching &amp; Curriculum Transformation) | Learning Futures</w:t>
            </w:r>
            <w:r w:rsidR="00DE13FB">
              <w:rPr>
                <w:rFonts w:cs="Arial"/>
                <w:sz w:val="20"/>
              </w:rPr>
              <w:br/>
            </w:r>
            <w:hyperlink w:history="1" r:id="rId12">
              <w:r w:rsidRPr="000B1EC6">
                <w:rPr>
                  <w:rStyle w:val="Hyperlink"/>
                  <w:rFonts w:cs="Arial"/>
                  <w:sz w:val="20"/>
                </w:rPr>
                <w:t>r.bridgstock@griffith.edu.au</w:t>
              </w:r>
            </w:hyperlink>
          </w:p>
        </w:tc>
      </w:tr>
      <w:tr w:rsidRPr="00D614DF" w:rsidR="00020514" w:rsidTr="2B75456B" w14:paraId="41554EC4" w14:textId="77777777">
        <w:tc>
          <w:tcPr>
            <w:tcW w:w="2410" w:type="dxa"/>
            <w:tcBorders>
              <w:right w:val="single" w:color="D9D9D9" w:themeColor="background1" w:themeShade="D9" w:sz="12" w:space="0"/>
            </w:tcBorders>
            <w:tcMar/>
            <w:vAlign w:val="center"/>
          </w:tcPr>
          <w:p w:rsidRPr="00D614DF" w:rsidR="00020514" w:rsidP="002A6AA2" w:rsidRDefault="00020514" w14:paraId="41554EC2" w14:textId="30C5CC6A">
            <w:pPr>
              <w:spacing w:before="60" w:after="60"/>
              <w:ind w:left="0"/>
              <w:rPr>
                <w:rFonts w:cs="Arial"/>
                <w:b/>
                <w:sz w:val="20"/>
              </w:rPr>
            </w:pPr>
            <w:r>
              <w:rPr>
                <w:rFonts w:cs="Arial"/>
                <w:b/>
                <w:sz w:val="20"/>
              </w:rPr>
              <w:t>Next scheduled review</w:t>
            </w:r>
          </w:p>
        </w:tc>
        <w:tc>
          <w:tcPr>
            <w:tcW w:w="7229" w:type="dxa"/>
            <w:tcBorders>
              <w:left w:val="single" w:color="D9D9D9" w:themeColor="background1" w:themeShade="D9" w:sz="12" w:space="0"/>
            </w:tcBorders>
            <w:tcMar/>
            <w:vAlign w:val="center"/>
          </w:tcPr>
          <w:p w:rsidRPr="00D614DF" w:rsidR="00020514" w:rsidP="2B75456B" w:rsidRDefault="00020514" w14:paraId="41554EC3" w14:textId="76ADBB06">
            <w:pPr>
              <w:spacing w:before="60" w:after="60"/>
              <w:ind w:left="159"/>
              <w:rPr>
                <w:rFonts w:cs="Arial"/>
                <w:sz w:val="20"/>
                <w:szCs w:val="20"/>
              </w:rPr>
            </w:pPr>
            <w:r w:rsidRPr="2B75456B" w:rsidR="00020514">
              <w:rPr>
                <w:rFonts w:cs="Arial"/>
                <w:sz w:val="20"/>
                <w:szCs w:val="20"/>
              </w:rPr>
              <w:t>2012</w:t>
            </w:r>
            <w:r w:rsidRPr="2B75456B" w:rsidR="1D8414E6">
              <w:rPr>
                <w:rFonts w:cs="Arial"/>
                <w:sz w:val="20"/>
                <w:szCs w:val="20"/>
              </w:rPr>
              <w:t xml:space="preserve"> (Currently under review)</w:t>
            </w:r>
          </w:p>
        </w:tc>
      </w:tr>
      <w:tr w:rsidRPr="00D614DF" w:rsidR="00020514" w:rsidTr="2B75456B" w14:paraId="04B6D079" w14:textId="77777777">
        <w:tc>
          <w:tcPr>
            <w:tcW w:w="2410" w:type="dxa"/>
            <w:tcBorders>
              <w:right w:val="single" w:color="D9D9D9" w:themeColor="background1" w:themeShade="D9" w:sz="12" w:space="0"/>
            </w:tcBorders>
            <w:tcMar/>
          </w:tcPr>
          <w:p w:rsidR="00020514" w:rsidP="00020514" w:rsidRDefault="00020514" w14:paraId="0D325070" w14:textId="5B783C3C">
            <w:pPr>
              <w:spacing w:before="60" w:after="60"/>
              <w:ind w:left="0"/>
              <w:jc w:val="left"/>
              <w:rPr>
                <w:rFonts w:cs="Arial"/>
                <w:b/>
                <w:sz w:val="20"/>
              </w:rPr>
            </w:pPr>
            <w:r>
              <w:rPr>
                <w:rFonts w:cs="Arial"/>
                <w:b/>
                <w:sz w:val="20"/>
              </w:rPr>
              <w:t>Document URL</w:t>
            </w:r>
          </w:p>
        </w:tc>
        <w:tc>
          <w:tcPr>
            <w:tcW w:w="7229" w:type="dxa"/>
            <w:tcBorders>
              <w:left w:val="single" w:color="D9D9D9" w:themeColor="background1" w:themeShade="D9" w:sz="12" w:space="0"/>
            </w:tcBorders>
            <w:tcMar/>
          </w:tcPr>
          <w:p w:rsidR="00020514" w:rsidP="00020514" w:rsidRDefault="00020514" w14:paraId="5E447E86" w14:textId="7B87AF25">
            <w:pPr>
              <w:spacing w:before="60" w:after="60"/>
              <w:ind w:left="159"/>
              <w:jc w:val="left"/>
              <w:rPr>
                <w:rFonts w:cs="Arial"/>
                <w:sz w:val="20"/>
              </w:rPr>
            </w:pPr>
            <w:r w:rsidRPr="00BE61EC">
              <w:rPr>
                <w:rFonts w:cs="Arial"/>
                <w:sz w:val="20"/>
              </w:rPr>
              <w:t>http://policies.griffith.edu.au/pdf/Casual Academic Staff Professional Development Policy.pdf</w:t>
            </w:r>
          </w:p>
        </w:tc>
      </w:tr>
      <w:tr w:rsidRPr="00D614DF" w:rsidR="00B86B55" w:rsidTr="2B75456B" w14:paraId="41554ECE" w14:textId="77777777">
        <w:tc>
          <w:tcPr>
            <w:tcW w:w="2410" w:type="dxa"/>
            <w:tcBorders>
              <w:bottom w:val="single" w:color="D9D9D9" w:themeColor="background1" w:themeShade="D9" w:sz="12" w:space="0"/>
              <w:right w:val="single" w:color="D9D9D9" w:themeColor="background1" w:themeShade="D9" w:sz="12" w:space="0"/>
            </w:tcBorders>
            <w:tcMar/>
            <w:vAlign w:val="center"/>
          </w:tcPr>
          <w:p w:rsidRPr="00474FF5" w:rsidR="00B86B55" w:rsidP="002A6AA2" w:rsidRDefault="00B86B55" w14:paraId="41554ECC" w14:textId="77777777">
            <w:pPr>
              <w:spacing w:before="60" w:after="60"/>
              <w:ind w:left="0"/>
              <w:rPr>
                <w:rFonts w:cs="Arial"/>
                <w:b/>
                <w:sz w:val="20"/>
              </w:rPr>
            </w:pPr>
            <w:r w:rsidRPr="00474FF5">
              <w:rPr>
                <w:rFonts w:cs="Arial"/>
                <w:b/>
                <w:sz w:val="20"/>
              </w:rPr>
              <w:t>TRIM document</w:t>
            </w:r>
          </w:p>
        </w:tc>
        <w:tc>
          <w:tcPr>
            <w:tcW w:w="7229" w:type="dxa"/>
            <w:tcBorders>
              <w:left w:val="single" w:color="D9D9D9" w:themeColor="background1" w:themeShade="D9" w:sz="12" w:space="0"/>
              <w:bottom w:val="single" w:color="D9D9D9" w:themeColor="background1" w:themeShade="D9" w:sz="12" w:space="0"/>
            </w:tcBorders>
            <w:tcMar/>
            <w:vAlign w:val="center"/>
          </w:tcPr>
          <w:p w:rsidRPr="00D614DF" w:rsidR="00B86B55" w:rsidP="0070712C" w:rsidRDefault="00243EAA" w14:paraId="41554ECD" w14:textId="4F5FA398">
            <w:pPr>
              <w:spacing w:before="60" w:after="60"/>
              <w:ind w:left="159"/>
              <w:rPr>
                <w:rFonts w:cs="Arial"/>
                <w:sz w:val="20"/>
              </w:rPr>
            </w:pPr>
            <w:r>
              <w:rPr>
                <w:rFonts w:cs="Arial"/>
                <w:sz w:val="20"/>
              </w:rPr>
              <w:t>2018/9006132</w:t>
            </w:r>
          </w:p>
        </w:tc>
      </w:tr>
      <w:tr w:rsidRPr="00D614DF" w:rsidR="00E31309" w:rsidTr="2B75456B" w14:paraId="41554ED1" w14:textId="77777777">
        <w:tc>
          <w:tcPr>
            <w:tcW w:w="2410" w:type="dxa"/>
            <w:tcBorders>
              <w:bottom w:val="single" w:color="D9D9D9" w:themeColor="background1" w:themeShade="D9" w:sz="12" w:space="0"/>
              <w:right w:val="single" w:color="D9D9D9" w:themeColor="background1" w:themeShade="D9" w:sz="12" w:space="0"/>
            </w:tcBorders>
            <w:tcMar/>
          </w:tcPr>
          <w:p w:rsidRPr="00474FF5" w:rsidR="00E31309" w:rsidP="00BE61EC" w:rsidRDefault="00020514" w14:paraId="41554ECF" w14:textId="081ECB9F">
            <w:pPr>
              <w:spacing w:before="60" w:after="60"/>
              <w:ind w:left="0"/>
              <w:jc w:val="left"/>
              <w:rPr>
                <w:rFonts w:cs="Arial"/>
                <w:b/>
                <w:sz w:val="20"/>
              </w:rPr>
            </w:pPr>
            <w:r>
              <w:rPr>
                <w:rFonts w:cs="Arial"/>
                <w:b/>
                <w:sz w:val="20"/>
              </w:rPr>
              <w:t>D</w:t>
            </w:r>
            <w:r w:rsidRPr="00D614DF">
              <w:rPr>
                <w:rFonts w:cs="Arial"/>
                <w:b/>
                <w:sz w:val="20"/>
              </w:rPr>
              <w:t>escription</w:t>
            </w:r>
          </w:p>
        </w:tc>
        <w:tc>
          <w:tcPr>
            <w:tcW w:w="7229" w:type="dxa"/>
            <w:tcBorders>
              <w:left w:val="single" w:color="D9D9D9" w:themeColor="background1" w:themeShade="D9" w:sz="12" w:space="0"/>
              <w:bottom w:val="single" w:color="D9D9D9" w:themeColor="background1" w:themeShade="D9" w:sz="12" w:space="0"/>
            </w:tcBorders>
            <w:tcMar/>
          </w:tcPr>
          <w:p w:rsidR="00E31309" w:rsidP="00020514" w:rsidRDefault="00020514" w14:paraId="41554ED0" w14:textId="1ED7D239">
            <w:pPr>
              <w:spacing w:before="60" w:after="60"/>
              <w:ind w:left="159"/>
              <w:rPr>
                <w:rFonts w:cs="Arial"/>
                <w:sz w:val="20"/>
              </w:rPr>
            </w:pPr>
            <w:r w:rsidRPr="004A2DAE">
              <w:rPr>
                <w:rFonts w:cs="Arial"/>
                <w:sz w:val="20"/>
              </w:rPr>
              <w:t>This policy outlines the arrangements that it be a requirement of employment that all casual academic staff new to Griffith University and new to University teaching undertake the Teaching and Learning program prior to commencing teaching at Griffith University.</w:t>
            </w:r>
          </w:p>
        </w:tc>
      </w:tr>
      <w:tr w:rsidRPr="00D614DF" w:rsidR="00B86B55" w:rsidTr="2B75456B" w14:paraId="41554ED4" w14:textId="77777777">
        <w:tc>
          <w:tcPr>
            <w:tcW w:w="2410" w:type="dxa"/>
            <w:tcBorders>
              <w:top w:val="single" w:color="D9D9D9" w:themeColor="background1" w:themeShade="D9" w:sz="12" w:space="0"/>
              <w:bottom w:val="single" w:color="D9D9D9" w:themeColor="background1" w:themeShade="D9" w:sz="12" w:space="0"/>
              <w:right w:val="nil"/>
            </w:tcBorders>
            <w:tcMar/>
            <w:vAlign w:val="center"/>
          </w:tcPr>
          <w:p w:rsidRPr="00D614DF" w:rsidR="00B86B55" w:rsidP="002A6AA2" w:rsidRDefault="00B86B55" w14:paraId="41554ED2" w14:textId="77777777">
            <w:pPr>
              <w:spacing w:before="60" w:after="60"/>
              <w:ind w:left="0"/>
              <w:rPr>
                <w:rFonts w:cs="Arial"/>
                <w:b/>
                <w:sz w:val="20"/>
              </w:rPr>
            </w:pPr>
            <w:r w:rsidRPr="00D614DF">
              <w:rPr>
                <w:rFonts w:cs="Arial"/>
                <w:b/>
                <w:sz w:val="20"/>
              </w:rPr>
              <w:t>Related documents</w:t>
            </w:r>
          </w:p>
        </w:tc>
        <w:tc>
          <w:tcPr>
            <w:tcW w:w="7229" w:type="dxa"/>
            <w:tcBorders>
              <w:top w:val="single" w:color="D9D9D9" w:themeColor="background1" w:themeShade="D9" w:sz="12" w:space="0"/>
              <w:left w:val="nil"/>
              <w:bottom w:val="single" w:color="D9D9D9" w:themeColor="background1" w:themeShade="D9" w:sz="12" w:space="0"/>
            </w:tcBorders>
            <w:tcMar/>
            <w:vAlign w:val="center"/>
          </w:tcPr>
          <w:p w:rsidRPr="00D614DF" w:rsidR="00B86B55" w:rsidP="002A6AA2" w:rsidRDefault="00B86B55" w14:paraId="41554ED3" w14:textId="77777777">
            <w:pPr>
              <w:spacing w:before="60" w:after="60"/>
              <w:ind w:left="159"/>
              <w:rPr>
                <w:rFonts w:cs="Arial"/>
                <w:sz w:val="20"/>
              </w:rPr>
            </w:pPr>
          </w:p>
        </w:tc>
      </w:tr>
      <w:tr w:rsidRPr="00020514" w:rsidR="00B86B55" w:rsidTr="2B75456B" w14:paraId="41554ED7" w14:textId="77777777">
        <w:tc>
          <w:tcPr>
            <w:tcW w:w="9639" w:type="dxa"/>
            <w:gridSpan w:val="2"/>
            <w:tcBorders>
              <w:top w:val="single" w:color="D9D9D9" w:themeColor="background1" w:themeShade="D9" w:sz="12" w:space="0"/>
              <w:bottom w:val="nil"/>
            </w:tcBorders>
            <w:tcMar/>
          </w:tcPr>
          <w:p w:rsidRPr="00020514" w:rsidR="00BE61EC" w:rsidP="00BE61EC" w:rsidRDefault="00A22EA6" w14:paraId="121EBF54" w14:textId="77777777">
            <w:pPr>
              <w:spacing w:before="60" w:after="60"/>
              <w:ind w:left="0"/>
              <w:jc w:val="left"/>
              <w:rPr>
                <w:rStyle w:val="Hyperlink"/>
                <w:rFonts w:cs="Arial"/>
                <w:sz w:val="20"/>
              </w:rPr>
            </w:pPr>
            <w:hyperlink w:history="1" r:id="rId13">
              <w:r w:rsidRPr="00020514" w:rsidR="00CB5D17">
                <w:rPr>
                  <w:rStyle w:val="Hyperlink"/>
                  <w:rFonts w:cs="Arial"/>
                  <w:sz w:val="20"/>
                </w:rPr>
                <w:t>Griffith Awards for Excellence in Teaching</w:t>
              </w:r>
            </w:hyperlink>
          </w:p>
          <w:p w:rsidRPr="00020514" w:rsidR="00BE61EC" w:rsidP="00BE61EC" w:rsidRDefault="00A22EA6" w14:paraId="3BEAF707" w14:textId="053D42DA">
            <w:pPr>
              <w:spacing w:before="60" w:after="60"/>
              <w:ind w:left="0"/>
              <w:jc w:val="left"/>
              <w:rPr>
                <w:rStyle w:val="Hyperlink"/>
                <w:rFonts w:cs="Arial"/>
                <w:color w:val="auto"/>
                <w:sz w:val="20"/>
                <w:u w:val="none"/>
              </w:rPr>
            </w:pPr>
            <w:hyperlink w:history="1" r:id="rId14">
              <w:r w:rsidRPr="0070712C" w:rsidR="0070712C">
                <w:rPr>
                  <w:rStyle w:val="Hyperlink"/>
                  <w:rFonts w:cs="Arial"/>
                  <w:sz w:val="20"/>
                </w:rPr>
                <w:t>Centre for Learning Futures</w:t>
              </w:r>
            </w:hyperlink>
          </w:p>
          <w:p w:rsidRPr="00020514" w:rsidR="004C1D64" w:rsidP="00BE61EC" w:rsidRDefault="00A22EA6" w14:paraId="41554ED6" w14:textId="25CCC69A">
            <w:pPr>
              <w:spacing w:before="60" w:after="60"/>
              <w:ind w:left="0"/>
              <w:jc w:val="left"/>
              <w:rPr>
                <w:rFonts w:cs="Arial"/>
                <w:color w:val="365F91" w:themeColor="accent1" w:themeShade="BF"/>
                <w:sz w:val="20"/>
                <w:u w:val="single"/>
              </w:rPr>
            </w:pPr>
            <w:hyperlink w:history="1" r:id="rId15">
              <w:r w:rsidRPr="00020514" w:rsidR="004C1D64">
                <w:rPr>
                  <w:rStyle w:val="Hyperlink"/>
                  <w:rFonts w:cs="Arial"/>
                  <w:sz w:val="20"/>
                </w:rPr>
                <w:t>Griffith Awards and Grants Programs</w:t>
              </w:r>
            </w:hyperlink>
          </w:p>
        </w:tc>
      </w:tr>
      <w:tr w:rsidRPr="00474FF5" w:rsidR="00B86B55" w:rsidTr="2B75456B" w14:paraId="41554ED9" w14:textId="77777777">
        <w:tc>
          <w:tcPr>
            <w:tcW w:w="9639" w:type="dxa"/>
            <w:gridSpan w:val="2"/>
            <w:tcBorders>
              <w:top w:val="single" w:color="D9D9D9" w:themeColor="background1" w:themeShade="D9" w:sz="12" w:space="0"/>
              <w:bottom w:val="single" w:color="D9D9D9" w:themeColor="background1" w:themeShade="D9" w:sz="12" w:space="0"/>
            </w:tcBorders>
            <w:tcMar/>
          </w:tcPr>
          <w:p w:rsidRPr="00474FF5" w:rsidR="00B86B55" w:rsidP="002A6AA2" w:rsidRDefault="00CB5D17" w14:paraId="41554ED8" w14:textId="77777777">
            <w:pPr>
              <w:spacing w:before="60" w:after="60"/>
              <w:ind w:left="0"/>
              <w:rPr>
                <w:rFonts w:cs="Arial"/>
                <w:sz w:val="20"/>
              </w:rPr>
            </w:pPr>
            <w:r w:rsidRPr="00CB5D17">
              <w:rPr>
                <w:sz w:val="20"/>
              </w:rPr>
              <w:t>[</w:t>
            </w:r>
            <w:hyperlink w:history="1" w:anchor="introduction">
              <w:r w:rsidRPr="00CB5D17">
                <w:rPr>
                  <w:rStyle w:val="Hyperlink"/>
                  <w:sz w:val="20"/>
                </w:rPr>
                <w:t>Introduction</w:t>
              </w:r>
            </w:hyperlink>
            <w:r w:rsidRPr="00CB5D17">
              <w:rPr>
                <w:sz w:val="20"/>
              </w:rPr>
              <w:t>] [</w:t>
            </w:r>
            <w:hyperlink w:history="1" w:anchor="types">
              <w:r w:rsidRPr="00CB5D17">
                <w:rPr>
                  <w:rStyle w:val="Hyperlink"/>
                  <w:sz w:val="20"/>
                </w:rPr>
                <w:t>Types of Casual Academic Staff Teaching and Learning Programs</w:t>
              </w:r>
            </w:hyperlink>
            <w:r w:rsidRPr="00CB5D17">
              <w:rPr>
                <w:sz w:val="20"/>
              </w:rPr>
              <w:t>] [</w:t>
            </w:r>
            <w:hyperlink w:history="1" w:anchor="process">
              <w:r w:rsidRPr="00CB5D17">
                <w:rPr>
                  <w:rStyle w:val="Hyperlink"/>
                  <w:sz w:val="20"/>
                </w:rPr>
                <w:t>Process</w:t>
              </w:r>
            </w:hyperlink>
            <w:r w:rsidRPr="00CB5D17">
              <w:rPr>
                <w:sz w:val="20"/>
              </w:rPr>
              <w:t>] [</w:t>
            </w:r>
            <w:hyperlink w:history="1" w:anchor="continuingdevelopment">
              <w:r w:rsidRPr="00CB5D17">
                <w:rPr>
                  <w:rStyle w:val="Hyperlink"/>
                  <w:sz w:val="20"/>
                </w:rPr>
                <w:t>Continuing Development for Casual Academic Staff</w:t>
              </w:r>
            </w:hyperlink>
            <w:r w:rsidRPr="00CB5D17">
              <w:rPr>
                <w:sz w:val="20"/>
              </w:rPr>
              <w:t>]</w:t>
            </w:r>
          </w:p>
        </w:tc>
      </w:tr>
    </w:tbl>
    <w:p w:rsidRPr="00B34D13" w:rsidR="00E20578" w:rsidP="00CB5D17" w:rsidRDefault="00CB5D17" w14:paraId="41554EDA" w14:textId="77777777">
      <w:pPr>
        <w:numPr>
          <w:ilvl w:val="0"/>
          <w:numId w:val="2"/>
        </w:numPr>
        <w:spacing w:before="100" w:beforeAutospacing="1" w:after="240"/>
        <w:rPr>
          <w:rFonts w:cs="Arial"/>
          <w:b/>
          <w:caps/>
          <w:sz w:val="24"/>
          <w:szCs w:val="24"/>
        </w:rPr>
      </w:pPr>
      <w:bookmarkStart w:name="introduction" w:id="0"/>
      <w:bookmarkEnd w:id="0"/>
      <w:r w:rsidRPr="00CB5D17">
        <w:rPr>
          <w:b/>
          <w:caps/>
          <w:sz w:val="24"/>
          <w:szCs w:val="24"/>
        </w:rPr>
        <w:t>Introduction</w:t>
      </w:r>
    </w:p>
    <w:p w:rsidR="00020514" w:rsidP="002A6AA2" w:rsidRDefault="00CB5D17" w14:paraId="4AF4CECC" w14:textId="77777777">
      <w:pPr>
        <w:rPr>
          <w:rFonts w:cs="Arial"/>
          <w:sz w:val="20"/>
        </w:rPr>
      </w:pPr>
      <w:r w:rsidRPr="00CB5D17">
        <w:rPr>
          <w:rFonts w:cs="Arial"/>
          <w:sz w:val="20"/>
        </w:rPr>
        <w:t>Casual academic staff undertake an important role in the delivery of the University's academic programs, often in first-year courses where students are making the transition to University life. The aim of this program is to familiarise casual academic staff with Griffith's teaching and learning practices. The program is one of a number of the University's strategies for enhancing the quality of learning and teaching across the institution. The program is compulsory for all casual academic staff new to Griffith and new to University teaching but is also available to other casual academic staff that may benefit, as determined by Heads of School or Deans.</w:t>
      </w:r>
    </w:p>
    <w:p w:rsidRPr="00A62490" w:rsidR="00B34D13" w:rsidP="00020514" w:rsidRDefault="00A22EA6" w14:paraId="41554EDB" w14:textId="392D082D">
      <w:pPr>
        <w:ind w:left="0"/>
        <w:rPr>
          <w:rFonts w:cs="Arial"/>
          <w:sz w:val="20"/>
        </w:rPr>
      </w:pPr>
      <w:r>
        <w:rPr>
          <w:rFonts w:cs="Arial"/>
          <w:sz w:val="20"/>
        </w:rPr>
        <w:pict w14:anchorId="3749B4BD">
          <v:rect id="_x0000_i1025" style="width:476.25pt;height:1pt;mso-position-vertical:absolute" o:hr="t" o:hrstd="t" o:hrnoshade="t" o:hralign="center" fillcolor="#d8d8d8 [2732]" stroked="f"/>
        </w:pict>
      </w:r>
    </w:p>
    <w:p w:rsidRPr="00B34D13" w:rsidR="00B35FB8" w:rsidP="00CB5D17" w:rsidRDefault="00CB5D17" w14:paraId="41554EDC" w14:textId="77777777">
      <w:pPr>
        <w:numPr>
          <w:ilvl w:val="0"/>
          <w:numId w:val="2"/>
        </w:numPr>
        <w:spacing w:before="100" w:beforeAutospacing="1" w:after="240"/>
        <w:rPr>
          <w:rFonts w:cs="Arial"/>
          <w:b/>
          <w:caps/>
          <w:sz w:val="24"/>
          <w:szCs w:val="24"/>
        </w:rPr>
      </w:pPr>
      <w:bookmarkStart w:name="types" w:id="1"/>
      <w:bookmarkEnd w:id="1"/>
      <w:r w:rsidRPr="00CB5D17">
        <w:rPr>
          <w:b/>
          <w:caps/>
          <w:sz w:val="24"/>
          <w:szCs w:val="24"/>
        </w:rPr>
        <w:t>Types of Casual Academic Staff Teaching and Learning Programs</w:t>
      </w:r>
    </w:p>
    <w:p w:rsidRPr="00CB5D17" w:rsidR="00CB5D17" w:rsidP="00CB5D17" w:rsidRDefault="00CB5D17" w14:paraId="41554EDD" w14:textId="77777777">
      <w:pPr>
        <w:rPr>
          <w:rFonts w:cs="Arial"/>
          <w:sz w:val="20"/>
        </w:rPr>
      </w:pPr>
      <w:r w:rsidRPr="00CB5D17">
        <w:rPr>
          <w:rFonts w:cs="Arial"/>
          <w:sz w:val="20"/>
        </w:rPr>
        <w:t>It is a requirement of employment that all casual academic staff new to Griffith University and new to University teaching normally undertake the Teaching and Learning program prior to commencing teaching at Griffith University.</w:t>
      </w:r>
    </w:p>
    <w:p w:rsidRPr="00CB5D17" w:rsidR="00CB5D17" w:rsidP="00CB5D17" w:rsidRDefault="00CB5D17" w14:paraId="41554EDE" w14:textId="77777777">
      <w:pPr>
        <w:rPr>
          <w:rFonts w:cs="Arial"/>
          <w:sz w:val="20"/>
        </w:rPr>
      </w:pPr>
      <w:r w:rsidRPr="00CB5D17">
        <w:rPr>
          <w:rFonts w:cs="Arial"/>
          <w:sz w:val="20"/>
        </w:rPr>
        <w:t>The Head of School, in consultation with the Dean, is responsible for determining which of the following two Teaching and Learning program workshops described below that casual academic staff new to Griffith University or teaching are to attend:</w:t>
      </w:r>
    </w:p>
    <w:p w:rsidRPr="00CB5D17" w:rsidR="00CB5D17" w:rsidP="00CB5D17" w:rsidRDefault="00CB5D17" w14:paraId="41554EDF" w14:textId="58149818">
      <w:pPr>
        <w:pStyle w:val="ListParagraph"/>
        <w:numPr>
          <w:ilvl w:val="0"/>
          <w:numId w:val="4"/>
        </w:numPr>
        <w:rPr>
          <w:rFonts w:cs="Arial"/>
          <w:sz w:val="20"/>
        </w:rPr>
      </w:pPr>
      <w:r w:rsidRPr="00CB5D17">
        <w:rPr>
          <w:rFonts w:cs="Arial"/>
          <w:sz w:val="20"/>
        </w:rPr>
        <w:t xml:space="preserve">A half-day workshop offered by the </w:t>
      </w:r>
      <w:r w:rsidR="0070712C">
        <w:rPr>
          <w:rFonts w:cs="Arial"/>
          <w:sz w:val="20"/>
        </w:rPr>
        <w:t>Centre for Learning Futures;</w:t>
      </w:r>
      <w:r w:rsidRPr="00CB5D17">
        <w:rPr>
          <w:rFonts w:cs="Arial"/>
          <w:sz w:val="20"/>
        </w:rPr>
        <w:t xml:space="preserve"> or</w:t>
      </w:r>
    </w:p>
    <w:p w:rsidR="00431ED9" w:rsidP="00CB5D17" w:rsidRDefault="00CB5D17" w14:paraId="41554EE0" w14:textId="18F7D248">
      <w:pPr>
        <w:pStyle w:val="ListParagraph"/>
        <w:numPr>
          <w:ilvl w:val="0"/>
          <w:numId w:val="4"/>
        </w:numPr>
        <w:rPr>
          <w:rFonts w:cs="Arial"/>
          <w:sz w:val="20"/>
        </w:rPr>
      </w:pPr>
      <w:r w:rsidRPr="00CB5D17">
        <w:rPr>
          <w:rFonts w:cs="Arial"/>
          <w:sz w:val="20"/>
        </w:rPr>
        <w:t xml:space="preserve">An equivalent workshop offered by the School or Faculty, either independently or in collaboration with </w:t>
      </w:r>
      <w:r w:rsidR="0070712C">
        <w:rPr>
          <w:rFonts w:cs="Arial"/>
          <w:sz w:val="20"/>
        </w:rPr>
        <w:t>the Centre for Learning Futures</w:t>
      </w:r>
      <w:r w:rsidRPr="00CB5D17">
        <w:rPr>
          <w:rFonts w:cs="Arial"/>
          <w:sz w:val="20"/>
        </w:rPr>
        <w:t>.</w:t>
      </w:r>
    </w:p>
    <w:p w:rsidR="00EE6100" w:rsidP="00EE6100" w:rsidRDefault="00EE6100" w14:paraId="7634A278" w14:textId="77777777">
      <w:pPr>
        <w:pStyle w:val="ListParagraph"/>
        <w:ind w:left="927"/>
        <w:rPr>
          <w:rFonts w:cs="Arial"/>
          <w:sz w:val="20"/>
        </w:rPr>
      </w:pPr>
    </w:p>
    <w:p w:rsidRPr="00CB5D17" w:rsidR="00CB5D17" w:rsidP="00CB5D17" w:rsidRDefault="0070712C" w14:paraId="41554EE1" w14:textId="562EB0BB">
      <w:pPr>
        <w:numPr>
          <w:ilvl w:val="1"/>
          <w:numId w:val="2"/>
        </w:numPr>
        <w:tabs>
          <w:tab w:val="clear" w:pos="1146"/>
          <w:tab w:val="left" w:pos="1134"/>
        </w:tabs>
        <w:rPr>
          <w:rFonts w:cs="Arial"/>
          <w:b/>
          <w:sz w:val="20"/>
        </w:rPr>
      </w:pPr>
      <w:r>
        <w:rPr>
          <w:rFonts w:cs="Arial"/>
          <w:b/>
          <w:sz w:val="20"/>
        </w:rPr>
        <w:t>Centre for Learning Futures</w:t>
      </w:r>
      <w:r w:rsidRPr="00CB5D17" w:rsidR="00CB5D17">
        <w:rPr>
          <w:rFonts w:cs="Arial"/>
          <w:b/>
          <w:sz w:val="20"/>
        </w:rPr>
        <w:t xml:space="preserve"> Teaching and Learning Program Workshops</w:t>
      </w:r>
    </w:p>
    <w:p w:rsidRPr="00CB5D17" w:rsidR="00CB5D17" w:rsidP="00CB5D17" w:rsidRDefault="00CB5D17" w14:paraId="41554EE2" w14:textId="38B26929">
      <w:pPr>
        <w:tabs>
          <w:tab w:val="left" w:pos="1134"/>
        </w:tabs>
        <w:ind w:left="1146"/>
        <w:rPr>
          <w:rFonts w:cs="Arial"/>
          <w:sz w:val="20"/>
        </w:rPr>
      </w:pPr>
      <w:r w:rsidRPr="00CB5D17">
        <w:rPr>
          <w:rFonts w:cs="Arial"/>
          <w:sz w:val="20"/>
        </w:rPr>
        <w:t xml:space="preserve">The </w:t>
      </w:r>
      <w:r w:rsidR="0070712C">
        <w:rPr>
          <w:rFonts w:cs="Arial"/>
          <w:sz w:val="20"/>
        </w:rPr>
        <w:t>Centre for Learning Futures</w:t>
      </w:r>
      <w:r w:rsidRPr="00CB5D17">
        <w:rPr>
          <w:rFonts w:cs="Arial"/>
          <w:sz w:val="20"/>
        </w:rPr>
        <w:t xml:space="preserve"> offers a series of Teaching and Learning workshops tailored specifically for casual academic staff. Casual academic staff are paid for their attendance at the workshop once their participation has been confirmed by </w:t>
      </w:r>
      <w:r w:rsidR="0070712C">
        <w:rPr>
          <w:rFonts w:cs="Arial"/>
          <w:sz w:val="20"/>
        </w:rPr>
        <w:t>the Centre for Learning Futures</w:t>
      </w:r>
      <w:r w:rsidRPr="00CB5D17">
        <w:rPr>
          <w:rFonts w:cs="Arial"/>
          <w:sz w:val="20"/>
        </w:rPr>
        <w:t xml:space="preserve">. Attendance will be paid at base rate: applicable to other required academic activity. The sessions are four hours in length with some workshops directed more towards laboratory-based teaching and advertised accordingly. </w:t>
      </w:r>
    </w:p>
    <w:p w:rsidRPr="00CB5D17" w:rsidR="00CB5D17" w:rsidP="00CB5D17" w:rsidRDefault="00CB5D17" w14:paraId="41554EE3" w14:textId="77777777">
      <w:pPr>
        <w:tabs>
          <w:tab w:val="left" w:pos="1134"/>
        </w:tabs>
        <w:ind w:left="1146"/>
        <w:rPr>
          <w:rFonts w:cs="Arial"/>
          <w:sz w:val="20"/>
        </w:rPr>
      </w:pPr>
      <w:r w:rsidRPr="00CB5D17">
        <w:rPr>
          <w:rFonts w:cs="Arial"/>
          <w:sz w:val="20"/>
        </w:rPr>
        <w:t>Teaching and Learning workshops are offered up to the middle of semester to cater for the varied commencement dates of casual academic staff. Workshops will be offered at a variety of times and on a number of campuses.</w:t>
      </w:r>
    </w:p>
    <w:p w:rsidRPr="00CB5D17" w:rsidR="00CB5D17" w:rsidP="00CB5D17" w:rsidRDefault="00CB5D17" w14:paraId="41554EE4" w14:textId="77777777">
      <w:pPr>
        <w:tabs>
          <w:tab w:val="left" w:pos="1134"/>
        </w:tabs>
        <w:ind w:left="1146"/>
        <w:rPr>
          <w:rFonts w:cs="Arial"/>
          <w:sz w:val="20"/>
        </w:rPr>
      </w:pPr>
      <w:r w:rsidRPr="00CB5D17">
        <w:rPr>
          <w:rFonts w:cs="Arial"/>
          <w:sz w:val="20"/>
        </w:rPr>
        <w:t xml:space="preserve">The workshops focus on the following teaching and learning elements </w:t>
      </w:r>
    </w:p>
    <w:p w:rsidRPr="00CB5D17" w:rsidR="00CB5D17" w:rsidP="00CB5D17" w:rsidRDefault="00CB5D17" w14:paraId="41554EE5" w14:textId="77777777">
      <w:pPr>
        <w:pStyle w:val="ListParagraph"/>
        <w:numPr>
          <w:ilvl w:val="0"/>
          <w:numId w:val="5"/>
        </w:numPr>
        <w:tabs>
          <w:tab w:val="left" w:pos="1134"/>
        </w:tabs>
        <w:rPr>
          <w:rFonts w:cs="Arial"/>
          <w:sz w:val="20"/>
        </w:rPr>
      </w:pPr>
      <w:r w:rsidRPr="00CB5D17">
        <w:rPr>
          <w:rFonts w:cs="Arial"/>
          <w:sz w:val="20"/>
        </w:rPr>
        <w:t>Understanding how learning occurs; conceptualising teaching to engender learning;</w:t>
      </w:r>
    </w:p>
    <w:p w:rsidRPr="00CB5D17" w:rsidR="00CB5D17" w:rsidP="00CB5D17" w:rsidRDefault="00CB5D17" w14:paraId="41554EE6" w14:textId="77777777">
      <w:pPr>
        <w:pStyle w:val="ListParagraph"/>
        <w:numPr>
          <w:ilvl w:val="0"/>
          <w:numId w:val="5"/>
        </w:numPr>
        <w:tabs>
          <w:tab w:val="left" w:pos="1134"/>
        </w:tabs>
        <w:rPr>
          <w:rFonts w:cs="Arial"/>
          <w:sz w:val="20"/>
        </w:rPr>
      </w:pPr>
      <w:r w:rsidRPr="00CB5D17">
        <w:rPr>
          <w:rFonts w:cs="Arial"/>
          <w:sz w:val="20"/>
        </w:rPr>
        <w:t>Planning and conducting activities that engage students in active and interactive learning (</w:t>
      </w:r>
      <w:proofErr w:type="spellStart"/>
      <w:r w:rsidRPr="00CB5D17">
        <w:rPr>
          <w:rFonts w:cs="Arial"/>
          <w:sz w:val="20"/>
        </w:rPr>
        <w:t>eg</w:t>
      </w:r>
      <w:proofErr w:type="spellEnd"/>
      <w:r w:rsidRPr="00CB5D17">
        <w:rPr>
          <w:rFonts w:cs="Arial"/>
          <w:sz w:val="20"/>
        </w:rPr>
        <w:t xml:space="preserve"> a tutorial/seminar/laboratory session);</w:t>
      </w:r>
    </w:p>
    <w:p w:rsidRPr="00CB5D17" w:rsidR="00CB5D17" w:rsidP="00CB5D17" w:rsidRDefault="00CB5D17" w14:paraId="41554EE7" w14:textId="77777777">
      <w:pPr>
        <w:pStyle w:val="ListParagraph"/>
        <w:numPr>
          <w:ilvl w:val="0"/>
          <w:numId w:val="5"/>
        </w:numPr>
        <w:tabs>
          <w:tab w:val="left" w:pos="1134"/>
        </w:tabs>
        <w:rPr>
          <w:rFonts w:cs="Arial"/>
          <w:sz w:val="20"/>
        </w:rPr>
      </w:pPr>
      <w:r w:rsidRPr="00CB5D17">
        <w:rPr>
          <w:rFonts w:cs="Arial"/>
          <w:sz w:val="20"/>
        </w:rPr>
        <w:t>Enhancing learning through planning and implementing assessment appropriately;</w:t>
      </w:r>
    </w:p>
    <w:p w:rsidRPr="00CB5D17" w:rsidR="00CB5D17" w:rsidP="00CB5D17" w:rsidRDefault="00CB5D17" w14:paraId="41554EE8" w14:textId="77777777">
      <w:pPr>
        <w:pStyle w:val="ListParagraph"/>
        <w:numPr>
          <w:ilvl w:val="0"/>
          <w:numId w:val="5"/>
        </w:numPr>
        <w:tabs>
          <w:tab w:val="left" w:pos="1134"/>
        </w:tabs>
        <w:rPr>
          <w:rFonts w:cs="Arial"/>
          <w:sz w:val="20"/>
        </w:rPr>
      </w:pPr>
      <w:r w:rsidRPr="00CB5D17">
        <w:rPr>
          <w:rFonts w:cs="Arial"/>
          <w:sz w:val="20"/>
        </w:rPr>
        <w:t>How to give feedback that promotes student learning;</w:t>
      </w:r>
    </w:p>
    <w:p w:rsidRPr="00CB5D17" w:rsidR="00CB5D17" w:rsidP="00CB5D17" w:rsidRDefault="00CB5D17" w14:paraId="41554EE9" w14:textId="77777777">
      <w:pPr>
        <w:pStyle w:val="ListParagraph"/>
        <w:numPr>
          <w:ilvl w:val="0"/>
          <w:numId w:val="5"/>
        </w:numPr>
        <w:tabs>
          <w:tab w:val="left" w:pos="1134"/>
        </w:tabs>
        <w:rPr>
          <w:rFonts w:cs="Arial"/>
          <w:sz w:val="20"/>
        </w:rPr>
      </w:pPr>
      <w:r w:rsidRPr="00CB5D17">
        <w:rPr>
          <w:rFonts w:cs="Arial"/>
          <w:sz w:val="20"/>
        </w:rPr>
        <w:t>Evaluating teaching.</w:t>
      </w:r>
    </w:p>
    <w:p w:rsidRPr="00CB5D17" w:rsidR="00CB5D17" w:rsidP="00CB5D17" w:rsidRDefault="00CB5D17" w14:paraId="41554EEA" w14:textId="77777777">
      <w:pPr>
        <w:numPr>
          <w:ilvl w:val="1"/>
          <w:numId w:val="2"/>
        </w:numPr>
        <w:tabs>
          <w:tab w:val="clear" w:pos="1146"/>
          <w:tab w:val="left" w:pos="1134"/>
        </w:tabs>
        <w:rPr>
          <w:rFonts w:cs="Arial"/>
          <w:b/>
          <w:sz w:val="20"/>
        </w:rPr>
      </w:pPr>
      <w:r w:rsidRPr="00CB5D17">
        <w:rPr>
          <w:rFonts w:cs="Arial"/>
          <w:b/>
          <w:sz w:val="20"/>
        </w:rPr>
        <w:t>School/Faculty Teaching and Learning Program Workshops</w:t>
      </w:r>
    </w:p>
    <w:p w:rsidR="00020514" w:rsidP="00CB5D17" w:rsidRDefault="00CB5D17" w14:paraId="743F2C08" w14:textId="52BDA8B7">
      <w:pPr>
        <w:tabs>
          <w:tab w:val="left" w:pos="1134"/>
        </w:tabs>
        <w:ind w:left="1146"/>
        <w:rPr>
          <w:rFonts w:cs="Arial"/>
          <w:sz w:val="20"/>
        </w:rPr>
      </w:pPr>
      <w:r w:rsidRPr="00CB5D17">
        <w:rPr>
          <w:rFonts w:cs="Arial"/>
          <w:sz w:val="20"/>
        </w:rPr>
        <w:t xml:space="preserve">The Teaching and Learning program for a School/ Faculty workshop is to be provided to the </w:t>
      </w:r>
      <w:r w:rsidR="007928EE">
        <w:rPr>
          <w:rFonts w:cs="Arial"/>
          <w:sz w:val="20"/>
        </w:rPr>
        <w:t>Provost</w:t>
      </w:r>
      <w:r w:rsidRPr="00CB5D17">
        <w:rPr>
          <w:rFonts w:cs="Arial"/>
          <w:sz w:val="20"/>
        </w:rPr>
        <w:t xml:space="preserve"> for endorsement before being offered to casual academic staff. Where teaching elements offer an approved workshop, casual academic staff will attend the School/Faculty workshop in place of the </w:t>
      </w:r>
      <w:r w:rsidR="0070712C">
        <w:rPr>
          <w:rFonts w:cs="Arial"/>
          <w:sz w:val="20"/>
        </w:rPr>
        <w:t xml:space="preserve">Centre for Learning Futures </w:t>
      </w:r>
      <w:r w:rsidRPr="00CB5D17">
        <w:rPr>
          <w:rFonts w:cs="Arial"/>
          <w:sz w:val="20"/>
        </w:rPr>
        <w:t>workshops. Casual academic staff are paid for their attendance at the school/faculty workshop once their participation has been confirmed by the Dean. Attendance will be paid at base rate: applicable to other required academic activity.</w:t>
      </w:r>
    </w:p>
    <w:p w:rsidRPr="00CB5D17" w:rsidR="00431ED9" w:rsidP="00020514" w:rsidRDefault="00A22EA6" w14:paraId="41554EEB" w14:textId="4338D8E6">
      <w:pPr>
        <w:tabs>
          <w:tab w:val="left" w:pos="1134"/>
        </w:tabs>
        <w:ind w:left="0"/>
        <w:rPr>
          <w:rFonts w:cs="Arial"/>
          <w:sz w:val="20"/>
        </w:rPr>
      </w:pPr>
      <w:r>
        <w:rPr>
          <w:rFonts w:cs="Arial"/>
          <w:sz w:val="20"/>
        </w:rPr>
        <w:pict w14:anchorId="62C5396C">
          <v:rect id="_x0000_i1026" style="width:476.25pt;height:1pt;mso-position-vertical:absolute" o:hr="t" o:hrstd="t" o:hrnoshade="t" o:hralign="center" fillcolor="#d8d8d8 [2732]" stroked="f"/>
        </w:pict>
      </w:r>
    </w:p>
    <w:p w:rsidRPr="00B34D13" w:rsidR="00B35FB8" w:rsidP="00CB5D17" w:rsidRDefault="00CB5D17" w14:paraId="41554EEC" w14:textId="77777777">
      <w:pPr>
        <w:numPr>
          <w:ilvl w:val="0"/>
          <w:numId w:val="2"/>
        </w:numPr>
        <w:spacing w:before="100" w:beforeAutospacing="1" w:after="240"/>
        <w:rPr>
          <w:rFonts w:cs="Arial"/>
          <w:b/>
          <w:caps/>
          <w:sz w:val="24"/>
          <w:szCs w:val="24"/>
        </w:rPr>
      </w:pPr>
      <w:bookmarkStart w:name="process" w:id="2"/>
      <w:bookmarkEnd w:id="2"/>
      <w:r w:rsidRPr="00CB5D17">
        <w:rPr>
          <w:b/>
          <w:caps/>
          <w:sz w:val="24"/>
          <w:szCs w:val="24"/>
        </w:rPr>
        <w:t>Process</w:t>
      </w:r>
    </w:p>
    <w:p w:rsidRPr="00CB5D17" w:rsidR="00CB5D17" w:rsidP="00CB5D17" w:rsidRDefault="00CB5D17" w14:paraId="41554EED" w14:textId="77777777">
      <w:pPr>
        <w:rPr>
          <w:rFonts w:cs="Arial"/>
          <w:sz w:val="20"/>
        </w:rPr>
      </w:pPr>
      <w:r w:rsidRPr="00CB5D17">
        <w:rPr>
          <w:rFonts w:cs="Arial"/>
          <w:sz w:val="20"/>
        </w:rPr>
        <w:t xml:space="preserve">It is the Head of School's responsibility to advise new casual academic staff of the requirement to attend a teaching and learning program workshop and of the appropriate workshop times and venues. </w:t>
      </w:r>
    </w:p>
    <w:p w:rsidRPr="00CB5D17" w:rsidR="00CB5D17" w:rsidP="00CB5D17" w:rsidRDefault="00CB5D17" w14:paraId="41554EEE" w14:textId="5902F877">
      <w:pPr>
        <w:rPr>
          <w:rFonts w:cs="Arial"/>
          <w:sz w:val="20"/>
        </w:rPr>
      </w:pPr>
      <w:r w:rsidRPr="00CB5D17">
        <w:rPr>
          <w:rFonts w:cs="Arial"/>
          <w:sz w:val="20"/>
        </w:rPr>
        <w:t>From the first week of February onwards, the Head of School is required to supply the relevant Dean with the list of casual academic staff required to undertake a teaching and learning program and indicate which workshop staff will be attending (i</w:t>
      </w:r>
      <w:r w:rsidR="0070712C">
        <w:rPr>
          <w:rFonts w:cs="Arial"/>
          <w:sz w:val="20"/>
        </w:rPr>
        <w:t>.</w:t>
      </w:r>
      <w:r w:rsidRPr="00CB5D17">
        <w:rPr>
          <w:rFonts w:cs="Arial"/>
          <w:sz w:val="20"/>
        </w:rPr>
        <w:t>e</w:t>
      </w:r>
      <w:r w:rsidR="0070712C">
        <w:rPr>
          <w:rFonts w:cs="Arial"/>
          <w:sz w:val="20"/>
        </w:rPr>
        <w:t>.</w:t>
      </w:r>
      <w:r w:rsidRPr="00CB5D17">
        <w:rPr>
          <w:rFonts w:cs="Arial"/>
          <w:sz w:val="20"/>
        </w:rPr>
        <w:t xml:space="preserve"> </w:t>
      </w:r>
      <w:r w:rsidR="0070712C">
        <w:rPr>
          <w:rFonts w:cs="Arial"/>
          <w:sz w:val="20"/>
        </w:rPr>
        <w:t>Centre for Learning Futures</w:t>
      </w:r>
      <w:r w:rsidRPr="00CB5D17">
        <w:rPr>
          <w:rFonts w:cs="Arial"/>
          <w:sz w:val="20"/>
        </w:rPr>
        <w:t xml:space="preserve"> or School/ Faculty based). This information is to be updated as more casual academic staff are appointed over the semester. The Teaching and Learning Program Advice form is to be used for this purpose. </w:t>
      </w:r>
    </w:p>
    <w:p w:rsidRPr="00CB5D17" w:rsidR="00CB5D17" w:rsidP="00CB5D17" w:rsidRDefault="00CB5D17" w14:paraId="41554EEF" w14:textId="3F58E05E">
      <w:pPr>
        <w:rPr>
          <w:rFonts w:cs="Arial"/>
          <w:sz w:val="20"/>
        </w:rPr>
      </w:pPr>
      <w:r w:rsidRPr="00CB5D17">
        <w:rPr>
          <w:rFonts w:cs="Arial"/>
          <w:sz w:val="20"/>
        </w:rPr>
        <w:t xml:space="preserve">Deans are required to approve the proposed list of workshop attendees. In the case where the Faculty is utilising the </w:t>
      </w:r>
      <w:r w:rsidR="0070712C">
        <w:rPr>
          <w:rFonts w:cs="Arial"/>
          <w:sz w:val="20"/>
        </w:rPr>
        <w:t>Centre for Learning Futures</w:t>
      </w:r>
      <w:r w:rsidRPr="00CB5D17">
        <w:rPr>
          <w:rFonts w:cs="Arial"/>
          <w:sz w:val="20"/>
        </w:rPr>
        <w:t xml:space="preserve"> workshop, casual academic staff names are to be forwarded via the Teaching and Learning Program Advice form to </w:t>
      </w:r>
      <w:r w:rsidR="0070712C">
        <w:rPr>
          <w:rFonts w:cs="Arial"/>
          <w:sz w:val="20"/>
        </w:rPr>
        <w:t>the Centre for Learning Futures</w:t>
      </w:r>
      <w:r w:rsidRPr="00CB5D17">
        <w:rPr>
          <w:rFonts w:cs="Arial"/>
          <w:sz w:val="20"/>
        </w:rPr>
        <w:t xml:space="preserve"> prior to orientation week and updated as additional casual academic staff are appointed. </w:t>
      </w:r>
    </w:p>
    <w:p w:rsidR="00020514" w:rsidP="00CB5D17" w:rsidRDefault="00CB5D17" w14:paraId="675AE5A6" w14:textId="39CF704E">
      <w:pPr>
        <w:rPr>
          <w:rFonts w:cs="Arial"/>
          <w:sz w:val="20"/>
        </w:rPr>
      </w:pPr>
      <w:r w:rsidRPr="00CB5D17">
        <w:rPr>
          <w:rFonts w:cs="Arial"/>
          <w:sz w:val="20"/>
        </w:rPr>
        <w:t xml:space="preserve">On completion of the Teaching and Learning workshops each semester, Deans and the </w:t>
      </w:r>
      <w:r w:rsidR="0070712C">
        <w:rPr>
          <w:rFonts w:cs="Arial"/>
          <w:sz w:val="20"/>
        </w:rPr>
        <w:t>Dean (Learning Futures)</w:t>
      </w:r>
      <w:r w:rsidRPr="00CB5D17">
        <w:rPr>
          <w:rFonts w:cs="Arial"/>
          <w:sz w:val="20"/>
        </w:rPr>
        <w:t xml:space="preserve"> are responsible for providing, no later than Week 7 of the semester, full participant lists to the Teaching and Learning Excellence Committee. The Dean's list should identify the names of all casual academic staff new to teaching and to the University, those who attended a workshop, the type of workshop attended, and the date of attendance.</w:t>
      </w:r>
    </w:p>
    <w:p w:rsidRPr="00A62490" w:rsidR="00431ED9" w:rsidP="00020514" w:rsidRDefault="00A22EA6" w14:paraId="41554EF0" w14:textId="734C4BCD">
      <w:pPr>
        <w:ind w:left="0"/>
        <w:rPr>
          <w:rFonts w:cs="Arial"/>
          <w:sz w:val="20"/>
        </w:rPr>
      </w:pPr>
      <w:r>
        <w:rPr>
          <w:rFonts w:cs="Arial"/>
          <w:sz w:val="20"/>
        </w:rPr>
        <w:pict w14:anchorId="5CFD0F99">
          <v:rect id="_x0000_i1027" style="width:476.25pt;height:1pt;mso-position-vertical:absolute" o:hr="t" o:hrstd="t" o:hrnoshade="t" o:hralign="center" fillcolor="#d8d8d8 [2732]" stroked="f"/>
        </w:pict>
      </w:r>
    </w:p>
    <w:p w:rsidRPr="00B34D13" w:rsidR="00B35FB8" w:rsidP="00CB5D17" w:rsidRDefault="00CB5D17" w14:paraId="41554EF1" w14:textId="77777777">
      <w:pPr>
        <w:numPr>
          <w:ilvl w:val="0"/>
          <w:numId w:val="2"/>
        </w:numPr>
        <w:spacing w:before="100" w:beforeAutospacing="1" w:after="240"/>
        <w:rPr>
          <w:rFonts w:cs="Arial"/>
          <w:b/>
          <w:caps/>
          <w:sz w:val="24"/>
          <w:szCs w:val="24"/>
        </w:rPr>
      </w:pPr>
      <w:bookmarkStart w:name="continuingdevelopment" w:id="3"/>
      <w:bookmarkEnd w:id="3"/>
      <w:r w:rsidRPr="00CB5D17">
        <w:rPr>
          <w:b/>
          <w:caps/>
          <w:sz w:val="24"/>
          <w:szCs w:val="24"/>
        </w:rPr>
        <w:t>Continuing Development For Casual Academic Staff</w:t>
      </w:r>
    </w:p>
    <w:p w:rsidRPr="00CB5D17" w:rsidR="00CB5D17" w:rsidP="00CB5D17" w:rsidRDefault="0070712C" w14:paraId="41554EF2" w14:textId="2A2D0C1A">
      <w:pPr>
        <w:rPr>
          <w:rFonts w:cs="Arial"/>
          <w:sz w:val="20"/>
        </w:rPr>
      </w:pPr>
      <w:r>
        <w:rPr>
          <w:rFonts w:cs="Arial"/>
          <w:sz w:val="20"/>
        </w:rPr>
        <w:t>The Centre for Learning Futures</w:t>
      </w:r>
      <w:r w:rsidRPr="00CB5D17" w:rsidR="00CB5D17">
        <w:rPr>
          <w:rFonts w:cs="Arial"/>
          <w:sz w:val="20"/>
        </w:rPr>
        <w:t xml:space="preserve"> provides a range of professional development workshops for which casual academic staff may register. Casual academic staff are also eligible to undertake the </w:t>
      </w:r>
      <w:r>
        <w:rPr>
          <w:rFonts w:cs="Arial"/>
          <w:sz w:val="20"/>
        </w:rPr>
        <w:t>Centre for Learning Futures</w:t>
      </w:r>
      <w:r w:rsidRPr="00CB5D17" w:rsidR="00CB5D17">
        <w:rPr>
          <w:rFonts w:cs="Arial"/>
          <w:sz w:val="20"/>
        </w:rPr>
        <w:t xml:space="preserve"> Foundations of University Teaching. The Head of School is responsible for providing support to casual academic staff throughout the semester. </w:t>
      </w:r>
    </w:p>
    <w:p w:rsidRPr="00CB5D17" w:rsidR="00CB5D17" w:rsidP="00CB5D17" w:rsidRDefault="00CB5D17" w14:paraId="41554EF3" w14:textId="77777777">
      <w:pPr>
        <w:rPr>
          <w:rFonts w:cs="Arial"/>
          <w:sz w:val="20"/>
        </w:rPr>
      </w:pPr>
      <w:r w:rsidRPr="00CB5D17">
        <w:rPr>
          <w:rFonts w:cs="Arial"/>
          <w:sz w:val="20"/>
        </w:rPr>
        <w:t>The Griffith Awards for Excellence in Teaching recognise the performance and contributions of casual academic staff to the University by providing a Casual Academic Staff Award that is open to all academic staff who are employed on a casual basis, and who have at least 12 months accumulated teaching at Griffith.</w:t>
      </w:r>
    </w:p>
    <w:p w:rsidRPr="00A62490" w:rsidR="00E31309" w:rsidP="00CB5D17" w:rsidRDefault="00CB5D17" w14:paraId="41554EF4" w14:textId="77777777">
      <w:pPr>
        <w:rPr>
          <w:rFonts w:cs="Arial"/>
          <w:sz w:val="20"/>
        </w:rPr>
      </w:pPr>
      <w:r w:rsidRPr="00CB5D17">
        <w:rPr>
          <w:rFonts w:cs="Arial"/>
          <w:sz w:val="20"/>
        </w:rPr>
        <w:t>Two academic award programs, the Graduate Certificate in Higher Education and the Master of Higher Education are also available to casual academic staff for enrolment.</w:t>
      </w:r>
      <w:r w:rsidRPr="00A62490">
        <w:rPr>
          <w:rFonts w:cs="Arial"/>
          <w:sz w:val="20"/>
        </w:rPr>
        <w:t xml:space="preserve"> </w:t>
      </w:r>
    </w:p>
    <w:sectPr w:rsidRPr="00A62490" w:rsidR="00E31309" w:rsidSect="00147712">
      <w:headerReference w:type="even" r:id="rId16"/>
      <w:headerReference w:type="default" r:id="rId17"/>
      <w:footerReference w:type="even" r:id="rId18"/>
      <w:footerReference w:type="default" r:id="rId19"/>
      <w:headerReference w:type="first" r:id="rId20"/>
      <w:footerReference w:type="first" r:id="rId21"/>
      <w:pgSz w:w="11906" w:h="16838" w:orient="portrait" w:code="9"/>
      <w:pgMar w:top="1440" w:right="1134" w:bottom="1134" w:left="1247"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4E11" w:rsidRDefault="00584E11" w14:paraId="299A911E" w14:textId="77777777">
      <w:r>
        <w:separator/>
      </w:r>
    </w:p>
  </w:endnote>
  <w:endnote w:type="continuationSeparator" w:id="0">
    <w:p w:rsidR="00584E11" w:rsidRDefault="00584E11" w14:paraId="78008B9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61EC" w:rsidRDefault="00BE61EC" w14:paraId="41554EF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color="D9D9D9" w:themeColor="background1" w:themeShade="D9" w:sz="12" w:space="0"/>
        <w:insideH w:val="single" w:color="D9D9D9" w:themeColor="background1" w:themeShade="D9" w:sz="8" w:space="0"/>
        <w:insideV w:val="single" w:color="D9D9D9" w:themeColor="background1" w:themeShade="D9" w:sz="12" w:space="0"/>
      </w:tblBorders>
      <w:tblLook w:val="04A0" w:firstRow="1" w:lastRow="0" w:firstColumn="1" w:lastColumn="0" w:noHBand="0" w:noVBand="1"/>
    </w:tblPr>
    <w:tblGrid>
      <w:gridCol w:w="987"/>
      <w:gridCol w:w="8538"/>
    </w:tblGrid>
    <w:tr w:rsidRPr="00D96726" w:rsidR="00BE61EC" w:rsidTr="00C245CA" w14:paraId="41554F00" w14:textId="77777777">
      <w:tc>
        <w:tcPr>
          <w:tcW w:w="918" w:type="dxa"/>
          <w:vAlign w:val="bottom"/>
        </w:tcPr>
        <w:p w:rsidRPr="0089097B" w:rsidR="00BE61EC" w:rsidP="00C245CA" w:rsidRDefault="00BE61EC" w14:paraId="41554EFE" w14:textId="77777777">
          <w:pPr>
            <w:pStyle w:val="Footer"/>
            <w:spacing w:before="20" w:after="20"/>
            <w:jc w:val="right"/>
            <w:rPr>
              <w:bCs/>
              <w:color w:val="BFBFBF" w:themeColor="background1" w:themeShade="BF"/>
              <w:sz w:val="16"/>
              <w:szCs w:val="16"/>
            </w:rPr>
          </w:pPr>
          <w:r w:rsidRPr="0089097B">
            <w:rPr>
              <w:color w:val="BFBFBF" w:themeColor="background1" w:themeShade="BF"/>
              <w:sz w:val="16"/>
              <w:szCs w:val="16"/>
            </w:rPr>
            <w:fldChar w:fldCharType="begin"/>
          </w:r>
          <w:r w:rsidRPr="0089097B">
            <w:rPr>
              <w:color w:val="BFBFBF" w:themeColor="background1" w:themeShade="BF"/>
              <w:sz w:val="16"/>
              <w:szCs w:val="16"/>
            </w:rPr>
            <w:instrText xml:space="preserve"> PAGE   \* MERGEFORMAT </w:instrText>
          </w:r>
          <w:r w:rsidRPr="0089097B">
            <w:rPr>
              <w:color w:val="BFBFBF" w:themeColor="background1" w:themeShade="BF"/>
              <w:sz w:val="16"/>
              <w:szCs w:val="16"/>
            </w:rPr>
            <w:fldChar w:fldCharType="separate"/>
          </w:r>
          <w:r w:rsidRPr="0072033E" w:rsidR="0072033E">
            <w:rPr>
              <w:bCs/>
              <w:noProof/>
              <w:color w:val="BFBFBF" w:themeColor="background1" w:themeShade="BF"/>
              <w:sz w:val="16"/>
              <w:szCs w:val="16"/>
            </w:rPr>
            <w:t>3</w:t>
          </w:r>
          <w:r w:rsidRPr="0089097B">
            <w:rPr>
              <w:bCs/>
              <w:noProof/>
              <w:color w:val="BFBFBF" w:themeColor="background1" w:themeShade="BF"/>
              <w:sz w:val="16"/>
              <w:szCs w:val="16"/>
            </w:rPr>
            <w:fldChar w:fldCharType="end"/>
          </w:r>
        </w:p>
      </w:tc>
      <w:tc>
        <w:tcPr>
          <w:tcW w:w="7938" w:type="dxa"/>
          <w:vAlign w:val="bottom"/>
        </w:tcPr>
        <w:p w:rsidRPr="0089097B" w:rsidR="00BE61EC" w:rsidP="00E00460" w:rsidRDefault="00BE61EC" w14:paraId="41554EFF" w14:textId="77777777">
          <w:pPr>
            <w:pStyle w:val="Footer"/>
            <w:spacing w:before="20" w:after="20"/>
            <w:ind w:left="0"/>
            <w:rPr>
              <w:color w:val="BFBFBF" w:themeColor="background1" w:themeShade="BF"/>
              <w:sz w:val="16"/>
              <w:szCs w:val="16"/>
            </w:rPr>
          </w:pPr>
          <w:r w:rsidRPr="00E74ABD">
            <w:rPr>
              <w:color w:val="BFBFBF" w:themeColor="background1" w:themeShade="BF"/>
              <w:sz w:val="16"/>
              <w:szCs w:val="16"/>
            </w:rPr>
            <w:t>Casual Academic Staff Professional Development Teaching and Learning Program Policy</w:t>
          </w:r>
        </w:p>
      </w:tc>
    </w:tr>
  </w:tbl>
  <w:p w:rsidRPr="0084456D" w:rsidR="00BE61EC" w:rsidP="0084456D" w:rsidRDefault="00BE61EC" w14:paraId="41554F01" w14:textId="77777777">
    <w:pPr>
      <w:pStyle w:val="Footer"/>
      <w:rPr>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61EC" w:rsidRDefault="00BE61EC" w14:paraId="41554F0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4E11" w:rsidRDefault="00584E11" w14:paraId="363E270B" w14:textId="77777777">
      <w:r>
        <w:separator/>
      </w:r>
    </w:p>
  </w:footnote>
  <w:footnote w:type="continuationSeparator" w:id="0">
    <w:p w:rsidR="00584E11" w:rsidRDefault="00584E11" w14:paraId="2630C47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61EC" w:rsidRDefault="00BE61EC" w14:paraId="41554EFB" w14:textId="7AB10D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61EC" w:rsidRDefault="00BE61EC" w14:paraId="41554EFC" w14:textId="75693C57">
    <w:pPr>
      <w:pStyle w:val="Header"/>
      <w:tabs>
        <w:tab w:val="right" w:pos="819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61EC" w:rsidRDefault="00BE61EC" w14:paraId="41554F02" w14:textId="23D698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5CD578"/>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5385919"/>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 w15:restartNumberingAfterBreak="0">
    <w:nsid w:val="0D245104"/>
    <w:multiLevelType w:val="hybridMultilevel"/>
    <w:tmpl w:val="8ED28ED6"/>
    <w:lvl w:ilvl="0" w:tplc="0C090017">
      <w:start w:val="1"/>
      <w:numFmt w:val="lowerLetter"/>
      <w:lvlText w:val="%1)"/>
      <w:lvlJc w:val="left"/>
      <w:pPr>
        <w:ind w:left="927" w:hanging="360"/>
      </w:pPr>
    </w:lvl>
    <w:lvl w:ilvl="1" w:tplc="2F10F40E">
      <w:start w:val="1"/>
      <w:numFmt w:val="decimal"/>
      <w:lvlText w:val="%2."/>
      <w:lvlJc w:val="left"/>
      <w:pPr>
        <w:ind w:left="1647" w:hanging="360"/>
      </w:pPr>
      <w:rPr>
        <w:rFonts w:hint="default"/>
      </w:r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 w15:restartNumberingAfterBreak="0">
    <w:nsid w:val="40414FE7"/>
    <w:multiLevelType w:val="hybridMultilevel"/>
    <w:tmpl w:val="0A72FB14"/>
    <w:lvl w:ilvl="0" w:tplc="0C090011">
      <w:start w:val="1"/>
      <w:numFmt w:val="decimal"/>
      <w:lvlText w:val="%1)"/>
      <w:lvlJc w:val="left"/>
      <w:pPr>
        <w:ind w:left="1506" w:hanging="360"/>
      </w:pPr>
    </w:lvl>
    <w:lvl w:ilvl="1" w:tplc="0C090019">
      <w:start w:val="1"/>
      <w:numFmt w:val="lowerLetter"/>
      <w:lvlText w:val="%2."/>
      <w:lvlJc w:val="left"/>
      <w:pPr>
        <w:ind w:left="2226" w:hanging="360"/>
      </w:pPr>
    </w:lvl>
    <w:lvl w:ilvl="2" w:tplc="0C09001B" w:tentative="1">
      <w:start w:val="1"/>
      <w:numFmt w:val="lowerRoman"/>
      <w:lvlText w:val="%3."/>
      <w:lvlJc w:val="right"/>
      <w:pPr>
        <w:ind w:left="2946" w:hanging="180"/>
      </w:pPr>
    </w:lvl>
    <w:lvl w:ilvl="3" w:tplc="0C09000F" w:tentative="1">
      <w:start w:val="1"/>
      <w:numFmt w:val="decimal"/>
      <w:lvlText w:val="%4."/>
      <w:lvlJc w:val="left"/>
      <w:pPr>
        <w:ind w:left="3666" w:hanging="360"/>
      </w:pPr>
    </w:lvl>
    <w:lvl w:ilvl="4" w:tplc="0C090019" w:tentative="1">
      <w:start w:val="1"/>
      <w:numFmt w:val="lowerLetter"/>
      <w:lvlText w:val="%5."/>
      <w:lvlJc w:val="left"/>
      <w:pPr>
        <w:ind w:left="4386" w:hanging="360"/>
      </w:pPr>
    </w:lvl>
    <w:lvl w:ilvl="5" w:tplc="0C09001B" w:tentative="1">
      <w:start w:val="1"/>
      <w:numFmt w:val="lowerRoman"/>
      <w:lvlText w:val="%6."/>
      <w:lvlJc w:val="right"/>
      <w:pPr>
        <w:ind w:left="5106" w:hanging="180"/>
      </w:pPr>
    </w:lvl>
    <w:lvl w:ilvl="6" w:tplc="0C09000F" w:tentative="1">
      <w:start w:val="1"/>
      <w:numFmt w:val="decimal"/>
      <w:lvlText w:val="%7."/>
      <w:lvlJc w:val="left"/>
      <w:pPr>
        <w:ind w:left="5826" w:hanging="360"/>
      </w:pPr>
    </w:lvl>
    <w:lvl w:ilvl="7" w:tplc="0C090019" w:tentative="1">
      <w:start w:val="1"/>
      <w:numFmt w:val="lowerLetter"/>
      <w:lvlText w:val="%8."/>
      <w:lvlJc w:val="left"/>
      <w:pPr>
        <w:ind w:left="6546" w:hanging="360"/>
      </w:pPr>
    </w:lvl>
    <w:lvl w:ilvl="8" w:tplc="0C09001B" w:tentative="1">
      <w:start w:val="1"/>
      <w:numFmt w:val="lowerRoman"/>
      <w:lvlText w:val="%9."/>
      <w:lvlJc w:val="right"/>
      <w:pPr>
        <w:ind w:left="7266" w:hanging="180"/>
      </w:pPr>
    </w:lvl>
  </w:abstractNum>
  <w:abstractNum w:abstractNumId="4" w15:restartNumberingAfterBreak="0">
    <w:nsid w:val="47930B05"/>
    <w:multiLevelType w:val="multilevel"/>
    <w:tmpl w:val="0A32982E"/>
    <w:lvl w:ilvl="0">
      <w:start w:val="1"/>
      <w:numFmt w:val="decimal"/>
      <w:lvlText w:val="%1."/>
      <w:lvlJc w:val="left"/>
      <w:pPr>
        <w:tabs>
          <w:tab w:val="num" w:pos="570"/>
        </w:tabs>
        <w:ind w:left="570" w:hanging="570"/>
      </w:pPr>
      <w:rPr>
        <w:rFonts w:hint="default"/>
        <w:caps w:val="0"/>
      </w:rPr>
    </w:lvl>
    <w:lvl w:ilvl="1">
      <w:start w:val="1"/>
      <w:numFmt w:val="decimal"/>
      <w:pStyle w:val="CustomHEading2"/>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num w:numId="1" w16cid:durableId="296765118">
    <w:abstractNumId w:val="0"/>
  </w:num>
  <w:num w:numId="2" w16cid:durableId="1897858470">
    <w:abstractNumId w:val="1"/>
  </w:num>
  <w:num w:numId="3" w16cid:durableId="428429443">
    <w:abstractNumId w:val="4"/>
  </w:num>
  <w:num w:numId="4" w16cid:durableId="127480853">
    <w:abstractNumId w:val="2"/>
  </w:num>
  <w:num w:numId="5" w16cid:durableId="96681853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ABD"/>
    <w:rsid w:val="0001326A"/>
    <w:rsid w:val="000168FD"/>
    <w:rsid w:val="00020317"/>
    <w:rsid w:val="00020514"/>
    <w:rsid w:val="0002197A"/>
    <w:rsid w:val="00021D3F"/>
    <w:rsid w:val="0002656D"/>
    <w:rsid w:val="00041B9F"/>
    <w:rsid w:val="00043A00"/>
    <w:rsid w:val="000574B5"/>
    <w:rsid w:val="000623C6"/>
    <w:rsid w:val="00063F62"/>
    <w:rsid w:val="00064C50"/>
    <w:rsid w:val="000667F4"/>
    <w:rsid w:val="0007378A"/>
    <w:rsid w:val="00085C96"/>
    <w:rsid w:val="0008782B"/>
    <w:rsid w:val="00090B14"/>
    <w:rsid w:val="00095765"/>
    <w:rsid w:val="00095B6A"/>
    <w:rsid w:val="000A32A8"/>
    <w:rsid w:val="000B2A3C"/>
    <w:rsid w:val="000B4093"/>
    <w:rsid w:val="000B5F39"/>
    <w:rsid w:val="000D02B0"/>
    <w:rsid w:val="000F0F40"/>
    <w:rsid w:val="00111C62"/>
    <w:rsid w:val="00113FE9"/>
    <w:rsid w:val="001161F5"/>
    <w:rsid w:val="00122286"/>
    <w:rsid w:val="00125B7C"/>
    <w:rsid w:val="00126B3F"/>
    <w:rsid w:val="0013508A"/>
    <w:rsid w:val="0014494F"/>
    <w:rsid w:val="001457DC"/>
    <w:rsid w:val="00147712"/>
    <w:rsid w:val="00161FE6"/>
    <w:rsid w:val="001650D4"/>
    <w:rsid w:val="00165E66"/>
    <w:rsid w:val="00166645"/>
    <w:rsid w:val="00170334"/>
    <w:rsid w:val="00170EFB"/>
    <w:rsid w:val="001831DA"/>
    <w:rsid w:val="00194712"/>
    <w:rsid w:val="00195922"/>
    <w:rsid w:val="001A383A"/>
    <w:rsid w:val="001A43F5"/>
    <w:rsid w:val="001A762E"/>
    <w:rsid w:val="001B2DB3"/>
    <w:rsid w:val="001C0A6C"/>
    <w:rsid w:val="001C1128"/>
    <w:rsid w:val="001C2CA3"/>
    <w:rsid w:val="001E0403"/>
    <w:rsid w:val="001E6124"/>
    <w:rsid w:val="001F66C9"/>
    <w:rsid w:val="00201B73"/>
    <w:rsid w:val="002233B0"/>
    <w:rsid w:val="002235B6"/>
    <w:rsid w:val="0022366D"/>
    <w:rsid w:val="002418DB"/>
    <w:rsid w:val="00243EAA"/>
    <w:rsid w:val="00243FB3"/>
    <w:rsid w:val="002449C6"/>
    <w:rsid w:val="0024690C"/>
    <w:rsid w:val="00246C8E"/>
    <w:rsid w:val="00261CAC"/>
    <w:rsid w:val="00272C53"/>
    <w:rsid w:val="00272CE4"/>
    <w:rsid w:val="0027687D"/>
    <w:rsid w:val="00280472"/>
    <w:rsid w:val="00284A3D"/>
    <w:rsid w:val="00287DE4"/>
    <w:rsid w:val="002A2874"/>
    <w:rsid w:val="002A5651"/>
    <w:rsid w:val="002A6AA2"/>
    <w:rsid w:val="002B053D"/>
    <w:rsid w:val="002B1AF8"/>
    <w:rsid w:val="002B756C"/>
    <w:rsid w:val="002B7EB5"/>
    <w:rsid w:val="002D1072"/>
    <w:rsid w:val="002D1B78"/>
    <w:rsid w:val="002D294E"/>
    <w:rsid w:val="002D7B77"/>
    <w:rsid w:val="002F0496"/>
    <w:rsid w:val="002F224E"/>
    <w:rsid w:val="002F507E"/>
    <w:rsid w:val="002F5EE9"/>
    <w:rsid w:val="00310DB8"/>
    <w:rsid w:val="003134C8"/>
    <w:rsid w:val="003218C3"/>
    <w:rsid w:val="00326B6D"/>
    <w:rsid w:val="0034016D"/>
    <w:rsid w:val="003458F5"/>
    <w:rsid w:val="00347F8E"/>
    <w:rsid w:val="003578D8"/>
    <w:rsid w:val="003653EA"/>
    <w:rsid w:val="00381013"/>
    <w:rsid w:val="00394264"/>
    <w:rsid w:val="00396DFB"/>
    <w:rsid w:val="003A2BEA"/>
    <w:rsid w:val="003C67F5"/>
    <w:rsid w:val="003C682E"/>
    <w:rsid w:val="003E558A"/>
    <w:rsid w:val="003E5D96"/>
    <w:rsid w:val="004000E1"/>
    <w:rsid w:val="00411665"/>
    <w:rsid w:val="0041440C"/>
    <w:rsid w:val="00416FF5"/>
    <w:rsid w:val="004275CB"/>
    <w:rsid w:val="0043193E"/>
    <w:rsid w:val="00431ED9"/>
    <w:rsid w:val="004367FD"/>
    <w:rsid w:val="004379AA"/>
    <w:rsid w:val="0044443B"/>
    <w:rsid w:val="004539FC"/>
    <w:rsid w:val="004604B9"/>
    <w:rsid w:val="00461BB9"/>
    <w:rsid w:val="004657B6"/>
    <w:rsid w:val="00474A46"/>
    <w:rsid w:val="00474FF5"/>
    <w:rsid w:val="00484CEA"/>
    <w:rsid w:val="0049394F"/>
    <w:rsid w:val="00495C41"/>
    <w:rsid w:val="00497B78"/>
    <w:rsid w:val="004A2DAE"/>
    <w:rsid w:val="004A3DF6"/>
    <w:rsid w:val="004B0D61"/>
    <w:rsid w:val="004B5AF2"/>
    <w:rsid w:val="004B5E8F"/>
    <w:rsid w:val="004B6B77"/>
    <w:rsid w:val="004C1D64"/>
    <w:rsid w:val="004D5632"/>
    <w:rsid w:val="004E1C8C"/>
    <w:rsid w:val="00500E1A"/>
    <w:rsid w:val="005076BB"/>
    <w:rsid w:val="00515ADA"/>
    <w:rsid w:val="00516A82"/>
    <w:rsid w:val="00517F6E"/>
    <w:rsid w:val="00521797"/>
    <w:rsid w:val="00524CFB"/>
    <w:rsid w:val="0053062E"/>
    <w:rsid w:val="00537826"/>
    <w:rsid w:val="00540C27"/>
    <w:rsid w:val="00546452"/>
    <w:rsid w:val="00547101"/>
    <w:rsid w:val="00560908"/>
    <w:rsid w:val="00570E6F"/>
    <w:rsid w:val="005740C1"/>
    <w:rsid w:val="00581324"/>
    <w:rsid w:val="005845E9"/>
    <w:rsid w:val="00584E11"/>
    <w:rsid w:val="00596AB8"/>
    <w:rsid w:val="005B2DF0"/>
    <w:rsid w:val="005B50CF"/>
    <w:rsid w:val="005B786F"/>
    <w:rsid w:val="005C36E1"/>
    <w:rsid w:val="005E791A"/>
    <w:rsid w:val="005F2476"/>
    <w:rsid w:val="005F3A85"/>
    <w:rsid w:val="005F5B15"/>
    <w:rsid w:val="00626982"/>
    <w:rsid w:val="00633B37"/>
    <w:rsid w:val="006349E4"/>
    <w:rsid w:val="00636862"/>
    <w:rsid w:val="00643FE0"/>
    <w:rsid w:val="0064519D"/>
    <w:rsid w:val="00653543"/>
    <w:rsid w:val="00657977"/>
    <w:rsid w:val="0066306D"/>
    <w:rsid w:val="0066357B"/>
    <w:rsid w:val="006762A7"/>
    <w:rsid w:val="0068028D"/>
    <w:rsid w:val="0069546E"/>
    <w:rsid w:val="006A1820"/>
    <w:rsid w:val="006A478C"/>
    <w:rsid w:val="006B1774"/>
    <w:rsid w:val="006B32D6"/>
    <w:rsid w:val="006B679C"/>
    <w:rsid w:val="006C013C"/>
    <w:rsid w:val="006D23C2"/>
    <w:rsid w:val="006D2573"/>
    <w:rsid w:val="006E3DA4"/>
    <w:rsid w:val="006E5BD3"/>
    <w:rsid w:val="006F15BE"/>
    <w:rsid w:val="006F28D2"/>
    <w:rsid w:val="006F5216"/>
    <w:rsid w:val="006F53AE"/>
    <w:rsid w:val="00702232"/>
    <w:rsid w:val="00705462"/>
    <w:rsid w:val="00706C0E"/>
    <w:rsid w:val="0070712C"/>
    <w:rsid w:val="00714A75"/>
    <w:rsid w:val="00715AF5"/>
    <w:rsid w:val="00720192"/>
    <w:rsid w:val="0072033E"/>
    <w:rsid w:val="00723FB3"/>
    <w:rsid w:val="00740BDF"/>
    <w:rsid w:val="00741E3C"/>
    <w:rsid w:val="0074600E"/>
    <w:rsid w:val="00747D25"/>
    <w:rsid w:val="00753867"/>
    <w:rsid w:val="00754458"/>
    <w:rsid w:val="00755120"/>
    <w:rsid w:val="00757917"/>
    <w:rsid w:val="00766B60"/>
    <w:rsid w:val="00775885"/>
    <w:rsid w:val="00780B46"/>
    <w:rsid w:val="00780D74"/>
    <w:rsid w:val="00791AA3"/>
    <w:rsid w:val="007928EE"/>
    <w:rsid w:val="00792D75"/>
    <w:rsid w:val="00794D97"/>
    <w:rsid w:val="007978D7"/>
    <w:rsid w:val="007A76B5"/>
    <w:rsid w:val="007B1A9B"/>
    <w:rsid w:val="007B3CC4"/>
    <w:rsid w:val="007B75C3"/>
    <w:rsid w:val="007D3EAD"/>
    <w:rsid w:val="007D6AC1"/>
    <w:rsid w:val="007D79E4"/>
    <w:rsid w:val="007E0538"/>
    <w:rsid w:val="007E3132"/>
    <w:rsid w:val="007E4EA3"/>
    <w:rsid w:val="007F3E07"/>
    <w:rsid w:val="007F56D9"/>
    <w:rsid w:val="007F6111"/>
    <w:rsid w:val="007F7FC0"/>
    <w:rsid w:val="00810C01"/>
    <w:rsid w:val="00826C75"/>
    <w:rsid w:val="0082755C"/>
    <w:rsid w:val="00832F9F"/>
    <w:rsid w:val="00833FD3"/>
    <w:rsid w:val="00835399"/>
    <w:rsid w:val="00842D7C"/>
    <w:rsid w:val="0084456D"/>
    <w:rsid w:val="00862B37"/>
    <w:rsid w:val="00863D60"/>
    <w:rsid w:val="0086705D"/>
    <w:rsid w:val="00873851"/>
    <w:rsid w:val="00881BAA"/>
    <w:rsid w:val="00883C6F"/>
    <w:rsid w:val="00885A9D"/>
    <w:rsid w:val="0089097B"/>
    <w:rsid w:val="00893854"/>
    <w:rsid w:val="008977CE"/>
    <w:rsid w:val="008A40EA"/>
    <w:rsid w:val="008A585E"/>
    <w:rsid w:val="008B1AD3"/>
    <w:rsid w:val="008B701D"/>
    <w:rsid w:val="008C0D58"/>
    <w:rsid w:val="008D4244"/>
    <w:rsid w:val="008D4EAF"/>
    <w:rsid w:val="008D5BB7"/>
    <w:rsid w:val="008E3426"/>
    <w:rsid w:val="008E623C"/>
    <w:rsid w:val="008F1284"/>
    <w:rsid w:val="008F54A8"/>
    <w:rsid w:val="008F6339"/>
    <w:rsid w:val="008F6C5D"/>
    <w:rsid w:val="00902A40"/>
    <w:rsid w:val="009148CE"/>
    <w:rsid w:val="00915B87"/>
    <w:rsid w:val="0092301A"/>
    <w:rsid w:val="00927957"/>
    <w:rsid w:val="00945C2A"/>
    <w:rsid w:val="00963ACF"/>
    <w:rsid w:val="00967B3F"/>
    <w:rsid w:val="009826CE"/>
    <w:rsid w:val="0099409C"/>
    <w:rsid w:val="009C63BA"/>
    <w:rsid w:val="009C750A"/>
    <w:rsid w:val="009C7BF1"/>
    <w:rsid w:val="009D19FC"/>
    <w:rsid w:val="009D31AA"/>
    <w:rsid w:val="009D4604"/>
    <w:rsid w:val="009F0FF1"/>
    <w:rsid w:val="00A03E63"/>
    <w:rsid w:val="00A03FF8"/>
    <w:rsid w:val="00A04CCC"/>
    <w:rsid w:val="00A0504A"/>
    <w:rsid w:val="00A06904"/>
    <w:rsid w:val="00A177FC"/>
    <w:rsid w:val="00A20280"/>
    <w:rsid w:val="00A20A97"/>
    <w:rsid w:val="00A22EA6"/>
    <w:rsid w:val="00A32B05"/>
    <w:rsid w:val="00A34635"/>
    <w:rsid w:val="00A42824"/>
    <w:rsid w:val="00A5182E"/>
    <w:rsid w:val="00A557BD"/>
    <w:rsid w:val="00A60AB8"/>
    <w:rsid w:val="00A619C7"/>
    <w:rsid w:val="00A62490"/>
    <w:rsid w:val="00A6489A"/>
    <w:rsid w:val="00A77C04"/>
    <w:rsid w:val="00A80664"/>
    <w:rsid w:val="00A848F4"/>
    <w:rsid w:val="00A85022"/>
    <w:rsid w:val="00A869E6"/>
    <w:rsid w:val="00A9050A"/>
    <w:rsid w:val="00AB0069"/>
    <w:rsid w:val="00AB13FC"/>
    <w:rsid w:val="00AB6C4F"/>
    <w:rsid w:val="00AB784B"/>
    <w:rsid w:val="00AD07D2"/>
    <w:rsid w:val="00AF37D5"/>
    <w:rsid w:val="00AF4189"/>
    <w:rsid w:val="00AF62A9"/>
    <w:rsid w:val="00AF723D"/>
    <w:rsid w:val="00B0238C"/>
    <w:rsid w:val="00B12532"/>
    <w:rsid w:val="00B27EEB"/>
    <w:rsid w:val="00B34D13"/>
    <w:rsid w:val="00B35FB8"/>
    <w:rsid w:val="00B41E1C"/>
    <w:rsid w:val="00B472A5"/>
    <w:rsid w:val="00B64C7B"/>
    <w:rsid w:val="00B66CBA"/>
    <w:rsid w:val="00B84DB5"/>
    <w:rsid w:val="00B85A91"/>
    <w:rsid w:val="00B8613F"/>
    <w:rsid w:val="00B86B55"/>
    <w:rsid w:val="00BA24BE"/>
    <w:rsid w:val="00BA39D3"/>
    <w:rsid w:val="00BB416E"/>
    <w:rsid w:val="00BB5BAF"/>
    <w:rsid w:val="00BB7175"/>
    <w:rsid w:val="00BC0F6D"/>
    <w:rsid w:val="00BC50C1"/>
    <w:rsid w:val="00BC7428"/>
    <w:rsid w:val="00BC7A77"/>
    <w:rsid w:val="00BD070F"/>
    <w:rsid w:val="00BE314E"/>
    <w:rsid w:val="00BE61EC"/>
    <w:rsid w:val="00BF01F1"/>
    <w:rsid w:val="00BF0C20"/>
    <w:rsid w:val="00BF0F81"/>
    <w:rsid w:val="00BF1299"/>
    <w:rsid w:val="00C0540C"/>
    <w:rsid w:val="00C05D05"/>
    <w:rsid w:val="00C0705D"/>
    <w:rsid w:val="00C115E1"/>
    <w:rsid w:val="00C1576F"/>
    <w:rsid w:val="00C158A2"/>
    <w:rsid w:val="00C21BCB"/>
    <w:rsid w:val="00C245CA"/>
    <w:rsid w:val="00C313AC"/>
    <w:rsid w:val="00C332A4"/>
    <w:rsid w:val="00C448F7"/>
    <w:rsid w:val="00C4647B"/>
    <w:rsid w:val="00C50A1F"/>
    <w:rsid w:val="00C56C9C"/>
    <w:rsid w:val="00C6259E"/>
    <w:rsid w:val="00C738F3"/>
    <w:rsid w:val="00C762CF"/>
    <w:rsid w:val="00C8484F"/>
    <w:rsid w:val="00C86B98"/>
    <w:rsid w:val="00CA3E2C"/>
    <w:rsid w:val="00CB185A"/>
    <w:rsid w:val="00CB5D17"/>
    <w:rsid w:val="00CC31E3"/>
    <w:rsid w:val="00CD3138"/>
    <w:rsid w:val="00CE3B1D"/>
    <w:rsid w:val="00CE42A9"/>
    <w:rsid w:val="00CF0319"/>
    <w:rsid w:val="00CF3462"/>
    <w:rsid w:val="00D0248C"/>
    <w:rsid w:val="00D047CD"/>
    <w:rsid w:val="00D05D2C"/>
    <w:rsid w:val="00D06CB7"/>
    <w:rsid w:val="00D10D24"/>
    <w:rsid w:val="00D2236E"/>
    <w:rsid w:val="00D231E0"/>
    <w:rsid w:val="00D2648D"/>
    <w:rsid w:val="00D3247B"/>
    <w:rsid w:val="00D5253F"/>
    <w:rsid w:val="00D52CAC"/>
    <w:rsid w:val="00D555F9"/>
    <w:rsid w:val="00D55BC3"/>
    <w:rsid w:val="00D614DF"/>
    <w:rsid w:val="00D85F00"/>
    <w:rsid w:val="00D9114F"/>
    <w:rsid w:val="00D920FB"/>
    <w:rsid w:val="00D96309"/>
    <w:rsid w:val="00D96726"/>
    <w:rsid w:val="00DB0479"/>
    <w:rsid w:val="00DB16B9"/>
    <w:rsid w:val="00DB4612"/>
    <w:rsid w:val="00DC2DFC"/>
    <w:rsid w:val="00DC7EE4"/>
    <w:rsid w:val="00DE13FB"/>
    <w:rsid w:val="00E00460"/>
    <w:rsid w:val="00E15427"/>
    <w:rsid w:val="00E20578"/>
    <w:rsid w:val="00E222F1"/>
    <w:rsid w:val="00E31309"/>
    <w:rsid w:val="00E34B2B"/>
    <w:rsid w:val="00E36743"/>
    <w:rsid w:val="00E368A1"/>
    <w:rsid w:val="00E443E4"/>
    <w:rsid w:val="00E52DA6"/>
    <w:rsid w:val="00E52F57"/>
    <w:rsid w:val="00E53105"/>
    <w:rsid w:val="00E54794"/>
    <w:rsid w:val="00E56164"/>
    <w:rsid w:val="00E63649"/>
    <w:rsid w:val="00E74827"/>
    <w:rsid w:val="00E74ABD"/>
    <w:rsid w:val="00E75525"/>
    <w:rsid w:val="00E77601"/>
    <w:rsid w:val="00E81B11"/>
    <w:rsid w:val="00E8319B"/>
    <w:rsid w:val="00E864AF"/>
    <w:rsid w:val="00E93BAC"/>
    <w:rsid w:val="00E97F61"/>
    <w:rsid w:val="00EA198C"/>
    <w:rsid w:val="00EA5043"/>
    <w:rsid w:val="00EA79C7"/>
    <w:rsid w:val="00EB591A"/>
    <w:rsid w:val="00EC0162"/>
    <w:rsid w:val="00EC4C93"/>
    <w:rsid w:val="00ED27FE"/>
    <w:rsid w:val="00EE107B"/>
    <w:rsid w:val="00EE30B7"/>
    <w:rsid w:val="00EE4F80"/>
    <w:rsid w:val="00EE6100"/>
    <w:rsid w:val="00EF7145"/>
    <w:rsid w:val="00EF730A"/>
    <w:rsid w:val="00F147C2"/>
    <w:rsid w:val="00F33C08"/>
    <w:rsid w:val="00F61824"/>
    <w:rsid w:val="00F62D80"/>
    <w:rsid w:val="00F63503"/>
    <w:rsid w:val="00F63B24"/>
    <w:rsid w:val="00F660A5"/>
    <w:rsid w:val="00F87704"/>
    <w:rsid w:val="00FA1843"/>
    <w:rsid w:val="00FA2299"/>
    <w:rsid w:val="00FB4A72"/>
    <w:rsid w:val="00FB58A1"/>
    <w:rsid w:val="00FC4B0A"/>
    <w:rsid w:val="00FC4C59"/>
    <w:rsid w:val="00FD2EE6"/>
    <w:rsid w:val="00FD382F"/>
    <w:rsid w:val="00FD77A2"/>
    <w:rsid w:val="00FE12B1"/>
    <w:rsid w:val="00FE4F0C"/>
    <w:rsid w:val="00FF118B"/>
    <w:rsid w:val="00FF45F2"/>
    <w:rsid w:val="00FF72DC"/>
    <w:rsid w:val="1D8414E6"/>
    <w:rsid w:val="2B75456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1554EB7"/>
  <w15:docId w15:val="{479C2147-0B1A-460A-B300-F5F247193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AU" w:eastAsia="en-AU" w:bidi="ar-SA"/>
      </w:rPr>
    </w:rPrDefault>
    <w:pPrDefault>
      <w:pPr>
        <w:spacing w:after="120"/>
        <w:ind w:left="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A2BEA"/>
    <w:rPr>
      <w:rFonts w:ascii="Arial" w:hAnsi="Arial"/>
      <w:sz w:val="22"/>
    </w:rPr>
  </w:style>
  <w:style w:type="paragraph" w:styleId="Heading1">
    <w:name w:val="heading 1"/>
    <w:basedOn w:val="Normal"/>
    <w:next w:val="Normal"/>
    <w:qFormat/>
    <w:rsid w:val="00DB16B9"/>
    <w:pPr>
      <w:keepNext/>
      <w:spacing w:before="240" w:after="60"/>
      <w:outlineLvl w:val="0"/>
    </w:pPr>
    <w:rPr>
      <w:rFonts w:cs="Arial"/>
      <w:b/>
      <w:bCs/>
      <w:kern w:val="32"/>
      <w:sz w:val="32"/>
      <w:szCs w:val="32"/>
    </w:rPr>
  </w:style>
  <w:style w:type="paragraph" w:styleId="Heading2">
    <w:name w:val="heading 2"/>
    <w:basedOn w:val="Normal"/>
    <w:next w:val="Normal"/>
    <w:qFormat/>
    <w:rsid w:val="00411665"/>
    <w:pPr>
      <w:keepNext/>
      <w:spacing w:before="240" w:after="60"/>
      <w:outlineLvl w:val="1"/>
    </w:pPr>
    <w:rPr>
      <w:rFonts w:cs="Arial"/>
      <w:b/>
      <w:bCs/>
      <w:i/>
      <w:i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AD07D2"/>
    <w:rPr>
      <w:rFonts w:ascii="Tahoma" w:hAnsi="Tahoma" w:cs="Tahoma"/>
      <w:sz w:val="16"/>
      <w:szCs w:val="16"/>
    </w:rPr>
  </w:style>
  <w:style w:type="paragraph" w:styleId="Header">
    <w:name w:val="header"/>
    <w:basedOn w:val="Normal"/>
    <w:rsid w:val="00BC0F6D"/>
    <w:pPr>
      <w:tabs>
        <w:tab w:val="center" w:pos="4153"/>
        <w:tab w:val="right" w:pos="8306"/>
      </w:tabs>
    </w:pPr>
    <w:rPr>
      <w:rFonts w:ascii="Times New Roman" w:hAnsi="Times New Roman"/>
      <w:sz w:val="24"/>
      <w:lang w:eastAsia="en-US"/>
    </w:rPr>
  </w:style>
  <w:style w:type="paragraph" w:styleId="Footer">
    <w:name w:val="footer"/>
    <w:basedOn w:val="Normal"/>
    <w:link w:val="FooterChar"/>
    <w:uiPriority w:val="99"/>
    <w:rsid w:val="0066357B"/>
    <w:pPr>
      <w:tabs>
        <w:tab w:val="center" w:pos="4153"/>
        <w:tab w:val="right" w:pos="8306"/>
      </w:tabs>
    </w:pPr>
  </w:style>
  <w:style w:type="character" w:styleId="PageNumber">
    <w:name w:val="page number"/>
    <w:basedOn w:val="DefaultParagraphFont"/>
    <w:rsid w:val="0066357B"/>
  </w:style>
  <w:style w:type="table" w:styleId="TableGrid">
    <w:name w:val="Table Grid"/>
    <w:basedOn w:val="TableNormal"/>
    <w:rsid w:val="00C0705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lauseHeading" w:customStyle="1">
    <w:name w:val="Clause Heading"/>
    <w:basedOn w:val="Heading1"/>
    <w:rsid w:val="00DB16B9"/>
    <w:rPr>
      <w:sz w:val="24"/>
      <w:lang w:val="en-US" w:eastAsia="en-US"/>
    </w:rPr>
  </w:style>
  <w:style w:type="paragraph" w:styleId="Sub-Heading" w:customStyle="1">
    <w:name w:val="Sub-Heading"/>
    <w:basedOn w:val="ClauseHeading"/>
    <w:rsid w:val="00DB16B9"/>
    <w:pPr>
      <w:ind w:left="798" w:hanging="741"/>
    </w:pPr>
  </w:style>
  <w:style w:type="character" w:styleId="Hyperlink">
    <w:name w:val="Hyperlink"/>
    <w:rsid w:val="00B85A91"/>
    <w:rPr>
      <w:color w:val="365F91" w:themeColor="accent1" w:themeShade="BF"/>
      <w:u w:val="single"/>
    </w:rPr>
  </w:style>
  <w:style w:type="paragraph" w:styleId="NormalWeb">
    <w:name w:val="Normal (Web)"/>
    <w:basedOn w:val="Normal"/>
    <w:rsid w:val="00747D25"/>
    <w:pPr>
      <w:spacing w:before="100" w:beforeAutospacing="1" w:after="100" w:afterAutospacing="1"/>
    </w:pPr>
    <w:rPr>
      <w:rFonts w:ascii="Times New Roman" w:hAnsi="Times New Roman"/>
      <w:sz w:val="24"/>
      <w:szCs w:val="24"/>
    </w:rPr>
  </w:style>
  <w:style w:type="character" w:styleId="Emphasis">
    <w:name w:val="Emphasis"/>
    <w:qFormat/>
    <w:rsid w:val="00FE4F0C"/>
    <w:rPr>
      <w:i/>
      <w:iCs/>
    </w:rPr>
  </w:style>
  <w:style w:type="paragraph" w:styleId="ListBullet">
    <w:name w:val="List Bullet"/>
    <w:basedOn w:val="Normal"/>
    <w:autoRedefine/>
    <w:rsid w:val="007978D7"/>
    <w:pPr>
      <w:numPr>
        <w:numId w:val="1"/>
      </w:numPr>
    </w:pPr>
  </w:style>
  <w:style w:type="character" w:styleId="CommentReference">
    <w:name w:val="annotation reference"/>
    <w:semiHidden/>
    <w:rsid w:val="009C63BA"/>
    <w:rPr>
      <w:sz w:val="16"/>
      <w:szCs w:val="16"/>
    </w:rPr>
  </w:style>
  <w:style w:type="paragraph" w:styleId="CommentText">
    <w:name w:val="annotation text"/>
    <w:basedOn w:val="Normal"/>
    <w:semiHidden/>
    <w:rsid w:val="009C63BA"/>
    <w:rPr>
      <w:sz w:val="20"/>
    </w:rPr>
  </w:style>
  <w:style w:type="paragraph" w:styleId="CommentSubject">
    <w:name w:val="annotation subject"/>
    <w:basedOn w:val="CommentText"/>
    <w:next w:val="CommentText"/>
    <w:semiHidden/>
    <w:rsid w:val="009C63BA"/>
    <w:rPr>
      <w:b/>
      <w:bCs/>
    </w:rPr>
  </w:style>
  <w:style w:type="paragraph" w:styleId="ListParagraph">
    <w:name w:val="List Paragraph"/>
    <w:basedOn w:val="Normal"/>
    <w:uiPriority w:val="34"/>
    <w:qFormat/>
    <w:rsid w:val="00741E3C"/>
    <w:pPr>
      <w:ind w:left="720"/>
    </w:pPr>
  </w:style>
  <w:style w:type="paragraph" w:styleId="12etc" w:customStyle="1">
    <w:name w:val="1   2   etc"/>
    <w:basedOn w:val="Normal"/>
    <w:rsid w:val="00C738F3"/>
    <w:pPr>
      <w:tabs>
        <w:tab w:val="right" w:pos="9000"/>
      </w:tabs>
      <w:overflowPunct w:val="0"/>
      <w:autoSpaceDE w:val="0"/>
      <w:autoSpaceDN w:val="0"/>
      <w:adjustRightInd w:val="0"/>
      <w:ind w:left="1260" w:hanging="780"/>
    </w:pPr>
    <w:rPr>
      <w:rFonts w:ascii="Times" w:hAnsi="Times"/>
      <w:sz w:val="20"/>
    </w:rPr>
  </w:style>
  <w:style w:type="character" w:styleId="FooterChar" w:customStyle="1">
    <w:name w:val="Footer Char"/>
    <w:link w:val="Footer"/>
    <w:uiPriority w:val="99"/>
    <w:rsid w:val="00D96726"/>
    <w:rPr>
      <w:rFonts w:ascii="Arial" w:hAnsi="Arial"/>
      <w:sz w:val="22"/>
    </w:rPr>
  </w:style>
  <w:style w:type="paragraph" w:styleId="CustomHEading2" w:customStyle="1">
    <w:name w:val="Custom HEading 2"/>
    <w:basedOn w:val="Normal"/>
    <w:rsid w:val="00E20578"/>
    <w:pPr>
      <w:numPr>
        <w:ilvl w:val="1"/>
        <w:numId w:val="3"/>
      </w:numPr>
    </w:pPr>
  </w:style>
  <w:style w:type="character" w:styleId="UnresolvedMention">
    <w:name w:val="Unresolved Mention"/>
    <w:basedOn w:val="DefaultParagraphFont"/>
    <w:uiPriority w:val="99"/>
    <w:semiHidden/>
    <w:unhideWhenUsed/>
    <w:rsid w:val="00243EAA"/>
    <w:rPr>
      <w:color w:val="808080"/>
      <w:shd w:val="clear" w:color="auto" w:fill="E6E6E6"/>
    </w:rPr>
  </w:style>
  <w:style w:type="character" w:styleId="FollowedHyperlink">
    <w:name w:val="FollowedHyperlink"/>
    <w:basedOn w:val="DefaultParagraphFont"/>
    <w:uiPriority w:val="99"/>
    <w:semiHidden/>
    <w:unhideWhenUsed/>
    <w:rsid w:val="00243E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70726">
      <w:bodyDiv w:val="1"/>
      <w:marLeft w:val="0"/>
      <w:marRight w:val="0"/>
      <w:marTop w:val="0"/>
      <w:marBottom w:val="0"/>
      <w:divBdr>
        <w:top w:val="none" w:sz="0" w:space="0" w:color="auto"/>
        <w:left w:val="none" w:sz="0" w:space="0" w:color="auto"/>
        <w:bottom w:val="none" w:sz="0" w:space="0" w:color="auto"/>
        <w:right w:val="none" w:sz="0" w:space="0" w:color="auto"/>
      </w:divBdr>
    </w:div>
    <w:div w:id="300883967">
      <w:bodyDiv w:val="1"/>
      <w:marLeft w:val="0"/>
      <w:marRight w:val="0"/>
      <w:marTop w:val="0"/>
      <w:marBottom w:val="0"/>
      <w:divBdr>
        <w:top w:val="none" w:sz="0" w:space="0" w:color="auto"/>
        <w:left w:val="none" w:sz="0" w:space="0" w:color="auto"/>
        <w:bottom w:val="none" w:sz="0" w:space="0" w:color="auto"/>
        <w:right w:val="none" w:sz="0" w:space="0" w:color="auto"/>
      </w:divBdr>
    </w:div>
    <w:div w:id="687607551">
      <w:bodyDiv w:val="1"/>
      <w:marLeft w:val="0"/>
      <w:marRight w:val="0"/>
      <w:marTop w:val="0"/>
      <w:marBottom w:val="0"/>
      <w:divBdr>
        <w:top w:val="none" w:sz="0" w:space="0" w:color="auto"/>
        <w:left w:val="none" w:sz="0" w:space="0" w:color="auto"/>
        <w:bottom w:val="none" w:sz="0" w:space="0" w:color="auto"/>
        <w:right w:val="none" w:sz="0" w:space="0" w:color="auto"/>
      </w:divBdr>
      <w:divsChild>
        <w:div w:id="1195000005">
          <w:marLeft w:val="-5805"/>
          <w:marRight w:val="0"/>
          <w:marTop w:val="0"/>
          <w:marBottom w:val="0"/>
          <w:divBdr>
            <w:top w:val="single" w:sz="2" w:space="0" w:color="FFFFFF"/>
            <w:left w:val="single" w:sz="2" w:space="0" w:color="FFFFFF"/>
            <w:bottom w:val="single" w:sz="2" w:space="0" w:color="FFFFFF"/>
            <w:right w:val="single" w:sz="2" w:space="0" w:color="FFFFFF"/>
          </w:divBdr>
          <w:divsChild>
            <w:div w:id="651908097">
              <w:marLeft w:val="0"/>
              <w:marRight w:val="0"/>
              <w:marTop w:val="0"/>
              <w:marBottom w:val="0"/>
              <w:divBdr>
                <w:top w:val="none" w:sz="0" w:space="0" w:color="auto"/>
                <w:left w:val="none" w:sz="0" w:space="0" w:color="auto"/>
                <w:bottom w:val="none" w:sz="0" w:space="0" w:color="auto"/>
                <w:right w:val="none" w:sz="0" w:space="0" w:color="auto"/>
              </w:divBdr>
            </w:div>
            <w:div w:id="1310399304">
              <w:marLeft w:val="0"/>
              <w:marRight w:val="0"/>
              <w:marTop w:val="0"/>
              <w:marBottom w:val="0"/>
              <w:divBdr>
                <w:top w:val="none" w:sz="0" w:space="0" w:color="auto"/>
                <w:left w:val="none" w:sz="0" w:space="0" w:color="auto"/>
                <w:bottom w:val="none" w:sz="0" w:space="0" w:color="auto"/>
                <w:right w:val="none" w:sz="0" w:space="0" w:color="auto"/>
              </w:divBdr>
              <w:divsChild>
                <w:div w:id="537745409">
                  <w:marLeft w:val="0"/>
                  <w:marRight w:val="0"/>
                  <w:marTop w:val="0"/>
                  <w:marBottom w:val="0"/>
                  <w:divBdr>
                    <w:top w:val="none" w:sz="0" w:space="0" w:color="auto"/>
                    <w:left w:val="none" w:sz="0" w:space="0" w:color="auto"/>
                    <w:bottom w:val="none" w:sz="0" w:space="0" w:color="auto"/>
                    <w:right w:val="none" w:sz="0" w:space="0" w:color="auto"/>
                  </w:divBdr>
                </w:div>
                <w:div w:id="967511675">
                  <w:marLeft w:val="0"/>
                  <w:marRight w:val="0"/>
                  <w:marTop w:val="0"/>
                  <w:marBottom w:val="120"/>
                  <w:divBdr>
                    <w:top w:val="none" w:sz="0" w:space="0" w:color="auto"/>
                    <w:left w:val="none" w:sz="0" w:space="0" w:color="auto"/>
                    <w:bottom w:val="none" w:sz="0" w:space="0" w:color="auto"/>
                    <w:right w:val="none" w:sz="0" w:space="0" w:color="auto"/>
                  </w:divBdr>
                  <w:divsChild>
                    <w:div w:id="337078494">
                      <w:marLeft w:val="0"/>
                      <w:marRight w:val="0"/>
                      <w:marTop w:val="0"/>
                      <w:marBottom w:val="120"/>
                      <w:divBdr>
                        <w:top w:val="none" w:sz="0" w:space="0" w:color="auto"/>
                        <w:left w:val="none" w:sz="0" w:space="0" w:color="auto"/>
                        <w:bottom w:val="none" w:sz="0" w:space="0" w:color="auto"/>
                        <w:right w:val="none" w:sz="0" w:space="0" w:color="auto"/>
                      </w:divBdr>
                    </w:div>
                    <w:div w:id="402604008">
                      <w:marLeft w:val="0"/>
                      <w:marRight w:val="0"/>
                      <w:marTop w:val="0"/>
                      <w:marBottom w:val="120"/>
                      <w:divBdr>
                        <w:top w:val="none" w:sz="0" w:space="0" w:color="auto"/>
                        <w:left w:val="none" w:sz="0" w:space="0" w:color="auto"/>
                        <w:bottom w:val="none" w:sz="0" w:space="0" w:color="auto"/>
                        <w:right w:val="none" w:sz="0" w:space="0" w:color="auto"/>
                      </w:divBdr>
                    </w:div>
                    <w:div w:id="694422916">
                      <w:marLeft w:val="0"/>
                      <w:marRight w:val="0"/>
                      <w:marTop w:val="0"/>
                      <w:marBottom w:val="120"/>
                      <w:divBdr>
                        <w:top w:val="none" w:sz="0" w:space="0" w:color="auto"/>
                        <w:left w:val="none" w:sz="0" w:space="0" w:color="auto"/>
                        <w:bottom w:val="none" w:sz="0" w:space="0" w:color="auto"/>
                        <w:right w:val="none" w:sz="0" w:space="0" w:color="auto"/>
                      </w:divBdr>
                    </w:div>
                    <w:div w:id="763958440">
                      <w:marLeft w:val="0"/>
                      <w:marRight w:val="0"/>
                      <w:marTop w:val="0"/>
                      <w:marBottom w:val="120"/>
                      <w:divBdr>
                        <w:top w:val="none" w:sz="0" w:space="0" w:color="auto"/>
                        <w:left w:val="none" w:sz="0" w:space="0" w:color="auto"/>
                        <w:bottom w:val="none" w:sz="0" w:space="0" w:color="auto"/>
                        <w:right w:val="none" w:sz="0" w:space="0" w:color="auto"/>
                      </w:divBdr>
                    </w:div>
                    <w:div w:id="790125264">
                      <w:marLeft w:val="0"/>
                      <w:marRight w:val="0"/>
                      <w:marTop w:val="0"/>
                      <w:marBottom w:val="120"/>
                      <w:divBdr>
                        <w:top w:val="none" w:sz="0" w:space="0" w:color="auto"/>
                        <w:left w:val="none" w:sz="0" w:space="0" w:color="auto"/>
                        <w:bottom w:val="none" w:sz="0" w:space="0" w:color="auto"/>
                        <w:right w:val="none" w:sz="0" w:space="0" w:color="auto"/>
                      </w:divBdr>
                    </w:div>
                    <w:div w:id="919484127">
                      <w:marLeft w:val="0"/>
                      <w:marRight w:val="0"/>
                      <w:marTop w:val="0"/>
                      <w:marBottom w:val="120"/>
                      <w:divBdr>
                        <w:top w:val="none" w:sz="0" w:space="0" w:color="auto"/>
                        <w:left w:val="none" w:sz="0" w:space="0" w:color="auto"/>
                        <w:bottom w:val="none" w:sz="0" w:space="0" w:color="auto"/>
                        <w:right w:val="none" w:sz="0" w:space="0" w:color="auto"/>
                      </w:divBdr>
                    </w:div>
                    <w:div w:id="1354720511">
                      <w:marLeft w:val="0"/>
                      <w:marRight w:val="0"/>
                      <w:marTop w:val="0"/>
                      <w:marBottom w:val="120"/>
                      <w:divBdr>
                        <w:top w:val="none" w:sz="0" w:space="0" w:color="auto"/>
                        <w:left w:val="none" w:sz="0" w:space="0" w:color="auto"/>
                        <w:bottom w:val="none" w:sz="0" w:space="0" w:color="auto"/>
                        <w:right w:val="none" w:sz="0" w:space="0" w:color="auto"/>
                      </w:divBdr>
                    </w:div>
                    <w:div w:id="2032759684">
                      <w:marLeft w:val="0"/>
                      <w:marRight w:val="0"/>
                      <w:marTop w:val="0"/>
                      <w:marBottom w:val="120"/>
                      <w:divBdr>
                        <w:top w:val="none" w:sz="0" w:space="0" w:color="auto"/>
                        <w:left w:val="none" w:sz="0" w:space="0" w:color="auto"/>
                        <w:bottom w:val="none" w:sz="0" w:space="0" w:color="auto"/>
                        <w:right w:val="none" w:sz="0" w:space="0" w:color="auto"/>
                      </w:divBdr>
                    </w:div>
                    <w:div w:id="2049254994">
                      <w:marLeft w:val="0"/>
                      <w:marRight w:val="0"/>
                      <w:marTop w:val="0"/>
                      <w:marBottom w:val="120"/>
                      <w:divBdr>
                        <w:top w:val="none" w:sz="0" w:space="0" w:color="auto"/>
                        <w:left w:val="none" w:sz="0" w:space="0" w:color="auto"/>
                        <w:bottom w:val="none" w:sz="0" w:space="0" w:color="auto"/>
                        <w:right w:val="none" w:sz="0" w:space="0" w:color="auto"/>
                      </w:divBdr>
                    </w:div>
                    <w:div w:id="2098137086">
                      <w:marLeft w:val="0"/>
                      <w:marRight w:val="0"/>
                      <w:marTop w:val="0"/>
                      <w:marBottom w:val="120"/>
                      <w:divBdr>
                        <w:top w:val="none" w:sz="0" w:space="0" w:color="auto"/>
                        <w:left w:val="none" w:sz="0" w:space="0" w:color="auto"/>
                        <w:bottom w:val="none" w:sz="0" w:space="0" w:color="auto"/>
                        <w:right w:val="none" w:sz="0" w:space="0" w:color="auto"/>
                      </w:divBdr>
                    </w:div>
                  </w:divsChild>
                </w:div>
                <w:div w:id="983971449">
                  <w:marLeft w:val="0"/>
                  <w:marRight w:val="0"/>
                  <w:marTop w:val="0"/>
                  <w:marBottom w:val="0"/>
                  <w:divBdr>
                    <w:top w:val="none" w:sz="0" w:space="0" w:color="auto"/>
                    <w:left w:val="none" w:sz="0" w:space="0" w:color="auto"/>
                    <w:bottom w:val="none" w:sz="0" w:space="0" w:color="auto"/>
                    <w:right w:val="none" w:sz="0" w:space="0" w:color="auto"/>
                  </w:divBdr>
                </w:div>
                <w:div w:id="16705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61232">
          <w:marLeft w:val="-1500"/>
          <w:marRight w:val="0"/>
          <w:marTop w:val="0"/>
          <w:marBottom w:val="0"/>
          <w:divBdr>
            <w:top w:val="none" w:sz="0" w:space="0" w:color="auto"/>
            <w:left w:val="none" w:sz="0" w:space="0" w:color="auto"/>
            <w:bottom w:val="none" w:sz="0" w:space="0" w:color="auto"/>
            <w:right w:val="none" w:sz="0" w:space="0" w:color="auto"/>
          </w:divBdr>
        </w:div>
      </w:divsChild>
    </w:div>
    <w:div w:id="894318201">
      <w:bodyDiv w:val="1"/>
      <w:marLeft w:val="0"/>
      <w:marRight w:val="0"/>
      <w:marTop w:val="0"/>
      <w:marBottom w:val="0"/>
      <w:divBdr>
        <w:top w:val="none" w:sz="0" w:space="0" w:color="auto"/>
        <w:left w:val="none" w:sz="0" w:space="0" w:color="auto"/>
        <w:bottom w:val="none" w:sz="0" w:space="0" w:color="auto"/>
        <w:right w:val="none" w:sz="0" w:space="0" w:color="auto"/>
      </w:divBdr>
    </w:div>
    <w:div w:id="1310357268">
      <w:bodyDiv w:val="1"/>
      <w:marLeft w:val="0"/>
      <w:marRight w:val="0"/>
      <w:marTop w:val="0"/>
      <w:marBottom w:val="0"/>
      <w:divBdr>
        <w:top w:val="none" w:sz="0" w:space="0" w:color="auto"/>
        <w:left w:val="none" w:sz="0" w:space="0" w:color="auto"/>
        <w:bottom w:val="none" w:sz="0" w:space="0" w:color="auto"/>
        <w:right w:val="none" w:sz="0" w:space="0" w:color="auto"/>
      </w:divBdr>
      <w:divsChild>
        <w:div w:id="475412890">
          <w:marLeft w:val="0"/>
          <w:marRight w:val="0"/>
          <w:marTop w:val="0"/>
          <w:marBottom w:val="0"/>
          <w:divBdr>
            <w:top w:val="none" w:sz="0" w:space="0" w:color="auto"/>
            <w:left w:val="none" w:sz="0" w:space="0" w:color="auto"/>
            <w:bottom w:val="none" w:sz="0" w:space="0" w:color="auto"/>
            <w:right w:val="none" w:sz="0" w:space="0" w:color="auto"/>
          </w:divBdr>
        </w:div>
        <w:div w:id="1529489536">
          <w:marLeft w:val="0"/>
          <w:marRight w:val="0"/>
          <w:marTop w:val="0"/>
          <w:marBottom w:val="0"/>
          <w:divBdr>
            <w:top w:val="none" w:sz="0" w:space="0" w:color="auto"/>
            <w:left w:val="none" w:sz="0" w:space="0" w:color="auto"/>
            <w:bottom w:val="none" w:sz="0" w:space="0" w:color="auto"/>
            <w:right w:val="none" w:sz="0" w:space="0" w:color="auto"/>
          </w:divBdr>
        </w:div>
      </w:divsChild>
    </w:div>
    <w:div w:id="208221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griffith.edu.au/learning-teaching/awards-grants"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footer" Target="footer3.xml" Id="rId21" /><Relationship Type="http://schemas.openxmlformats.org/officeDocument/2006/relationships/settings" Target="settings.xml" Id="rId7" /><Relationship Type="http://schemas.openxmlformats.org/officeDocument/2006/relationships/hyperlink" Target="mailto:r.bridgstock@griffith.edu.au" TargetMode="Externa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header" Target="head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http://www.griffith.edu.au/learning-teaching/awards-grants" TargetMode="Externa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griffith.edu.au/learning-futures" TargetMode="External" Id="rId14" /><Relationship Type="http://schemas.openxmlformats.org/officeDocument/2006/relationships/fontTable" Target="fontTable.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4.xml><?xml version="1.0" encoding="utf-8"?>
<p:properties xmlns:p="http://schemas.microsoft.com/office/2006/metadata/properties" xmlns:xsi="http://www.w3.org/2001/XMLSchema-instance" xmlns:pc="http://schemas.microsoft.com/office/infopath/2007/PartnerControls">
  <documentManagement>
    <policysummary xmlns="2f261a70-825f-4a37-b7b5-f6ecc2f4c5fa">This policy outlines the arrangements that it be a requirement of employment that all casual academic staff new to Griffith University and new to University teaching undertake the Teaching and Learning program prior to commencing teaching at Griffith University.</policysummary>
    <TaxCatchAll xmlns="b40c662e-0380-4817-843d-2c7e10d40c39">
      <Value>519</Value>
      <Value>96</Value>
      <Value>77</Value>
      <Value>58</Value>
      <Value>158</Value>
      <Value>88</Value>
      <Value>69</Value>
    </TaxCatchAll>
    <docsort xmlns="2f261a70-825f-4a37-b7b5-f6ecc2f4c5fa">90</docsort>
    <datedeclared xmlns="2f261a70-825f-4a37-b7b5-f6ecc2f4c5fa" xsi:nil="true"/>
    <policyadvisor xmlns="2f261a70-825f-4a37-b7b5-f6ecc2f4c5fa">
      <UserInfo>
        <DisplayName/>
        <AccountId xsi:nil="true"/>
        <AccountType/>
      </UserInfo>
    </policyadvisor>
    <extlink xmlns="2f261a70-825f-4a37-b7b5-f6ecc2f4c5fa">
      <Url xsi:nil="true"/>
      <Description xsi:nil="true"/>
    </extlink>
    <doccomments xmlns="2f261a70-825f-4a37-b7b5-f6ecc2f4c5fa">On the advice of Dean, Learning Futures on 16 November 2018 the Policy Advisor has been revised to Deputy Director (Teaching &amp; Curriculum Transformation), Learning Futures, Prof Ruth Bridgstock.
Document number updated.
Amendments actioned due to Standing approval of VP(CS) on 11 Oct 2018 allowing administrative changes such as this.
Standing COO Approval for editorial changes - update to title DVC(A) to DVC(E) - 4 May 2021.
7/04/2022 - COO Approved for administrative updates for policy references from DVC(E) to Provost.</doccomments>
    <PublishOn xmlns="2f261a70-825f-4a37-b7b5-f6ecc2f4c5fa">2021-02-05T09:36:12+00:00</PublishOn>
    <GlossaryGUIDS xmlns="2f261a70-825f-4a37-b7b5-f6ecc2f4c5fa" xsi:nil="true"/>
    <UpdateAzure xmlns="2f261a70-825f-4a37-b7b5-f6ecc2f4c5fa">No</UpdateAzur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9279309a-7669-47c5-bf96-cc165d8b3ede</TermId>
        </TermInfo>
      </Terms>
    </f84964a8904e4defbc18e1b78d5d80c6>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Learning Futures</TermName>
          <TermId xmlns="http://schemas.microsoft.com/office/infopath/2007/PartnerControls">7be7fa8d-ee98-4a12-89d5-9955f354caf5</TermId>
        </TermInfo>
      </Terms>
    </l92b321e1c6d4932b3b7fc50f551e57a>
    <PDFBlobURL xmlns="2f261a70-825f-4a37-b7b5-f6ecc2f4c5fa" xsi:nil="true"/>
    <PolicyCategoryPath xmlns="2f261a70-825f-4a37-b7b5-f6ecc2f4c5fa">Academic</PolicyCategoryPath>
    <PolicyCategory0 xmlns="2f261a70-825f-4a37-b7b5-f6ecc2f4c5fa">General</PolicyCategory0>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Staff Development and Exchanges</TermName>
          <TermId xmlns="http://schemas.microsoft.com/office/infopath/2007/PartnerControls">7d1374c7-feed-4954-b85c-6bb564407d6e</TermId>
        </TermInfo>
      </Terms>
    </cb2cae79e6954dd59be5b9155b36b74a>
    <Rescinded xmlns="2f261a70-825f-4a37-b7b5-f6ecc2f4c5fa">No</Rescinded>
    <BlobURL xmlns="2f261a70-825f-4a37-b7b5-f6ecc2f4c5fa" xsi:nil="true"/>
    <RecentlyPublished xmlns="2f261a70-825f-4a37-b7b5-f6ecc2f4c5fa">false</RecentlyPublished>
    <GlossaryValues xmlns="2f261a70-825f-4a37-b7b5-f6ecc2f4c5fa" xsi:nil="true"/>
    <PolicyCategoryParent xmlns="2f261a70-825f-4a37-b7b5-f6ecc2f4c5fa">Academic</PolicyCategoryParent>
    <LastPublished xmlns="2f261a70-825f-4a37-b7b5-f6ecc2f4c5fa" xsi:nil="true"/>
    <PrivatePolicy xmlns="2f261a70-825f-4a37-b7b5-f6ecc2f4c5fa">false</PrivatePolicy>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Academic</TermName>
          <TermId xmlns="http://schemas.microsoft.com/office/infopath/2007/PartnerControls">19fb9ccf-3758-4715-9546-fdd966adec75</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2012</TermName>
          <TermId xmlns="http://schemas.microsoft.com/office/infopath/2007/PartnerControls">b8729608-1007-4347-9122-9997ba5755a4</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Academic Committee</TermName>
          <TermId xmlns="http://schemas.microsoft.com/office/infopath/2007/PartnerControls">7e8af15c-aa65-4b9b-bab9-4850413bd480</TermId>
        </TermInfo>
      </Terms>
    </c4c72b675d9b4d35a824d1eba5c21e27>
    <Attention xmlns="2f261a70-825f-4a37-b7b5-f6ecc2f4c5fa" xsi:nil="true"/>
    <ldaa366a71354cc9a085959c4f1fc5d3 xmlns="2f261a70-825f-4a37-b7b5-f6ecc2f4c5fa">
      <Terms xmlns="http://schemas.microsoft.com/office/infopath/2007/PartnerControls"/>
    </ldaa366a71354cc9a085959c4f1fc5d3>
  </documentManagement>
</p:properties>
</file>

<file path=customXml/itemProps1.xml><?xml version="1.0" encoding="utf-8"?>
<ds:datastoreItem xmlns:ds="http://schemas.openxmlformats.org/officeDocument/2006/customXml" ds:itemID="{1C36FB5C-B7CF-4F4A-BB6C-F2803427EC49}"/>
</file>

<file path=customXml/itemProps2.xml><?xml version="1.0" encoding="utf-8"?>
<ds:datastoreItem xmlns:ds="http://schemas.openxmlformats.org/officeDocument/2006/customXml" ds:itemID="{67FAF436-AE01-47E5-96C5-751BCA053C84}">
  <ds:schemaRefs>
    <ds:schemaRef ds:uri="http://schemas.microsoft.com/sharepoint/v3/contenttype/forms"/>
  </ds:schemaRefs>
</ds:datastoreItem>
</file>

<file path=customXml/itemProps3.xml><?xml version="1.0" encoding="utf-8"?>
<ds:datastoreItem xmlns:ds="http://schemas.openxmlformats.org/officeDocument/2006/customXml" ds:itemID="{BFD073C1-901A-41C5-9A2F-E92CA67450A6}">
  <ds:schemaRefs>
    <ds:schemaRef ds:uri="http://schemas.microsoft.com/office/2006/customDocumentInformationPanel"/>
  </ds:schemaRefs>
</ds:datastoreItem>
</file>

<file path=customXml/itemProps4.xml><?xml version="1.0" encoding="utf-8"?>
<ds:datastoreItem xmlns:ds="http://schemas.openxmlformats.org/officeDocument/2006/customXml" ds:itemID="{B04B3DED-94CD-4646-BFFD-0721D4289537}">
  <ds:schemaRefs>
    <ds:schemaRef ds:uri="http://schemas.microsoft.com/office/2006/metadata/properties"/>
    <ds:schemaRef ds:uri="http://schemas.microsoft.com/office/infopath/2007/PartnerControls"/>
    <ds:schemaRef ds:uri="2f261a70-825f-4a37-b7b5-f6ecc2f4c5fa"/>
    <ds:schemaRef ds:uri="b40c662e-0380-4817-843d-2c7e10d40c39"/>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Griffith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Casual Academic Staff Professional Development Teaching and Learning Program Policy</dc:title>
  <cp:keywords>casual academic staff development, Teaching and learning program workshops, GIHE workshops, GIHE training, staff development</cp:keywords>
  <cp:lastModifiedBy>Chelsea Finlayson</cp:lastModifiedBy>
  <cp:revision>14</cp:revision>
  <dcterms:created xsi:type="dcterms:W3CDTF">2023-07-31T01:28:00Z</dcterms:created>
  <dcterms:modified xsi:type="dcterms:W3CDTF">2024-04-29T23:09:50Z</dcterms:modified>
  <cp:category>Policy</cp:category>
  <cp:contentStatus>Current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1">
    <vt:lpwstr>19;#Staff|234b4c02-4f11-4558-b1da-d19b9b209556</vt:lpwstr>
  </property>
  <property fmtid="{D5CDD505-2E9C-101B-9397-08002B2CF9AE}" pid="3" name="policysection">
    <vt:lpwstr>58;#Staff Development and Exchanges|7d1374c7-feed-4954-b85c-6bb564407d6e</vt:lpwstr>
  </property>
  <property fmtid="{D5CDD505-2E9C-101B-9397-08002B2CF9AE}" pid="4" name="_dlc_policyId">
    <vt:lpwstr>0x010100CCB10AA9A57F62429EA6968F7587FFF2|1453938073</vt:lpwstr>
  </property>
  <property fmtid="{D5CDD505-2E9C-101B-9397-08002B2CF9AE}" pid="5" name="HTML Link">
    <vt:lpwstr>https://policies-admin.griffith.edu.au/pdf/Casual%20Academic%20Staff%20Professional%20Development%20Policy.pdf, View PDF Version</vt:lpwstr>
  </property>
  <property fmtid="{D5CDD505-2E9C-101B-9397-08002B2CF9AE}" pid="6" name="xd_Signature">
    <vt:bool>false</vt:bool>
  </property>
  <property fmtid="{D5CDD505-2E9C-101B-9397-08002B2CF9AE}" pid="7" name="xd_ProgID">
    <vt:lpwstr/>
  </property>
  <property fmtid="{D5CDD505-2E9C-101B-9397-08002B2CF9AE}" pid="8" name="appauthority">
    <vt:lpwstr>88;#Academic Committee|7e8af15c-aa65-4b9b-bab9-4850413bd480</vt:lpwstr>
  </property>
  <property fmtid="{D5CDD505-2E9C-101B-9397-08002B2CF9AE}" pid="9" name="ContentTypeId">
    <vt:lpwstr>0x010100D8585E08B4909F4CA72F2CA699ABA3ED</vt:lpwstr>
  </property>
  <property fmtid="{D5CDD505-2E9C-101B-9397-08002B2CF9AE}" pid="10" name="policycategory">
    <vt:lpwstr>69;#Policy|9279309a-7669-47c5-bf96-cc165d8b3ede</vt:lpwstr>
  </property>
  <property fmtid="{D5CDD505-2E9C-101B-9397-08002B2CF9AE}" pid="11" name="ItemRetentionFormula">
    <vt:lpwstr>&lt;formula offset="18" unit="months" /&gt;</vt:lpwstr>
  </property>
  <property fmtid="{D5CDD505-2E9C-101B-9397-08002B2CF9AE}" pid="12" name="TemplateUrl">
    <vt:lpwstr/>
  </property>
  <property fmtid="{D5CDD505-2E9C-101B-9397-08002B2CF9AE}" pid="13" name="_dlc_LastRun">
    <vt:lpwstr>08/04/2012 23:01:05</vt:lpwstr>
  </property>
  <property fmtid="{D5CDD505-2E9C-101B-9397-08002B2CF9AE}" pid="14" name="_dlc_DocIdItemGuid">
    <vt:lpwstr>947d6fa7-4558-4265-be42-0bd9d15be62c</vt:lpwstr>
  </property>
  <property fmtid="{D5CDD505-2E9C-101B-9397-08002B2CF9AE}" pid="15" name="_dlc_ItemStageId">
    <vt:lpwstr>1</vt:lpwstr>
  </property>
  <property fmtid="{D5CDD505-2E9C-101B-9397-08002B2CF9AE}" pid="16" name="policyreview">
    <vt:lpwstr>96;#2012|b8729608-1007-4347-9122-9997ba5755a4</vt:lpwstr>
  </property>
  <property fmtid="{D5CDD505-2E9C-101B-9397-08002B2CF9AE}" pid="17" name="policyaudience">
    <vt:lpwstr>77;#Staff|45ee306d-49ae-43fa-a3ef-02f70754fd2d</vt:lpwstr>
  </property>
  <property fmtid="{D5CDD505-2E9C-101B-9397-08002B2CF9AE}" pid="18" name="Category Type">
    <vt:lpwstr>22;#Policy|6ea67854-4618-4b05-bd31-1dfafb0e2b14</vt:lpwstr>
  </property>
  <property fmtid="{D5CDD505-2E9C-101B-9397-08002B2CF9AE}" pid="19" name="glossaryterms">
    <vt:lpwstr/>
  </property>
  <property fmtid="{D5CDD505-2E9C-101B-9397-08002B2CF9AE}" pid="20" name="officearea">
    <vt:lpwstr>158;#Learning Futures|7be7fa8d-ee98-4a12-89d5-9955f354caf5</vt:lpwstr>
  </property>
  <property fmtid="{D5CDD505-2E9C-101B-9397-08002B2CF9AE}" pid="21" name="policy-category">
    <vt:lpwstr/>
  </property>
  <property fmtid="{D5CDD505-2E9C-101B-9397-08002B2CF9AE}" pid="22" name="policy_x002d_category">
    <vt:lpwstr/>
  </property>
  <property fmtid="{D5CDD505-2E9C-101B-9397-08002B2CF9AE}" pid="23" name="DelayPublish">
    <vt:lpwstr>No</vt:lpwstr>
  </property>
  <property fmtid="{D5CDD505-2E9C-101B-9397-08002B2CF9AE}" pid="24" name="Managed_Testing_Field">
    <vt:lpwstr/>
  </property>
</Properties>
</file>