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40015C72" w:rsidR="00ED6047" w:rsidRPr="00673B09" w:rsidRDefault="007815A6" w:rsidP="00A144B2">
      <w:pPr>
        <w:pStyle w:val="Heading1"/>
        <w:spacing w:before="0" w:after="240"/>
        <w:rPr>
          <w:rFonts w:ascii="Griffith Sans Text" w:hAnsi="Griffith Sans Text"/>
          <w:sz w:val="52"/>
          <w:szCs w:val="32"/>
        </w:rPr>
      </w:pPr>
      <w:r>
        <w:rPr>
          <w:rFonts w:ascii="Griffith Sans Text" w:hAnsi="Griffith Sans Text"/>
          <w:sz w:val="52"/>
          <w:szCs w:val="32"/>
        </w:rPr>
        <w:t>Asset Disposal (Built Infrastructure)</w:t>
      </w:r>
    </w:p>
    <w:p w14:paraId="4B56D564" w14:textId="33010313" w:rsidR="00A144B2" w:rsidRPr="00673B09" w:rsidRDefault="00474D40" w:rsidP="007D1588">
      <w:pPr>
        <w:pStyle w:val="Heading2"/>
        <w:spacing w:before="0" w:after="0" w:line="240" w:lineRule="auto"/>
        <w:rPr>
          <w:rFonts w:ascii="Griffith Sans Text" w:hAnsi="Griffith Sans Text"/>
          <w:b w:val="0"/>
          <w:bCs w:val="0"/>
          <w:sz w:val="24"/>
          <w:szCs w:val="18"/>
        </w:rPr>
      </w:pPr>
      <w:hyperlink w:anchor="_1.0_Purpose" w:history="1">
        <w:r w:rsidR="00A144B2" w:rsidRPr="00673B09">
          <w:rPr>
            <w:rFonts w:ascii="Griffith Sans Text" w:hAnsi="Griffith Sans Text"/>
            <w:b w:val="0"/>
            <w:bCs w:val="0"/>
            <w:sz w:val="24"/>
            <w:szCs w:val="18"/>
          </w:rPr>
          <w:t>1.0 Purpose</w:t>
        </w:r>
      </w:hyperlink>
    </w:p>
    <w:p w14:paraId="1240B968" w14:textId="4A74855E" w:rsidR="00732202" w:rsidRPr="00673B09" w:rsidRDefault="00474D40" w:rsidP="007D1588">
      <w:pPr>
        <w:pStyle w:val="Heading2"/>
        <w:spacing w:before="0" w:after="0" w:line="240" w:lineRule="auto"/>
        <w:rPr>
          <w:rFonts w:ascii="Griffith Sans Text" w:hAnsi="Griffith Sans Text"/>
          <w:b w:val="0"/>
          <w:bCs w:val="0"/>
          <w:sz w:val="24"/>
          <w:szCs w:val="18"/>
        </w:rPr>
      </w:pPr>
      <w:hyperlink w:anchor="_2.0_Scope" w:history="1">
        <w:r w:rsidR="00732202" w:rsidRPr="00673B09">
          <w:rPr>
            <w:rFonts w:ascii="Griffith Sans Text" w:hAnsi="Griffith Sans Text"/>
            <w:b w:val="0"/>
            <w:bCs w:val="0"/>
            <w:sz w:val="24"/>
            <w:szCs w:val="18"/>
          </w:rPr>
          <w:t>2.0 Scope</w:t>
        </w:r>
      </w:hyperlink>
    </w:p>
    <w:p w14:paraId="636BA11E" w14:textId="43DE6A81" w:rsidR="00732202"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begin"/>
      </w:r>
      <w:r w:rsidR="002D4B9D" w:rsidRPr="00673B09">
        <w:rPr>
          <w:rFonts w:ascii="Griffith Sans Text" w:hAnsi="Griffith Sans Text"/>
          <w:b w:val="0"/>
          <w:bCs w:val="0"/>
          <w:sz w:val="24"/>
          <w:szCs w:val="18"/>
        </w:rPr>
        <w:instrText>HYPERLINK  \l "_3.0_Policy_statement"</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 xml:space="preserve">3.0 Policy </w:t>
      </w:r>
      <w:r w:rsidR="002D4B9D" w:rsidRPr="00673B09">
        <w:rPr>
          <w:rFonts w:ascii="Griffith Sans Text" w:hAnsi="Griffith Sans Text"/>
          <w:b w:val="0"/>
          <w:bCs w:val="0"/>
          <w:sz w:val="24"/>
          <w:szCs w:val="18"/>
        </w:rPr>
        <w:t>s</w:t>
      </w:r>
      <w:r w:rsidR="00732202" w:rsidRPr="00673B09">
        <w:rPr>
          <w:rFonts w:ascii="Griffith Sans Text" w:hAnsi="Griffith Sans Text"/>
          <w:b w:val="0"/>
          <w:bCs w:val="0"/>
          <w:sz w:val="24"/>
          <w:szCs w:val="18"/>
        </w:rPr>
        <w:t>tatement</w:t>
      </w:r>
    </w:p>
    <w:p w14:paraId="007778A3" w14:textId="7E55B07F" w:rsidR="00732202"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end"/>
      </w: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"_4.0_Roles,_responsibilities"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 xml:space="preserve">4.0 Roles, </w:t>
      </w:r>
      <w:proofErr w:type="gramStart"/>
      <w:r w:rsidR="00732202" w:rsidRPr="00673B09">
        <w:rPr>
          <w:rFonts w:ascii="Griffith Sans Text" w:hAnsi="Griffith Sans Text"/>
          <w:b w:val="0"/>
          <w:bCs w:val="0"/>
          <w:sz w:val="24"/>
          <w:szCs w:val="18"/>
        </w:rPr>
        <w:t>responsibilities</w:t>
      </w:r>
      <w:proofErr w:type="gramEnd"/>
      <w:r w:rsidR="00732202" w:rsidRPr="00673B09">
        <w:rPr>
          <w:rFonts w:ascii="Griffith Sans Text" w:hAnsi="Griffith Sans Text"/>
          <w:b w:val="0"/>
          <w:bCs w:val="0"/>
          <w:sz w:val="24"/>
          <w:szCs w:val="18"/>
        </w:rPr>
        <w:t xml:space="preserve"> and delegations</w:t>
      </w:r>
    </w:p>
    <w:p w14:paraId="574A747E" w14:textId="4CFB58BF" w:rsidR="00A144B2"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end"/>
      </w: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"_5.0_Definitions"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5.0 Definitions</w:t>
      </w:r>
    </w:p>
    <w:p w14:paraId="55C75591" w14:textId="1E4B60EB" w:rsidR="00FC349F"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end"/>
      </w:r>
      <w:hyperlink w:anchor="_6.0_Information" w:history="1">
        <w:r w:rsidR="00FC349F" w:rsidRPr="00673B09">
          <w:rPr>
            <w:rFonts w:ascii="Griffith Sans Text" w:hAnsi="Griffith Sans Text"/>
            <w:b w:val="0"/>
            <w:bCs w:val="0"/>
            <w:sz w:val="24"/>
            <w:szCs w:val="18"/>
          </w:rPr>
          <w:t>6.0</w:t>
        </w:r>
        <w:r w:rsidR="00274580" w:rsidRPr="00673B09">
          <w:rPr>
            <w:rFonts w:ascii="Griffith Sans Text" w:hAnsi="Griffith Sans Text"/>
            <w:b w:val="0"/>
            <w:bCs w:val="0"/>
            <w:sz w:val="24"/>
            <w:szCs w:val="18"/>
          </w:rPr>
          <w:t xml:space="preserve"> Information</w:t>
        </w:r>
      </w:hyperlink>
    </w:p>
    <w:p w14:paraId="1234EB08" w14:textId="1E7BA19D" w:rsidR="00274580" w:rsidRPr="00673B09" w:rsidRDefault="00474D40" w:rsidP="007D1588">
      <w:pPr>
        <w:pStyle w:val="Heading2"/>
        <w:spacing w:before="0" w:after="0" w:line="240" w:lineRule="auto"/>
        <w:rPr>
          <w:rFonts w:ascii="Griffith Sans Text" w:hAnsi="Griffith Sans Text"/>
          <w:b w:val="0"/>
          <w:bCs w:val="0"/>
          <w:sz w:val="24"/>
          <w:szCs w:val="18"/>
        </w:rPr>
      </w:pPr>
      <w:hyperlink w:anchor="_7.0_Related_Policy" w:history="1">
        <w:r w:rsidR="00274580" w:rsidRPr="00673B09">
          <w:rPr>
            <w:rFonts w:ascii="Griffith Sans Text" w:hAnsi="Griffith Sans Text"/>
            <w:b w:val="0"/>
            <w:bCs w:val="0"/>
            <w:sz w:val="24"/>
            <w:szCs w:val="18"/>
          </w:rPr>
          <w:t xml:space="preserve">7.0 Related </w:t>
        </w:r>
        <w:r w:rsidR="00456A0E" w:rsidRPr="00673B09">
          <w:rPr>
            <w:rFonts w:ascii="Griffith Sans Text" w:hAnsi="Griffith Sans Text"/>
            <w:b w:val="0"/>
            <w:bCs w:val="0"/>
            <w:sz w:val="24"/>
            <w:szCs w:val="18"/>
          </w:rPr>
          <w:t>policy documents and supporting documents</w:t>
        </w:r>
      </w:hyperlink>
    </w:p>
    <w:p w14:paraId="2DF7559D" w14:textId="7F1B59A1" w:rsidR="00A144B2" w:rsidRPr="003205F8" w:rsidRDefault="00A144B2" w:rsidP="008C5F7B">
      <w:pPr>
        <w:pStyle w:val="Heading2"/>
        <w:rPr>
          <w:rFonts w:ascii="Griffith Sans Text" w:hAnsi="Griffith Sans Text"/>
        </w:rPr>
      </w:pPr>
      <w:bookmarkStart w:id="0" w:name="_1.0_Purpose"/>
      <w:bookmarkEnd w:id="0"/>
      <w:r w:rsidRPr="003205F8">
        <w:rPr>
          <w:rFonts w:ascii="Griffith Sans Text" w:hAnsi="Griffith Sans Text"/>
        </w:rPr>
        <w:t>1.0 Purpose</w:t>
      </w:r>
    </w:p>
    <w:p w14:paraId="5841146F" w14:textId="59F09A77" w:rsidR="00820F73" w:rsidRPr="00AC0FEF" w:rsidRDefault="007815A6" w:rsidP="00AC0FEF">
      <w:pPr>
        <w:spacing w:before="120" w:after="120" w:line="240" w:lineRule="auto"/>
        <w:rPr>
          <w:rFonts w:ascii="Arial" w:hAnsi="Arial" w:cs="Arial"/>
          <w:sz w:val="22"/>
        </w:rPr>
      </w:pPr>
      <w:r w:rsidRPr="007815A6">
        <w:rPr>
          <w:rFonts w:ascii="Arial" w:hAnsi="Arial" w:cs="Arial"/>
          <w:sz w:val="22"/>
        </w:rPr>
        <w:t xml:space="preserve">This </w:t>
      </w:r>
      <w:r>
        <w:rPr>
          <w:rFonts w:ascii="Arial" w:hAnsi="Arial" w:cs="Arial"/>
          <w:sz w:val="22"/>
        </w:rPr>
        <w:t>p</w:t>
      </w:r>
      <w:r w:rsidRPr="007815A6">
        <w:rPr>
          <w:rFonts w:ascii="Arial" w:hAnsi="Arial" w:cs="Arial"/>
          <w:sz w:val="22"/>
        </w:rPr>
        <w:t>olicy sets out the criteria to be met for the disposal of built infrastructure assets, the process for approval and the approving authority</w:t>
      </w:r>
      <w:r w:rsidR="00482930">
        <w:rPr>
          <w:rFonts w:ascii="Arial" w:hAnsi="Arial" w:cs="Arial"/>
          <w:sz w:val="22"/>
        </w:rPr>
        <w:t xml:space="preserve"> at Griffith University. </w:t>
      </w:r>
    </w:p>
    <w:p w14:paraId="7F0EA822" w14:textId="07CBBBFC" w:rsidR="00A144B2" w:rsidRPr="003205F8" w:rsidRDefault="00A144B2" w:rsidP="008C5F7B">
      <w:pPr>
        <w:pStyle w:val="Heading2"/>
        <w:rPr>
          <w:rFonts w:ascii="Griffith Sans Text" w:hAnsi="Griffith Sans Text"/>
        </w:rPr>
      </w:pPr>
      <w:bookmarkStart w:id="1" w:name="_2.0_Scope"/>
      <w:bookmarkEnd w:id="1"/>
      <w:r w:rsidRPr="003205F8">
        <w:rPr>
          <w:rFonts w:ascii="Griffith Sans Text" w:hAnsi="Griffith Sans Text"/>
        </w:rPr>
        <w:t>2.0 Scope</w:t>
      </w:r>
    </w:p>
    <w:p w14:paraId="32381DE0" w14:textId="0ACC90A2" w:rsidR="00A144B2" w:rsidRPr="00AC0FEF" w:rsidRDefault="00482930" w:rsidP="00482930">
      <w:pPr>
        <w:spacing w:before="120" w:after="120" w:line="240" w:lineRule="auto"/>
        <w:rPr>
          <w:rFonts w:ascii="Arial" w:eastAsia="Calibri" w:hAnsi="Arial" w:cs="Arial"/>
          <w:sz w:val="22"/>
        </w:rPr>
      </w:pPr>
      <w:r w:rsidRPr="00482930">
        <w:rPr>
          <w:rFonts w:ascii="Arial" w:eastAsia="Calibri" w:hAnsi="Arial" w:cs="Arial"/>
          <w:sz w:val="22"/>
        </w:rPr>
        <w:t xml:space="preserve">The </w:t>
      </w:r>
      <w:r>
        <w:rPr>
          <w:rFonts w:ascii="Arial" w:eastAsia="Calibri" w:hAnsi="Arial" w:cs="Arial"/>
          <w:sz w:val="22"/>
        </w:rPr>
        <w:t>p</w:t>
      </w:r>
      <w:r w:rsidRPr="00482930">
        <w:rPr>
          <w:rFonts w:ascii="Arial" w:eastAsia="Calibri" w:hAnsi="Arial" w:cs="Arial"/>
          <w:sz w:val="22"/>
        </w:rPr>
        <w:t xml:space="preserve">olicy applies to all capital “built” assets including buildings and infrastructure necessary to support these assets on all campuses of </w:t>
      </w:r>
      <w:r>
        <w:rPr>
          <w:rFonts w:ascii="Arial" w:eastAsia="Calibri" w:hAnsi="Arial" w:cs="Arial"/>
          <w:sz w:val="22"/>
        </w:rPr>
        <w:t xml:space="preserve">Griffith </w:t>
      </w:r>
      <w:r w:rsidRPr="00482930">
        <w:rPr>
          <w:rFonts w:ascii="Arial" w:eastAsia="Calibri" w:hAnsi="Arial" w:cs="Arial"/>
          <w:sz w:val="22"/>
        </w:rPr>
        <w:t xml:space="preserve">University. In accordance with the Assets Management Policy a built asset falls within the definition of an </w:t>
      </w:r>
      <w:r>
        <w:rPr>
          <w:rFonts w:ascii="Arial" w:eastAsia="Calibri" w:hAnsi="Arial" w:cs="Arial"/>
          <w:sz w:val="22"/>
        </w:rPr>
        <w:t>a</w:t>
      </w:r>
      <w:r w:rsidRPr="00482930">
        <w:rPr>
          <w:rFonts w:ascii="Arial" w:eastAsia="Calibri" w:hAnsi="Arial" w:cs="Arial"/>
          <w:sz w:val="22"/>
        </w:rPr>
        <w:t xml:space="preserve">ccountable </w:t>
      </w:r>
      <w:r>
        <w:rPr>
          <w:rFonts w:ascii="Arial" w:eastAsia="Calibri" w:hAnsi="Arial" w:cs="Arial"/>
          <w:sz w:val="22"/>
        </w:rPr>
        <w:t>a</w:t>
      </w:r>
      <w:r w:rsidRPr="00482930">
        <w:rPr>
          <w:rFonts w:ascii="Arial" w:eastAsia="Calibri" w:hAnsi="Arial" w:cs="Arial"/>
          <w:sz w:val="22"/>
        </w:rPr>
        <w:t>sset.</w:t>
      </w:r>
    </w:p>
    <w:p w14:paraId="738A9BC3" w14:textId="33C7D406" w:rsidR="00A144B2" w:rsidRPr="003205F8" w:rsidRDefault="00A144B2" w:rsidP="008C5F7B">
      <w:pPr>
        <w:pStyle w:val="Heading2"/>
        <w:rPr>
          <w:rFonts w:ascii="Griffith Sans Text" w:hAnsi="Griffith Sans Text"/>
        </w:rPr>
      </w:pPr>
      <w:bookmarkStart w:id="2" w:name="_3.0_Policy_statement"/>
      <w:bookmarkEnd w:id="2"/>
      <w:r w:rsidRPr="003205F8">
        <w:rPr>
          <w:rFonts w:ascii="Griffith Sans Text" w:hAnsi="Griffith Sans Text"/>
        </w:rPr>
        <w:t>3.0 Policy statement</w:t>
      </w:r>
    </w:p>
    <w:p w14:paraId="68B78632" w14:textId="56B94427" w:rsidR="00493EC2" w:rsidRPr="00AC0FEF" w:rsidRDefault="00482930" w:rsidP="00482930">
      <w:pPr>
        <w:pStyle w:val="NormalWhite"/>
        <w:spacing w:before="120" w:after="120" w:line="240" w:lineRule="auto"/>
        <w:jc w:val="left"/>
        <w:rPr>
          <w:rFonts w:cs="Arial"/>
          <w:color w:val="auto"/>
          <w:sz w:val="22"/>
        </w:rPr>
      </w:pPr>
      <w:r>
        <w:rPr>
          <w:rFonts w:cs="Arial"/>
          <w:color w:val="auto"/>
          <w:sz w:val="22"/>
        </w:rPr>
        <w:t xml:space="preserve">An asset may be disposed of for the following reasons: </w:t>
      </w:r>
    </w:p>
    <w:p w14:paraId="07D29FF7" w14:textId="497BC1E7" w:rsidR="007066FB" w:rsidRDefault="00482930" w:rsidP="00AC0FEF">
      <w:pPr>
        <w:pStyle w:val="NormalWhite"/>
        <w:numPr>
          <w:ilvl w:val="0"/>
          <w:numId w:val="35"/>
        </w:numPr>
        <w:spacing w:after="120"/>
        <w:ind w:left="641" w:hanging="357"/>
        <w:jc w:val="left"/>
        <w:rPr>
          <w:rFonts w:cs="Arial"/>
          <w:color w:val="auto"/>
          <w:sz w:val="22"/>
        </w:rPr>
      </w:pPr>
      <w:r>
        <w:rPr>
          <w:rFonts w:cs="Arial"/>
          <w:color w:val="auto"/>
          <w:sz w:val="22"/>
        </w:rPr>
        <w:t xml:space="preserve">It is functionally inadequate and unsuitable for refurbishment, due to economic or technical constraints. </w:t>
      </w:r>
    </w:p>
    <w:p w14:paraId="13F37C96" w14:textId="6428CABE" w:rsidR="00482930" w:rsidRDefault="00482930" w:rsidP="00F50932">
      <w:pPr>
        <w:pStyle w:val="NormalWhite"/>
        <w:numPr>
          <w:ilvl w:val="0"/>
          <w:numId w:val="35"/>
        </w:numPr>
        <w:spacing w:after="120"/>
        <w:ind w:left="641" w:hanging="357"/>
        <w:jc w:val="left"/>
        <w:rPr>
          <w:rFonts w:cs="Arial"/>
          <w:color w:val="auto"/>
          <w:sz w:val="22"/>
        </w:rPr>
      </w:pPr>
      <w:r>
        <w:rPr>
          <w:rFonts w:cs="Arial"/>
          <w:color w:val="auto"/>
          <w:sz w:val="22"/>
        </w:rPr>
        <w:t xml:space="preserve">Its physical condition has deteriorated and is uneconomical to reinstate to an acceptable standard. </w:t>
      </w:r>
    </w:p>
    <w:p w14:paraId="15037740" w14:textId="6BF2E92A" w:rsidR="00482930" w:rsidRDefault="00482930" w:rsidP="00AC0FEF">
      <w:pPr>
        <w:pStyle w:val="NormalWhite"/>
        <w:numPr>
          <w:ilvl w:val="0"/>
          <w:numId w:val="35"/>
        </w:numPr>
        <w:spacing w:after="120"/>
        <w:ind w:left="641" w:hanging="357"/>
        <w:jc w:val="left"/>
        <w:rPr>
          <w:rFonts w:cs="Arial"/>
          <w:color w:val="auto"/>
          <w:sz w:val="22"/>
        </w:rPr>
      </w:pPr>
      <w:r>
        <w:rPr>
          <w:rFonts w:cs="Arial"/>
          <w:color w:val="auto"/>
          <w:sz w:val="22"/>
        </w:rPr>
        <w:t xml:space="preserve">There is negligible demand for it. </w:t>
      </w:r>
    </w:p>
    <w:p w14:paraId="39876A00" w14:textId="77777777" w:rsidR="00F50932" w:rsidRDefault="00482930" w:rsidP="00F50932">
      <w:pPr>
        <w:pStyle w:val="NormalWhite"/>
        <w:numPr>
          <w:ilvl w:val="0"/>
          <w:numId w:val="35"/>
        </w:numPr>
        <w:spacing w:after="120"/>
        <w:ind w:left="641" w:hanging="357"/>
        <w:jc w:val="left"/>
        <w:rPr>
          <w:rFonts w:cs="Arial"/>
          <w:color w:val="auto"/>
          <w:sz w:val="22"/>
        </w:rPr>
      </w:pPr>
      <w:r>
        <w:rPr>
          <w:rFonts w:cs="Arial"/>
          <w:color w:val="auto"/>
          <w:sz w:val="22"/>
        </w:rPr>
        <w:t xml:space="preserve">It aligns with the University strategy and/or campus master plan. </w:t>
      </w:r>
    </w:p>
    <w:p w14:paraId="2A22DBF5" w14:textId="7784B7AD" w:rsidR="00F50932" w:rsidRPr="00F50932" w:rsidRDefault="00F50932" w:rsidP="00F50932">
      <w:pPr>
        <w:pStyle w:val="NormalWhite"/>
        <w:numPr>
          <w:ilvl w:val="0"/>
          <w:numId w:val="35"/>
        </w:numPr>
        <w:spacing w:after="120"/>
        <w:ind w:left="641" w:hanging="357"/>
        <w:jc w:val="left"/>
        <w:rPr>
          <w:rFonts w:cs="Arial"/>
          <w:color w:val="auto"/>
          <w:sz w:val="22"/>
        </w:rPr>
      </w:pPr>
      <w:r w:rsidRPr="00F50932">
        <w:rPr>
          <w:rFonts w:cs="Arial"/>
          <w:color w:val="auto"/>
          <w:sz w:val="22"/>
        </w:rPr>
        <w:t>The building poses a health and safety risk outside of the University’s risk appetite and is unable to be remediated within appetite.</w:t>
      </w:r>
    </w:p>
    <w:p w14:paraId="301FA844" w14:textId="79A62ACC" w:rsidR="00A144B2" w:rsidRPr="003205F8" w:rsidRDefault="00A144B2" w:rsidP="003205F8">
      <w:pPr>
        <w:pStyle w:val="Heading3"/>
        <w:ind w:left="567"/>
        <w:rPr>
          <w:rFonts w:ascii="Griffith Sans Text" w:hAnsi="Griffith Sans Text"/>
        </w:rPr>
      </w:pPr>
      <w:bookmarkStart w:id="3" w:name="_4.0_Roles,_responsibilities"/>
      <w:bookmarkEnd w:id="3"/>
      <w:r w:rsidRPr="003205F8">
        <w:rPr>
          <w:rFonts w:ascii="Griffith Sans Text" w:hAnsi="Griffith Sans Text"/>
        </w:rPr>
        <w:t xml:space="preserve">3.1 </w:t>
      </w:r>
      <w:r w:rsidR="00F50932">
        <w:rPr>
          <w:rFonts w:ascii="Griffith Sans Text" w:hAnsi="Griffith Sans Text"/>
        </w:rPr>
        <w:t>Planning for asset disposal</w:t>
      </w:r>
    </w:p>
    <w:p w14:paraId="23A942CA" w14:textId="754DD345" w:rsidR="0059325A" w:rsidRPr="00AC0FEF" w:rsidRDefault="00F50932" w:rsidP="00AC0FEF">
      <w:pPr>
        <w:spacing w:before="120" w:after="120" w:line="240" w:lineRule="auto"/>
        <w:ind w:left="567"/>
        <w:rPr>
          <w:rFonts w:ascii="Arial" w:hAnsi="Arial" w:cs="Arial"/>
          <w:sz w:val="22"/>
        </w:rPr>
      </w:pPr>
      <w:r>
        <w:rPr>
          <w:rFonts w:ascii="Arial" w:hAnsi="Arial" w:cs="Arial"/>
          <w:sz w:val="22"/>
        </w:rPr>
        <w:t>When an asset is considered for disposal an Asset Disposal Report must be prepared. The Asset Disposal Report will incorporate where applicable the following:</w:t>
      </w:r>
    </w:p>
    <w:p w14:paraId="595DC5AE" w14:textId="77383477" w:rsidR="000760A1" w:rsidRDefault="00F50932" w:rsidP="00AC0FEF">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Rationale for disposal</w:t>
      </w:r>
    </w:p>
    <w:p w14:paraId="6B20CF59" w14:textId="12A9E900" w:rsidR="00F50932" w:rsidRDefault="00F50932" w:rsidP="00AC0FEF">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Option(s) for disposal</w:t>
      </w:r>
    </w:p>
    <w:p w14:paraId="41592AE1" w14:textId="74104F98" w:rsidR="00F50932" w:rsidRDefault="00F50932" w:rsidP="00AC0FEF">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Costing and evaluation of disposal alternatives</w:t>
      </w:r>
    </w:p>
    <w:p w14:paraId="24301AE6" w14:textId="77777777" w:rsidR="00F50932" w:rsidRDefault="00F50932" w:rsidP="00AC0FEF">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Replacement value and written down value of the asset, independent valuations, condition assessments, review/assessment of any commercial offers, financial implications of the disposal</w:t>
      </w:r>
    </w:p>
    <w:p w14:paraId="626E36EA" w14:textId="72B4AD53" w:rsidR="00F50932" w:rsidRPr="00AC0FEF" w:rsidRDefault="00F50932" w:rsidP="00AC0FEF">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 xml:space="preserve">Due diligence reports appropriate to the transaction under consideration including compliance with legislative requirements. </w:t>
      </w:r>
    </w:p>
    <w:p w14:paraId="003E8D39" w14:textId="77777777" w:rsidR="00AA391D" w:rsidRPr="00AA391D" w:rsidRDefault="00AA391D" w:rsidP="008E2FFB">
      <w:pPr>
        <w:spacing w:before="120" w:after="120" w:line="240" w:lineRule="auto"/>
        <w:ind w:left="567"/>
        <w:rPr>
          <w:rFonts w:ascii="Arial" w:hAnsi="Arial" w:cs="Arial"/>
          <w:sz w:val="20"/>
          <w:szCs w:val="24"/>
        </w:rPr>
      </w:pPr>
    </w:p>
    <w:p w14:paraId="4AEC6073" w14:textId="5DB5F2E1" w:rsidR="00A144B2" w:rsidRPr="003205F8" w:rsidRDefault="00A144B2" w:rsidP="00E60BDE">
      <w:pPr>
        <w:pStyle w:val="Heading2"/>
        <w:spacing w:after="0"/>
        <w:rPr>
          <w:rFonts w:ascii="Griffith Sans Text" w:hAnsi="Griffith Sans Text"/>
        </w:rPr>
      </w:pPr>
      <w:r w:rsidRPr="003205F8">
        <w:rPr>
          <w:rFonts w:ascii="Griffith Sans Text" w:hAnsi="Griffith Sans Text"/>
        </w:rPr>
        <w:lastRenderedPageBreak/>
        <w:t xml:space="preserve">4.0 Roles, </w:t>
      </w:r>
      <w:proofErr w:type="gramStart"/>
      <w:r w:rsidRPr="003205F8">
        <w:rPr>
          <w:rFonts w:ascii="Griffith Sans Text" w:hAnsi="Griffith Sans Text"/>
        </w:rPr>
        <w:t>responsibilities</w:t>
      </w:r>
      <w:proofErr w:type="gramEnd"/>
      <w:r w:rsidRPr="003205F8">
        <w:rPr>
          <w:rFonts w:ascii="Griffith Sans Text" w:hAnsi="Griffith Sans Text"/>
        </w:rPr>
        <w:t xml:space="preserve"> and delegations</w:t>
      </w:r>
      <w:bookmarkStart w:id="4" w:name="_5.0_Definitions"/>
      <w:bookmarkEnd w:id="4"/>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727"/>
        <w:gridCol w:w="7363"/>
      </w:tblGrid>
      <w:tr w:rsidR="005926AC" w14:paraId="3325066C" w14:textId="77777777" w:rsidTr="00B56551">
        <w:tc>
          <w:tcPr>
            <w:tcW w:w="2727" w:type="dxa"/>
          </w:tcPr>
          <w:p w14:paraId="0F8775F0" w14:textId="1D6AA80B" w:rsidR="005926AC" w:rsidRPr="00786706" w:rsidRDefault="005926AC" w:rsidP="008E2FFB">
            <w:pPr>
              <w:pStyle w:val="Heading4"/>
            </w:pPr>
            <w:r>
              <w:t>ROLE</w:t>
            </w:r>
          </w:p>
        </w:tc>
        <w:tc>
          <w:tcPr>
            <w:tcW w:w="7363" w:type="dxa"/>
          </w:tcPr>
          <w:p w14:paraId="5AC42DFC" w14:textId="6CB1AFAB" w:rsidR="005926AC" w:rsidRPr="00786706" w:rsidRDefault="005926AC" w:rsidP="008E2FFB">
            <w:pPr>
              <w:pStyle w:val="Heading4"/>
              <w:rPr>
                <w:lang w:val="en-GB"/>
              </w:rPr>
            </w:pPr>
            <w:r>
              <w:t>RESPONSIBILTY</w:t>
            </w:r>
          </w:p>
        </w:tc>
      </w:tr>
      <w:tr w:rsidR="005746E7" w14:paraId="2FC76EED" w14:textId="77777777" w:rsidTr="00B56551">
        <w:tc>
          <w:tcPr>
            <w:tcW w:w="2727" w:type="dxa"/>
          </w:tcPr>
          <w:p w14:paraId="2E7429F6" w14:textId="7F5D2FC7" w:rsidR="005746E7" w:rsidRPr="00AC0FEF" w:rsidRDefault="00B56551" w:rsidP="00AC0FEF">
            <w:pPr>
              <w:spacing w:before="120" w:after="120"/>
              <w:rPr>
                <w:rFonts w:ascii="Arial" w:hAnsi="Arial" w:cs="Arial"/>
                <w:sz w:val="22"/>
              </w:rPr>
            </w:pPr>
            <w:r>
              <w:rPr>
                <w:rFonts w:ascii="Arial" w:hAnsi="Arial" w:cs="Arial"/>
                <w:sz w:val="22"/>
              </w:rPr>
              <w:t>University Council</w:t>
            </w:r>
          </w:p>
        </w:tc>
        <w:tc>
          <w:tcPr>
            <w:tcW w:w="7363" w:type="dxa"/>
          </w:tcPr>
          <w:p w14:paraId="397A9C35" w14:textId="6D8CFBDD" w:rsidR="005746E7" w:rsidRPr="00AC0FEF" w:rsidRDefault="00B56551" w:rsidP="00AC0FEF">
            <w:pPr>
              <w:spacing w:before="120" w:after="120"/>
              <w:rPr>
                <w:rFonts w:ascii="Arial" w:hAnsi="Arial" w:cs="Arial"/>
                <w:sz w:val="22"/>
                <w:lang w:val="en-GB"/>
              </w:rPr>
            </w:pPr>
            <w:r>
              <w:rPr>
                <w:rFonts w:ascii="Arial" w:hAnsi="Arial" w:cs="Arial"/>
                <w:sz w:val="22"/>
              </w:rPr>
              <w:t>Approves asset disposal (assets with net book values greater than $5 million)</w:t>
            </w:r>
          </w:p>
        </w:tc>
      </w:tr>
      <w:tr w:rsidR="005746E7" w14:paraId="7B6728F7" w14:textId="77777777" w:rsidTr="00B56551">
        <w:tc>
          <w:tcPr>
            <w:tcW w:w="2727" w:type="dxa"/>
          </w:tcPr>
          <w:p w14:paraId="10F7537E" w14:textId="1F02BAEA" w:rsidR="005746E7" w:rsidRPr="00AC0FEF" w:rsidRDefault="00B56551" w:rsidP="00AC0FEF">
            <w:pPr>
              <w:spacing w:before="120" w:after="120"/>
              <w:rPr>
                <w:rFonts w:ascii="Arial" w:hAnsi="Arial" w:cs="Arial"/>
                <w:sz w:val="22"/>
              </w:rPr>
            </w:pPr>
            <w:r>
              <w:rPr>
                <w:rFonts w:ascii="Arial" w:hAnsi="Arial" w:cs="Arial"/>
                <w:sz w:val="22"/>
              </w:rPr>
              <w:t>Finance and Infrastructure Committee</w:t>
            </w:r>
          </w:p>
        </w:tc>
        <w:tc>
          <w:tcPr>
            <w:tcW w:w="7363" w:type="dxa"/>
          </w:tcPr>
          <w:p w14:paraId="067AC406" w14:textId="54A73536" w:rsidR="00B56551" w:rsidRDefault="00B56551" w:rsidP="00AC0FEF">
            <w:pPr>
              <w:spacing w:before="120" w:after="120"/>
              <w:rPr>
                <w:rFonts w:ascii="Arial" w:hAnsi="Arial" w:cs="Arial"/>
                <w:sz w:val="22"/>
              </w:rPr>
            </w:pPr>
            <w:r>
              <w:rPr>
                <w:rFonts w:ascii="Arial" w:hAnsi="Arial" w:cs="Arial"/>
                <w:sz w:val="22"/>
              </w:rPr>
              <w:t>Approves asset disposal (assets with &lt;$1 million and &lt;$5 million net book value)</w:t>
            </w:r>
          </w:p>
          <w:p w14:paraId="7B4AB0A2" w14:textId="2DB1300F" w:rsidR="00B56551" w:rsidRPr="00B56551" w:rsidRDefault="00B56551" w:rsidP="00AC0FEF">
            <w:pPr>
              <w:spacing w:before="120" w:after="120"/>
              <w:rPr>
                <w:rFonts w:ascii="Arial" w:hAnsi="Arial" w:cs="Arial"/>
                <w:sz w:val="22"/>
              </w:rPr>
            </w:pPr>
            <w:r>
              <w:rPr>
                <w:rFonts w:ascii="Arial" w:hAnsi="Arial" w:cs="Arial"/>
                <w:sz w:val="22"/>
              </w:rPr>
              <w:t>Recommends to Council the disposal of assets with a net book value &gt;$5 million</w:t>
            </w:r>
          </w:p>
        </w:tc>
      </w:tr>
      <w:tr w:rsidR="005746E7" w14:paraId="6CFCA283" w14:textId="77777777" w:rsidTr="00B56551">
        <w:tc>
          <w:tcPr>
            <w:tcW w:w="2727" w:type="dxa"/>
          </w:tcPr>
          <w:p w14:paraId="3F9B7E25" w14:textId="00782BD4" w:rsidR="005746E7" w:rsidRPr="00AC0FEF" w:rsidRDefault="00B56551" w:rsidP="00AC0FEF">
            <w:pPr>
              <w:spacing w:before="120" w:after="120"/>
              <w:rPr>
                <w:rFonts w:ascii="Arial" w:hAnsi="Arial" w:cs="Arial"/>
                <w:sz w:val="22"/>
              </w:rPr>
            </w:pPr>
            <w:r>
              <w:rPr>
                <w:rFonts w:ascii="Arial" w:hAnsi="Arial" w:cs="Arial"/>
                <w:sz w:val="22"/>
              </w:rPr>
              <w:t>Chief Operating Officer</w:t>
            </w:r>
          </w:p>
        </w:tc>
        <w:tc>
          <w:tcPr>
            <w:tcW w:w="7363" w:type="dxa"/>
          </w:tcPr>
          <w:p w14:paraId="7A472752" w14:textId="018D8851" w:rsidR="005746E7" w:rsidRDefault="00B56551" w:rsidP="00AC0FEF">
            <w:pPr>
              <w:spacing w:before="120" w:after="120"/>
              <w:rPr>
                <w:rFonts w:ascii="Arial" w:hAnsi="Arial" w:cs="Arial"/>
                <w:sz w:val="22"/>
              </w:rPr>
            </w:pPr>
            <w:r>
              <w:rPr>
                <w:rFonts w:ascii="Arial" w:hAnsi="Arial" w:cs="Arial"/>
                <w:sz w:val="22"/>
              </w:rPr>
              <w:t>Approves asset disposal (assets with &lt;$1 million net book value)</w:t>
            </w:r>
          </w:p>
          <w:p w14:paraId="4B43395E" w14:textId="2DB34F3D" w:rsidR="00B56551" w:rsidRPr="00AC0FEF" w:rsidRDefault="00B56551" w:rsidP="00AC0FEF">
            <w:pPr>
              <w:spacing w:before="120" w:after="120"/>
              <w:rPr>
                <w:rFonts w:ascii="Arial" w:hAnsi="Arial" w:cs="Arial"/>
                <w:sz w:val="22"/>
              </w:rPr>
            </w:pPr>
            <w:r>
              <w:rPr>
                <w:rFonts w:ascii="Arial" w:hAnsi="Arial" w:cs="Arial"/>
                <w:sz w:val="22"/>
              </w:rPr>
              <w:t>Recommends to Finance and Infrastructure Committee the disposal of assets with a net book value &gt;$1 million</w:t>
            </w:r>
          </w:p>
        </w:tc>
      </w:tr>
      <w:tr w:rsidR="005746E7" w14:paraId="43B5A5B9" w14:textId="77777777" w:rsidTr="00B56551">
        <w:tc>
          <w:tcPr>
            <w:tcW w:w="2727" w:type="dxa"/>
          </w:tcPr>
          <w:p w14:paraId="32F373DA" w14:textId="1BC5E05D" w:rsidR="005746E7" w:rsidRPr="00AC0FEF" w:rsidRDefault="00B56551" w:rsidP="00AC0FEF">
            <w:pPr>
              <w:spacing w:before="120" w:after="120"/>
              <w:rPr>
                <w:rFonts w:ascii="Arial" w:hAnsi="Arial" w:cs="Arial"/>
                <w:sz w:val="22"/>
              </w:rPr>
            </w:pPr>
            <w:r>
              <w:rPr>
                <w:rFonts w:ascii="Arial" w:hAnsi="Arial" w:cs="Arial"/>
                <w:sz w:val="22"/>
              </w:rPr>
              <w:t>Chief Financial Officer</w:t>
            </w:r>
          </w:p>
        </w:tc>
        <w:tc>
          <w:tcPr>
            <w:tcW w:w="7363" w:type="dxa"/>
          </w:tcPr>
          <w:p w14:paraId="0887970A" w14:textId="34886A6A" w:rsidR="00B56551" w:rsidRPr="00B56551" w:rsidRDefault="00B56551" w:rsidP="00B56551">
            <w:pPr>
              <w:spacing w:before="120" w:after="120" w:line="240" w:lineRule="auto"/>
              <w:rPr>
                <w:rFonts w:ascii="Arial" w:hAnsi="Arial" w:cs="Arial"/>
                <w:sz w:val="22"/>
              </w:rPr>
            </w:pPr>
            <w:r w:rsidRPr="00B56551">
              <w:rPr>
                <w:rFonts w:ascii="Arial" w:hAnsi="Arial" w:cs="Arial"/>
                <w:sz w:val="22"/>
              </w:rPr>
              <w:t>Approv</w:t>
            </w:r>
            <w:r>
              <w:rPr>
                <w:rFonts w:ascii="Arial" w:hAnsi="Arial" w:cs="Arial"/>
                <w:sz w:val="22"/>
              </w:rPr>
              <w:t>es</w:t>
            </w:r>
            <w:r w:rsidRPr="00B56551">
              <w:rPr>
                <w:rFonts w:ascii="Arial" w:hAnsi="Arial" w:cs="Arial"/>
                <w:sz w:val="22"/>
              </w:rPr>
              <w:t xml:space="preserve"> proposed methods of asset disposal</w:t>
            </w:r>
          </w:p>
          <w:p w14:paraId="40B03A34" w14:textId="31C5FC39" w:rsidR="005746E7" w:rsidRPr="00AC0FEF" w:rsidRDefault="00B56551" w:rsidP="00B56551">
            <w:pPr>
              <w:spacing w:before="120" w:after="120"/>
              <w:rPr>
                <w:rFonts w:ascii="Arial" w:hAnsi="Arial" w:cs="Arial"/>
                <w:sz w:val="22"/>
              </w:rPr>
            </w:pPr>
            <w:r w:rsidRPr="00B56551">
              <w:rPr>
                <w:rFonts w:ascii="Arial" w:hAnsi="Arial" w:cs="Arial"/>
                <w:sz w:val="22"/>
              </w:rPr>
              <w:t>Remov</w:t>
            </w:r>
            <w:r>
              <w:rPr>
                <w:rFonts w:ascii="Arial" w:hAnsi="Arial" w:cs="Arial"/>
                <w:sz w:val="22"/>
              </w:rPr>
              <w:t>es</w:t>
            </w:r>
            <w:r w:rsidRPr="00B56551">
              <w:rPr>
                <w:rFonts w:ascii="Arial" w:hAnsi="Arial" w:cs="Arial"/>
                <w:sz w:val="22"/>
              </w:rPr>
              <w:t xml:space="preserve"> </w:t>
            </w:r>
            <w:r>
              <w:rPr>
                <w:rFonts w:ascii="Arial" w:hAnsi="Arial" w:cs="Arial"/>
                <w:sz w:val="22"/>
              </w:rPr>
              <w:t>a</w:t>
            </w:r>
            <w:r w:rsidRPr="00B56551">
              <w:rPr>
                <w:rFonts w:ascii="Arial" w:hAnsi="Arial" w:cs="Arial"/>
                <w:sz w:val="22"/>
              </w:rPr>
              <w:t>sset from Accountable Asset Register</w:t>
            </w:r>
          </w:p>
        </w:tc>
      </w:tr>
      <w:tr w:rsidR="00B56551" w14:paraId="3CCA6D72" w14:textId="77777777" w:rsidTr="00B56551">
        <w:tc>
          <w:tcPr>
            <w:tcW w:w="2727" w:type="dxa"/>
          </w:tcPr>
          <w:p w14:paraId="2AA372F7" w14:textId="709A6120" w:rsidR="00B56551" w:rsidRPr="00B56551" w:rsidRDefault="00B56551" w:rsidP="00B56551">
            <w:pPr>
              <w:spacing w:before="120" w:after="120"/>
              <w:rPr>
                <w:rFonts w:ascii="Arial" w:hAnsi="Arial" w:cs="Arial"/>
                <w:sz w:val="22"/>
                <w:szCs w:val="28"/>
              </w:rPr>
            </w:pPr>
            <w:r w:rsidRPr="00B56551">
              <w:rPr>
                <w:rFonts w:ascii="Arial" w:hAnsi="Arial" w:cs="Arial"/>
                <w:sz w:val="22"/>
                <w:szCs w:val="28"/>
              </w:rPr>
              <w:t>Associate Director, Minor Projects or Director, Major Projects and Planning</w:t>
            </w:r>
            <w:r>
              <w:rPr>
                <w:rFonts w:ascii="Arial" w:hAnsi="Arial" w:cs="Arial"/>
                <w:sz w:val="22"/>
                <w:szCs w:val="28"/>
              </w:rPr>
              <w:t xml:space="preserve">, or </w:t>
            </w:r>
            <w:r w:rsidRPr="00B56551">
              <w:rPr>
                <w:rFonts w:ascii="Arial" w:hAnsi="Arial" w:cs="Arial"/>
                <w:sz w:val="22"/>
                <w:szCs w:val="28"/>
              </w:rPr>
              <w:t>Chief Financial Officer</w:t>
            </w:r>
          </w:p>
        </w:tc>
        <w:tc>
          <w:tcPr>
            <w:tcW w:w="7363" w:type="dxa"/>
          </w:tcPr>
          <w:p w14:paraId="7A34205C" w14:textId="263F3870" w:rsidR="00B56551" w:rsidRPr="00B56551" w:rsidRDefault="00B56551" w:rsidP="00B56551">
            <w:pPr>
              <w:spacing w:before="120" w:after="120"/>
              <w:rPr>
                <w:rFonts w:ascii="Arial" w:hAnsi="Arial" w:cs="Arial"/>
                <w:sz w:val="22"/>
                <w:szCs w:val="28"/>
                <w:lang w:val="en-GB"/>
              </w:rPr>
            </w:pPr>
            <w:r w:rsidRPr="00B56551">
              <w:rPr>
                <w:rFonts w:ascii="Arial" w:hAnsi="Arial" w:cs="Arial"/>
                <w:sz w:val="22"/>
                <w:szCs w:val="28"/>
              </w:rPr>
              <w:t>Prepar</w:t>
            </w:r>
            <w:r>
              <w:rPr>
                <w:rFonts w:ascii="Arial" w:hAnsi="Arial" w:cs="Arial"/>
                <w:sz w:val="22"/>
                <w:szCs w:val="28"/>
              </w:rPr>
              <w:t>es</w:t>
            </w:r>
            <w:r w:rsidRPr="00B56551">
              <w:rPr>
                <w:rFonts w:ascii="Arial" w:hAnsi="Arial" w:cs="Arial"/>
                <w:sz w:val="22"/>
                <w:szCs w:val="28"/>
              </w:rPr>
              <w:t xml:space="preserve"> an Asset Disposal Report</w:t>
            </w:r>
          </w:p>
        </w:tc>
      </w:tr>
      <w:tr w:rsidR="00B56551" w14:paraId="3195114D" w14:textId="77777777" w:rsidTr="00B56551">
        <w:tc>
          <w:tcPr>
            <w:tcW w:w="2727" w:type="dxa"/>
          </w:tcPr>
          <w:p w14:paraId="1A4F09FB" w14:textId="615FF2EE" w:rsidR="00B56551" w:rsidRPr="00B56551" w:rsidRDefault="00B56551" w:rsidP="00B56551">
            <w:pPr>
              <w:spacing w:before="120" w:after="120"/>
              <w:rPr>
                <w:rFonts w:ascii="Arial" w:hAnsi="Arial" w:cs="Arial"/>
                <w:sz w:val="22"/>
                <w:szCs w:val="24"/>
              </w:rPr>
            </w:pPr>
            <w:r w:rsidRPr="00B56551">
              <w:rPr>
                <w:rFonts w:ascii="Arial" w:hAnsi="Arial" w:cs="Arial"/>
                <w:sz w:val="22"/>
                <w:szCs w:val="24"/>
              </w:rPr>
              <w:t>Head of Academic Group/Element</w:t>
            </w:r>
          </w:p>
        </w:tc>
        <w:tc>
          <w:tcPr>
            <w:tcW w:w="7363" w:type="dxa"/>
          </w:tcPr>
          <w:p w14:paraId="653EB43A" w14:textId="2681EB62" w:rsidR="00B56551" w:rsidRPr="00B56551" w:rsidRDefault="00B56551" w:rsidP="00B56551">
            <w:pPr>
              <w:spacing w:before="120" w:after="120"/>
              <w:rPr>
                <w:rFonts w:ascii="Arial" w:hAnsi="Arial" w:cs="Arial"/>
                <w:sz w:val="22"/>
                <w:szCs w:val="24"/>
              </w:rPr>
            </w:pPr>
            <w:r w:rsidRPr="00B56551">
              <w:rPr>
                <w:rFonts w:ascii="Arial" w:hAnsi="Arial" w:cs="Arial"/>
                <w:sz w:val="22"/>
                <w:szCs w:val="24"/>
              </w:rPr>
              <w:t>Prepar</w:t>
            </w:r>
            <w:r>
              <w:rPr>
                <w:rFonts w:ascii="Arial" w:hAnsi="Arial" w:cs="Arial"/>
                <w:sz w:val="22"/>
                <w:szCs w:val="24"/>
              </w:rPr>
              <w:t>es</w:t>
            </w:r>
            <w:r w:rsidRPr="00B56551">
              <w:rPr>
                <w:rFonts w:ascii="Arial" w:hAnsi="Arial" w:cs="Arial"/>
                <w:sz w:val="22"/>
                <w:szCs w:val="24"/>
              </w:rPr>
              <w:t xml:space="preserve"> report indicating an asset is surplus to requirement</w:t>
            </w:r>
          </w:p>
        </w:tc>
      </w:tr>
    </w:tbl>
    <w:p w14:paraId="5EB8F927" w14:textId="2724D7BC" w:rsidR="00A144B2" w:rsidRPr="003205F8" w:rsidRDefault="00A144B2" w:rsidP="007D4084">
      <w:pPr>
        <w:pStyle w:val="Heading2"/>
        <w:rPr>
          <w:rFonts w:ascii="Griffith Sans Text" w:hAnsi="Griffith Sans Text"/>
        </w:rPr>
      </w:pPr>
      <w:r w:rsidRPr="003205F8">
        <w:rPr>
          <w:rFonts w:ascii="Griffith Sans Text" w:hAnsi="Griffith Sans Text"/>
        </w:rPr>
        <w:t>5.0 Definitions</w:t>
      </w:r>
    </w:p>
    <w:p w14:paraId="70CCABAF" w14:textId="79CF702F" w:rsidR="00B42BD2" w:rsidRPr="00AC0FEF" w:rsidRDefault="00B42BD2" w:rsidP="00AC0FEF">
      <w:pPr>
        <w:spacing w:before="120" w:after="120" w:line="240" w:lineRule="auto"/>
        <w:rPr>
          <w:rFonts w:ascii="Arial" w:hAnsi="Arial" w:cs="Arial"/>
          <w:sz w:val="22"/>
        </w:rPr>
      </w:pPr>
      <w:r w:rsidRPr="00AC0FEF">
        <w:rPr>
          <w:rFonts w:ascii="Arial" w:hAnsi="Arial" w:cs="Arial"/>
          <w:sz w:val="22"/>
        </w:rPr>
        <w:t xml:space="preserve">For the purposes of this policy and related policy documents, the following definitions apply: </w:t>
      </w:r>
    </w:p>
    <w:p w14:paraId="5A9F650A" w14:textId="77777777" w:rsidR="00EF5096" w:rsidRPr="00EF5096" w:rsidRDefault="00EF5096" w:rsidP="00EF5096">
      <w:pPr>
        <w:spacing w:before="120" w:after="120" w:line="240" w:lineRule="auto"/>
        <w:rPr>
          <w:rFonts w:ascii="Arial" w:hAnsi="Arial" w:cs="Arial"/>
          <w:sz w:val="22"/>
        </w:rPr>
      </w:pPr>
      <w:r>
        <w:rPr>
          <w:rFonts w:ascii="Arial" w:hAnsi="Arial" w:cs="Arial"/>
          <w:b/>
          <w:bCs/>
          <w:sz w:val="22"/>
        </w:rPr>
        <w:t>Accountable assets</w:t>
      </w:r>
      <w:r w:rsidR="00B42BD2" w:rsidRPr="00AC0FEF">
        <w:rPr>
          <w:rFonts w:ascii="Arial" w:hAnsi="Arial" w:cs="Arial"/>
          <w:sz w:val="22"/>
        </w:rPr>
        <w:t xml:space="preserve"> </w:t>
      </w:r>
      <w:r w:rsidRPr="00EF5096">
        <w:rPr>
          <w:rFonts w:ascii="Arial" w:hAnsi="Arial" w:cs="Arial"/>
          <w:sz w:val="22"/>
        </w:rPr>
        <w:t>include any item owned or acquired by the University that has an expected economic life in excess of one year. This covers:</w:t>
      </w:r>
    </w:p>
    <w:p w14:paraId="2FF41975" w14:textId="76E3912D" w:rsidR="00EF5096" w:rsidRPr="00EF5096" w:rsidRDefault="00EF5096" w:rsidP="00EF5096">
      <w:pPr>
        <w:pStyle w:val="ListParagraph"/>
        <w:numPr>
          <w:ilvl w:val="0"/>
          <w:numId w:val="37"/>
        </w:numPr>
        <w:spacing w:before="120" w:after="120" w:line="240" w:lineRule="auto"/>
        <w:rPr>
          <w:rFonts w:ascii="Arial" w:hAnsi="Arial" w:cs="Arial"/>
          <w:sz w:val="22"/>
        </w:rPr>
      </w:pPr>
      <w:r w:rsidRPr="00EF5096">
        <w:rPr>
          <w:rFonts w:ascii="Arial" w:hAnsi="Arial" w:cs="Arial"/>
          <w:sz w:val="22"/>
        </w:rPr>
        <w:t>Lan</w:t>
      </w:r>
      <w:r w:rsidR="00E60BDE">
        <w:rPr>
          <w:rFonts w:ascii="Arial" w:hAnsi="Arial" w:cs="Arial"/>
          <w:sz w:val="22"/>
        </w:rPr>
        <w:t>d</w:t>
      </w:r>
    </w:p>
    <w:p w14:paraId="42817BC4" w14:textId="13455899" w:rsidR="00EF5096" w:rsidRPr="00EF5096" w:rsidRDefault="00EF5096" w:rsidP="00EF5096">
      <w:pPr>
        <w:pStyle w:val="ListParagraph"/>
        <w:numPr>
          <w:ilvl w:val="0"/>
          <w:numId w:val="37"/>
        </w:numPr>
        <w:spacing w:before="120" w:after="120" w:line="240" w:lineRule="auto"/>
        <w:rPr>
          <w:rFonts w:ascii="Arial" w:hAnsi="Arial" w:cs="Arial"/>
          <w:sz w:val="22"/>
        </w:rPr>
      </w:pPr>
      <w:r w:rsidRPr="00EF5096">
        <w:rPr>
          <w:rFonts w:ascii="Arial" w:hAnsi="Arial" w:cs="Arial"/>
          <w:sz w:val="22"/>
        </w:rPr>
        <w:t>Buildings, land improvements and infrastructure valued in excess of $10,000</w:t>
      </w:r>
    </w:p>
    <w:p w14:paraId="7C75D502" w14:textId="666492C3" w:rsidR="00EF5096" w:rsidRPr="00EF5096" w:rsidRDefault="00EF5096" w:rsidP="00EF5096">
      <w:pPr>
        <w:pStyle w:val="ListParagraph"/>
        <w:numPr>
          <w:ilvl w:val="0"/>
          <w:numId w:val="37"/>
        </w:numPr>
        <w:spacing w:before="120" w:after="120" w:line="240" w:lineRule="auto"/>
        <w:rPr>
          <w:rFonts w:ascii="Arial" w:hAnsi="Arial" w:cs="Arial"/>
          <w:sz w:val="22"/>
        </w:rPr>
      </w:pPr>
      <w:r w:rsidRPr="00EF5096">
        <w:rPr>
          <w:rFonts w:ascii="Arial" w:hAnsi="Arial" w:cs="Arial"/>
          <w:sz w:val="22"/>
        </w:rPr>
        <w:t>Intangible assets are non-physical assets owned or acquired by the University that assist in the delivery of outputs or services. Intangible assets include software (purchased and internally generated), intellectual property, and other intangibles with a value in excess of $100,000, digital library reference collections with a value in excess $1,000,000, and digital heritage collections in excess of $10,000</w:t>
      </w:r>
    </w:p>
    <w:p w14:paraId="4F79A084" w14:textId="3B5F30FC" w:rsidR="00EF5096" w:rsidRPr="00EF5096" w:rsidRDefault="00EF5096" w:rsidP="00EF5096">
      <w:pPr>
        <w:pStyle w:val="ListParagraph"/>
        <w:numPr>
          <w:ilvl w:val="0"/>
          <w:numId w:val="37"/>
        </w:numPr>
        <w:spacing w:before="120" w:after="120" w:line="240" w:lineRule="auto"/>
        <w:rPr>
          <w:rFonts w:ascii="Arial" w:hAnsi="Arial" w:cs="Arial"/>
          <w:sz w:val="22"/>
        </w:rPr>
      </w:pPr>
      <w:r w:rsidRPr="00EF5096">
        <w:rPr>
          <w:rFonts w:ascii="Arial" w:hAnsi="Arial" w:cs="Arial"/>
          <w:sz w:val="22"/>
        </w:rPr>
        <w:t>All other Non-current Physical Assets with a cost at acquisition date in excess of $10,000</w:t>
      </w:r>
    </w:p>
    <w:p w14:paraId="1B576B2C" w14:textId="527634BF" w:rsidR="002F186F" w:rsidRPr="00EF5096" w:rsidRDefault="00EF5096" w:rsidP="00EF5096">
      <w:pPr>
        <w:pStyle w:val="ListParagraph"/>
        <w:numPr>
          <w:ilvl w:val="0"/>
          <w:numId w:val="37"/>
        </w:numPr>
        <w:spacing w:before="120" w:after="120" w:line="240" w:lineRule="auto"/>
        <w:rPr>
          <w:rFonts w:ascii="Arial" w:hAnsi="Arial" w:cs="Arial"/>
          <w:sz w:val="22"/>
        </w:rPr>
      </w:pPr>
      <w:r w:rsidRPr="00EF5096">
        <w:rPr>
          <w:rFonts w:ascii="Arial" w:hAnsi="Arial" w:cs="Arial"/>
          <w:sz w:val="22"/>
        </w:rPr>
        <w:lastRenderedPageBreak/>
        <w:t>Artworks and library collections that comply with thresholds set by Queensland Treasury and published in the Non-Current Asset Policies for the Queensland Public Sector.</w:t>
      </w:r>
    </w:p>
    <w:p w14:paraId="12A3BF87" w14:textId="4961A3ED" w:rsidR="00811F90" w:rsidRPr="003205F8" w:rsidRDefault="00FC349F" w:rsidP="00786706">
      <w:pPr>
        <w:pStyle w:val="Heading2"/>
        <w:rPr>
          <w:rFonts w:ascii="Griffith Sans Text" w:hAnsi="Griffith Sans Text"/>
        </w:rPr>
      </w:pPr>
      <w:bookmarkStart w:id="5" w:name="_6.0_Information"/>
      <w:bookmarkEnd w:id="5"/>
      <w:r w:rsidRPr="003205F8">
        <w:rPr>
          <w:rFonts w:ascii="Griffith Sans Text" w:hAnsi="Griffith Sans Text"/>
        </w:rPr>
        <w:t xml:space="preserve">6.0 </w:t>
      </w:r>
      <w:r w:rsidR="00786706" w:rsidRPr="003205F8">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Title</w:t>
            </w:r>
          </w:p>
        </w:tc>
        <w:tc>
          <w:tcPr>
            <w:tcW w:w="7147" w:type="dxa"/>
          </w:tcPr>
          <w:p w14:paraId="19EA923A" w14:textId="6C2EA898" w:rsidR="00786706" w:rsidRPr="00AC0FEF" w:rsidRDefault="00271B99" w:rsidP="00AC0FEF">
            <w:pPr>
              <w:spacing w:before="120" w:after="120"/>
              <w:rPr>
                <w:rFonts w:ascii="Arial" w:hAnsi="Arial" w:cs="Arial"/>
                <w:sz w:val="22"/>
                <w:szCs w:val="28"/>
                <w:lang w:val="en-GB"/>
              </w:rPr>
            </w:pPr>
            <w:r>
              <w:rPr>
                <w:rFonts w:ascii="Arial" w:hAnsi="Arial" w:cs="Arial"/>
                <w:sz w:val="22"/>
                <w:szCs w:val="28"/>
                <w:lang w:val="en-GB"/>
              </w:rPr>
              <w:t>Asset Disposal (Built Infrastructure) Policy</w:t>
            </w:r>
          </w:p>
        </w:tc>
      </w:tr>
      <w:tr w:rsidR="00786706" w14:paraId="66D4D4A1" w14:textId="77777777" w:rsidTr="006721EA">
        <w:tc>
          <w:tcPr>
            <w:tcW w:w="2943" w:type="dxa"/>
          </w:tcPr>
          <w:p w14:paraId="18280F52" w14:textId="5ED479A2"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Document number</w:t>
            </w:r>
          </w:p>
        </w:tc>
        <w:tc>
          <w:tcPr>
            <w:tcW w:w="7147" w:type="dxa"/>
          </w:tcPr>
          <w:p w14:paraId="53E0817F" w14:textId="0238E538" w:rsidR="00786706" w:rsidRPr="00AC0FEF" w:rsidRDefault="00271B99" w:rsidP="00AC0FEF">
            <w:pPr>
              <w:spacing w:before="120" w:after="120"/>
              <w:rPr>
                <w:rFonts w:ascii="Arial" w:hAnsi="Arial" w:cs="Arial"/>
                <w:sz w:val="22"/>
                <w:szCs w:val="28"/>
                <w:lang w:val="en-GB"/>
              </w:rPr>
            </w:pPr>
            <w:r>
              <w:rPr>
                <w:rFonts w:ascii="Arial" w:hAnsi="Arial" w:cs="Arial"/>
                <w:sz w:val="22"/>
                <w:szCs w:val="28"/>
              </w:rPr>
              <w:t>2023/0001034</w:t>
            </w:r>
          </w:p>
        </w:tc>
      </w:tr>
      <w:tr w:rsidR="00786706" w14:paraId="66BCD115" w14:textId="77777777" w:rsidTr="006721EA">
        <w:tc>
          <w:tcPr>
            <w:tcW w:w="2943" w:type="dxa"/>
          </w:tcPr>
          <w:p w14:paraId="0DEE091F" w14:textId="5E2B7B69"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Purpose</w:t>
            </w:r>
          </w:p>
        </w:tc>
        <w:tc>
          <w:tcPr>
            <w:tcW w:w="7147" w:type="dxa"/>
          </w:tcPr>
          <w:p w14:paraId="7FE09B90" w14:textId="0D95ECB1" w:rsidR="00786706" w:rsidRPr="00AC0FEF" w:rsidRDefault="007815A6" w:rsidP="007815A6">
            <w:pPr>
              <w:spacing w:before="120" w:after="120"/>
              <w:rPr>
                <w:rFonts w:ascii="Arial" w:hAnsi="Arial" w:cs="Arial"/>
                <w:sz w:val="22"/>
                <w:szCs w:val="28"/>
                <w:lang w:val="en-GB"/>
              </w:rPr>
            </w:pPr>
            <w:r w:rsidRPr="007815A6">
              <w:rPr>
                <w:rFonts w:ascii="Arial" w:hAnsi="Arial" w:cs="Arial"/>
                <w:sz w:val="22"/>
              </w:rPr>
              <w:t xml:space="preserve">This </w:t>
            </w:r>
            <w:r>
              <w:rPr>
                <w:rFonts w:ascii="Arial" w:hAnsi="Arial" w:cs="Arial"/>
                <w:sz w:val="22"/>
              </w:rPr>
              <w:t>p</w:t>
            </w:r>
            <w:r w:rsidRPr="007815A6">
              <w:rPr>
                <w:rFonts w:ascii="Arial" w:hAnsi="Arial" w:cs="Arial"/>
                <w:sz w:val="22"/>
              </w:rPr>
              <w:t>olicy sets out the criteria to be met for the disposal of built infrastructure assets, the process for approval and the approving authority</w:t>
            </w:r>
            <w:r w:rsidR="00482930">
              <w:rPr>
                <w:rFonts w:ascii="Arial" w:hAnsi="Arial" w:cs="Arial"/>
                <w:sz w:val="22"/>
              </w:rPr>
              <w:t xml:space="preserve"> at Griffith University.</w:t>
            </w:r>
          </w:p>
        </w:tc>
      </w:tr>
      <w:tr w:rsidR="00786706" w14:paraId="625A2530" w14:textId="77777777" w:rsidTr="006721EA">
        <w:tc>
          <w:tcPr>
            <w:tcW w:w="2943" w:type="dxa"/>
          </w:tcPr>
          <w:p w14:paraId="74ADF083" w14:textId="20B8679F"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2B5050BF" w:rsidR="00786706" w:rsidRPr="00AC0FEF" w:rsidRDefault="00271B99" w:rsidP="00AC0FEF">
                <w:pPr>
                  <w:spacing w:before="120" w:after="120"/>
                  <w:rPr>
                    <w:rFonts w:ascii="Arial" w:hAnsi="Arial" w:cs="Arial"/>
                    <w:sz w:val="22"/>
                    <w:szCs w:val="28"/>
                  </w:rPr>
                </w:pPr>
                <w:r>
                  <w:rPr>
                    <w:rFonts w:ascii="Arial" w:hAnsi="Arial" w:cs="Arial"/>
                    <w:sz w:val="22"/>
                    <w:szCs w:val="28"/>
                  </w:rPr>
                  <w:t>Staff</w:t>
                </w:r>
              </w:p>
            </w:sdtContent>
          </w:sdt>
        </w:tc>
      </w:tr>
      <w:tr w:rsidR="00786706" w14:paraId="132A1D0D" w14:textId="77777777" w:rsidTr="006721EA">
        <w:tc>
          <w:tcPr>
            <w:tcW w:w="2943" w:type="dxa"/>
          </w:tcPr>
          <w:p w14:paraId="375184E5" w14:textId="4F1FD2B3"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195E9FBE" w:rsidR="00786706" w:rsidRPr="00AC0FEF" w:rsidRDefault="00271B99" w:rsidP="00AC0FEF">
                <w:pPr>
                  <w:spacing w:before="120" w:after="120"/>
                  <w:rPr>
                    <w:rFonts w:ascii="Arial" w:hAnsi="Arial" w:cs="Arial"/>
                    <w:sz w:val="22"/>
                    <w:szCs w:val="28"/>
                  </w:rPr>
                </w:pPr>
                <w:r>
                  <w:rPr>
                    <w:rFonts w:ascii="Arial" w:hAnsi="Arial" w:cs="Arial"/>
                    <w:sz w:val="22"/>
                    <w:szCs w:val="28"/>
                  </w:rPr>
                  <w:t>Operational</w:t>
                </w:r>
              </w:p>
            </w:sdtContent>
          </w:sdt>
        </w:tc>
      </w:tr>
      <w:tr w:rsidR="00786706" w14:paraId="704234F9" w14:textId="77777777" w:rsidTr="006721EA">
        <w:tc>
          <w:tcPr>
            <w:tcW w:w="2943" w:type="dxa"/>
          </w:tcPr>
          <w:p w14:paraId="51A9284E" w14:textId="46B8CBB9"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Subcategory</w:t>
            </w:r>
          </w:p>
        </w:tc>
        <w:tc>
          <w:tcPr>
            <w:tcW w:w="7147" w:type="dxa"/>
          </w:tcPr>
          <w:sdt>
            <w:sdtPr>
              <w:rPr>
                <w:rFonts w:ascii="Arial" w:hAnsi="Arial" w:cs="Arial"/>
                <w:sz w:val="22"/>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0C1CF292" w:rsidR="007512F5" w:rsidRPr="00AC0FEF" w:rsidRDefault="00271B99" w:rsidP="00AC0FEF">
                <w:pPr>
                  <w:spacing w:before="120" w:after="120"/>
                  <w:rPr>
                    <w:rFonts w:ascii="Arial" w:hAnsi="Arial" w:cs="Arial"/>
                    <w:sz w:val="22"/>
                    <w:szCs w:val="28"/>
                    <w:lang w:val="en-GB"/>
                  </w:rPr>
                </w:pPr>
                <w:r>
                  <w:rPr>
                    <w:rFonts w:ascii="Arial" w:hAnsi="Arial" w:cs="Arial"/>
                    <w:sz w:val="22"/>
                    <w:szCs w:val="28"/>
                    <w:lang w:val="en-GB"/>
                  </w:rPr>
                  <w:t>Finance</w:t>
                </w:r>
              </w:p>
            </w:sdtContent>
          </w:sdt>
        </w:tc>
      </w:tr>
      <w:tr w:rsidR="00A57044" w14:paraId="1DD394A7" w14:textId="77777777" w:rsidTr="006721EA">
        <w:tc>
          <w:tcPr>
            <w:tcW w:w="2943" w:type="dxa"/>
          </w:tcPr>
          <w:p w14:paraId="4CDE964B" w14:textId="68F552EF" w:rsidR="00A57044" w:rsidRPr="00AC0FEF" w:rsidRDefault="0046665F" w:rsidP="00AC0FEF">
            <w:pPr>
              <w:spacing w:before="120" w:after="120"/>
              <w:rPr>
                <w:rFonts w:ascii="Arial" w:hAnsi="Arial" w:cs="Arial"/>
                <w:sz w:val="22"/>
                <w:szCs w:val="28"/>
              </w:rPr>
            </w:pPr>
            <w:r w:rsidRPr="00AC0FEF">
              <w:rPr>
                <w:rFonts w:ascii="Arial" w:hAnsi="Arial" w:cs="Arial"/>
                <w:sz w:val="22"/>
                <w:szCs w:val="28"/>
              </w:rPr>
              <w:t>UN Sustainable Development Goals (SDGs)</w:t>
            </w:r>
          </w:p>
        </w:tc>
        <w:tc>
          <w:tcPr>
            <w:tcW w:w="7147" w:type="dxa"/>
          </w:tcPr>
          <w:p w14:paraId="68B0A012" w14:textId="06B84F64" w:rsidR="00A57044" w:rsidRPr="00AC0FEF" w:rsidRDefault="008239FE" w:rsidP="00AC0FEF">
            <w:pPr>
              <w:spacing w:before="120" w:after="120"/>
              <w:rPr>
                <w:rFonts w:ascii="Arial" w:hAnsi="Arial" w:cs="Arial"/>
                <w:sz w:val="22"/>
                <w:szCs w:val="28"/>
              </w:rPr>
            </w:pPr>
            <w:r w:rsidRPr="00AC0FEF">
              <w:rPr>
                <w:rFonts w:ascii="Arial" w:hAnsi="Arial" w:cs="Arial"/>
                <w:sz w:val="22"/>
                <w:szCs w:val="28"/>
              </w:rPr>
              <w:t xml:space="preserve">This document aligns with </w:t>
            </w:r>
            <w:r w:rsidR="00B25332" w:rsidRPr="00AC0FEF">
              <w:rPr>
                <w:rFonts w:ascii="Arial" w:hAnsi="Arial" w:cs="Arial"/>
                <w:sz w:val="22"/>
                <w:szCs w:val="28"/>
              </w:rPr>
              <w:t>Sustainable Development Goal:</w:t>
            </w:r>
          </w:p>
          <w:sdt>
            <w:sdtPr>
              <w:rPr>
                <w:rFonts w:ascii="Arial" w:hAnsi="Arial" w:cs="Arial"/>
                <w:sz w:val="22"/>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6927D7B2" w:rsidR="00067836" w:rsidRPr="00AC0FEF" w:rsidRDefault="00271B99" w:rsidP="00AC0FEF">
                <w:pPr>
                  <w:spacing w:before="120" w:after="120"/>
                  <w:rPr>
                    <w:rFonts w:ascii="Arial" w:hAnsi="Arial" w:cs="Arial"/>
                    <w:sz w:val="22"/>
                    <w:szCs w:val="28"/>
                  </w:rPr>
                </w:pPr>
                <w:r>
                  <w:rPr>
                    <w:rFonts w:ascii="Arial" w:hAnsi="Arial" w:cs="Arial"/>
                    <w:sz w:val="22"/>
                    <w:szCs w:val="28"/>
                  </w:rPr>
                  <w:t>9: Industry, Innovation and Infrastructure</w:t>
                </w:r>
              </w:p>
            </w:sdtContent>
          </w:sdt>
        </w:tc>
      </w:tr>
      <w:tr w:rsidR="00786706" w14:paraId="72503509" w14:textId="77777777" w:rsidTr="006721EA">
        <w:tc>
          <w:tcPr>
            <w:tcW w:w="2943" w:type="dxa"/>
          </w:tcPr>
          <w:p w14:paraId="7967AC55" w14:textId="476A8E6E"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Approval date</w:t>
            </w:r>
          </w:p>
        </w:tc>
        <w:tc>
          <w:tcPr>
            <w:tcW w:w="7147" w:type="dxa"/>
          </w:tcPr>
          <w:p w14:paraId="194B217B" w14:textId="01628B63" w:rsidR="00786706" w:rsidRPr="00AC0FEF" w:rsidRDefault="00271B99" w:rsidP="00AC0FEF">
            <w:pPr>
              <w:spacing w:before="120" w:after="120"/>
              <w:rPr>
                <w:rFonts w:ascii="Arial" w:hAnsi="Arial" w:cs="Arial"/>
                <w:sz w:val="22"/>
                <w:szCs w:val="28"/>
              </w:rPr>
            </w:pPr>
            <w:r>
              <w:rPr>
                <w:rFonts w:ascii="Arial" w:hAnsi="Arial" w:cs="Arial"/>
                <w:sz w:val="22"/>
                <w:szCs w:val="28"/>
              </w:rPr>
              <w:t>12 June 2023</w:t>
            </w:r>
          </w:p>
        </w:tc>
      </w:tr>
      <w:tr w:rsidR="00786706" w14:paraId="2AB5E63B" w14:textId="77777777" w:rsidTr="006721EA">
        <w:tc>
          <w:tcPr>
            <w:tcW w:w="2943" w:type="dxa"/>
          </w:tcPr>
          <w:p w14:paraId="64F617D1" w14:textId="7CF14029"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Effective date</w:t>
            </w:r>
          </w:p>
        </w:tc>
        <w:tc>
          <w:tcPr>
            <w:tcW w:w="7147" w:type="dxa"/>
          </w:tcPr>
          <w:p w14:paraId="4FFCA795" w14:textId="0891CF1C" w:rsidR="00786706" w:rsidRPr="00AC0FEF" w:rsidRDefault="00271B99" w:rsidP="00AC0FEF">
            <w:pPr>
              <w:spacing w:before="120" w:after="120"/>
              <w:rPr>
                <w:rFonts w:ascii="Arial" w:hAnsi="Arial" w:cs="Arial"/>
                <w:sz w:val="22"/>
                <w:szCs w:val="28"/>
              </w:rPr>
            </w:pPr>
            <w:r>
              <w:rPr>
                <w:rFonts w:ascii="Arial" w:hAnsi="Arial" w:cs="Arial"/>
                <w:sz w:val="22"/>
                <w:szCs w:val="28"/>
              </w:rPr>
              <w:t>12 June 2023</w:t>
            </w:r>
          </w:p>
        </w:tc>
      </w:tr>
      <w:tr w:rsidR="00786706" w14:paraId="6F3FFE23" w14:textId="77777777" w:rsidTr="006721EA">
        <w:tc>
          <w:tcPr>
            <w:tcW w:w="2943" w:type="dxa"/>
          </w:tcPr>
          <w:p w14:paraId="6FF0BF57" w14:textId="3ECF3A96"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Review date</w:t>
            </w:r>
          </w:p>
        </w:tc>
        <w:tc>
          <w:tcPr>
            <w:tcW w:w="7147" w:type="dxa"/>
          </w:tcPr>
          <w:p w14:paraId="01E953C9" w14:textId="4656EBB0" w:rsidR="00786706" w:rsidRPr="00AC0FEF" w:rsidRDefault="00271B99" w:rsidP="00AC0FEF">
            <w:pPr>
              <w:spacing w:before="120" w:after="120"/>
              <w:rPr>
                <w:rFonts w:ascii="Arial" w:hAnsi="Arial" w:cs="Arial"/>
                <w:sz w:val="22"/>
                <w:szCs w:val="28"/>
              </w:rPr>
            </w:pPr>
            <w:r>
              <w:rPr>
                <w:rFonts w:ascii="Arial" w:hAnsi="Arial" w:cs="Arial"/>
                <w:sz w:val="22"/>
                <w:szCs w:val="28"/>
              </w:rPr>
              <w:t>2025</w:t>
            </w:r>
          </w:p>
        </w:tc>
      </w:tr>
      <w:tr w:rsidR="00786706" w14:paraId="3BDD3607" w14:textId="77777777" w:rsidTr="006721EA">
        <w:tc>
          <w:tcPr>
            <w:tcW w:w="2943" w:type="dxa"/>
          </w:tcPr>
          <w:p w14:paraId="12FCF114" w14:textId="4AD0B255"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Policy advisor</w:t>
            </w:r>
          </w:p>
        </w:tc>
        <w:tc>
          <w:tcPr>
            <w:tcW w:w="7147" w:type="dxa"/>
          </w:tcPr>
          <w:p w14:paraId="0CB94D75" w14:textId="5282A2FF" w:rsidR="00786706" w:rsidRPr="00AC0FEF" w:rsidRDefault="00271B99" w:rsidP="00AC0FEF">
            <w:pPr>
              <w:spacing w:before="120" w:after="120"/>
              <w:rPr>
                <w:rFonts w:ascii="Arial" w:hAnsi="Arial" w:cs="Arial"/>
                <w:sz w:val="22"/>
                <w:szCs w:val="28"/>
              </w:rPr>
            </w:pPr>
            <w:r>
              <w:rPr>
                <w:rFonts w:ascii="Arial" w:hAnsi="Arial" w:cs="Arial"/>
                <w:sz w:val="22"/>
                <w:szCs w:val="28"/>
              </w:rPr>
              <w:t>Director, Campus Life</w:t>
            </w:r>
          </w:p>
        </w:tc>
      </w:tr>
      <w:tr w:rsidR="00786706" w14:paraId="49179DFF" w14:textId="77777777" w:rsidTr="006721EA">
        <w:tc>
          <w:tcPr>
            <w:tcW w:w="2943" w:type="dxa"/>
          </w:tcPr>
          <w:p w14:paraId="1B0442C2" w14:textId="61E06347"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Approving authority</w:t>
            </w:r>
          </w:p>
        </w:tc>
        <w:tc>
          <w:tcPr>
            <w:tcW w:w="7147" w:type="dxa"/>
          </w:tcPr>
          <w:p w14:paraId="0D81D6BC" w14:textId="566632F4" w:rsidR="00786706" w:rsidRPr="00AC0FEF" w:rsidRDefault="00271B99" w:rsidP="00AC0FEF">
            <w:pPr>
              <w:spacing w:before="120" w:after="120"/>
              <w:rPr>
                <w:rFonts w:ascii="Arial" w:hAnsi="Arial" w:cs="Arial"/>
                <w:sz w:val="22"/>
                <w:szCs w:val="28"/>
              </w:rPr>
            </w:pPr>
            <w:r>
              <w:rPr>
                <w:rFonts w:ascii="Arial" w:hAnsi="Arial" w:cs="Arial"/>
                <w:sz w:val="22"/>
                <w:szCs w:val="28"/>
              </w:rPr>
              <w:t>Chief Operating Officer</w:t>
            </w:r>
          </w:p>
        </w:tc>
      </w:tr>
    </w:tbl>
    <w:p w14:paraId="605F990D" w14:textId="23E5A500" w:rsidR="00C22059" w:rsidRPr="003205F8" w:rsidRDefault="00FC349F" w:rsidP="00746A0E">
      <w:pPr>
        <w:pStyle w:val="Heading2"/>
        <w:rPr>
          <w:rFonts w:ascii="Griffith Sans Text" w:hAnsi="Griffith Sans Text"/>
        </w:rPr>
      </w:pPr>
      <w:bookmarkStart w:id="6" w:name="_7.0_Related_Policy"/>
      <w:bookmarkEnd w:id="6"/>
      <w:r w:rsidRPr="003205F8">
        <w:rPr>
          <w:rFonts w:ascii="Griffith Sans Text" w:hAnsi="Griffith Sans Text"/>
        </w:rPr>
        <w:t xml:space="preserve">7.0 </w:t>
      </w:r>
      <w:r w:rsidR="008605D5" w:rsidRPr="003205F8">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14:paraId="1BED611B" w14:textId="77777777" w:rsidTr="006721EA">
        <w:tc>
          <w:tcPr>
            <w:tcW w:w="2943" w:type="dxa"/>
          </w:tcPr>
          <w:p w14:paraId="30FE0F19" w14:textId="2232CC87" w:rsidR="00746A0E" w:rsidRPr="00AC0FEF" w:rsidRDefault="00746A0E" w:rsidP="00AC0FEF">
            <w:pPr>
              <w:spacing w:before="120" w:after="120"/>
              <w:rPr>
                <w:rFonts w:ascii="Arial" w:hAnsi="Arial" w:cs="Arial"/>
                <w:sz w:val="22"/>
              </w:rPr>
            </w:pPr>
            <w:r w:rsidRPr="00AC0FEF">
              <w:rPr>
                <w:rFonts w:ascii="Arial" w:hAnsi="Arial" w:cs="Arial"/>
                <w:sz w:val="22"/>
              </w:rPr>
              <w:t>Legislation</w:t>
            </w:r>
          </w:p>
        </w:tc>
        <w:tc>
          <w:tcPr>
            <w:tcW w:w="7147" w:type="dxa"/>
          </w:tcPr>
          <w:p w14:paraId="1D95EE8D" w14:textId="20F40C93" w:rsidR="00746A0E" w:rsidRPr="00271B99" w:rsidRDefault="00271B99" w:rsidP="00AC0FEF">
            <w:pPr>
              <w:spacing w:before="120" w:after="120"/>
              <w:rPr>
                <w:rFonts w:ascii="Arial" w:hAnsi="Arial" w:cs="Arial"/>
                <w:sz w:val="22"/>
                <w:lang w:val="en-GB"/>
              </w:rPr>
            </w:pPr>
            <w:hyperlink r:id="rId10" w:history="1">
              <w:r w:rsidRPr="00271B99">
                <w:rPr>
                  <w:rStyle w:val="Hyperlink"/>
                  <w:rFonts w:ascii="Arial" w:hAnsi="Arial" w:cs="Arial"/>
                  <w:sz w:val="22"/>
                  <w:szCs w:val="28"/>
                </w:rPr>
                <w:t>Financial and Performance Management Standards 2019</w:t>
              </w:r>
            </w:hyperlink>
          </w:p>
        </w:tc>
      </w:tr>
      <w:tr w:rsidR="00746A0E" w14:paraId="13D635BA" w14:textId="77777777" w:rsidTr="006721EA">
        <w:tc>
          <w:tcPr>
            <w:tcW w:w="2943" w:type="dxa"/>
          </w:tcPr>
          <w:p w14:paraId="7CB30007" w14:textId="274434BC" w:rsidR="00746A0E" w:rsidRPr="00AC0FEF" w:rsidRDefault="00746A0E" w:rsidP="00AC0FEF">
            <w:pPr>
              <w:spacing w:before="120" w:after="120"/>
              <w:rPr>
                <w:rFonts w:ascii="Arial" w:hAnsi="Arial" w:cs="Arial"/>
                <w:sz w:val="22"/>
              </w:rPr>
            </w:pPr>
            <w:r w:rsidRPr="00AC0FEF">
              <w:rPr>
                <w:rFonts w:ascii="Arial" w:hAnsi="Arial" w:cs="Arial"/>
                <w:sz w:val="22"/>
              </w:rPr>
              <w:t>Policy</w:t>
            </w:r>
          </w:p>
        </w:tc>
        <w:tc>
          <w:tcPr>
            <w:tcW w:w="7147" w:type="dxa"/>
          </w:tcPr>
          <w:p w14:paraId="23F40D82" w14:textId="3F250407" w:rsidR="00271B99" w:rsidRPr="00271B99" w:rsidRDefault="00271B99" w:rsidP="00271B99">
            <w:pPr>
              <w:spacing w:before="120" w:after="120"/>
              <w:rPr>
                <w:rFonts w:ascii="Arial" w:hAnsi="Arial" w:cs="Arial"/>
                <w:sz w:val="22"/>
                <w:szCs w:val="28"/>
              </w:rPr>
            </w:pPr>
            <w:hyperlink r:id="rId11" w:history="1">
              <w:r w:rsidRPr="00271B99">
                <w:rPr>
                  <w:rStyle w:val="Hyperlink"/>
                  <w:rFonts w:ascii="Arial" w:hAnsi="Arial" w:cs="Arial"/>
                  <w:sz w:val="22"/>
                  <w:szCs w:val="28"/>
                </w:rPr>
                <w:t>Assets Management Policy</w:t>
              </w:r>
            </w:hyperlink>
          </w:p>
          <w:p w14:paraId="64B6EB99" w14:textId="77777777" w:rsidR="00271B99" w:rsidRPr="00271B99" w:rsidRDefault="00271B99" w:rsidP="00271B99">
            <w:pPr>
              <w:spacing w:before="120" w:after="120"/>
              <w:rPr>
                <w:rFonts w:ascii="Arial" w:hAnsi="Arial" w:cs="Arial"/>
                <w:color w:val="E30918"/>
                <w:sz w:val="22"/>
                <w:szCs w:val="28"/>
                <w:u w:val="single"/>
              </w:rPr>
            </w:pPr>
            <w:hyperlink r:id="rId12" w:history="1">
              <w:r w:rsidRPr="00271B99">
                <w:rPr>
                  <w:rStyle w:val="Hyperlink"/>
                  <w:rFonts w:ascii="Arial" w:hAnsi="Arial" w:cs="Arial"/>
                  <w:sz w:val="22"/>
                  <w:szCs w:val="28"/>
                </w:rPr>
                <w:t>Delegations Policy</w:t>
              </w:r>
            </w:hyperlink>
          </w:p>
          <w:p w14:paraId="7A1507B9" w14:textId="1B6E529A" w:rsidR="00746A0E" w:rsidRPr="00271B99" w:rsidRDefault="00271B99" w:rsidP="00271B99">
            <w:pPr>
              <w:spacing w:before="120" w:after="120"/>
              <w:rPr>
                <w:rFonts w:ascii="Arial" w:hAnsi="Arial" w:cs="Arial"/>
                <w:sz w:val="22"/>
                <w:lang w:val="en-GB"/>
              </w:rPr>
            </w:pPr>
            <w:hyperlink r:id="rId13" w:history="1">
              <w:r w:rsidRPr="00271B99">
                <w:rPr>
                  <w:rStyle w:val="Hyperlink"/>
                  <w:rFonts w:ascii="Arial" w:hAnsi="Arial" w:cs="Arial"/>
                  <w:sz w:val="22"/>
                  <w:szCs w:val="28"/>
                </w:rPr>
                <w:t>Delegations Register</w:t>
              </w:r>
            </w:hyperlink>
          </w:p>
        </w:tc>
      </w:tr>
      <w:tr w:rsidR="00746A0E" w14:paraId="55329BCC" w14:textId="77777777" w:rsidTr="006721EA">
        <w:tc>
          <w:tcPr>
            <w:tcW w:w="2943" w:type="dxa"/>
          </w:tcPr>
          <w:p w14:paraId="1BD7DB3E" w14:textId="54AA41D2" w:rsidR="00746A0E" w:rsidRPr="00AC0FEF" w:rsidRDefault="00746A0E" w:rsidP="00AC0FEF">
            <w:pPr>
              <w:spacing w:before="120" w:after="120"/>
              <w:rPr>
                <w:rFonts w:ascii="Arial" w:hAnsi="Arial" w:cs="Arial"/>
                <w:sz w:val="22"/>
              </w:rPr>
            </w:pPr>
            <w:r w:rsidRPr="00AC0FEF">
              <w:rPr>
                <w:rFonts w:ascii="Arial" w:hAnsi="Arial" w:cs="Arial"/>
                <w:sz w:val="22"/>
              </w:rPr>
              <w:lastRenderedPageBreak/>
              <w:t>Procedures</w:t>
            </w:r>
          </w:p>
        </w:tc>
        <w:tc>
          <w:tcPr>
            <w:tcW w:w="7147" w:type="dxa"/>
          </w:tcPr>
          <w:p w14:paraId="4302959E" w14:textId="069AE8A2" w:rsidR="00746A0E" w:rsidRPr="00271B99" w:rsidRDefault="00271B99" w:rsidP="00AC0FEF">
            <w:pPr>
              <w:spacing w:before="120" w:after="120"/>
              <w:rPr>
                <w:rFonts w:ascii="Arial" w:hAnsi="Arial" w:cs="Arial"/>
                <w:sz w:val="22"/>
                <w:lang w:val="en-GB"/>
              </w:rPr>
            </w:pPr>
            <w:hyperlink r:id="rId14" w:history="1">
              <w:r w:rsidRPr="00271B99">
                <w:rPr>
                  <w:rStyle w:val="Hyperlink"/>
                  <w:rFonts w:ascii="Arial" w:hAnsi="Arial" w:cs="Arial"/>
                  <w:sz w:val="22"/>
                  <w:szCs w:val="24"/>
                </w:rPr>
                <w:t>Delegations Procedure</w:t>
              </w:r>
            </w:hyperlink>
          </w:p>
        </w:tc>
      </w:tr>
      <w:tr w:rsidR="00746A0E" w14:paraId="76652B21" w14:textId="77777777" w:rsidTr="006721EA">
        <w:tc>
          <w:tcPr>
            <w:tcW w:w="2943" w:type="dxa"/>
          </w:tcPr>
          <w:p w14:paraId="118FD34E" w14:textId="481E52F8" w:rsidR="00746A0E" w:rsidRPr="00AC0FEF" w:rsidRDefault="00746A0E" w:rsidP="00AC0FEF">
            <w:pPr>
              <w:spacing w:before="120" w:after="120"/>
              <w:rPr>
                <w:rFonts w:ascii="Arial" w:hAnsi="Arial" w:cs="Arial"/>
                <w:sz w:val="22"/>
              </w:rPr>
            </w:pPr>
            <w:r w:rsidRPr="00AC0FEF">
              <w:rPr>
                <w:rFonts w:ascii="Arial" w:hAnsi="Arial" w:cs="Arial"/>
                <w:sz w:val="22"/>
              </w:rPr>
              <w:t>Local Protocol</w:t>
            </w:r>
          </w:p>
        </w:tc>
        <w:tc>
          <w:tcPr>
            <w:tcW w:w="7147" w:type="dxa"/>
          </w:tcPr>
          <w:p w14:paraId="55AA03EB" w14:textId="59F09FAF" w:rsidR="00746A0E" w:rsidRPr="00AC0FEF" w:rsidRDefault="00271B99" w:rsidP="00AC0FEF">
            <w:pPr>
              <w:spacing w:before="120" w:after="120"/>
              <w:rPr>
                <w:rFonts w:ascii="Arial" w:hAnsi="Arial" w:cs="Arial"/>
                <w:sz w:val="22"/>
              </w:rPr>
            </w:pPr>
            <w:r>
              <w:rPr>
                <w:rFonts w:ascii="Arial" w:hAnsi="Arial" w:cs="Arial"/>
                <w:sz w:val="22"/>
              </w:rPr>
              <w:t>N/A</w:t>
            </w:r>
          </w:p>
        </w:tc>
      </w:tr>
      <w:tr w:rsidR="00746A0E" w14:paraId="5AB64C6F" w14:textId="77777777" w:rsidTr="006721EA">
        <w:tc>
          <w:tcPr>
            <w:tcW w:w="2943" w:type="dxa"/>
          </w:tcPr>
          <w:p w14:paraId="22348C3F" w14:textId="0F6236D7" w:rsidR="00746A0E" w:rsidRPr="00AC0FEF" w:rsidRDefault="00746A0E" w:rsidP="00AC0FEF">
            <w:pPr>
              <w:spacing w:before="120" w:after="120"/>
              <w:rPr>
                <w:rFonts w:ascii="Arial" w:hAnsi="Arial" w:cs="Arial"/>
                <w:sz w:val="22"/>
              </w:rPr>
            </w:pPr>
            <w:r w:rsidRPr="00AC0FEF">
              <w:rPr>
                <w:rFonts w:ascii="Arial" w:hAnsi="Arial" w:cs="Arial"/>
                <w:sz w:val="22"/>
              </w:rPr>
              <w:t>Forms</w:t>
            </w:r>
          </w:p>
        </w:tc>
        <w:tc>
          <w:tcPr>
            <w:tcW w:w="7147" w:type="dxa"/>
          </w:tcPr>
          <w:p w14:paraId="54F51F15" w14:textId="63574BF4" w:rsidR="00746A0E" w:rsidRPr="00AC0FEF" w:rsidRDefault="00271B99" w:rsidP="00AC0FEF">
            <w:pPr>
              <w:spacing w:before="120" w:after="120"/>
              <w:rPr>
                <w:rFonts w:ascii="Arial" w:hAnsi="Arial" w:cs="Arial"/>
                <w:sz w:val="22"/>
              </w:rPr>
            </w:pPr>
            <w:r>
              <w:rPr>
                <w:rFonts w:ascii="Arial" w:hAnsi="Arial" w:cs="Arial"/>
                <w:sz w:val="22"/>
              </w:rPr>
              <w:t>N/A</w:t>
            </w:r>
          </w:p>
        </w:tc>
      </w:tr>
    </w:tbl>
    <w:p w14:paraId="6BA7652E" w14:textId="26761596" w:rsidR="00A15D12" w:rsidRDefault="00A15D12" w:rsidP="00C22059">
      <w:pPr>
        <w:rPr>
          <w:rFonts w:ascii="Arial" w:hAnsi="Arial" w:cs="Arial"/>
          <w:sz w:val="20"/>
          <w:szCs w:val="24"/>
        </w:rPr>
      </w:pPr>
    </w:p>
    <w:p w14:paraId="298A2696" w14:textId="3B8EE4A3" w:rsidR="00AF5791" w:rsidRPr="00A15D12" w:rsidRDefault="00AF5791" w:rsidP="00C22059">
      <w:pPr>
        <w:rPr>
          <w:rFonts w:ascii="Arial" w:hAnsi="Arial" w:cs="Arial"/>
          <w:sz w:val="20"/>
          <w:szCs w:val="24"/>
        </w:rPr>
      </w:pPr>
    </w:p>
    <w:sectPr w:rsidR="00AF5791" w:rsidRPr="00A15D12" w:rsidSect="00E77B43">
      <w:headerReference w:type="default" r:id="rId15"/>
      <w:footerReference w:type="even" r:id="rId16"/>
      <w:footerReference w:type="default" r:id="rId17"/>
      <w:headerReference w:type="first" r:id="rId18"/>
      <w:footerReference w:type="first" r:id="rId19"/>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543E9" w14:textId="77777777" w:rsidR="00EE00D1" w:rsidRDefault="00EE00D1" w:rsidP="00575CC3">
      <w:pPr>
        <w:spacing w:after="0" w:line="240" w:lineRule="auto"/>
      </w:pPr>
      <w:r>
        <w:separator/>
      </w:r>
    </w:p>
  </w:endnote>
  <w:endnote w:type="continuationSeparator" w:id="0">
    <w:p w14:paraId="39B55E42" w14:textId="77777777" w:rsidR="00EE00D1" w:rsidRDefault="00EE00D1" w:rsidP="0057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libri"/>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778BA470" w14:textId="77777777" w:rsidR="00B62DE7" w:rsidRDefault="00B62DE7" w:rsidP="00B62DE7">
    <w:pPr>
      <w:spacing w:after="0" w:line="240" w:lineRule="auto"/>
      <w:jc w:val="right"/>
      <w:rPr>
        <w:rFonts w:asciiTheme="minorHAnsi" w:hAnsiTheme="minorHAnsi" w:cstheme="minorHAnsi"/>
        <w:color w:val="70787B"/>
        <w:sz w:val="15"/>
        <w:szCs w:val="15"/>
      </w:rPr>
    </w:pPr>
    <w:r w:rsidRPr="00B62DE7">
      <w:rPr>
        <w:rFonts w:asciiTheme="minorHAnsi" w:hAnsiTheme="minorHAnsi" w:cstheme="minorHAnsi"/>
        <w:color w:val="70787B"/>
        <w:sz w:val="15"/>
        <w:szCs w:val="15"/>
      </w:rPr>
      <w:t>Asset Disposal (Built Infrastructure) Policy | June</w:t>
    </w:r>
    <w:r>
      <w:rPr>
        <w:rFonts w:asciiTheme="minorHAnsi" w:hAnsiTheme="minorHAnsi" w:cstheme="minorHAnsi"/>
        <w:color w:val="70787B"/>
        <w:sz w:val="15"/>
        <w:szCs w:val="15"/>
      </w:rPr>
      <w:t xml:space="preserve"> 2023</w:t>
    </w:r>
    <w:r w:rsidRPr="000209B9">
      <w:rPr>
        <w:rFonts w:asciiTheme="minorHAnsi" w:hAnsiTheme="minorHAnsi" w:cstheme="minorHAnsi"/>
        <w:color w:val="70787B"/>
        <w:sz w:val="15"/>
        <w:szCs w:val="15"/>
      </w:rPr>
      <w:t xml:space="preserve"> </w:t>
    </w:r>
  </w:p>
  <w:p w14:paraId="43304609" w14:textId="77777777" w:rsidR="00B62DE7" w:rsidRPr="000209B9" w:rsidRDefault="00B62DE7" w:rsidP="00B62DE7">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Document number: 2023/0001034</w:t>
    </w:r>
  </w:p>
  <w:p w14:paraId="008E73BC" w14:textId="16B5C057" w:rsidR="00575CC3" w:rsidRPr="00B62DE7" w:rsidRDefault="00830B58" w:rsidP="00B62DE7">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276507F4" w14:textId="0F1E81E3" w:rsidR="00E77B43" w:rsidRDefault="00B62DE7" w:rsidP="00E77B43">
    <w:pPr>
      <w:spacing w:after="0" w:line="240" w:lineRule="auto"/>
      <w:jc w:val="right"/>
      <w:rPr>
        <w:rFonts w:asciiTheme="minorHAnsi" w:hAnsiTheme="minorHAnsi" w:cstheme="minorHAnsi"/>
        <w:color w:val="70787B"/>
        <w:sz w:val="15"/>
        <w:szCs w:val="15"/>
      </w:rPr>
    </w:pPr>
    <w:r w:rsidRPr="00B62DE7">
      <w:rPr>
        <w:rFonts w:asciiTheme="minorHAnsi" w:hAnsiTheme="minorHAnsi" w:cstheme="minorHAnsi"/>
        <w:color w:val="70787B"/>
        <w:sz w:val="15"/>
        <w:szCs w:val="15"/>
      </w:rPr>
      <w:t>Asset Disposal (Built Infrastructure) Policy</w:t>
    </w:r>
    <w:r w:rsidR="00E77B43" w:rsidRPr="00B62DE7">
      <w:rPr>
        <w:rFonts w:asciiTheme="minorHAnsi" w:hAnsiTheme="minorHAnsi" w:cstheme="minorHAnsi"/>
        <w:color w:val="70787B"/>
        <w:sz w:val="15"/>
        <w:szCs w:val="15"/>
      </w:rPr>
      <w:t xml:space="preserve"> | </w:t>
    </w:r>
    <w:r w:rsidRPr="00B62DE7">
      <w:rPr>
        <w:rFonts w:asciiTheme="minorHAnsi" w:hAnsiTheme="minorHAnsi" w:cstheme="minorHAnsi"/>
        <w:color w:val="70787B"/>
        <w:sz w:val="15"/>
        <w:szCs w:val="15"/>
      </w:rPr>
      <w:t>June</w:t>
    </w:r>
    <w:r>
      <w:rPr>
        <w:rFonts w:asciiTheme="minorHAnsi" w:hAnsiTheme="minorHAnsi" w:cstheme="minorHAnsi"/>
        <w:color w:val="70787B"/>
        <w:sz w:val="15"/>
        <w:szCs w:val="15"/>
      </w:rPr>
      <w:t xml:space="preserve"> 2023</w:t>
    </w:r>
    <w:r w:rsidR="00E77B43" w:rsidRPr="000209B9">
      <w:rPr>
        <w:rFonts w:asciiTheme="minorHAnsi" w:hAnsiTheme="minorHAnsi" w:cstheme="minorHAnsi"/>
        <w:color w:val="70787B"/>
        <w:sz w:val="15"/>
        <w:szCs w:val="15"/>
      </w:rPr>
      <w:t xml:space="preserve"> </w:t>
    </w:r>
  </w:p>
  <w:p w14:paraId="69EED422" w14:textId="64A550AA" w:rsidR="00E77B43" w:rsidRPr="000209B9" w:rsidRDefault="00E77B43" w:rsidP="00E77B4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B62DE7">
      <w:rPr>
        <w:rFonts w:asciiTheme="minorHAnsi" w:hAnsiTheme="minorHAnsi" w:cstheme="minorHAnsi"/>
        <w:color w:val="70787B"/>
        <w:sz w:val="15"/>
        <w:szCs w:val="15"/>
      </w:rPr>
      <w:t>2023/0001034</w:t>
    </w:r>
  </w:p>
  <w:p w14:paraId="3471DC75" w14:textId="1F68BE84" w:rsidR="00E77B43" w:rsidRDefault="00E77B43" w:rsidP="00E77B43">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5E20E6DF">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FAF094"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2803" w14:textId="77777777" w:rsidR="00EE00D1" w:rsidRDefault="00EE00D1" w:rsidP="00575CC3">
      <w:pPr>
        <w:spacing w:after="0" w:line="240" w:lineRule="auto"/>
      </w:pPr>
      <w:r>
        <w:separator/>
      </w:r>
    </w:p>
  </w:footnote>
  <w:footnote w:type="continuationSeparator" w:id="0">
    <w:p w14:paraId="143A07E7" w14:textId="77777777" w:rsidR="00EE00D1" w:rsidRDefault="00EE00D1" w:rsidP="0057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71552" behindDoc="1" locked="0" layoutInCell="1" allowOverlap="1" wp14:anchorId="6F97AE15" wp14:editId="2F45D3AD">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5323F042" w:rsidR="00E77B43" w:rsidRPr="003205F8" w:rsidRDefault="00751170" w:rsidP="00F252F4">
    <w:pPr>
      <w:pStyle w:val="Header"/>
      <w:jc w:val="right"/>
      <w:rPr>
        <w:b/>
        <w:bCs/>
      </w:rPr>
    </w:pPr>
    <w:r w:rsidRPr="003205F8">
      <w:rPr>
        <w:rFonts w:cs="Arial"/>
        <w:b/>
        <w:bCs/>
        <w:noProof/>
        <w:color w:val="E30918"/>
        <w:sz w:val="52"/>
        <w:szCs w:val="52"/>
      </w:rPr>
      <w:drawing>
        <wp:anchor distT="0" distB="0" distL="114300" distR="114300" simplePos="0" relativeHeight="251670528" behindDoc="1" locked="0" layoutInCell="1" allowOverlap="1" wp14:anchorId="0093D322" wp14:editId="24D66572">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3205F8">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092150AE">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0E7848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3205F8">
      <w:rPr>
        <w:rFonts w:cs="Arial"/>
        <w:b/>
        <w:bCs/>
        <w:color w:val="FFFFFF" w:themeColor="background1"/>
        <w:sz w:val="52"/>
        <w:szCs w:val="52"/>
      </w:rP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24761A"/>
    <w:multiLevelType w:val="hybridMultilevel"/>
    <w:tmpl w:val="06FC3D1C"/>
    <w:lvl w:ilvl="0" w:tplc="447A8472">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5"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7D2A1B0A"/>
    <w:multiLevelType w:val="hybridMultilevel"/>
    <w:tmpl w:val="DCB00214"/>
    <w:lvl w:ilvl="0" w:tplc="2BB2AB80">
      <w:start w:val="1"/>
      <w:numFmt w:val="decimal"/>
      <w:pStyle w:val="Numberedlist"/>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6"/>
  </w:num>
  <w:num w:numId="2" w16cid:durableId="396825147">
    <w:abstractNumId w:val="36"/>
  </w:num>
  <w:num w:numId="3" w16cid:durableId="1304701530">
    <w:abstractNumId w:val="31"/>
  </w:num>
  <w:num w:numId="4" w16cid:durableId="352269857">
    <w:abstractNumId w:val="27"/>
  </w:num>
  <w:num w:numId="5" w16cid:durableId="1640375799">
    <w:abstractNumId w:val="16"/>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4"/>
  </w:num>
  <w:num w:numId="19" w16cid:durableId="1511336397">
    <w:abstractNumId w:val="32"/>
  </w:num>
  <w:num w:numId="20" w16cid:durableId="1666785443">
    <w:abstractNumId w:val="12"/>
  </w:num>
  <w:num w:numId="21" w16cid:durableId="1708486012">
    <w:abstractNumId w:val="25"/>
  </w:num>
  <w:num w:numId="22" w16cid:durableId="831220188">
    <w:abstractNumId w:val="22"/>
  </w:num>
  <w:num w:numId="23" w16cid:durableId="1621642287">
    <w:abstractNumId w:val="23"/>
  </w:num>
  <w:num w:numId="24" w16cid:durableId="1833176348">
    <w:abstractNumId w:val="28"/>
  </w:num>
  <w:num w:numId="25" w16cid:durableId="1126041565">
    <w:abstractNumId w:val="30"/>
  </w:num>
  <w:num w:numId="26" w16cid:durableId="1098252483">
    <w:abstractNumId w:val="18"/>
  </w:num>
  <w:num w:numId="27" w16cid:durableId="1930380739">
    <w:abstractNumId w:val="13"/>
  </w:num>
  <w:num w:numId="28" w16cid:durableId="871302621">
    <w:abstractNumId w:val="14"/>
  </w:num>
  <w:num w:numId="29" w16cid:durableId="991954021">
    <w:abstractNumId w:val="35"/>
  </w:num>
  <w:num w:numId="30" w16cid:durableId="218833091">
    <w:abstractNumId w:val="15"/>
  </w:num>
  <w:num w:numId="31" w16cid:durableId="66726597">
    <w:abstractNumId w:val="29"/>
  </w:num>
  <w:num w:numId="32" w16cid:durableId="1786579993">
    <w:abstractNumId w:val="34"/>
  </w:num>
  <w:num w:numId="33" w16cid:durableId="1071662295">
    <w:abstractNumId w:val="20"/>
  </w:num>
  <w:num w:numId="34" w16cid:durableId="944117931">
    <w:abstractNumId w:val="19"/>
  </w:num>
  <w:num w:numId="35" w16cid:durableId="754860717">
    <w:abstractNumId w:val="17"/>
  </w:num>
  <w:num w:numId="36" w16cid:durableId="105849864">
    <w:abstractNumId w:val="21"/>
  </w:num>
  <w:num w:numId="37" w16cid:durableId="20159670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7EA7"/>
    <w:rsid w:val="00052590"/>
    <w:rsid w:val="0006473D"/>
    <w:rsid w:val="000652A0"/>
    <w:rsid w:val="00067836"/>
    <w:rsid w:val="000728E0"/>
    <w:rsid w:val="000760A1"/>
    <w:rsid w:val="00083FFC"/>
    <w:rsid w:val="00091E5E"/>
    <w:rsid w:val="00093685"/>
    <w:rsid w:val="000B17D8"/>
    <w:rsid w:val="000B192C"/>
    <w:rsid w:val="000B71D9"/>
    <w:rsid w:val="000C0E96"/>
    <w:rsid w:val="000C57B7"/>
    <w:rsid w:val="000D3B39"/>
    <w:rsid w:val="000E01AE"/>
    <w:rsid w:val="000F1CE9"/>
    <w:rsid w:val="00103826"/>
    <w:rsid w:val="00104FF2"/>
    <w:rsid w:val="00154994"/>
    <w:rsid w:val="0016404C"/>
    <w:rsid w:val="00164E41"/>
    <w:rsid w:val="00165F7C"/>
    <w:rsid w:val="001800F9"/>
    <w:rsid w:val="001968C3"/>
    <w:rsid w:val="001A124A"/>
    <w:rsid w:val="001A64A0"/>
    <w:rsid w:val="001B01C6"/>
    <w:rsid w:val="001E1ED9"/>
    <w:rsid w:val="001F2B57"/>
    <w:rsid w:val="001F636F"/>
    <w:rsid w:val="00201B8F"/>
    <w:rsid w:val="00202BF7"/>
    <w:rsid w:val="00207FC2"/>
    <w:rsid w:val="00221E52"/>
    <w:rsid w:val="00221FEC"/>
    <w:rsid w:val="002257C2"/>
    <w:rsid w:val="00225E04"/>
    <w:rsid w:val="002439DB"/>
    <w:rsid w:val="00257D7C"/>
    <w:rsid w:val="002665AF"/>
    <w:rsid w:val="00267CCA"/>
    <w:rsid w:val="00271B99"/>
    <w:rsid w:val="00274580"/>
    <w:rsid w:val="00291234"/>
    <w:rsid w:val="002B29ED"/>
    <w:rsid w:val="002B2AAE"/>
    <w:rsid w:val="002B2DAF"/>
    <w:rsid w:val="002B35C9"/>
    <w:rsid w:val="002B6908"/>
    <w:rsid w:val="002C1FB6"/>
    <w:rsid w:val="002D4B9D"/>
    <w:rsid w:val="002E6FC9"/>
    <w:rsid w:val="002F0131"/>
    <w:rsid w:val="002F186F"/>
    <w:rsid w:val="002F3C8B"/>
    <w:rsid w:val="00302E26"/>
    <w:rsid w:val="0031180B"/>
    <w:rsid w:val="0031333E"/>
    <w:rsid w:val="003205F8"/>
    <w:rsid w:val="00334090"/>
    <w:rsid w:val="00334B56"/>
    <w:rsid w:val="00343D34"/>
    <w:rsid w:val="0035677A"/>
    <w:rsid w:val="00360D4B"/>
    <w:rsid w:val="003654D8"/>
    <w:rsid w:val="00395AD8"/>
    <w:rsid w:val="003F7778"/>
    <w:rsid w:val="00410ED5"/>
    <w:rsid w:val="00441285"/>
    <w:rsid w:val="004415C7"/>
    <w:rsid w:val="00456A0E"/>
    <w:rsid w:val="0046665F"/>
    <w:rsid w:val="00466DD2"/>
    <w:rsid w:val="00474D40"/>
    <w:rsid w:val="00481C9C"/>
    <w:rsid w:val="00482467"/>
    <w:rsid w:val="0048248F"/>
    <w:rsid w:val="00482930"/>
    <w:rsid w:val="00484C1B"/>
    <w:rsid w:val="00493EC2"/>
    <w:rsid w:val="00496A60"/>
    <w:rsid w:val="004B2C98"/>
    <w:rsid w:val="004B784E"/>
    <w:rsid w:val="004C69B3"/>
    <w:rsid w:val="004C75C6"/>
    <w:rsid w:val="004D24FC"/>
    <w:rsid w:val="004D5E3C"/>
    <w:rsid w:val="004E594B"/>
    <w:rsid w:val="004E7EF9"/>
    <w:rsid w:val="004F58F0"/>
    <w:rsid w:val="0050449E"/>
    <w:rsid w:val="005051B1"/>
    <w:rsid w:val="005224CD"/>
    <w:rsid w:val="00522BA9"/>
    <w:rsid w:val="00541A95"/>
    <w:rsid w:val="00552F80"/>
    <w:rsid w:val="0055489B"/>
    <w:rsid w:val="005554CF"/>
    <w:rsid w:val="005572C3"/>
    <w:rsid w:val="0056050A"/>
    <w:rsid w:val="00564540"/>
    <w:rsid w:val="005746E7"/>
    <w:rsid w:val="00575CC3"/>
    <w:rsid w:val="00584AE9"/>
    <w:rsid w:val="005926AC"/>
    <w:rsid w:val="0059325A"/>
    <w:rsid w:val="00593F30"/>
    <w:rsid w:val="005A3D82"/>
    <w:rsid w:val="005B1942"/>
    <w:rsid w:val="005B6220"/>
    <w:rsid w:val="005C3E98"/>
    <w:rsid w:val="005D1898"/>
    <w:rsid w:val="005D1F86"/>
    <w:rsid w:val="005D7EA1"/>
    <w:rsid w:val="005E3610"/>
    <w:rsid w:val="005F014A"/>
    <w:rsid w:val="006467E3"/>
    <w:rsid w:val="006519D0"/>
    <w:rsid w:val="00673B09"/>
    <w:rsid w:val="00681A26"/>
    <w:rsid w:val="006A0D50"/>
    <w:rsid w:val="006A16D3"/>
    <w:rsid w:val="006A5781"/>
    <w:rsid w:val="006B61C2"/>
    <w:rsid w:val="006C42D8"/>
    <w:rsid w:val="006C594F"/>
    <w:rsid w:val="006D360E"/>
    <w:rsid w:val="006E7342"/>
    <w:rsid w:val="006F4576"/>
    <w:rsid w:val="006F4919"/>
    <w:rsid w:val="0070341D"/>
    <w:rsid w:val="007066FB"/>
    <w:rsid w:val="007225FE"/>
    <w:rsid w:val="00724189"/>
    <w:rsid w:val="00732202"/>
    <w:rsid w:val="00734916"/>
    <w:rsid w:val="00736216"/>
    <w:rsid w:val="00746A0E"/>
    <w:rsid w:val="00751170"/>
    <w:rsid w:val="007512F5"/>
    <w:rsid w:val="00763E65"/>
    <w:rsid w:val="00772928"/>
    <w:rsid w:val="007815A6"/>
    <w:rsid w:val="00785535"/>
    <w:rsid w:val="00786706"/>
    <w:rsid w:val="00790080"/>
    <w:rsid w:val="00791C73"/>
    <w:rsid w:val="007A183B"/>
    <w:rsid w:val="007A1AED"/>
    <w:rsid w:val="007B5079"/>
    <w:rsid w:val="007B700A"/>
    <w:rsid w:val="007C0260"/>
    <w:rsid w:val="007C37DE"/>
    <w:rsid w:val="007D1588"/>
    <w:rsid w:val="007D4084"/>
    <w:rsid w:val="007D4B90"/>
    <w:rsid w:val="007E4E51"/>
    <w:rsid w:val="00802961"/>
    <w:rsid w:val="00804068"/>
    <w:rsid w:val="00811AE1"/>
    <w:rsid w:val="00811F90"/>
    <w:rsid w:val="008122F0"/>
    <w:rsid w:val="00820F73"/>
    <w:rsid w:val="008226BA"/>
    <w:rsid w:val="008239FE"/>
    <w:rsid w:val="00825029"/>
    <w:rsid w:val="00830B58"/>
    <w:rsid w:val="008508DF"/>
    <w:rsid w:val="008555C9"/>
    <w:rsid w:val="008605D5"/>
    <w:rsid w:val="00871911"/>
    <w:rsid w:val="00871C38"/>
    <w:rsid w:val="00871D81"/>
    <w:rsid w:val="008735AB"/>
    <w:rsid w:val="008776AD"/>
    <w:rsid w:val="008C300D"/>
    <w:rsid w:val="008C5983"/>
    <w:rsid w:val="008C5F7B"/>
    <w:rsid w:val="008D0A1C"/>
    <w:rsid w:val="008D2294"/>
    <w:rsid w:val="008D4F55"/>
    <w:rsid w:val="008D57B3"/>
    <w:rsid w:val="008E2FFB"/>
    <w:rsid w:val="008F2DE0"/>
    <w:rsid w:val="0092371D"/>
    <w:rsid w:val="00941205"/>
    <w:rsid w:val="00947015"/>
    <w:rsid w:val="0095172A"/>
    <w:rsid w:val="009518A2"/>
    <w:rsid w:val="00966619"/>
    <w:rsid w:val="00985E2C"/>
    <w:rsid w:val="00993A5D"/>
    <w:rsid w:val="0099406C"/>
    <w:rsid w:val="009A4600"/>
    <w:rsid w:val="009B37D4"/>
    <w:rsid w:val="009C1E14"/>
    <w:rsid w:val="009C2FEF"/>
    <w:rsid w:val="009C7B84"/>
    <w:rsid w:val="009D2761"/>
    <w:rsid w:val="009D29B6"/>
    <w:rsid w:val="009E11AD"/>
    <w:rsid w:val="009F074C"/>
    <w:rsid w:val="00A10384"/>
    <w:rsid w:val="00A144B2"/>
    <w:rsid w:val="00A15D12"/>
    <w:rsid w:val="00A3242E"/>
    <w:rsid w:val="00A45BDF"/>
    <w:rsid w:val="00A50780"/>
    <w:rsid w:val="00A56091"/>
    <w:rsid w:val="00A5683C"/>
    <w:rsid w:val="00A57044"/>
    <w:rsid w:val="00AA12A3"/>
    <w:rsid w:val="00AA188E"/>
    <w:rsid w:val="00AA391D"/>
    <w:rsid w:val="00AB00BF"/>
    <w:rsid w:val="00AC0FEF"/>
    <w:rsid w:val="00AC1EA9"/>
    <w:rsid w:val="00AC62A8"/>
    <w:rsid w:val="00AE36C9"/>
    <w:rsid w:val="00AE4387"/>
    <w:rsid w:val="00AF5791"/>
    <w:rsid w:val="00AF719E"/>
    <w:rsid w:val="00B24AD5"/>
    <w:rsid w:val="00B25332"/>
    <w:rsid w:val="00B26F8D"/>
    <w:rsid w:val="00B42BD2"/>
    <w:rsid w:val="00B508D5"/>
    <w:rsid w:val="00B52233"/>
    <w:rsid w:val="00B56551"/>
    <w:rsid w:val="00B62DE7"/>
    <w:rsid w:val="00B7337A"/>
    <w:rsid w:val="00B82F08"/>
    <w:rsid w:val="00B9062A"/>
    <w:rsid w:val="00BB58D7"/>
    <w:rsid w:val="00BB6CB6"/>
    <w:rsid w:val="00BD26DB"/>
    <w:rsid w:val="00BF387D"/>
    <w:rsid w:val="00C12E96"/>
    <w:rsid w:val="00C22059"/>
    <w:rsid w:val="00C2475A"/>
    <w:rsid w:val="00C31251"/>
    <w:rsid w:val="00C32760"/>
    <w:rsid w:val="00C3358F"/>
    <w:rsid w:val="00C42037"/>
    <w:rsid w:val="00C77710"/>
    <w:rsid w:val="00C80060"/>
    <w:rsid w:val="00CA6305"/>
    <w:rsid w:val="00CD119B"/>
    <w:rsid w:val="00CE43D6"/>
    <w:rsid w:val="00CF611B"/>
    <w:rsid w:val="00CF6FF3"/>
    <w:rsid w:val="00D042D8"/>
    <w:rsid w:val="00D25E65"/>
    <w:rsid w:val="00D532D6"/>
    <w:rsid w:val="00DA2384"/>
    <w:rsid w:val="00DB76F9"/>
    <w:rsid w:val="00DB7E17"/>
    <w:rsid w:val="00DD6067"/>
    <w:rsid w:val="00DE45C5"/>
    <w:rsid w:val="00DF3DF3"/>
    <w:rsid w:val="00E14D21"/>
    <w:rsid w:val="00E160A3"/>
    <w:rsid w:val="00E20D0C"/>
    <w:rsid w:val="00E21C52"/>
    <w:rsid w:val="00E3151F"/>
    <w:rsid w:val="00E60BDE"/>
    <w:rsid w:val="00E633D7"/>
    <w:rsid w:val="00E67BB3"/>
    <w:rsid w:val="00E702F7"/>
    <w:rsid w:val="00E7138A"/>
    <w:rsid w:val="00E77B43"/>
    <w:rsid w:val="00E826C9"/>
    <w:rsid w:val="00E9677E"/>
    <w:rsid w:val="00EA50A4"/>
    <w:rsid w:val="00EA768F"/>
    <w:rsid w:val="00EB67A0"/>
    <w:rsid w:val="00EB7614"/>
    <w:rsid w:val="00EB7EA9"/>
    <w:rsid w:val="00EC5612"/>
    <w:rsid w:val="00ED6047"/>
    <w:rsid w:val="00EE00D1"/>
    <w:rsid w:val="00EE310F"/>
    <w:rsid w:val="00EE3570"/>
    <w:rsid w:val="00EF0887"/>
    <w:rsid w:val="00EF5096"/>
    <w:rsid w:val="00F252F4"/>
    <w:rsid w:val="00F311DC"/>
    <w:rsid w:val="00F50932"/>
    <w:rsid w:val="00F54199"/>
    <w:rsid w:val="00F55C18"/>
    <w:rsid w:val="00F714F3"/>
    <w:rsid w:val="00F71CDF"/>
    <w:rsid w:val="00F74238"/>
    <w:rsid w:val="00F7432A"/>
    <w:rsid w:val="00F80692"/>
    <w:rsid w:val="00FA2D28"/>
    <w:rsid w:val="00FA6AC6"/>
    <w:rsid w:val="00FB180D"/>
    <w:rsid w:val="00FB329E"/>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2"/>
      </w:numPr>
      <w:ind w:left="426" w:hanging="426"/>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secure.griffith.edu.au/secure/staff-only/corporate-governance/gu-delegations-register.pdf?_gl=1*74gv5i*_ga*NTYwMzQxMTA2LjE2NzAzODI4ODQ.*_ga_5GKYJEBSN9*MTY4Njc4MzgxMy4zOTMuMS4xNjg2Nzg0MDI5LjQ4LjAuM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sharepointpubstor.blob.core.windows.net/policylibrary-prod/Delegations%20Policy.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arepointpubstor.blob.core.windows.net/policylibrary-prod/Assets%20Management%20Policy.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legislation.qld.gov.au/view/html/asmade/sl-2019-0182"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harepointpubstor.blob.core.windows.net/policylibrary-prod/Delegations%20%20Procedure.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C2404F"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C2404F"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C2404F"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C2404F" w:rsidRDefault="008011BC" w:rsidP="008011BC">
          <w:pPr>
            <w:pStyle w:val="F2053069A3884FB7903D6C3F87A7221C"/>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libri"/>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186519"/>
    <w:rsid w:val="005D26DA"/>
    <w:rsid w:val="008011BC"/>
    <w:rsid w:val="00C2404F"/>
    <w:rsid w:val="00C65F67"/>
    <w:rsid w:val="00D01C3A"/>
    <w:rsid w:val="00D71B56"/>
    <w:rsid w:val="00DE1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739DC334F694446097BCD5700DC058E53">
    <w:name w:val="739DC334F694446097BCD5700DC058E53"/>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95907F526AAB44608D3FF7BAF794E6E01">
    <w:name w:val="95907F526AAB44608D3FF7BAF794E6E01"/>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 w:type="paragraph" w:customStyle="1" w:styleId="51D200499E654B60842EFC49E62ED952">
    <w:name w:val="51D200499E654B60842EFC49E62ED952"/>
    <w:rsid w:val="008011BC"/>
  </w:style>
  <w:style w:type="paragraph" w:customStyle="1" w:styleId="646DF40437AD4C1A9FA18ABA9D4C6E4B">
    <w:name w:val="646DF40437AD4C1A9FA18ABA9D4C6E4B"/>
    <w:rsid w:val="008011BC"/>
  </w:style>
  <w:style w:type="paragraph" w:customStyle="1" w:styleId="1D56E002CC9741CF879D92C734EE6E04">
    <w:name w:val="1D56E002CC9741CF879D92C734EE6E04"/>
    <w:rsid w:val="00D01C3A"/>
  </w:style>
  <w:style w:type="paragraph" w:customStyle="1" w:styleId="35E3A6F590D1427CB175E3F677F3286F">
    <w:name w:val="35E3A6F590D1427CB175E3F677F3286F"/>
    <w:rsid w:val="00D01C3A"/>
  </w:style>
  <w:style w:type="paragraph" w:customStyle="1" w:styleId="A3770C218488437189B6156CB0AF3083">
    <w:name w:val="A3770C218488437189B6156CB0AF3083"/>
    <w:rsid w:val="00D01C3A"/>
  </w:style>
  <w:style w:type="paragraph" w:customStyle="1" w:styleId="BBD1903A65334D9BAAB0EE9F1EABFB32">
    <w:name w:val="BBD1903A65334D9BAAB0EE9F1EABFB32"/>
    <w:rsid w:val="00D01C3A"/>
  </w:style>
  <w:style w:type="paragraph" w:customStyle="1" w:styleId="A8601933503B48DE8053C6F758A910A9">
    <w:name w:val="A8601933503B48DE8053C6F758A910A9"/>
    <w:rsid w:val="00D01C3A"/>
  </w:style>
  <w:style w:type="paragraph" w:customStyle="1" w:styleId="6139ECFB123F4A9383485D33525009BE">
    <w:name w:val="6139ECFB123F4A9383485D33525009BE"/>
    <w:rsid w:val="00D01C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116</Value>
      <Value>63</Value>
      <Value>77</Value>
      <Value>529</Value>
      <Value>92</Value>
      <Value>546</Value>
      <Value>69</Value>
    </TaxCatchAll>
    <SharedWithUsers xmlns="b40c662e-0380-4817-843d-2c7e10d40c39">
      <UserInfo>
        <DisplayName/>
        <AccountId xsi:nil="true"/>
        <AccountType/>
      </UserInfo>
    </SharedWithUsers>
    <PublishOn xmlns="2f261a70-825f-4a37-b7b5-f6ecc2f4c5fa">2021-02-05T09:31:25+00:00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Campus Life</TermName>
          <TermId xmlns="http://schemas.microsoft.com/office/infopath/2007/PartnerControls">6de54371-083c-4292-84eb-514655c8362c</TermId>
        </TermInfo>
      </Terms>
    </l92b321e1c6d4932b3b7fc50f551e57a>
    <policysummary xmlns="2f261a70-825f-4a37-b7b5-f6ecc2f4c5fa">This Policy sets out the criteria to be met for the disposal of built infrastructure assets, the process for approval and the approving authority at Griffith University.</policysummary>
    <PolicyCategoryPath xmlns="2f261a70-825f-4a37-b7b5-f6ecc2f4c5fa">Operational:Campuses, Facilities and Assets</PolicyCategoryPath>
    <PolicyCategory0 xmlns="2f261a70-825f-4a37-b7b5-f6ecc2f4c5fa">Campuses, Facilities and Assets</PolicyCategory0>
    <docsort xmlns="2f261a70-825f-4a37-b7b5-f6ecc2f4c5fa">10</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Property Management</TermName>
          <TermId xmlns="http://schemas.microsoft.com/office/infopath/2007/PartnerControls">a983b708-01df-468f-932e-78c139e39e47</TermId>
        </TermInfo>
      </Terms>
    </cb2cae79e6954dd59be5b9155b36b74a>
    <GlossaryValues xmlns="2f261a70-825f-4a37-b7b5-f6ecc2f4c5fa" xsi:nil="true"/>
    <PolicyCategoryParent xmlns="2f261a70-825f-4a37-b7b5-f6ecc2f4c5fa">Operational</PolicyCategoryParent>
    <LastPublished xmlns="2f261a70-825f-4a37-b7b5-f6ecc2f4c5fa" xsi:nil="true"/>
    <doccomments xmlns="2f261a70-825f-4a37-b7b5-f6ecc2f4c5fa" xsi:nil="true"/>
    <datedeclared xmlns="2f261a70-825f-4a37-b7b5-f6ecc2f4c5fa">2018-03-25T14:00:00+00:00</datedeclared>
    <PrivatePolicy xmlns="2f261a70-825f-4a37-b7b5-f6ecc2f4c5fa">false</PrivatePolicy>
    <policyadvisor xmlns="2f261a70-825f-4a37-b7b5-f6ecc2f4c5fa">
      <UserInfo>
        <DisplayName>Nicola Collier-Jackson</DisplayName>
        <AccountId>62</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Operational:Finance</TermName>
          <TermId xmlns="http://schemas.microsoft.com/office/infopath/2007/PartnerControls">7c4d54fe-a143-4322-ada2-3a0028566dc3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2025</TermName>
          <TermId xmlns="http://schemas.microsoft.com/office/infopath/2007/PartnerControls">fa1cf741-e18b-4093-9127-a4b8f49df0e9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Chief Operating Officer</TermName>
          <TermId xmlns="http://schemas.microsoft.com/office/infopath/2007/PartnerControls">11706a4f-afb0-46bb-a734-c26b0b045f02</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C24E1A55-2868-465B-AC0D-7BEA3088646F}"/>
</file>

<file path=customXml/itemProps2.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3.xml><?xml version="1.0" encoding="utf-8"?>
<ds:datastoreItem xmlns:ds="http://schemas.openxmlformats.org/officeDocument/2006/customXml" ds:itemID="{FE087261-2416-4848-BACE-F5D9ED48845A}">
  <ds:schemaRefs>
    <ds:schemaRef ds:uri="http://schemas.openxmlformats.org/package/2006/metadata/core-properties"/>
    <ds:schemaRef ds:uri="http://purl.org/dc/dcmitype/"/>
    <ds:schemaRef ds:uri="3116bb01-21ef-4830-a9d7-ecd0b64abba7"/>
    <ds:schemaRef ds:uri="http://schemas.microsoft.com/office/infopath/2007/PartnerControls"/>
    <ds:schemaRef ds:uri="http://purl.org/dc/elements/1.1/"/>
    <ds:schemaRef ds:uri="http://schemas.microsoft.com/office/2006/metadata/properties"/>
    <ds:schemaRef ds:uri="caef5518-cf02-434d-a424-1f5a8c26e90b"/>
    <ds:schemaRef ds:uri="http://schemas.microsoft.com/office/2006/documentManagement/types"/>
    <ds:schemaRef ds:uri="http://www.w3.org/XML/1998/namespace"/>
    <ds:schemaRef ds:uri="http://purl.org/dc/terms/"/>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98</TotalTime>
  <Pages>4</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Disposal Built Infrastructure Policy</dc:title>
  <dc:creator>Jen Lofgren</dc:creator>
  <cp:lastModifiedBy>Charlie Partridge</cp:lastModifiedBy>
  <cp:revision>14</cp:revision>
  <dcterms:created xsi:type="dcterms:W3CDTF">2024-02-01T01:38:00Z</dcterms:created>
  <dcterms:modified xsi:type="dcterms:W3CDTF">2024-02-01T04:03:00Z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43400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63;#Property Management|a983b708-01df-468f-932e-78c139e39e47</vt:lpwstr>
  </property>
  <property fmtid="{D5CDD505-2E9C-101B-9397-08002B2CF9AE}" pid="16" name="_dlc_policyId">
    <vt:lpwstr>0x010100CCB10AA9A57F62429EA6968F7587FFF2|1453938073</vt:lpwstr>
  </property>
  <property fmtid="{D5CDD505-2E9C-101B-9397-08002B2CF9AE}" pid="17" name="xd_ProgID">
    <vt:lpwstr/>
  </property>
  <property fmtid="{D5CDD505-2E9C-101B-9397-08002B2CF9AE}" pid="18" name="appauthority">
    <vt:lpwstr>546;#Chief Operating Officer|11706a4f-afb0-46bb-a734-c26b0b045f02</vt:lpwstr>
  </property>
  <property fmtid="{D5CDD505-2E9C-101B-9397-08002B2CF9AE}" pid="19" name="policycategory">
    <vt:lpwstr>69;#Policy|9279309a-7669-47c5-bf96-cc165d8b3ede</vt:lpwstr>
  </property>
  <property fmtid="{D5CDD505-2E9C-101B-9397-08002B2CF9AE}" pid="20" name="_SourceUrl">
    <vt:lpwstr/>
  </property>
  <property fmtid="{D5CDD505-2E9C-101B-9397-08002B2CF9AE}" pid="21" name="_SharedFileIndex">
    <vt:lpwstr/>
  </property>
  <property fmtid="{D5CDD505-2E9C-101B-9397-08002B2CF9AE}" pid="22" name="TemplateUrl">
    <vt:lpwstr/>
  </property>
  <property fmtid="{D5CDD505-2E9C-101B-9397-08002B2CF9AE}" pid="23" name="officearea">
    <vt:lpwstr>92;#Campus Life|6de54371-083c-4292-84eb-514655c8362c</vt:lpwstr>
  </property>
  <property fmtid="{D5CDD505-2E9C-101B-9397-08002B2CF9AE}" pid="24" name="resourcetype">
    <vt:lpwstr>850</vt:lpwstr>
  </property>
  <property fmtid="{D5CDD505-2E9C-101B-9397-08002B2CF9AE}" pid="25" name="DelayPublish">
    <vt:lpwstr>No</vt:lpwstr>
  </property>
  <property fmtid="{D5CDD505-2E9C-101B-9397-08002B2CF9AE}" pid="26" name="Audience1">
    <vt:lpwstr>19;#Staff|234b4c02-4f11-4558-b1da-d19b9b209556</vt:lpwstr>
  </property>
  <property fmtid="{D5CDD505-2E9C-101B-9397-08002B2CF9AE}" pid="27" name="HTML Link">
    <vt:lpwstr>https://policies-admin.griffith.edu.au/pdf/Asset%20Disposal%20Built%20Infrastructure%20Policy.pdf, View PDF Version</vt:lpwstr>
  </property>
  <property fmtid="{D5CDD505-2E9C-101B-9397-08002B2CF9AE}" pid="28" name="xd_Signature">
    <vt:bool>false</vt:bool>
  </property>
  <property fmtid="{D5CDD505-2E9C-101B-9397-08002B2CF9AE}" pid="29" name="policy_x002d_category">
    <vt:lpwstr/>
  </property>
  <property fmtid="{D5CDD505-2E9C-101B-9397-08002B2CF9AE}" pid="30" name="policy-category">
    <vt:lpwstr>529;#Operational:Finance|7c4d54fe-a143-4322-ada2-3a0028566dc3</vt:lpwstr>
  </property>
  <property fmtid="{D5CDD505-2E9C-101B-9397-08002B2CF9AE}" pid="31" name="ItemRetentionFormula">
    <vt:lpwstr>&lt;formula id="Microsoft.Office.RecordsManagement.PolicyFeatures.Expiration.Formula.BuiltIn"&gt;&lt;number&gt;18&lt;/number&gt;&lt;property&gt;Date_x005f_x0020_Declared&lt;/property&gt;&lt;propertyId&gt;b2bcc469-cbbb-40ea-8ad3-a8f32bd0a956&lt;/propertyId&gt;&lt;period&gt;months&lt;/period&gt;&lt;/formula&gt;</vt:lpwstr>
  </property>
  <property fmtid="{D5CDD505-2E9C-101B-9397-08002B2CF9AE}" pid="32" name="glossaryterms">
    <vt:lpwstr/>
  </property>
  <property fmtid="{D5CDD505-2E9C-101B-9397-08002B2CF9AE}" pid="33" name="_dlc_DocIdItemGuid">
    <vt:lpwstr>f74d1c3e-3a50-4b68-9e41-f452e9996bb8</vt:lpwstr>
  </property>
  <property fmtid="{D5CDD505-2E9C-101B-9397-08002B2CF9AE}" pid="34" name="e509630521274583bbfe889d810a3e9e">
    <vt:lpwstr>Public|40058628-4222-4f37-b062-f3fb9daaccf8</vt:lpwstr>
  </property>
  <property fmtid="{D5CDD505-2E9C-101B-9397-08002B2CF9AE}" pid="35" name="policyreview">
    <vt:lpwstr>116;#2025|fa1cf741-e18b-4093-9127-a4b8f49df0e9</vt:lpwstr>
  </property>
  <property fmtid="{D5CDD505-2E9C-101B-9397-08002B2CF9AE}" pid="36" name="policyaudience">
    <vt:lpwstr>77;#Staff|45ee306d-49ae-43fa-a3ef-02f70754fd2d</vt:lpwstr>
  </property>
  <property fmtid="{D5CDD505-2E9C-101B-9397-08002B2CF9AE}" pid="37" name="Managed_Testing_Field">
    <vt:lpwstr/>
  </property>
  <property fmtid="{D5CDD505-2E9C-101B-9397-08002B2CF9AE}" pid="38" name="source_item_id">
    <vt:lpwstr>447</vt:lpwstr>
  </property>
  <property fmtid="{D5CDD505-2E9C-101B-9397-08002B2CF9AE}" pid="39" name="Category Type">
    <vt:lpwstr>22;#Policy|6ea67854-4618-4b05-bd31-1dfafb0e2b14</vt:lpwstr>
  </property>
</Properties>
</file>