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FD894" w14:textId="506661B7" w:rsidR="00470B79" w:rsidRPr="00DE7D07" w:rsidRDefault="00470B79" w:rsidP="00DE7D07">
      <w:pPr>
        <w:spacing w:before="120" w:after="120" w:line="240" w:lineRule="auto"/>
        <w:rPr>
          <w:rFonts w:ascii="Arial" w:eastAsiaTheme="majorEastAsia" w:hAnsi="Arial" w:cs="Arial"/>
          <w:b/>
          <w:color w:val="E30918"/>
          <w:spacing w:val="-10"/>
          <w:kern w:val="28"/>
          <w:sz w:val="52"/>
          <w:szCs w:val="52"/>
          <w:u w:color="F04E45"/>
          <w:lang w:val="en-US"/>
        </w:rPr>
      </w:pPr>
      <w:bookmarkStart w:id="0" w:name="_Ref20321537"/>
      <w:bookmarkStart w:id="1" w:name="_Ref20411738"/>
      <w:bookmarkStart w:id="2" w:name="_Ref20411785"/>
      <w:r w:rsidRPr="00DE7D07">
        <w:rPr>
          <w:rFonts w:ascii="Arial" w:eastAsiaTheme="majorEastAsia" w:hAnsi="Arial" w:cs="Arial"/>
          <w:b/>
          <w:color w:val="E30918"/>
          <w:spacing w:val="-10"/>
          <w:kern w:val="28"/>
          <w:sz w:val="52"/>
          <w:szCs w:val="52"/>
          <w:u w:color="F04E45"/>
          <w:lang w:val="en-US"/>
        </w:rPr>
        <w:t xml:space="preserve">Approval of Tuition Fees and </w:t>
      </w:r>
      <w:r w:rsidR="00DE7D07">
        <w:rPr>
          <w:rFonts w:ascii="Arial" w:eastAsiaTheme="majorEastAsia" w:hAnsi="Arial" w:cs="Arial"/>
          <w:b/>
          <w:color w:val="E30918"/>
          <w:spacing w:val="-10"/>
          <w:kern w:val="28"/>
          <w:sz w:val="52"/>
          <w:szCs w:val="52"/>
          <w:u w:color="F04E45"/>
          <w:lang w:val="en-US"/>
        </w:rPr>
        <w:br/>
      </w:r>
      <w:r w:rsidRPr="00DE7D07">
        <w:rPr>
          <w:rFonts w:ascii="Arial" w:eastAsiaTheme="majorEastAsia" w:hAnsi="Arial" w:cs="Arial"/>
          <w:b/>
          <w:color w:val="E30918"/>
          <w:spacing w:val="-10"/>
          <w:kern w:val="28"/>
          <w:sz w:val="52"/>
          <w:szCs w:val="52"/>
          <w:u w:color="F04E45"/>
          <w:lang w:val="en-US"/>
        </w:rPr>
        <w:t>Fee Reduction Scholarships</w:t>
      </w:r>
    </w:p>
    <w:p w14:paraId="757C4A4A" w14:textId="4285020E" w:rsidR="00997DEA" w:rsidRPr="00DE7D07" w:rsidRDefault="00997DEA" w:rsidP="00DE7D07">
      <w:pPr>
        <w:spacing w:after="0" w:line="240" w:lineRule="auto"/>
        <w:rPr>
          <w:rFonts w:ascii="Arial" w:hAnsi="Arial" w:cs="Arial"/>
          <w:color w:val="E30918"/>
          <w:sz w:val="24"/>
          <w:szCs w:val="24"/>
          <w:shd w:val="clear" w:color="auto" w:fill="FFFFFF"/>
        </w:rPr>
      </w:pPr>
      <w:r w:rsidRPr="00DE7D07">
        <w:rPr>
          <w:rFonts w:ascii="Arial" w:hAnsi="Arial" w:cs="Arial"/>
          <w:color w:val="E30918"/>
          <w:sz w:val="24"/>
          <w:szCs w:val="24"/>
          <w:shd w:val="clear" w:color="auto" w:fill="FFFFFF"/>
        </w:rPr>
        <w:fldChar w:fldCharType="begin"/>
      </w:r>
      <w:r w:rsidRPr="00DE7D07">
        <w:rPr>
          <w:rFonts w:ascii="Arial" w:hAnsi="Arial" w:cs="Arial"/>
          <w:color w:val="E30918"/>
          <w:sz w:val="24"/>
          <w:szCs w:val="24"/>
          <w:shd w:val="clear" w:color="auto" w:fill="FFFFFF"/>
        </w:rPr>
        <w:instrText xml:space="preserve"> REF _Ref20480964 \h  \* MERGEFORMAT </w:instrText>
      </w:r>
      <w:r w:rsidRPr="00DE7D07">
        <w:rPr>
          <w:rFonts w:ascii="Arial" w:hAnsi="Arial" w:cs="Arial"/>
          <w:color w:val="E30918"/>
          <w:sz w:val="24"/>
          <w:szCs w:val="24"/>
          <w:shd w:val="clear" w:color="auto" w:fill="FFFFFF"/>
        </w:rPr>
      </w:r>
      <w:r w:rsidRPr="00DE7D07">
        <w:rPr>
          <w:rFonts w:ascii="Arial" w:hAnsi="Arial" w:cs="Arial"/>
          <w:color w:val="E30918"/>
          <w:sz w:val="24"/>
          <w:szCs w:val="24"/>
          <w:shd w:val="clear" w:color="auto" w:fill="FFFFFF"/>
        </w:rPr>
        <w:fldChar w:fldCharType="separate"/>
      </w:r>
      <w:r w:rsidR="009116E5" w:rsidRPr="00DE7D07">
        <w:rPr>
          <w:rFonts w:ascii="Arial" w:hAnsi="Arial" w:cs="Arial"/>
          <w:color w:val="E30918"/>
          <w:sz w:val="24"/>
          <w:szCs w:val="24"/>
          <w:shd w:val="clear" w:color="auto" w:fill="FFFFFF"/>
        </w:rPr>
        <w:t>1.0 Purpose</w:t>
      </w:r>
      <w:r w:rsidRPr="00DE7D07">
        <w:rPr>
          <w:rFonts w:ascii="Arial" w:hAnsi="Arial" w:cs="Arial"/>
          <w:color w:val="E30918"/>
          <w:sz w:val="24"/>
          <w:szCs w:val="24"/>
          <w:shd w:val="clear" w:color="auto" w:fill="FFFFFF"/>
        </w:rPr>
        <w:fldChar w:fldCharType="end"/>
      </w:r>
    </w:p>
    <w:p w14:paraId="1370E53A" w14:textId="4A2891FB" w:rsidR="00997DEA" w:rsidRPr="00DE7D07" w:rsidRDefault="00997DEA" w:rsidP="00DE7D07">
      <w:pPr>
        <w:spacing w:after="0" w:line="240" w:lineRule="auto"/>
        <w:rPr>
          <w:rFonts w:ascii="Arial" w:hAnsi="Arial" w:cs="Arial"/>
          <w:color w:val="E30918"/>
          <w:sz w:val="24"/>
          <w:szCs w:val="24"/>
          <w:shd w:val="clear" w:color="auto" w:fill="FFFFFF"/>
        </w:rPr>
      </w:pPr>
      <w:r w:rsidRPr="00DE7D07">
        <w:rPr>
          <w:rFonts w:ascii="Arial" w:hAnsi="Arial" w:cs="Arial"/>
          <w:color w:val="E30918"/>
          <w:sz w:val="24"/>
          <w:szCs w:val="24"/>
          <w:shd w:val="clear" w:color="auto" w:fill="FFFFFF"/>
        </w:rPr>
        <w:fldChar w:fldCharType="begin"/>
      </w:r>
      <w:r w:rsidRPr="00DE7D07">
        <w:rPr>
          <w:rFonts w:ascii="Arial" w:hAnsi="Arial" w:cs="Arial"/>
          <w:color w:val="E30918"/>
          <w:sz w:val="24"/>
          <w:szCs w:val="24"/>
          <w:shd w:val="clear" w:color="auto" w:fill="FFFFFF"/>
        </w:rPr>
        <w:instrText xml:space="preserve"> REF _Ref20480989 \h  \* MERGEFORMAT </w:instrText>
      </w:r>
      <w:r w:rsidRPr="00DE7D07">
        <w:rPr>
          <w:rFonts w:ascii="Arial" w:hAnsi="Arial" w:cs="Arial"/>
          <w:color w:val="E30918"/>
          <w:sz w:val="24"/>
          <w:szCs w:val="24"/>
          <w:shd w:val="clear" w:color="auto" w:fill="FFFFFF"/>
        </w:rPr>
      </w:r>
      <w:r w:rsidRPr="00DE7D07">
        <w:rPr>
          <w:rFonts w:ascii="Arial" w:hAnsi="Arial" w:cs="Arial"/>
          <w:color w:val="E30918"/>
          <w:sz w:val="24"/>
          <w:szCs w:val="24"/>
          <w:shd w:val="clear" w:color="auto" w:fill="FFFFFF"/>
        </w:rPr>
        <w:fldChar w:fldCharType="separate"/>
      </w:r>
      <w:r w:rsidR="009116E5" w:rsidRPr="00DE7D07">
        <w:rPr>
          <w:rFonts w:ascii="Arial" w:hAnsi="Arial" w:cs="Arial"/>
          <w:color w:val="E30918"/>
          <w:sz w:val="24"/>
          <w:szCs w:val="24"/>
        </w:rPr>
        <w:t>2.0 Scope</w:t>
      </w:r>
      <w:r w:rsidRPr="00DE7D07">
        <w:rPr>
          <w:rFonts w:ascii="Arial" w:hAnsi="Arial" w:cs="Arial"/>
          <w:color w:val="E30918"/>
          <w:sz w:val="24"/>
          <w:szCs w:val="24"/>
          <w:shd w:val="clear" w:color="auto" w:fill="FFFFFF"/>
        </w:rPr>
        <w:fldChar w:fldCharType="end"/>
      </w:r>
    </w:p>
    <w:p w14:paraId="50B92993" w14:textId="7874B4C4" w:rsidR="00997DEA" w:rsidRPr="00DE7D07" w:rsidRDefault="00997DEA" w:rsidP="00DE7D07">
      <w:pPr>
        <w:spacing w:after="0" w:line="240" w:lineRule="auto"/>
        <w:rPr>
          <w:rFonts w:ascii="Arial" w:hAnsi="Arial" w:cs="Arial"/>
          <w:color w:val="E30918"/>
          <w:sz w:val="24"/>
          <w:szCs w:val="24"/>
          <w:shd w:val="clear" w:color="auto" w:fill="FFFFFF"/>
        </w:rPr>
      </w:pPr>
      <w:r w:rsidRPr="00DE7D07">
        <w:rPr>
          <w:rFonts w:ascii="Arial" w:hAnsi="Arial" w:cs="Arial"/>
          <w:color w:val="E30918"/>
          <w:sz w:val="24"/>
          <w:szCs w:val="24"/>
          <w:shd w:val="clear" w:color="auto" w:fill="FFFFFF"/>
        </w:rPr>
        <w:fldChar w:fldCharType="begin"/>
      </w:r>
      <w:r w:rsidRPr="00DE7D07">
        <w:rPr>
          <w:rFonts w:ascii="Arial" w:hAnsi="Arial" w:cs="Arial"/>
          <w:color w:val="E30918"/>
          <w:sz w:val="24"/>
          <w:szCs w:val="24"/>
          <w:shd w:val="clear" w:color="auto" w:fill="FFFFFF"/>
        </w:rPr>
        <w:instrText xml:space="preserve"> REF _Ref20481014 \h  \* MERGEFORMAT </w:instrText>
      </w:r>
      <w:r w:rsidRPr="00DE7D07">
        <w:rPr>
          <w:rFonts w:ascii="Arial" w:hAnsi="Arial" w:cs="Arial"/>
          <w:color w:val="E30918"/>
          <w:sz w:val="24"/>
          <w:szCs w:val="24"/>
          <w:shd w:val="clear" w:color="auto" w:fill="FFFFFF"/>
        </w:rPr>
      </w:r>
      <w:r w:rsidRPr="00DE7D07">
        <w:rPr>
          <w:rFonts w:ascii="Arial" w:hAnsi="Arial" w:cs="Arial"/>
          <w:color w:val="E30918"/>
          <w:sz w:val="24"/>
          <w:szCs w:val="24"/>
          <w:shd w:val="clear" w:color="auto" w:fill="FFFFFF"/>
        </w:rPr>
        <w:fldChar w:fldCharType="separate"/>
      </w:r>
      <w:r w:rsidR="009116E5" w:rsidRPr="00DE7D07">
        <w:rPr>
          <w:rFonts w:ascii="Arial" w:hAnsi="Arial" w:cs="Arial"/>
          <w:color w:val="E30918"/>
          <w:sz w:val="24"/>
          <w:szCs w:val="24"/>
        </w:rPr>
        <w:t>3.0 Procedure</w:t>
      </w:r>
      <w:r w:rsidRPr="00DE7D07">
        <w:rPr>
          <w:rFonts w:ascii="Arial" w:hAnsi="Arial" w:cs="Arial"/>
          <w:color w:val="E30918"/>
          <w:sz w:val="24"/>
          <w:szCs w:val="24"/>
          <w:shd w:val="clear" w:color="auto" w:fill="FFFFFF"/>
        </w:rPr>
        <w:fldChar w:fldCharType="end"/>
      </w:r>
    </w:p>
    <w:p w14:paraId="3470AFD7" w14:textId="35F8D2BD" w:rsidR="009321D2" w:rsidRPr="00DE7D07" w:rsidRDefault="003137DF" w:rsidP="00DE7D07">
      <w:pPr>
        <w:spacing w:after="0" w:line="240" w:lineRule="auto"/>
        <w:ind w:left="284"/>
        <w:rPr>
          <w:rFonts w:ascii="Arial" w:hAnsi="Arial" w:cs="Arial"/>
          <w:color w:val="E30918"/>
          <w:sz w:val="24"/>
          <w:szCs w:val="24"/>
          <w:shd w:val="clear" w:color="auto" w:fill="FFFFFF"/>
        </w:rPr>
      </w:pPr>
      <w:hyperlink w:anchor="Approval_of_student_services" w:history="1">
        <w:r w:rsidR="00B57117" w:rsidRPr="00DE7D07">
          <w:rPr>
            <w:rStyle w:val="Hyperlink"/>
            <w:rFonts w:ascii="Arial" w:hAnsi="Arial" w:cs="Arial"/>
            <w:sz w:val="24"/>
            <w:szCs w:val="24"/>
            <w:u w:val="none"/>
            <w:shd w:val="clear" w:color="auto" w:fill="FFFFFF"/>
          </w:rPr>
          <w:t xml:space="preserve">3.1 </w:t>
        </w:r>
        <w:r w:rsidR="00782898" w:rsidRPr="00DE7D07">
          <w:rPr>
            <w:rStyle w:val="Hyperlink"/>
            <w:rFonts w:ascii="Arial" w:hAnsi="Arial" w:cs="Arial"/>
            <w:sz w:val="24"/>
            <w:szCs w:val="24"/>
            <w:u w:val="none"/>
            <w:shd w:val="clear" w:color="auto" w:fill="FFFFFF"/>
          </w:rPr>
          <w:t>Approval of target band for commencing and continuing fees</w:t>
        </w:r>
      </w:hyperlink>
      <w:r w:rsidR="009116E5" w:rsidRPr="00DE7D07">
        <w:rPr>
          <w:rStyle w:val="Hyperlink"/>
          <w:rFonts w:ascii="Arial" w:hAnsi="Arial" w:cs="Arial"/>
          <w:sz w:val="24"/>
          <w:szCs w:val="24"/>
          <w:u w:val="none"/>
          <w:shd w:val="clear" w:color="auto" w:fill="FFFFFF"/>
        </w:rPr>
        <w:t xml:space="preserve"> </w:t>
      </w:r>
      <w:r w:rsidR="009116E5" w:rsidRPr="00DE7D07">
        <w:rPr>
          <w:rFonts w:ascii="Arial" w:hAnsi="Arial" w:cs="Arial"/>
          <w:color w:val="E30918"/>
          <w:sz w:val="24"/>
          <w:szCs w:val="24"/>
          <w:shd w:val="clear" w:color="auto" w:fill="FFFFFF"/>
        </w:rPr>
        <w:t xml:space="preserve">I </w:t>
      </w:r>
      <w:hyperlink w:anchor="Approval_of_student_services" w:history="1">
        <w:r w:rsidR="00B57117" w:rsidRPr="00DE7D07">
          <w:rPr>
            <w:rStyle w:val="Hyperlink"/>
            <w:rFonts w:ascii="Arial" w:hAnsi="Arial" w:cs="Arial"/>
            <w:sz w:val="24"/>
            <w:szCs w:val="24"/>
            <w:u w:val="none"/>
            <w:shd w:val="clear" w:color="auto" w:fill="FFFFFF"/>
          </w:rPr>
          <w:t xml:space="preserve">3.2 </w:t>
        </w:r>
        <w:r w:rsidR="0079547D" w:rsidRPr="00DE7D07">
          <w:rPr>
            <w:rStyle w:val="Hyperlink"/>
            <w:rFonts w:ascii="Arial" w:hAnsi="Arial" w:cs="Arial"/>
            <w:sz w:val="24"/>
            <w:szCs w:val="24"/>
            <w:u w:val="none"/>
            <w:shd w:val="clear" w:color="auto" w:fill="FFFFFF"/>
          </w:rPr>
          <w:t>Approval of Student Services and Amenities Fee</w:t>
        </w:r>
      </w:hyperlink>
    </w:p>
    <w:p w14:paraId="0937B41E" w14:textId="09B90B34" w:rsidR="00D86177" w:rsidRPr="00DE7D07" w:rsidRDefault="003137DF" w:rsidP="00DE7D07">
      <w:pPr>
        <w:spacing w:after="0" w:line="240" w:lineRule="auto"/>
        <w:rPr>
          <w:rStyle w:val="Hyperlink"/>
          <w:rFonts w:ascii="Arial" w:hAnsi="Arial" w:cs="Arial"/>
          <w:sz w:val="24"/>
          <w:szCs w:val="24"/>
          <w:u w:val="none"/>
        </w:rPr>
      </w:pPr>
      <w:hyperlink w:anchor="_4.0_Definitions" w:history="1">
        <w:r w:rsidR="00D86177" w:rsidRPr="00DE7D07">
          <w:rPr>
            <w:rStyle w:val="Hyperlink"/>
            <w:rFonts w:ascii="Arial" w:hAnsi="Arial" w:cs="Arial"/>
            <w:sz w:val="24"/>
            <w:szCs w:val="24"/>
            <w:u w:val="none"/>
          </w:rPr>
          <w:t>4.0 D</w:t>
        </w:r>
        <w:r w:rsidR="00D86177" w:rsidRPr="00DE7D07">
          <w:rPr>
            <w:rStyle w:val="Hyperlink"/>
            <w:rFonts w:ascii="Arial" w:hAnsi="Arial" w:cs="Arial"/>
            <w:sz w:val="24"/>
            <w:szCs w:val="24"/>
            <w:u w:val="none"/>
          </w:rPr>
          <w:t>e</w:t>
        </w:r>
        <w:r w:rsidR="00D86177" w:rsidRPr="00DE7D07">
          <w:rPr>
            <w:rStyle w:val="Hyperlink"/>
            <w:rFonts w:ascii="Arial" w:hAnsi="Arial" w:cs="Arial"/>
            <w:sz w:val="24"/>
            <w:szCs w:val="24"/>
            <w:u w:val="none"/>
          </w:rPr>
          <w:t>finitions</w:t>
        </w:r>
      </w:hyperlink>
    </w:p>
    <w:p w14:paraId="0A14BBD5" w14:textId="10803BF0" w:rsidR="00DE7D07" w:rsidRPr="00621342" w:rsidRDefault="00621342" w:rsidP="00DE7D07">
      <w:pPr>
        <w:spacing w:after="0" w:line="240" w:lineRule="auto"/>
        <w:rPr>
          <w:rStyle w:val="Hyperlink"/>
          <w:rFonts w:ascii="Arial" w:hAnsi="Arial" w:cs="Arial"/>
          <w:sz w:val="24"/>
          <w:szCs w:val="24"/>
          <w:u w:val="none"/>
        </w:rPr>
      </w:pPr>
      <w:hyperlink w:anchor="_5.0_Information" w:history="1">
        <w:r w:rsidR="00DE7D07" w:rsidRPr="00621342">
          <w:rPr>
            <w:rStyle w:val="Hyperlink"/>
            <w:rFonts w:ascii="Arial" w:hAnsi="Arial" w:cs="Arial"/>
            <w:sz w:val="24"/>
            <w:szCs w:val="24"/>
            <w:u w:val="none"/>
          </w:rPr>
          <w:t>5.0 Info</w:t>
        </w:r>
        <w:r w:rsidR="00DE7D07" w:rsidRPr="00621342">
          <w:rPr>
            <w:rStyle w:val="Hyperlink"/>
            <w:rFonts w:ascii="Arial" w:hAnsi="Arial" w:cs="Arial"/>
            <w:sz w:val="24"/>
            <w:szCs w:val="24"/>
            <w:u w:val="none"/>
          </w:rPr>
          <w:t>r</w:t>
        </w:r>
        <w:r w:rsidR="00DE7D07" w:rsidRPr="00621342">
          <w:rPr>
            <w:rStyle w:val="Hyperlink"/>
            <w:rFonts w:ascii="Arial" w:hAnsi="Arial" w:cs="Arial"/>
            <w:sz w:val="24"/>
            <w:szCs w:val="24"/>
            <w:u w:val="none"/>
          </w:rPr>
          <w:t>mation</w:t>
        </w:r>
      </w:hyperlink>
    </w:p>
    <w:p w14:paraId="0CAD46FF" w14:textId="3B4AAC8B" w:rsidR="00DE7D07" w:rsidRPr="00621342" w:rsidRDefault="00621342" w:rsidP="00DE7D07">
      <w:pPr>
        <w:spacing w:after="0" w:line="240" w:lineRule="auto"/>
        <w:rPr>
          <w:rFonts w:ascii="Arial" w:hAnsi="Arial" w:cs="Arial"/>
          <w:color w:val="E30918"/>
          <w:sz w:val="24"/>
          <w:szCs w:val="24"/>
        </w:rPr>
      </w:pPr>
      <w:hyperlink w:anchor="_6.0_Related_Policy" w:history="1">
        <w:r w:rsidR="00DE7D07" w:rsidRPr="00621342">
          <w:rPr>
            <w:rStyle w:val="Hyperlink"/>
            <w:rFonts w:ascii="Arial" w:hAnsi="Arial" w:cs="Arial"/>
            <w:sz w:val="24"/>
            <w:szCs w:val="24"/>
            <w:u w:val="none"/>
          </w:rPr>
          <w:t>6.0 Related pol</w:t>
        </w:r>
        <w:r w:rsidR="00DE7D07" w:rsidRPr="00621342">
          <w:rPr>
            <w:rStyle w:val="Hyperlink"/>
            <w:rFonts w:ascii="Arial" w:hAnsi="Arial" w:cs="Arial"/>
            <w:sz w:val="24"/>
            <w:szCs w:val="24"/>
            <w:u w:val="none"/>
          </w:rPr>
          <w:t>i</w:t>
        </w:r>
        <w:r w:rsidR="00DE7D07" w:rsidRPr="00621342">
          <w:rPr>
            <w:rStyle w:val="Hyperlink"/>
            <w:rFonts w:ascii="Arial" w:hAnsi="Arial" w:cs="Arial"/>
            <w:sz w:val="24"/>
            <w:szCs w:val="24"/>
            <w:u w:val="none"/>
          </w:rPr>
          <w:t>cy documents and supporting documents</w:t>
        </w:r>
      </w:hyperlink>
    </w:p>
    <w:p w14:paraId="2E800012" w14:textId="1BD2C619" w:rsidR="00BC55CF" w:rsidRPr="00DE7D07" w:rsidRDefault="00BC55CF" w:rsidP="00DE7D07">
      <w:pPr>
        <w:pStyle w:val="Heading2"/>
        <w:spacing w:before="120" w:line="240" w:lineRule="auto"/>
        <w:ind w:left="426" w:hanging="426"/>
        <w:rPr>
          <w:rFonts w:ascii="Arial" w:hAnsi="Arial" w:cs="Arial"/>
          <w:b/>
          <w:bCs/>
          <w:sz w:val="32"/>
          <w:szCs w:val="32"/>
          <w:shd w:val="clear" w:color="auto" w:fill="FFFFFF"/>
        </w:rPr>
      </w:pPr>
      <w:bookmarkStart w:id="3" w:name="_Ref20480964"/>
      <w:r w:rsidRPr="00DE7D07">
        <w:rPr>
          <w:rFonts w:ascii="Arial" w:hAnsi="Arial" w:cs="Arial"/>
          <w:b/>
          <w:bCs/>
          <w:sz w:val="32"/>
          <w:szCs w:val="32"/>
          <w:shd w:val="clear" w:color="auto" w:fill="FFFFFF"/>
        </w:rPr>
        <w:t>1.0 Purpose</w:t>
      </w:r>
      <w:bookmarkEnd w:id="0"/>
      <w:bookmarkEnd w:id="1"/>
      <w:bookmarkEnd w:id="2"/>
      <w:bookmarkEnd w:id="3"/>
    </w:p>
    <w:p w14:paraId="5926FD73" w14:textId="090F7FB4" w:rsidR="00311F29" w:rsidRPr="00DE7D07" w:rsidRDefault="00C50D57" w:rsidP="00DE7D07">
      <w:pPr>
        <w:pStyle w:val="NormalWhite"/>
        <w:spacing w:before="120" w:after="120" w:line="240" w:lineRule="auto"/>
        <w:rPr>
          <w:rFonts w:ascii="Arial" w:hAnsi="Arial" w:cs="Arial"/>
          <w:color w:val="000000" w:themeColor="text1"/>
          <w:sz w:val="22"/>
        </w:rPr>
      </w:pPr>
      <w:bookmarkStart w:id="4" w:name="_Ref20318879"/>
      <w:bookmarkStart w:id="5" w:name="_Ref20411801"/>
      <w:r w:rsidRPr="00DE7D07">
        <w:rPr>
          <w:rStyle w:val="normaltextrun"/>
          <w:rFonts w:ascii="Arial" w:hAnsi="Arial" w:cs="Arial"/>
          <w:color w:val="000000"/>
          <w:sz w:val="22"/>
          <w:shd w:val="clear" w:color="auto" w:fill="FFFFFF"/>
        </w:rPr>
        <w:t>This procedure describes the process for the review and approval of tuition fees that Griffith can determine itself (including the Student Services and Amenities Fee) and scholarships which are tuition fee reductions.</w:t>
      </w:r>
      <w:r w:rsidRPr="00DE7D07">
        <w:rPr>
          <w:rStyle w:val="eop"/>
          <w:rFonts w:ascii="Arial" w:hAnsi="Arial" w:cs="Arial"/>
          <w:color w:val="000000"/>
          <w:sz w:val="22"/>
          <w:shd w:val="clear" w:color="auto" w:fill="FFFFFF"/>
        </w:rPr>
        <w:t> </w:t>
      </w:r>
    </w:p>
    <w:p w14:paraId="65297E40" w14:textId="46355ACA" w:rsidR="00F97A5A" w:rsidRPr="00DE7D07" w:rsidRDefault="007706AB" w:rsidP="00DE7D07">
      <w:pPr>
        <w:pStyle w:val="Heading2"/>
        <w:spacing w:before="120" w:line="240" w:lineRule="auto"/>
        <w:ind w:left="426" w:hanging="426"/>
        <w:rPr>
          <w:rFonts w:ascii="Arial" w:hAnsi="Arial" w:cs="Arial"/>
          <w:b/>
          <w:bCs/>
          <w:sz w:val="32"/>
          <w:szCs w:val="32"/>
          <w:shd w:val="clear" w:color="auto" w:fill="FFFFFF"/>
        </w:rPr>
      </w:pPr>
      <w:bookmarkStart w:id="6" w:name="_Ref20480989"/>
      <w:r w:rsidRPr="00DE7D07">
        <w:rPr>
          <w:rFonts w:ascii="Arial" w:hAnsi="Arial" w:cs="Arial"/>
          <w:b/>
          <w:bCs/>
          <w:sz w:val="32"/>
          <w:szCs w:val="32"/>
          <w:shd w:val="clear" w:color="auto" w:fill="FFFFFF"/>
        </w:rPr>
        <w:t xml:space="preserve">2.0 </w:t>
      </w:r>
      <w:r w:rsidR="00F97A5A" w:rsidRPr="00DE7D07">
        <w:rPr>
          <w:rFonts w:ascii="Arial" w:hAnsi="Arial" w:cs="Arial"/>
          <w:b/>
          <w:bCs/>
          <w:sz w:val="32"/>
          <w:szCs w:val="32"/>
          <w:shd w:val="clear" w:color="auto" w:fill="FFFFFF"/>
        </w:rPr>
        <w:t>Scope</w:t>
      </w:r>
      <w:bookmarkEnd w:id="4"/>
      <w:bookmarkEnd w:id="5"/>
      <w:bookmarkEnd w:id="6"/>
    </w:p>
    <w:p w14:paraId="2F7B9C53" w14:textId="6B77E92C" w:rsidR="00311F29" w:rsidRPr="00DE7D07" w:rsidRDefault="00346319" w:rsidP="00DE7D07">
      <w:pPr>
        <w:pStyle w:val="NormalWhite"/>
        <w:spacing w:before="120" w:after="120" w:line="240" w:lineRule="auto"/>
        <w:rPr>
          <w:rFonts w:ascii="Arial" w:hAnsi="Arial" w:cs="Arial"/>
          <w:color w:val="000000" w:themeColor="text1"/>
          <w:sz w:val="22"/>
        </w:rPr>
      </w:pPr>
      <w:bookmarkStart w:id="7" w:name="_Ref20318910"/>
      <w:bookmarkStart w:id="8" w:name="_Ref20411814"/>
      <w:r w:rsidRPr="00DE7D07">
        <w:rPr>
          <w:rFonts w:ascii="Arial" w:hAnsi="Arial" w:cs="Arial"/>
          <w:color w:val="auto"/>
          <w:sz w:val="22"/>
        </w:rPr>
        <w:t>This procedure applies to; 1) tuition fees for international students</w:t>
      </w:r>
      <w:r w:rsidR="00D70340" w:rsidRPr="00DE7D07">
        <w:rPr>
          <w:rStyle w:val="FootnoteReference"/>
          <w:rFonts w:ascii="Arial" w:hAnsi="Arial" w:cs="Arial"/>
          <w:color w:val="auto"/>
          <w:sz w:val="22"/>
        </w:rPr>
        <w:footnoteReference w:id="2"/>
      </w:r>
      <w:r w:rsidRPr="00DE7D07">
        <w:rPr>
          <w:rFonts w:ascii="Arial" w:hAnsi="Arial" w:cs="Arial"/>
          <w:color w:val="auto"/>
          <w:sz w:val="22"/>
        </w:rPr>
        <w:t xml:space="preserve">, domestic undergraduate </w:t>
      </w:r>
      <w:proofErr w:type="gramStart"/>
      <w:r w:rsidRPr="00DE7D07">
        <w:rPr>
          <w:rFonts w:ascii="Arial" w:hAnsi="Arial" w:cs="Arial"/>
          <w:color w:val="auto"/>
          <w:sz w:val="22"/>
        </w:rPr>
        <w:t>fee paying</w:t>
      </w:r>
      <w:proofErr w:type="gramEnd"/>
      <w:r w:rsidRPr="00DE7D07">
        <w:rPr>
          <w:rFonts w:ascii="Arial" w:hAnsi="Arial" w:cs="Arial"/>
          <w:color w:val="auto"/>
          <w:sz w:val="22"/>
        </w:rPr>
        <w:t xml:space="preserve"> students, domestic postgraduate </w:t>
      </w:r>
      <w:r w:rsidR="00081C36" w:rsidRPr="00DE7D07">
        <w:rPr>
          <w:rFonts w:ascii="Arial" w:hAnsi="Arial" w:cs="Arial"/>
          <w:color w:val="auto"/>
          <w:sz w:val="22"/>
        </w:rPr>
        <w:t xml:space="preserve">and HDR </w:t>
      </w:r>
      <w:r w:rsidRPr="00DE7D07">
        <w:rPr>
          <w:rFonts w:ascii="Arial" w:hAnsi="Arial" w:cs="Arial"/>
          <w:color w:val="auto"/>
          <w:sz w:val="22"/>
        </w:rPr>
        <w:t xml:space="preserve">fee paying students, Study Abroad students and non-award and continuing education students; 2) the Student Services and Amenities fee; and </w:t>
      </w:r>
      <w:r w:rsidR="00FC4934" w:rsidRPr="00DE7D07">
        <w:rPr>
          <w:rFonts w:ascii="Arial" w:hAnsi="Arial" w:cs="Arial"/>
          <w:color w:val="auto"/>
          <w:sz w:val="22"/>
        </w:rPr>
        <w:t>3</w:t>
      </w:r>
      <w:r w:rsidRPr="00DE7D07">
        <w:rPr>
          <w:rFonts w:ascii="Arial" w:hAnsi="Arial" w:cs="Arial"/>
          <w:color w:val="auto"/>
          <w:sz w:val="22"/>
        </w:rPr>
        <w:t>) scholarships which are tuition fee reductions for full fee paying student</w:t>
      </w:r>
      <w:r w:rsidR="00D70340" w:rsidRPr="00DE7D07">
        <w:rPr>
          <w:rFonts w:ascii="Arial" w:hAnsi="Arial" w:cs="Arial"/>
          <w:color w:val="auto"/>
          <w:sz w:val="22"/>
        </w:rPr>
        <w:t>s.</w:t>
      </w:r>
      <w:r w:rsidR="00B3790C" w:rsidRPr="00DE7D07">
        <w:rPr>
          <w:rStyle w:val="FootnoteReference"/>
          <w:rFonts w:ascii="Arial" w:hAnsi="Arial" w:cs="Arial"/>
          <w:color w:val="auto"/>
          <w:sz w:val="22"/>
        </w:rPr>
        <w:footnoteReference w:id="3"/>
      </w:r>
    </w:p>
    <w:p w14:paraId="2A5FC1C5" w14:textId="7C86AA8A" w:rsidR="00D8344C" w:rsidRPr="00DE7D07" w:rsidRDefault="007706AB" w:rsidP="00DE7D07">
      <w:pPr>
        <w:pStyle w:val="Heading2"/>
        <w:spacing w:before="120" w:line="240" w:lineRule="auto"/>
        <w:ind w:left="426" w:hanging="426"/>
        <w:rPr>
          <w:rFonts w:ascii="Arial" w:hAnsi="Arial" w:cs="Arial"/>
          <w:b/>
          <w:bCs/>
          <w:sz w:val="32"/>
          <w:szCs w:val="32"/>
          <w:shd w:val="clear" w:color="auto" w:fill="FFFFFF"/>
        </w:rPr>
      </w:pPr>
      <w:bookmarkStart w:id="9" w:name="_Ref20481014"/>
      <w:r w:rsidRPr="00DE7D07">
        <w:rPr>
          <w:rFonts w:ascii="Arial" w:hAnsi="Arial" w:cs="Arial"/>
          <w:b/>
          <w:bCs/>
          <w:sz w:val="32"/>
          <w:szCs w:val="32"/>
          <w:shd w:val="clear" w:color="auto" w:fill="FFFFFF"/>
        </w:rPr>
        <w:t xml:space="preserve">3.0 </w:t>
      </w:r>
      <w:r w:rsidR="00C91165" w:rsidRPr="00DE7D07">
        <w:rPr>
          <w:rFonts w:ascii="Arial" w:hAnsi="Arial" w:cs="Arial"/>
          <w:b/>
          <w:bCs/>
          <w:sz w:val="32"/>
          <w:szCs w:val="32"/>
          <w:shd w:val="clear" w:color="auto" w:fill="FFFFFF"/>
        </w:rPr>
        <w:t>P</w:t>
      </w:r>
      <w:bookmarkEnd w:id="7"/>
      <w:r w:rsidR="00A71AD8" w:rsidRPr="00DE7D07">
        <w:rPr>
          <w:rFonts w:ascii="Arial" w:hAnsi="Arial" w:cs="Arial"/>
          <w:b/>
          <w:bCs/>
          <w:sz w:val="32"/>
          <w:szCs w:val="32"/>
          <w:shd w:val="clear" w:color="auto" w:fill="FFFFFF"/>
        </w:rPr>
        <w:t>rocedure</w:t>
      </w:r>
      <w:bookmarkEnd w:id="8"/>
      <w:bookmarkEnd w:id="9"/>
    </w:p>
    <w:p w14:paraId="4194DF3C" w14:textId="33FCCD4A" w:rsidR="00754B45" w:rsidRPr="00DE7D07" w:rsidRDefault="00754B45" w:rsidP="00DE7D07">
      <w:pPr>
        <w:pStyle w:val="NormalWhite"/>
        <w:spacing w:before="120" w:after="120" w:line="240" w:lineRule="auto"/>
        <w:rPr>
          <w:rFonts w:ascii="Arial" w:hAnsi="Arial" w:cs="Arial"/>
          <w:color w:val="auto"/>
          <w:sz w:val="22"/>
        </w:rPr>
      </w:pPr>
      <w:r w:rsidRPr="00DE7D07">
        <w:rPr>
          <w:rFonts w:ascii="Arial" w:hAnsi="Arial" w:cs="Arial"/>
          <w:color w:val="auto"/>
          <w:sz w:val="22"/>
        </w:rPr>
        <w:t xml:space="preserve">Griffith’s approach to reviewing and approving tuition fees and tuition fee reductions is guided by the below principles: </w:t>
      </w:r>
    </w:p>
    <w:p w14:paraId="757C284B" w14:textId="155EB376" w:rsidR="00754B45" w:rsidRPr="00DE7D07" w:rsidRDefault="00754B45" w:rsidP="00DE7D07">
      <w:pPr>
        <w:pStyle w:val="BulletPoints"/>
        <w:spacing w:before="120" w:after="120" w:line="240" w:lineRule="auto"/>
        <w:ind w:left="567" w:hanging="283"/>
        <w:rPr>
          <w:rFonts w:cs="Arial"/>
          <w:sz w:val="22"/>
        </w:rPr>
      </w:pPr>
      <w:r w:rsidRPr="00DE7D07">
        <w:rPr>
          <w:rFonts w:cs="Arial"/>
          <w:sz w:val="22"/>
        </w:rPr>
        <w:t xml:space="preserve">Griffith uses pricing in a manner that aligns with its strategy and </w:t>
      </w:r>
      <w:proofErr w:type="gramStart"/>
      <w:r w:rsidRPr="00DE7D07">
        <w:rPr>
          <w:rFonts w:cs="Arial"/>
          <w:sz w:val="22"/>
        </w:rPr>
        <w:t>values, and</w:t>
      </w:r>
      <w:proofErr w:type="gramEnd"/>
      <w:r w:rsidRPr="00DE7D07">
        <w:rPr>
          <w:rFonts w:cs="Arial"/>
          <w:sz w:val="22"/>
        </w:rPr>
        <w:t xml:space="preserve"> ensures that its tuition fees reflect value delivered to students.  </w:t>
      </w:r>
    </w:p>
    <w:p w14:paraId="48B92415" w14:textId="6D1766B8" w:rsidR="00754B45" w:rsidRPr="00DE7D07" w:rsidRDefault="00754B45" w:rsidP="00DE7D07">
      <w:pPr>
        <w:pStyle w:val="BulletPoints"/>
        <w:spacing w:before="120" w:after="120" w:line="240" w:lineRule="auto"/>
        <w:ind w:left="567" w:hanging="283"/>
        <w:rPr>
          <w:rFonts w:cs="Arial"/>
          <w:sz w:val="22"/>
        </w:rPr>
      </w:pPr>
      <w:r w:rsidRPr="00DE7D07">
        <w:rPr>
          <w:rFonts w:cs="Arial"/>
          <w:sz w:val="22"/>
        </w:rPr>
        <w:t xml:space="preserve">Griffith strategically uses pricing to achieve the desired market position for a program and ensure financial sustainability for the university. </w:t>
      </w:r>
    </w:p>
    <w:p w14:paraId="01AA1CFD" w14:textId="35CC8B2B" w:rsidR="00754B45" w:rsidRPr="00DE7D07" w:rsidRDefault="00754B45" w:rsidP="00DE7D07">
      <w:pPr>
        <w:pStyle w:val="BulletPoints"/>
        <w:spacing w:before="120" w:after="120" w:line="240" w:lineRule="auto"/>
        <w:ind w:left="567" w:hanging="283"/>
        <w:rPr>
          <w:rFonts w:cs="Arial"/>
          <w:sz w:val="22"/>
        </w:rPr>
      </w:pPr>
      <w:r w:rsidRPr="00DE7D07">
        <w:rPr>
          <w:rFonts w:cs="Arial"/>
          <w:sz w:val="22"/>
        </w:rPr>
        <w:t xml:space="preserve">Griffith complements its pricing approach with scholarships and tuition fee reductions that ensure broader recruitment objectives (for example, diversity of students). </w:t>
      </w:r>
    </w:p>
    <w:p w14:paraId="39080B56" w14:textId="77777777" w:rsidR="003B5483" w:rsidRPr="00DE7D07" w:rsidRDefault="00754B45" w:rsidP="00DE7D07">
      <w:pPr>
        <w:pStyle w:val="BulletPoints"/>
        <w:spacing w:before="120" w:after="120" w:line="240" w:lineRule="auto"/>
        <w:ind w:left="567" w:hanging="283"/>
        <w:rPr>
          <w:rFonts w:cs="Arial"/>
          <w:sz w:val="22"/>
        </w:rPr>
      </w:pPr>
      <w:r w:rsidRPr="00DE7D07">
        <w:rPr>
          <w:rFonts w:cs="Arial"/>
          <w:sz w:val="22"/>
        </w:rPr>
        <w:t xml:space="preserve">Griffith complies with all relevant legislative requirements, regulatory </w:t>
      </w:r>
      <w:proofErr w:type="gramStart"/>
      <w:r w:rsidRPr="00DE7D07">
        <w:rPr>
          <w:rFonts w:cs="Arial"/>
          <w:sz w:val="22"/>
        </w:rPr>
        <w:t>requirements</w:t>
      </w:r>
      <w:proofErr w:type="gramEnd"/>
      <w:r w:rsidRPr="00DE7D07">
        <w:rPr>
          <w:rFonts w:cs="Arial"/>
          <w:sz w:val="22"/>
        </w:rPr>
        <w:t xml:space="preserve"> and standards, for example, those set out in the Higher Education Support Act, the Higher Standards Framework and the Education Services for Overseas Students Act. </w:t>
      </w:r>
    </w:p>
    <w:p w14:paraId="52004387" w14:textId="02BD4E1D" w:rsidR="00DF3959" w:rsidRPr="00DE7D07" w:rsidRDefault="00305C35" w:rsidP="00DE7D07">
      <w:pPr>
        <w:pStyle w:val="Heading3"/>
        <w:spacing w:before="120" w:after="120"/>
        <w:ind w:left="567" w:firstLine="0"/>
        <w:rPr>
          <w:rFonts w:ascii="Arial" w:hAnsi="Arial" w:cs="Arial"/>
          <w:b/>
          <w:bCs/>
          <w:sz w:val="28"/>
          <w:szCs w:val="28"/>
        </w:rPr>
      </w:pPr>
      <w:r w:rsidRPr="00DE7D07">
        <w:rPr>
          <w:rFonts w:ascii="Arial" w:hAnsi="Arial" w:cs="Arial"/>
          <w:b/>
          <w:bCs/>
          <w:sz w:val="28"/>
          <w:szCs w:val="28"/>
        </w:rPr>
        <w:t xml:space="preserve">3.1 </w:t>
      </w:r>
      <w:bookmarkStart w:id="10" w:name="Approval_of_target_band"/>
      <w:r w:rsidR="00782898" w:rsidRPr="00DE7D07">
        <w:rPr>
          <w:rFonts w:ascii="Arial" w:hAnsi="Arial" w:cs="Arial"/>
          <w:b/>
          <w:bCs/>
          <w:sz w:val="28"/>
          <w:szCs w:val="28"/>
        </w:rPr>
        <w:t xml:space="preserve">Approval of target band </w:t>
      </w:r>
      <w:bookmarkEnd w:id="10"/>
      <w:r w:rsidR="00782898" w:rsidRPr="00DE7D07">
        <w:rPr>
          <w:rFonts w:ascii="Arial" w:hAnsi="Arial" w:cs="Arial"/>
          <w:b/>
          <w:bCs/>
          <w:sz w:val="28"/>
          <w:szCs w:val="28"/>
        </w:rPr>
        <w:t>for commencing and continuing fees</w:t>
      </w:r>
    </w:p>
    <w:p w14:paraId="5B374FE0" w14:textId="45C9F1AC" w:rsidR="003A2D9C" w:rsidRPr="00DE7D07" w:rsidRDefault="00F5751B" w:rsidP="00DE7D07">
      <w:pPr>
        <w:pStyle w:val="Heading4"/>
        <w:spacing w:before="120"/>
        <w:ind w:left="851" w:firstLine="0"/>
        <w:jc w:val="left"/>
        <w:rPr>
          <w:rFonts w:ascii="Arial" w:hAnsi="Arial"/>
          <w:sz w:val="22"/>
        </w:rPr>
      </w:pPr>
      <w:bookmarkStart w:id="11" w:name="_Ref20320710"/>
      <w:r w:rsidRPr="00DE7D07">
        <w:rPr>
          <w:rFonts w:ascii="Arial" w:hAnsi="Arial"/>
          <w:sz w:val="22"/>
        </w:rPr>
        <w:t xml:space="preserve">3.1.1 </w:t>
      </w:r>
      <w:r w:rsidR="00D4735F" w:rsidRPr="00DE7D07">
        <w:rPr>
          <w:rFonts w:ascii="Arial" w:hAnsi="Arial"/>
          <w:sz w:val="22"/>
        </w:rPr>
        <w:t xml:space="preserve">Approval </w:t>
      </w:r>
      <w:r w:rsidR="003A2D9C" w:rsidRPr="00DE7D07">
        <w:rPr>
          <w:rFonts w:ascii="Arial" w:hAnsi="Arial"/>
          <w:sz w:val="22"/>
        </w:rPr>
        <w:t>of target band for commencing and continuing fees</w:t>
      </w:r>
    </w:p>
    <w:p w14:paraId="023E2D1D" w14:textId="39211306" w:rsidR="005C7CF8" w:rsidRPr="00DE7D07" w:rsidRDefault="005C7CF8" w:rsidP="00DE7D07">
      <w:pPr>
        <w:spacing w:before="120" w:after="120" w:line="240" w:lineRule="auto"/>
        <w:ind w:left="851"/>
        <w:rPr>
          <w:rFonts w:ascii="Arial" w:hAnsi="Arial" w:cs="Arial"/>
          <w:sz w:val="22"/>
        </w:rPr>
      </w:pPr>
      <w:r w:rsidRPr="00DE7D07">
        <w:rPr>
          <w:rFonts w:ascii="Arial" w:hAnsi="Arial" w:cs="Arial"/>
          <w:sz w:val="22"/>
        </w:rPr>
        <w:t>Finance recommend</w:t>
      </w:r>
      <w:r w:rsidR="004E39C2" w:rsidRPr="00DE7D07">
        <w:rPr>
          <w:rFonts w:ascii="Arial" w:hAnsi="Arial" w:cs="Arial"/>
          <w:sz w:val="22"/>
        </w:rPr>
        <w:t>s</w:t>
      </w:r>
      <w:r w:rsidRPr="00DE7D07">
        <w:rPr>
          <w:rFonts w:ascii="Arial" w:hAnsi="Arial" w:cs="Arial"/>
          <w:sz w:val="22"/>
        </w:rPr>
        <w:t xml:space="preserve"> to Executive Group: </w:t>
      </w:r>
    </w:p>
    <w:p w14:paraId="014DBD22" w14:textId="2E08148F" w:rsidR="00924275" w:rsidRPr="00DE7D07" w:rsidRDefault="005C7CF8" w:rsidP="00DE7D07">
      <w:pPr>
        <w:pStyle w:val="NormalWhite"/>
        <w:numPr>
          <w:ilvl w:val="0"/>
          <w:numId w:val="3"/>
        </w:numPr>
        <w:spacing w:before="120" w:after="120" w:line="240" w:lineRule="auto"/>
        <w:ind w:left="1134" w:hanging="283"/>
        <w:rPr>
          <w:rFonts w:ascii="Arial" w:hAnsi="Arial" w:cs="Arial"/>
          <w:color w:val="000000" w:themeColor="text1"/>
          <w:sz w:val="22"/>
        </w:rPr>
      </w:pPr>
      <w:r w:rsidRPr="00DE7D07">
        <w:rPr>
          <w:rFonts w:ascii="Arial" w:hAnsi="Arial" w:cs="Arial"/>
          <w:color w:val="000000" w:themeColor="text1"/>
          <w:sz w:val="22"/>
        </w:rPr>
        <w:lastRenderedPageBreak/>
        <w:t>a target band for the fee increases for commencing international students</w:t>
      </w:r>
      <w:r w:rsidR="00081C36" w:rsidRPr="00DE7D07">
        <w:rPr>
          <w:rStyle w:val="FootnoteReference"/>
          <w:rFonts w:ascii="Arial" w:hAnsi="Arial" w:cs="Arial"/>
          <w:color w:val="auto"/>
          <w:sz w:val="22"/>
        </w:rPr>
        <w:footnoteReference w:id="4"/>
      </w:r>
      <w:r w:rsidRPr="00DE7D07">
        <w:rPr>
          <w:rFonts w:ascii="Arial" w:hAnsi="Arial" w:cs="Arial"/>
          <w:color w:val="000000" w:themeColor="text1"/>
          <w:sz w:val="22"/>
        </w:rPr>
        <w:t xml:space="preserve"> and commencing domestic postgraduate </w:t>
      </w:r>
      <w:r w:rsidR="00081C36" w:rsidRPr="00DE7D07">
        <w:rPr>
          <w:rFonts w:ascii="Arial" w:hAnsi="Arial" w:cs="Arial"/>
          <w:color w:val="000000" w:themeColor="text1"/>
          <w:sz w:val="22"/>
        </w:rPr>
        <w:t xml:space="preserve">and HDR </w:t>
      </w:r>
      <w:r w:rsidRPr="00DE7D07">
        <w:rPr>
          <w:rFonts w:ascii="Arial" w:hAnsi="Arial" w:cs="Arial"/>
          <w:color w:val="000000" w:themeColor="text1"/>
          <w:sz w:val="22"/>
        </w:rPr>
        <w:t xml:space="preserve">fee paying </w:t>
      </w:r>
      <w:proofErr w:type="gramStart"/>
      <w:r w:rsidRPr="00DE7D07">
        <w:rPr>
          <w:rFonts w:ascii="Arial" w:hAnsi="Arial" w:cs="Arial"/>
          <w:color w:val="000000" w:themeColor="text1"/>
          <w:sz w:val="22"/>
        </w:rPr>
        <w:t>students</w:t>
      </w:r>
      <w:r w:rsidR="00621342">
        <w:rPr>
          <w:rFonts w:ascii="Arial" w:hAnsi="Arial" w:cs="Arial"/>
          <w:color w:val="000000" w:themeColor="text1"/>
          <w:sz w:val="22"/>
        </w:rPr>
        <w:t>;</w:t>
      </w:r>
      <w:proofErr w:type="gramEnd"/>
      <w:r w:rsidRPr="00DE7D07">
        <w:rPr>
          <w:rFonts w:ascii="Arial" w:hAnsi="Arial" w:cs="Arial"/>
          <w:color w:val="000000" w:themeColor="text1"/>
          <w:sz w:val="22"/>
        </w:rPr>
        <w:t xml:space="preserve"> </w:t>
      </w:r>
    </w:p>
    <w:p w14:paraId="43314945" w14:textId="3AC8378E" w:rsidR="00924275" w:rsidRPr="00DE7D07" w:rsidRDefault="005C7CF8" w:rsidP="00DE7D07">
      <w:pPr>
        <w:pStyle w:val="NormalWhite"/>
        <w:numPr>
          <w:ilvl w:val="0"/>
          <w:numId w:val="3"/>
        </w:numPr>
        <w:spacing w:before="120" w:after="120" w:line="240" w:lineRule="auto"/>
        <w:ind w:left="1134" w:hanging="283"/>
        <w:rPr>
          <w:rFonts w:ascii="Arial" w:hAnsi="Arial" w:cs="Arial"/>
          <w:color w:val="000000" w:themeColor="text1"/>
          <w:sz w:val="22"/>
        </w:rPr>
      </w:pPr>
      <w:r w:rsidRPr="00DE7D07">
        <w:rPr>
          <w:rFonts w:ascii="Arial" w:hAnsi="Arial" w:cs="Arial"/>
          <w:color w:val="000000" w:themeColor="text1"/>
          <w:sz w:val="22"/>
        </w:rPr>
        <w:t xml:space="preserve">the fee </w:t>
      </w:r>
      <w:proofErr w:type="gramStart"/>
      <w:r w:rsidRPr="00DE7D07">
        <w:rPr>
          <w:rFonts w:ascii="Arial" w:hAnsi="Arial" w:cs="Arial"/>
          <w:color w:val="000000" w:themeColor="text1"/>
          <w:sz w:val="22"/>
        </w:rPr>
        <w:t>increase</w:t>
      </w:r>
      <w:proofErr w:type="gramEnd"/>
      <w:r w:rsidRPr="00DE7D07">
        <w:rPr>
          <w:rFonts w:ascii="Arial" w:hAnsi="Arial" w:cs="Arial"/>
          <w:color w:val="000000" w:themeColor="text1"/>
          <w:sz w:val="22"/>
        </w:rPr>
        <w:t xml:space="preserve"> for continuing international students and continuing domestic postgraduate </w:t>
      </w:r>
      <w:r w:rsidR="00081C36" w:rsidRPr="00DE7D07">
        <w:rPr>
          <w:rFonts w:ascii="Arial" w:hAnsi="Arial" w:cs="Arial"/>
          <w:color w:val="000000" w:themeColor="text1"/>
          <w:sz w:val="22"/>
        </w:rPr>
        <w:t xml:space="preserve">and HDR </w:t>
      </w:r>
      <w:r w:rsidRPr="00DE7D07">
        <w:rPr>
          <w:rFonts w:ascii="Arial" w:hAnsi="Arial" w:cs="Arial"/>
          <w:color w:val="000000" w:themeColor="text1"/>
          <w:sz w:val="22"/>
        </w:rPr>
        <w:t>fee paying students</w:t>
      </w:r>
      <w:r w:rsidR="00621342">
        <w:rPr>
          <w:rFonts w:ascii="Arial" w:hAnsi="Arial" w:cs="Arial"/>
          <w:color w:val="000000" w:themeColor="text1"/>
          <w:sz w:val="22"/>
        </w:rPr>
        <w:t>;</w:t>
      </w:r>
      <w:r w:rsidRPr="00DE7D07">
        <w:rPr>
          <w:rFonts w:ascii="Arial" w:hAnsi="Arial" w:cs="Arial"/>
          <w:color w:val="000000" w:themeColor="text1"/>
          <w:sz w:val="22"/>
        </w:rPr>
        <w:t xml:space="preserve"> </w:t>
      </w:r>
    </w:p>
    <w:p w14:paraId="144C4A4C" w14:textId="5DB66EDF" w:rsidR="005C7CF8" w:rsidRPr="00DE7D07" w:rsidRDefault="005C7CF8" w:rsidP="00DE7D07">
      <w:pPr>
        <w:pStyle w:val="NormalWhite"/>
        <w:numPr>
          <w:ilvl w:val="0"/>
          <w:numId w:val="3"/>
        </w:numPr>
        <w:spacing w:before="120" w:after="120" w:line="240" w:lineRule="auto"/>
        <w:ind w:left="1134" w:hanging="283"/>
        <w:rPr>
          <w:rFonts w:ascii="Arial" w:hAnsi="Arial" w:cs="Arial"/>
          <w:color w:val="000000" w:themeColor="text1"/>
          <w:sz w:val="22"/>
        </w:rPr>
      </w:pPr>
      <w:r w:rsidRPr="00DE7D07">
        <w:rPr>
          <w:rFonts w:ascii="Arial" w:hAnsi="Arial" w:cs="Arial"/>
          <w:color w:val="000000" w:themeColor="text1"/>
          <w:sz w:val="22"/>
        </w:rPr>
        <w:t xml:space="preserve">the fee </w:t>
      </w:r>
      <w:proofErr w:type="gramStart"/>
      <w:r w:rsidRPr="00DE7D07">
        <w:rPr>
          <w:rFonts w:ascii="Arial" w:hAnsi="Arial" w:cs="Arial"/>
          <w:color w:val="000000" w:themeColor="text1"/>
          <w:sz w:val="22"/>
        </w:rPr>
        <w:t>increase</w:t>
      </w:r>
      <w:proofErr w:type="gramEnd"/>
      <w:r w:rsidRPr="00DE7D07">
        <w:rPr>
          <w:rFonts w:ascii="Arial" w:hAnsi="Arial" w:cs="Arial"/>
          <w:color w:val="000000" w:themeColor="text1"/>
          <w:sz w:val="22"/>
        </w:rPr>
        <w:t xml:space="preserve"> for non-award and continuing education students</w:t>
      </w:r>
      <w:r w:rsidR="00621342">
        <w:rPr>
          <w:rFonts w:ascii="Arial" w:hAnsi="Arial" w:cs="Arial"/>
          <w:color w:val="000000" w:themeColor="text1"/>
          <w:sz w:val="22"/>
        </w:rPr>
        <w:t>;</w:t>
      </w:r>
      <w:r w:rsidRPr="00DE7D07">
        <w:rPr>
          <w:rFonts w:ascii="Arial" w:hAnsi="Arial" w:cs="Arial"/>
          <w:color w:val="000000" w:themeColor="text1"/>
          <w:sz w:val="22"/>
        </w:rPr>
        <w:t xml:space="preserve"> </w:t>
      </w:r>
    </w:p>
    <w:p w14:paraId="7DBA1E8F" w14:textId="6D4DD377" w:rsidR="005C7CF8" w:rsidRPr="00DE7D07" w:rsidRDefault="005C7CF8" w:rsidP="00DE7D07">
      <w:pPr>
        <w:pStyle w:val="NormalWhite"/>
        <w:numPr>
          <w:ilvl w:val="0"/>
          <w:numId w:val="3"/>
        </w:numPr>
        <w:spacing w:before="120" w:after="120" w:line="240" w:lineRule="auto"/>
        <w:ind w:left="1134" w:hanging="283"/>
        <w:rPr>
          <w:rFonts w:ascii="Arial" w:hAnsi="Arial" w:cs="Arial"/>
          <w:color w:val="000000" w:themeColor="text1"/>
          <w:sz w:val="22"/>
        </w:rPr>
      </w:pPr>
      <w:r w:rsidRPr="00DE7D07">
        <w:rPr>
          <w:rFonts w:ascii="Arial" w:hAnsi="Arial" w:cs="Arial"/>
          <w:color w:val="000000" w:themeColor="text1"/>
          <w:sz w:val="22"/>
        </w:rPr>
        <w:t xml:space="preserve">the fee </w:t>
      </w:r>
      <w:proofErr w:type="gramStart"/>
      <w:r w:rsidRPr="00DE7D07">
        <w:rPr>
          <w:rFonts w:ascii="Arial" w:hAnsi="Arial" w:cs="Arial"/>
          <w:color w:val="000000" w:themeColor="text1"/>
          <w:sz w:val="22"/>
        </w:rPr>
        <w:t>increase</w:t>
      </w:r>
      <w:proofErr w:type="gramEnd"/>
      <w:r w:rsidRPr="00DE7D07">
        <w:rPr>
          <w:rFonts w:ascii="Arial" w:hAnsi="Arial" w:cs="Arial"/>
          <w:color w:val="000000" w:themeColor="text1"/>
          <w:sz w:val="22"/>
        </w:rPr>
        <w:t xml:space="preserve"> for Study Abroad students</w:t>
      </w:r>
      <w:r w:rsidR="00621342">
        <w:rPr>
          <w:rFonts w:ascii="Arial" w:hAnsi="Arial" w:cs="Arial"/>
          <w:color w:val="000000" w:themeColor="text1"/>
          <w:sz w:val="22"/>
        </w:rPr>
        <w:t>;</w:t>
      </w:r>
      <w:r w:rsidRPr="00DE7D07">
        <w:rPr>
          <w:rFonts w:ascii="Arial" w:hAnsi="Arial" w:cs="Arial"/>
          <w:color w:val="000000" w:themeColor="text1"/>
          <w:sz w:val="22"/>
        </w:rPr>
        <w:t xml:space="preserve"> </w:t>
      </w:r>
    </w:p>
    <w:p w14:paraId="68334F34" w14:textId="3ACA1295" w:rsidR="005C7CF8" w:rsidRPr="00DE7D07" w:rsidRDefault="005C7CF8" w:rsidP="00DE7D07">
      <w:pPr>
        <w:pStyle w:val="NormalWhite"/>
        <w:numPr>
          <w:ilvl w:val="0"/>
          <w:numId w:val="3"/>
        </w:numPr>
        <w:spacing w:before="120" w:after="120" w:line="240" w:lineRule="auto"/>
        <w:ind w:left="1134" w:hanging="283"/>
        <w:rPr>
          <w:rFonts w:ascii="Arial" w:hAnsi="Arial" w:cs="Arial"/>
          <w:color w:val="000000" w:themeColor="text1"/>
          <w:sz w:val="22"/>
        </w:rPr>
      </w:pPr>
      <w:r w:rsidRPr="00DE7D07">
        <w:rPr>
          <w:rFonts w:ascii="Arial" w:hAnsi="Arial" w:cs="Arial"/>
          <w:color w:val="000000" w:themeColor="text1"/>
          <w:sz w:val="22"/>
        </w:rPr>
        <w:t xml:space="preserve">the investment in fee reduction scholarships for commencing international students and commencing domestic postgraduate </w:t>
      </w:r>
      <w:proofErr w:type="gramStart"/>
      <w:r w:rsidRPr="00DE7D07">
        <w:rPr>
          <w:rFonts w:ascii="Arial" w:hAnsi="Arial" w:cs="Arial"/>
          <w:color w:val="000000" w:themeColor="text1"/>
          <w:sz w:val="22"/>
        </w:rPr>
        <w:t>fee paying</w:t>
      </w:r>
      <w:proofErr w:type="gramEnd"/>
      <w:r w:rsidRPr="00DE7D07">
        <w:rPr>
          <w:rFonts w:ascii="Arial" w:hAnsi="Arial" w:cs="Arial"/>
          <w:color w:val="000000" w:themeColor="text1"/>
          <w:sz w:val="22"/>
        </w:rPr>
        <w:t xml:space="preserve"> students.  </w:t>
      </w:r>
    </w:p>
    <w:p w14:paraId="3DAB14DF" w14:textId="24964B16" w:rsidR="005C7CF8" w:rsidRPr="00DE7D07" w:rsidRDefault="005C7CF8" w:rsidP="00DE7D07">
      <w:pPr>
        <w:pStyle w:val="NormalWhite"/>
        <w:spacing w:before="120" w:after="120" w:line="240" w:lineRule="auto"/>
        <w:ind w:left="851"/>
        <w:rPr>
          <w:rFonts w:ascii="Arial" w:hAnsi="Arial" w:cs="Arial"/>
          <w:color w:val="000000" w:themeColor="text1"/>
          <w:sz w:val="22"/>
        </w:rPr>
      </w:pPr>
      <w:r w:rsidRPr="00DE7D07">
        <w:rPr>
          <w:rFonts w:ascii="Arial" w:hAnsi="Arial" w:cs="Arial"/>
          <w:color w:val="000000" w:themeColor="text1"/>
          <w:sz w:val="22"/>
        </w:rPr>
        <w:t xml:space="preserve">These recommendations </w:t>
      </w:r>
      <w:r w:rsidR="004E39C2" w:rsidRPr="00DE7D07">
        <w:rPr>
          <w:rFonts w:ascii="Arial" w:hAnsi="Arial" w:cs="Arial"/>
          <w:color w:val="000000" w:themeColor="text1"/>
          <w:sz w:val="22"/>
        </w:rPr>
        <w:t>are</w:t>
      </w:r>
      <w:r w:rsidRPr="00DE7D07">
        <w:rPr>
          <w:rFonts w:ascii="Arial" w:hAnsi="Arial" w:cs="Arial"/>
          <w:color w:val="000000" w:themeColor="text1"/>
          <w:sz w:val="22"/>
        </w:rPr>
        <w:t xml:space="preserve">: </w:t>
      </w:r>
    </w:p>
    <w:p w14:paraId="7C7318A7" w14:textId="18D56B88" w:rsidR="005C7CF8" w:rsidRPr="00DE7D07" w:rsidRDefault="00DE0C5B" w:rsidP="00DE7D07">
      <w:pPr>
        <w:pStyle w:val="NormalWhite"/>
        <w:numPr>
          <w:ilvl w:val="0"/>
          <w:numId w:val="3"/>
        </w:numPr>
        <w:spacing w:before="120" w:after="120" w:line="240" w:lineRule="auto"/>
        <w:ind w:left="1134" w:hanging="283"/>
        <w:rPr>
          <w:rFonts w:ascii="Arial" w:hAnsi="Arial" w:cs="Arial"/>
          <w:color w:val="000000" w:themeColor="text1"/>
          <w:sz w:val="22"/>
        </w:rPr>
      </w:pPr>
      <w:r w:rsidRPr="00DE7D07">
        <w:rPr>
          <w:rFonts w:ascii="Arial" w:hAnsi="Arial" w:cs="Arial"/>
          <w:color w:val="000000" w:themeColor="text1"/>
          <w:sz w:val="22"/>
        </w:rPr>
        <w:t>d</w:t>
      </w:r>
      <w:r w:rsidR="005C7CF8" w:rsidRPr="00DE7D07">
        <w:rPr>
          <w:rFonts w:ascii="Arial" w:hAnsi="Arial" w:cs="Arial"/>
          <w:color w:val="000000" w:themeColor="text1"/>
          <w:sz w:val="22"/>
        </w:rPr>
        <w:t xml:space="preserve">eveloped with reference to the principles detailed in Section 3 </w:t>
      </w:r>
    </w:p>
    <w:p w14:paraId="30A848D6" w14:textId="33CA5A19" w:rsidR="005C7CF8" w:rsidRPr="00DE7D07" w:rsidRDefault="00DE0C5B" w:rsidP="00DE7D07">
      <w:pPr>
        <w:pStyle w:val="NormalWhite"/>
        <w:numPr>
          <w:ilvl w:val="0"/>
          <w:numId w:val="3"/>
        </w:numPr>
        <w:spacing w:before="120" w:after="120" w:line="240" w:lineRule="auto"/>
        <w:ind w:left="1134" w:hanging="283"/>
        <w:rPr>
          <w:rFonts w:ascii="Arial" w:hAnsi="Arial" w:cs="Arial"/>
          <w:color w:val="000000" w:themeColor="text1"/>
          <w:sz w:val="22"/>
        </w:rPr>
      </w:pPr>
      <w:r w:rsidRPr="00DE7D07">
        <w:rPr>
          <w:rFonts w:ascii="Arial" w:hAnsi="Arial" w:cs="Arial"/>
          <w:color w:val="000000" w:themeColor="text1"/>
          <w:sz w:val="22"/>
        </w:rPr>
        <w:t>b</w:t>
      </w:r>
      <w:r w:rsidR="005C7CF8" w:rsidRPr="00DE7D07">
        <w:rPr>
          <w:rFonts w:ascii="Arial" w:hAnsi="Arial" w:cs="Arial"/>
          <w:color w:val="000000" w:themeColor="text1"/>
          <w:sz w:val="22"/>
        </w:rPr>
        <w:t xml:space="preserve">ased on market analysis of: </w:t>
      </w:r>
    </w:p>
    <w:p w14:paraId="4CC4C224" w14:textId="056420E0" w:rsidR="005C7CF8" w:rsidRPr="00DE7D07" w:rsidRDefault="005C7CF8" w:rsidP="00DE7D07">
      <w:pPr>
        <w:pStyle w:val="NormalWhite"/>
        <w:numPr>
          <w:ilvl w:val="0"/>
          <w:numId w:val="3"/>
        </w:numPr>
        <w:spacing w:before="120" w:after="120" w:line="240" w:lineRule="auto"/>
        <w:ind w:left="1134" w:hanging="283"/>
        <w:rPr>
          <w:rFonts w:ascii="Arial" w:hAnsi="Arial" w:cs="Arial"/>
          <w:color w:val="000000" w:themeColor="text1"/>
          <w:sz w:val="22"/>
        </w:rPr>
      </w:pPr>
      <w:r w:rsidRPr="00DE7D07">
        <w:rPr>
          <w:rFonts w:ascii="Arial" w:hAnsi="Arial" w:cs="Arial"/>
          <w:color w:val="000000" w:themeColor="text1"/>
          <w:sz w:val="22"/>
        </w:rPr>
        <w:t xml:space="preserve">the fees and fee reduction scholarships at comparable </w:t>
      </w:r>
      <w:proofErr w:type="gramStart"/>
      <w:r w:rsidRPr="00DE7D07">
        <w:rPr>
          <w:rFonts w:ascii="Arial" w:hAnsi="Arial" w:cs="Arial"/>
          <w:color w:val="000000" w:themeColor="text1"/>
          <w:sz w:val="22"/>
        </w:rPr>
        <w:t>universities</w:t>
      </w:r>
      <w:r w:rsidR="00621342">
        <w:rPr>
          <w:rFonts w:ascii="Arial" w:hAnsi="Arial" w:cs="Arial"/>
          <w:color w:val="000000" w:themeColor="text1"/>
          <w:sz w:val="22"/>
        </w:rPr>
        <w:t>;</w:t>
      </w:r>
      <w:proofErr w:type="gramEnd"/>
      <w:r w:rsidRPr="00DE7D07">
        <w:rPr>
          <w:rFonts w:ascii="Arial" w:hAnsi="Arial" w:cs="Arial"/>
          <w:color w:val="000000" w:themeColor="text1"/>
          <w:sz w:val="22"/>
        </w:rPr>
        <w:t xml:space="preserve"> </w:t>
      </w:r>
    </w:p>
    <w:p w14:paraId="6C14540D" w14:textId="78663DF7" w:rsidR="005C7CF8" w:rsidRPr="00DE7D07" w:rsidRDefault="005C7CF8" w:rsidP="00DE7D07">
      <w:pPr>
        <w:pStyle w:val="NormalWhite"/>
        <w:numPr>
          <w:ilvl w:val="0"/>
          <w:numId w:val="3"/>
        </w:numPr>
        <w:spacing w:before="120" w:after="120" w:line="240" w:lineRule="auto"/>
        <w:ind w:left="1134" w:hanging="283"/>
        <w:rPr>
          <w:rFonts w:ascii="Arial" w:hAnsi="Arial" w:cs="Arial"/>
          <w:color w:val="000000" w:themeColor="text1"/>
          <w:sz w:val="22"/>
        </w:rPr>
      </w:pPr>
      <w:r w:rsidRPr="00DE7D07">
        <w:rPr>
          <w:rFonts w:ascii="Arial" w:hAnsi="Arial" w:cs="Arial"/>
          <w:color w:val="000000" w:themeColor="text1"/>
          <w:sz w:val="22"/>
        </w:rPr>
        <w:t xml:space="preserve">student demand and market </w:t>
      </w:r>
      <w:proofErr w:type="gramStart"/>
      <w:r w:rsidRPr="00DE7D07">
        <w:rPr>
          <w:rFonts w:ascii="Arial" w:hAnsi="Arial" w:cs="Arial"/>
          <w:color w:val="000000" w:themeColor="text1"/>
          <w:sz w:val="22"/>
        </w:rPr>
        <w:t>conditions</w:t>
      </w:r>
      <w:r w:rsidR="00621342">
        <w:rPr>
          <w:rFonts w:ascii="Arial" w:hAnsi="Arial" w:cs="Arial"/>
          <w:color w:val="000000" w:themeColor="text1"/>
          <w:sz w:val="22"/>
        </w:rPr>
        <w:t>;</w:t>
      </w:r>
      <w:proofErr w:type="gramEnd"/>
      <w:r w:rsidRPr="00DE7D07">
        <w:rPr>
          <w:rFonts w:ascii="Arial" w:hAnsi="Arial" w:cs="Arial"/>
          <w:color w:val="000000" w:themeColor="text1"/>
          <w:sz w:val="22"/>
        </w:rPr>
        <w:t xml:space="preserve">  </w:t>
      </w:r>
    </w:p>
    <w:p w14:paraId="303F6289" w14:textId="1179600B" w:rsidR="005C7CF8" w:rsidRPr="00DE7D07" w:rsidRDefault="005C7CF8" w:rsidP="00DE7D07">
      <w:pPr>
        <w:pStyle w:val="NormalWhite"/>
        <w:numPr>
          <w:ilvl w:val="0"/>
          <w:numId w:val="3"/>
        </w:numPr>
        <w:spacing w:before="120" w:after="120" w:line="240" w:lineRule="auto"/>
        <w:ind w:left="1134" w:hanging="283"/>
        <w:rPr>
          <w:rFonts w:ascii="Arial" w:hAnsi="Arial" w:cs="Arial"/>
          <w:color w:val="000000" w:themeColor="text1"/>
          <w:sz w:val="22"/>
        </w:rPr>
      </w:pPr>
      <w:r w:rsidRPr="00DE7D07">
        <w:rPr>
          <w:rFonts w:ascii="Arial" w:hAnsi="Arial" w:cs="Arial"/>
          <w:color w:val="000000" w:themeColor="text1"/>
          <w:sz w:val="22"/>
        </w:rPr>
        <w:t xml:space="preserve">broader economic </w:t>
      </w:r>
      <w:proofErr w:type="gramStart"/>
      <w:r w:rsidRPr="00DE7D07">
        <w:rPr>
          <w:rFonts w:ascii="Arial" w:hAnsi="Arial" w:cs="Arial"/>
          <w:color w:val="000000" w:themeColor="text1"/>
          <w:sz w:val="22"/>
        </w:rPr>
        <w:t>conditions</w:t>
      </w:r>
      <w:r w:rsidR="00621342">
        <w:rPr>
          <w:rFonts w:ascii="Arial" w:hAnsi="Arial" w:cs="Arial"/>
          <w:color w:val="000000" w:themeColor="text1"/>
          <w:sz w:val="22"/>
        </w:rPr>
        <w:t>;</w:t>
      </w:r>
      <w:proofErr w:type="gramEnd"/>
      <w:r w:rsidRPr="00DE7D07">
        <w:rPr>
          <w:rFonts w:ascii="Arial" w:hAnsi="Arial" w:cs="Arial"/>
          <w:color w:val="000000" w:themeColor="text1"/>
          <w:sz w:val="22"/>
        </w:rPr>
        <w:t xml:space="preserve"> </w:t>
      </w:r>
    </w:p>
    <w:p w14:paraId="32DA2319" w14:textId="38398393" w:rsidR="005C7CF8" w:rsidRPr="00DE7D07" w:rsidRDefault="005C7CF8" w:rsidP="00DE7D07">
      <w:pPr>
        <w:pStyle w:val="NormalWhite"/>
        <w:numPr>
          <w:ilvl w:val="0"/>
          <w:numId w:val="3"/>
        </w:numPr>
        <w:spacing w:before="120" w:after="120" w:line="240" w:lineRule="auto"/>
        <w:ind w:left="1134" w:hanging="283"/>
        <w:rPr>
          <w:rFonts w:ascii="Arial" w:hAnsi="Arial" w:cs="Arial"/>
          <w:color w:val="000000" w:themeColor="text1"/>
          <w:sz w:val="22"/>
        </w:rPr>
      </w:pPr>
      <w:r w:rsidRPr="00DE7D07">
        <w:rPr>
          <w:rFonts w:ascii="Arial" w:hAnsi="Arial" w:cs="Arial"/>
          <w:color w:val="000000" w:themeColor="text1"/>
          <w:sz w:val="22"/>
        </w:rPr>
        <w:t xml:space="preserve">Griffith’s costs of delivery and financial </w:t>
      </w:r>
      <w:proofErr w:type="gramStart"/>
      <w:r w:rsidRPr="00DE7D07">
        <w:rPr>
          <w:rFonts w:ascii="Arial" w:hAnsi="Arial" w:cs="Arial"/>
          <w:color w:val="000000" w:themeColor="text1"/>
          <w:sz w:val="22"/>
        </w:rPr>
        <w:t>position</w:t>
      </w:r>
      <w:r w:rsidR="00621342">
        <w:rPr>
          <w:rFonts w:ascii="Arial" w:hAnsi="Arial" w:cs="Arial"/>
          <w:color w:val="000000" w:themeColor="text1"/>
          <w:sz w:val="22"/>
        </w:rPr>
        <w:t>;</w:t>
      </w:r>
      <w:proofErr w:type="gramEnd"/>
      <w:r w:rsidRPr="00DE7D07">
        <w:rPr>
          <w:rFonts w:ascii="Arial" w:hAnsi="Arial" w:cs="Arial"/>
          <w:color w:val="000000" w:themeColor="text1"/>
          <w:sz w:val="22"/>
        </w:rPr>
        <w:t xml:space="preserve"> </w:t>
      </w:r>
    </w:p>
    <w:p w14:paraId="7D0940B9" w14:textId="167E05C6" w:rsidR="005C7CF8" w:rsidRPr="00DE7D07" w:rsidRDefault="00DE0C5B" w:rsidP="00DE7D07">
      <w:pPr>
        <w:pStyle w:val="NormalWhite"/>
        <w:numPr>
          <w:ilvl w:val="0"/>
          <w:numId w:val="3"/>
        </w:numPr>
        <w:spacing w:before="120" w:after="120" w:line="240" w:lineRule="auto"/>
        <w:ind w:left="1134" w:hanging="283"/>
        <w:rPr>
          <w:rFonts w:ascii="Arial" w:hAnsi="Arial" w:cs="Arial"/>
          <w:color w:val="000000" w:themeColor="text1"/>
          <w:sz w:val="22"/>
        </w:rPr>
      </w:pPr>
      <w:r w:rsidRPr="00DE7D07">
        <w:rPr>
          <w:rFonts w:ascii="Arial" w:hAnsi="Arial" w:cs="Arial"/>
          <w:color w:val="000000" w:themeColor="text1"/>
          <w:sz w:val="22"/>
        </w:rPr>
        <w:t>t</w:t>
      </w:r>
      <w:r w:rsidR="005C7CF8" w:rsidRPr="00DE7D07">
        <w:rPr>
          <w:rFonts w:ascii="Arial" w:hAnsi="Arial" w:cs="Arial"/>
          <w:color w:val="000000" w:themeColor="text1"/>
          <w:sz w:val="22"/>
        </w:rPr>
        <w:t xml:space="preserve">ested with the Vice President Global, the Vice President Marketing and Communication, (for HDR fees) the Dean of Griffith Graduate Research School, and the </w:t>
      </w:r>
      <w:proofErr w:type="gramStart"/>
      <w:r w:rsidR="005C7CF8" w:rsidRPr="00DE7D07">
        <w:rPr>
          <w:rFonts w:ascii="Arial" w:hAnsi="Arial" w:cs="Arial"/>
          <w:color w:val="000000" w:themeColor="text1"/>
          <w:sz w:val="22"/>
        </w:rPr>
        <w:t>Provost</w:t>
      </w:r>
      <w:proofErr w:type="gramEnd"/>
      <w:r w:rsidR="005C7CF8" w:rsidRPr="00DE7D07">
        <w:rPr>
          <w:rFonts w:ascii="Arial" w:hAnsi="Arial" w:cs="Arial"/>
          <w:color w:val="000000" w:themeColor="text1"/>
          <w:sz w:val="22"/>
        </w:rPr>
        <w:t xml:space="preserve">. </w:t>
      </w:r>
    </w:p>
    <w:p w14:paraId="362EC621" w14:textId="1EFCFA2B" w:rsidR="00007CE6" w:rsidRPr="00DE7D07" w:rsidRDefault="005C7CF8" w:rsidP="00DE7D07">
      <w:pPr>
        <w:spacing w:before="120" w:after="120" w:line="240" w:lineRule="auto"/>
        <w:ind w:left="851"/>
        <w:rPr>
          <w:rFonts w:ascii="Arial" w:hAnsi="Arial" w:cs="Arial"/>
          <w:sz w:val="22"/>
        </w:rPr>
      </w:pPr>
      <w:r w:rsidRPr="00DE7D07">
        <w:rPr>
          <w:rFonts w:ascii="Arial" w:hAnsi="Arial" w:cs="Arial"/>
          <w:sz w:val="22"/>
        </w:rPr>
        <w:t>Finance seek</w:t>
      </w:r>
      <w:r w:rsidR="004E39C2" w:rsidRPr="00DE7D07">
        <w:rPr>
          <w:rFonts w:ascii="Arial" w:hAnsi="Arial" w:cs="Arial"/>
          <w:sz w:val="22"/>
        </w:rPr>
        <w:t>s</w:t>
      </w:r>
      <w:r w:rsidRPr="00DE7D07">
        <w:rPr>
          <w:rFonts w:ascii="Arial" w:hAnsi="Arial" w:cs="Arial"/>
          <w:sz w:val="22"/>
        </w:rPr>
        <w:t xml:space="preserve"> Executive Group’s endorsement for the recommended fee increases and investment in fee discount scholarships prior to Stage 3.2 (detailed below).  </w:t>
      </w:r>
    </w:p>
    <w:p w14:paraId="0D04F654" w14:textId="77777777" w:rsidR="00185B4E" w:rsidRPr="00DE7D07" w:rsidRDefault="00185B4E" w:rsidP="00DE7D07">
      <w:pPr>
        <w:pStyle w:val="Heading4"/>
        <w:spacing w:before="120"/>
        <w:ind w:left="851" w:firstLine="0"/>
        <w:jc w:val="left"/>
        <w:rPr>
          <w:rFonts w:ascii="Arial" w:hAnsi="Arial"/>
          <w:color w:val="000000" w:themeColor="text1"/>
          <w:sz w:val="22"/>
        </w:rPr>
      </w:pPr>
      <w:r w:rsidRPr="00DE7D07">
        <w:rPr>
          <w:rFonts w:ascii="Arial" w:hAnsi="Arial"/>
          <w:color w:val="000000" w:themeColor="text1"/>
          <w:sz w:val="22"/>
        </w:rPr>
        <w:t xml:space="preserve">3.1.2 Approval of commencing fees for each program  </w:t>
      </w:r>
    </w:p>
    <w:p w14:paraId="4E7F690C" w14:textId="0A58A101" w:rsidR="00185B4E" w:rsidRPr="00DE7D07" w:rsidRDefault="00185B4E" w:rsidP="00DE7D07">
      <w:pPr>
        <w:pStyle w:val="NormalWhite"/>
        <w:spacing w:before="120" w:after="120" w:line="240" w:lineRule="auto"/>
        <w:ind w:left="851"/>
        <w:rPr>
          <w:rFonts w:ascii="Arial" w:hAnsi="Arial" w:cs="Arial"/>
          <w:color w:val="000000" w:themeColor="text1"/>
          <w:sz w:val="22"/>
        </w:rPr>
      </w:pPr>
      <w:r w:rsidRPr="00DE7D07">
        <w:rPr>
          <w:rFonts w:ascii="Arial" w:hAnsi="Arial" w:cs="Arial"/>
          <w:color w:val="000000" w:themeColor="text1"/>
          <w:sz w:val="22"/>
        </w:rPr>
        <w:t>Finance prepare</w:t>
      </w:r>
      <w:r w:rsidR="004E39C2" w:rsidRPr="00DE7D07">
        <w:rPr>
          <w:rFonts w:ascii="Arial" w:hAnsi="Arial" w:cs="Arial"/>
          <w:color w:val="000000" w:themeColor="text1"/>
          <w:sz w:val="22"/>
        </w:rPr>
        <w:t>s</w:t>
      </w:r>
      <w:r w:rsidRPr="00DE7D07">
        <w:rPr>
          <w:rFonts w:ascii="Arial" w:hAnsi="Arial" w:cs="Arial"/>
          <w:color w:val="000000" w:themeColor="text1"/>
          <w:sz w:val="22"/>
        </w:rPr>
        <w:t xml:space="preserve"> data analysis to inform decisions on fees for specific programs for international undergraduate, international postgraduate, domestic undergraduate full </w:t>
      </w:r>
      <w:proofErr w:type="gramStart"/>
      <w:r w:rsidRPr="00DE7D07">
        <w:rPr>
          <w:rFonts w:ascii="Arial" w:hAnsi="Arial" w:cs="Arial"/>
          <w:color w:val="000000" w:themeColor="text1"/>
          <w:sz w:val="22"/>
        </w:rPr>
        <w:t>fee paying</w:t>
      </w:r>
      <w:proofErr w:type="gramEnd"/>
      <w:r w:rsidRPr="00DE7D07">
        <w:rPr>
          <w:rFonts w:ascii="Arial" w:hAnsi="Arial" w:cs="Arial"/>
          <w:color w:val="000000" w:themeColor="text1"/>
          <w:sz w:val="22"/>
        </w:rPr>
        <w:t xml:space="preserve"> students and domestic postgraduate full fee paying students for Group Pro-Vice Chancellors. This data analysis prioritise</w:t>
      </w:r>
      <w:r w:rsidR="004E39C2" w:rsidRPr="00DE7D07">
        <w:rPr>
          <w:rFonts w:ascii="Arial" w:hAnsi="Arial" w:cs="Arial"/>
          <w:color w:val="000000" w:themeColor="text1"/>
          <w:sz w:val="22"/>
        </w:rPr>
        <w:t>s</w:t>
      </w:r>
      <w:r w:rsidRPr="00DE7D07">
        <w:rPr>
          <w:rFonts w:ascii="Arial" w:hAnsi="Arial" w:cs="Arial"/>
          <w:color w:val="000000" w:themeColor="text1"/>
          <w:sz w:val="22"/>
        </w:rPr>
        <w:t xml:space="preserve"> high enrolment programs and consider</w:t>
      </w:r>
      <w:r w:rsidR="004E39C2" w:rsidRPr="00DE7D07">
        <w:rPr>
          <w:rFonts w:ascii="Arial" w:hAnsi="Arial" w:cs="Arial"/>
          <w:color w:val="000000" w:themeColor="text1"/>
          <w:sz w:val="22"/>
        </w:rPr>
        <w:t>s</w:t>
      </w:r>
      <w:r w:rsidRPr="00DE7D07">
        <w:rPr>
          <w:rFonts w:ascii="Arial" w:hAnsi="Arial" w:cs="Arial"/>
          <w:color w:val="000000" w:themeColor="text1"/>
          <w:sz w:val="22"/>
        </w:rPr>
        <w:t xml:space="preserve">: </w:t>
      </w:r>
    </w:p>
    <w:p w14:paraId="274581EE" w14:textId="7537BFE8" w:rsidR="00185B4E" w:rsidRPr="00DE7D07" w:rsidRDefault="00DE0C5B" w:rsidP="00DE7D07">
      <w:pPr>
        <w:pStyle w:val="NormalWhite"/>
        <w:numPr>
          <w:ilvl w:val="0"/>
          <w:numId w:val="3"/>
        </w:numPr>
        <w:spacing w:before="120" w:after="120" w:line="240" w:lineRule="auto"/>
        <w:ind w:left="1134" w:hanging="283"/>
        <w:rPr>
          <w:rFonts w:ascii="Arial" w:hAnsi="Arial" w:cs="Arial"/>
          <w:color w:val="000000" w:themeColor="text1"/>
          <w:sz w:val="22"/>
        </w:rPr>
      </w:pPr>
      <w:r w:rsidRPr="00DE7D07">
        <w:rPr>
          <w:rFonts w:ascii="Arial" w:hAnsi="Arial" w:cs="Arial"/>
          <w:color w:val="000000" w:themeColor="text1"/>
          <w:sz w:val="22"/>
        </w:rPr>
        <w:t>t</w:t>
      </w:r>
      <w:r w:rsidR="00185B4E" w:rsidRPr="00DE7D07">
        <w:rPr>
          <w:rFonts w:ascii="Arial" w:hAnsi="Arial" w:cs="Arial"/>
          <w:color w:val="000000" w:themeColor="text1"/>
          <w:sz w:val="22"/>
        </w:rPr>
        <w:t xml:space="preserve">he target band endorsed by Executive Group in Stage 3.1 and the fees bands set out in Schedule A: Tuition </w:t>
      </w:r>
      <w:proofErr w:type="gramStart"/>
      <w:r w:rsidR="00185B4E" w:rsidRPr="00DE7D07">
        <w:rPr>
          <w:rFonts w:ascii="Arial" w:hAnsi="Arial" w:cs="Arial"/>
          <w:color w:val="000000" w:themeColor="text1"/>
          <w:sz w:val="22"/>
        </w:rPr>
        <w:t>Fees</w:t>
      </w:r>
      <w:r w:rsidR="00621342">
        <w:rPr>
          <w:rFonts w:ascii="Arial" w:hAnsi="Arial" w:cs="Arial"/>
          <w:color w:val="000000" w:themeColor="text1"/>
          <w:sz w:val="22"/>
        </w:rPr>
        <w:t>;</w:t>
      </w:r>
      <w:proofErr w:type="gramEnd"/>
      <w:r w:rsidR="00185B4E" w:rsidRPr="00DE7D07">
        <w:rPr>
          <w:rFonts w:ascii="Arial" w:hAnsi="Arial" w:cs="Arial"/>
          <w:color w:val="000000" w:themeColor="text1"/>
          <w:sz w:val="22"/>
        </w:rPr>
        <w:t xml:space="preserve">   </w:t>
      </w:r>
    </w:p>
    <w:p w14:paraId="1405B9D0" w14:textId="37725527" w:rsidR="00185B4E" w:rsidRPr="00DE7D07" w:rsidRDefault="00DE0C5B" w:rsidP="00DE7D07">
      <w:pPr>
        <w:pStyle w:val="NormalWhite"/>
        <w:numPr>
          <w:ilvl w:val="0"/>
          <w:numId w:val="3"/>
        </w:numPr>
        <w:spacing w:before="120" w:after="120" w:line="240" w:lineRule="auto"/>
        <w:ind w:left="1134" w:hanging="283"/>
        <w:rPr>
          <w:rFonts w:ascii="Arial" w:hAnsi="Arial" w:cs="Arial"/>
          <w:color w:val="000000" w:themeColor="text1"/>
          <w:sz w:val="22"/>
        </w:rPr>
      </w:pPr>
      <w:r w:rsidRPr="00DE7D07">
        <w:rPr>
          <w:rFonts w:ascii="Arial" w:hAnsi="Arial" w:cs="Arial"/>
          <w:color w:val="000000" w:themeColor="text1"/>
          <w:sz w:val="22"/>
        </w:rPr>
        <w:t>m</w:t>
      </w:r>
      <w:r w:rsidR="00185B4E" w:rsidRPr="00DE7D07">
        <w:rPr>
          <w:rFonts w:ascii="Arial" w:hAnsi="Arial" w:cs="Arial"/>
          <w:color w:val="000000" w:themeColor="text1"/>
          <w:sz w:val="22"/>
        </w:rPr>
        <w:t xml:space="preserve">arket analysis of fees and ranking at comparable universities, demand and market conditions, and the costs of delivery of the </w:t>
      </w:r>
      <w:proofErr w:type="gramStart"/>
      <w:r w:rsidR="00185B4E" w:rsidRPr="00DE7D07">
        <w:rPr>
          <w:rFonts w:ascii="Arial" w:hAnsi="Arial" w:cs="Arial"/>
          <w:color w:val="000000" w:themeColor="text1"/>
          <w:sz w:val="22"/>
        </w:rPr>
        <w:t>program</w:t>
      </w:r>
      <w:r w:rsidR="00621342">
        <w:rPr>
          <w:rFonts w:ascii="Arial" w:hAnsi="Arial" w:cs="Arial"/>
          <w:color w:val="000000" w:themeColor="text1"/>
          <w:sz w:val="22"/>
        </w:rPr>
        <w:t>;</w:t>
      </w:r>
      <w:proofErr w:type="gramEnd"/>
    </w:p>
    <w:p w14:paraId="3AB61251" w14:textId="7A5C56AA" w:rsidR="00185B4E" w:rsidRPr="00DE7D07" w:rsidRDefault="00DE0C5B" w:rsidP="00DE7D07">
      <w:pPr>
        <w:pStyle w:val="NormalWhite"/>
        <w:numPr>
          <w:ilvl w:val="0"/>
          <w:numId w:val="3"/>
        </w:numPr>
        <w:spacing w:before="120" w:after="120" w:line="240" w:lineRule="auto"/>
        <w:ind w:left="1134" w:hanging="283"/>
        <w:rPr>
          <w:rFonts w:ascii="Arial" w:hAnsi="Arial" w:cs="Arial"/>
          <w:color w:val="000000" w:themeColor="text1"/>
          <w:sz w:val="22"/>
        </w:rPr>
      </w:pPr>
      <w:r w:rsidRPr="00DE7D07">
        <w:rPr>
          <w:rFonts w:ascii="Arial" w:hAnsi="Arial" w:cs="Arial"/>
          <w:color w:val="000000" w:themeColor="text1"/>
          <w:sz w:val="22"/>
        </w:rPr>
        <w:t>a</w:t>
      </w:r>
      <w:r w:rsidR="00185B4E" w:rsidRPr="00DE7D07">
        <w:rPr>
          <w:rFonts w:ascii="Arial" w:hAnsi="Arial" w:cs="Arial"/>
          <w:color w:val="000000" w:themeColor="text1"/>
          <w:sz w:val="22"/>
        </w:rPr>
        <w:t xml:space="preserve">dvice from the Vice President Global and the Vice President Marketing and Communication on opportunities for high priority programs.  </w:t>
      </w:r>
    </w:p>
    <w:p w14:paraId="6BC63B48" w14:textId="5917AD65" w:rsidR="00185B4E" w:rsidRPr="00DE7D07" w:rsidRDefault="00185B4E" w:rsidP="00DE7D07">
      <w:pPr>
        <w:pStyle w:val="NormalWhite"/>
        <w:spacing w:before="120" w:after="120" w:line="240" w:lineRule="auto"/>
        <w:ind w:left="851"/>
        <w:rPr>
          <w:rFonts w:ascii="Arial" w:hAnsi="Arial" w:cs="Arial"/>
          <w:color w:val="000000" w:themeColor="text1"/>
          <w:sz w:val="22"/>
        </w:rPr>
      </w:pPr>
      <w:r w:rsidRPr="00DE7D07">
        <w:rPr>
          <w:rFonts w:ascii="Arial" w:hAnsi="Arial" w:cs="Arial"/>
          <w:color w:val="000000" w:themeColor="text1"/>
          <w:sz w:val="22"/>
        </w:rPr>
        <w:t>Finance provide</w:t>
      </w:r>
      <w:r w:rsidR="004E39C2" w:rsidRPr="00DE7D07">
        <w:rPr>
          <w:rFonts w:ascii="Arial" w:hAnsi="Arial" w:cs="Arial"/>
          <w:color w:val="000000" w:themeColor="text1"/>
          <w:sz w:val="22"/>
        </w:rPr>
        <w:t>s</w:t>
      </w:r>
      <w:r w:rsidRPr="00DE7D07">
        <w:rPr>
          <w:rFonts w:ascii="Arial" w:hAnsi="Arial" w:cs="Arial"/>
          <w:color w:val="000000" w:themeColor="text1"/>
          <w:sz w:val="22"/>
        </w:rPr>
        <w:t xml:space="preserve"> this data analysis to Academic Group Pro Vice Chancellors, and Academic Group Pro Vice Chancellors</w:t>
      </w:r>
      <w:r w:rsidR="004E39C2" w:rsidRPr="00DE7D07">
        <w:rPr>
          <w:rFonts w:ascii="Arial" w:hAnsi="Arial" w:cs="Arial"/>
          <w:color w:val="000000" w:themeColor="text1"/>
          <w:sz w:val="22"/>
        </w:rPr>
        <w:t xml:space="preserve"> </w:t>
      </w:r>
      <w:r w:rsidRPr="00DE7D07">
        <w:rPr>
          <w:rFonts w:ascii="Arial" w:hAnsi="Arial" w:cs="Arial"/>
          <w:color w:val="000000" w:themeColor="text1"/>
          <w:sz w:val="22"/>
        </w:rPr>
        <w:t xml:space="preserve">determine a recommended fee for each program.  </w:t>
      </w:r>
    </w:p>
    <w:p w14:paraId="2EDD171E" w14:textId="46DBC548" w:rsidR="00185B4E" w:rsidRPr="00DE7D07" w:rsidRDefault="00185B4E" w:rsidP="00DE7D07">
      <w:pPr>
        <w:pStyle w:val="NormalWhite"/>
        <w:spacing w:before="120" w:after="120" w:line="240" w:lineRule="auto"/>
        <w:ind w:left="851"/>
        <w:rPr>
          <w:rFonts w:ascii="Arial" w:hAnsi="Arial" w:cs="Arial"/>
          <w:color w:val="000000" w:themeColor="text1"/>
          <w:sz w:val="22"/>
        </w:rPr>
      </w:pPr>
      <w:r w:rsidRPr="00DE7D07">
        <w:rPr>
          <w:rFonts w:ascii="Arial" w:hAnsi="Arial" w:cs="Arial"/>
          <w:color w:val="000000" w:themeColor="text1"/>
          <w:sz w:val="22"/>
        </w:rPr>
        <w:t xml:space="preserve">The recommended </w:t>
      </w:r>
      <w:proofErr w:type="gramStart"/>
      <w:r w:rsidRPr="00DE7D07">
        <w:rPr>
          <w:rFonts w:ascii="Arial" w:hAnsi="Arial" w:cs="Arial"/>
          <w:color w:val="000000" w:themeColor="text1"/>
          <w:sz w:val="22"/>
        </w:rPr>
        <w:t>fees</w:t>
      </w:r>
      <w:proofErr w:type="gramEnd"/>
      <w:r w:rsidRPr="00DE7D07">
        <w:rPr>
          <w:rFonts w:ascii="Arial" w:hAnsi="Arial" w:cs="Arial"/>
          <w:color w:val="000000" w:themeColor="text1"/>
          <w:sz w:val="22"/>
        </w:rPr>
        <w:t xml:space="preserve"> for international students </w:t>
      </w:r>
      <w:r w:rsidR="004E39C2" w:rsidRPr="00DE7D07">
        <w:rPr>
          <w:rFonts w:ascii="Arial" w:hAnsi="Arial" w:cs="Arial"/>
          <w:color w:val="000000" w:themeColor="text1"/>
          <w:sz w:val="22"/>
        </w:rPr>
        <w:t xml:space="preserve">is </w:t>
      </w:r>
      <w:r w:rsidRPr="00DE7D07">
        <w:rPr>
          <w:rFonts w:ascii="Arial" w:hAnsi="Arial" w:cs="Arial"/>
          <w:color w:val="000000" w:themeColor="text1"/>
          <w:sz w:val="22"/>
        </w:rPr>
        <w:t xml:space="preserve">shared with the Vice President Global and recommended fees for domestic fee paying students </w:t>
      </w:r>
      <w:r w:rsidR="004E39C2" w:rsidRPr="00DE7D07">
        <w:rPr>
          <w:rFonts w:ascii="Arial" w:hAnsi="Arial" w:cs="Arial"/>
          <w:color w:val="000000" w:themeColor="text1"/>
          <w:sz w:val="22"/>
        </w:rPr>
        <w:t>is</w:t>
      </w:r>
      <w:r w:rsidRPr="00DE7D07">
        <w:rPr>
          <w:rFonts w:ascii="Arial" w:hAnsi="Arial" w:cs="Arial"/>
          <w:color w:val="000000" w:themeColor="text1"/>
          <w:sz w:val="22"/>
        </w:rPr>
        <w:t xml:space="preserve"> shared with the Vice President Marketing and Communication. The Vice President Global and the Vice President Marketing and Communication may provide advice to the Group Pro Vice Chancellors on recommended fees.</w:t>
      </w:r>
      <w:r w:rsidR="00081C36" w:rsidRPr="00DE7D07">
        <w:rPr>
          <w:rFonts w:ascii="Arial" w:hAnsi="Arial" w:cs="Arial"/>
          <w:color w:val="000000" w:themeColor="text1"/>
          <w:sz w:val="22"/>
        </w:rPr>
        <w:t xml:space="preserve">  The list of recommended fees for HDR fee paying students is shared with the Dean of Griffith Graduate Research School for advice.</w:t>
      </w:r>
    </w:p>
    <w:p w14:paraId="30D639D1" w14:textId="3EF66991" w:rsidR="00185B4E" w:rsidRPr="00DE7D07" w:rsidRDefault="00185B4E" w:rsidP="00DE7D07">
      <w:pPr>
        <w:pStyle w:val="NormalWhite"/>
        <w:spacing w:before="120" w:after="120" w:line="240" w:lineRule="auto"/>
        <w:ind w:left="851"/>
        <w:rPr>
          <w:rFonts w:ascii="Arial" w:hAnsi="Arial" w:cs="Arial"/>
          <w:color w:val="000000" w:themeColor="text1"/>
          <w:sz w:val="22"/>
        </w:rPr>
      </w:pPr>
      <w:r w:rsidRPr="00DE7D07">
        <w:rPr>
          <w:rFonts w:ascii="Arial" w:hAnsi="Arial" w:cs="Arial"/>
          <w:color w:val="000000" w:themeColor="text1"/>
          <w:sz w:val="22"/>
        </w:rPr>
        <w:lastRenderedPageBreak/>
        <w:t>Finance prepare</w:t>
      </w:r>
      <w:r w:rsidR="004E39C2" w:rsidRPr="00DE7D07">
        <w:rPr>
          <w:rFonts w:ascii="Arial" w:hAnsi="Arial" w:cs="Arial"/>
          <w:color w:val="000000" w:themeColor="text1"/>
          <w:sz w:val="22"/>
        </w:rPr>
        <w:t>s</w:t>
      </w:r>
      <w:r w:rsidRPr="00DE7D07">
        <w:rPr>
          <w:rFonts w:ascii="Arial" w:hAnsi="Arial" w:cs="Arial"/>
          <w:color w:val="000000" w:themeColor="text1"/>
          <w:sz w:val="22"/>
        </w:rPr>
        <w:t xml:space="preserve"> a submission for Executive Group on the recommended fees from Group Pro Vice Chancellors and seek Executive Group’s endorsement.  </w:t>
      </w:r>
    </w:p>
    <w:p w14:paraId="03DCB03E" w14:textId="7406792B" w:rsidR="000F1B59" w:rsidRPr="00DE7D07" w:rsidRDefault="00185B4E" w:rsidP="00DE7D07">
      <w:pPr>
        <w:pStyle w:val="NormalWhite"/>
        <w:spacing w:before="120" w:after="120" w:line="240" w:lineRule="auto"/>
        <w:ind w:left="851"/>
        <w:rPr>
          <w:rFonts w:ascii="Arial" w:hAnsi="Arial" w:cs="Arial"/>
          <w:color w:val="000000" w:themeColor="text1"/>
          <w:sz w:val="22"/>
        </w:rPr>
      </w:pPr>
      <w:r w:rsidRPr="00DE7D07">
        <w:rPr>
          <w:rFonts w:ascii="Arial" w:hAnsi="Arial" w:cs="Arial"/>
          <w:color w:val="000000" w:themeColor="text1"/>
          <w:sz w:val="22"/>
        </w:rPr>
        <w:t xml:space="preserve">Where a new program has been developed and the fee needs to be approved out-of-cycle with other programs (as detailed above), the </w:t>
      </w:r>
      <w:proofErr w:type="gramStart"/>
      <w:r w:rsidRPr="00DE7D07">
        <w:rPr>
          <w:rFonts w:ascii="Arial" w:hAnsi="Arial" w:cs="Arial"/>
          <w:color w:val="000000" w:themeColor="text1"/>
          <w:sz w:val="22"/>
        </w:rPr>
        <w:t>Provost</w:t>
      </w:r>
      <w:proofErr w:type="gramEnd"/>
      <w:r w:rsidRPr="00DE7D07">
        <w:rPr>
          <w:rFonts w:ascii="Arial" w:hAnsi="Arial" w:cs="Arial"/>
          <w:color w:val="000000" w:themeColor="text1"/>
          <w:sz w:val="22"/>
        </w:rPr>
        <w:t xml:space="preserve"> approve</w:t>
      </w:r>
      <w:r w:rsidR="004E39C2" w:rsidRPr="00DE7D07">
        <w:rPr>
          <w:rFonts w:ascii="Arial" w:hAnsi="Arial" w:cs="Arial"/>
          <w:color w:val="000000" w:themeColor="text1"/>
          <w:sz w:val="22"/>
        </w:rPr>
        <w:t>s</w:t>
      </w:r>
      <w:r w:rsidRPr="00DE7D07">
        <w:rPr>
          <w:rFonts w:ascii="Arial" w:hAnsi="Arial" w:cs="Arial"/>
          <w:color w:val="000000" w:themeColor="text1"/>
          <w:sz w:val="22"/>
        </w:rPr>
        <w:t xml:space="preserve"> the program fee on behalf of Executive Group.</w:t>
      </w:r>
    </w:p>
    <w:p w14:paraId="27A94279" w14:textId="1B65805B" w:rsidR="000F1B59" w:rsidRPr="00DE7D07" w:rsidRDefault="000F1B59" w:rsidP="00DE7D07">
      <w:pPr>
        <w:pStyle w:val="Heading4"/>
        <w:spacing w:before="120"/>
        <w:ind w:left="851" w:firstLine="0"/>
        <w:jc w:val="left"/>
        <w:rPr>
          <w:rFonts w:ascii="Arial" w:hAnsi="Arial"/>
          <w:sz w:val="22"/>
        </w:rPr>
      </w:pPr>
      <w:r w:rsidRPr="00DE7D07">
        <w:rPr>
          <w:rFonts w:ascii="Arial" w:hAnsi="Arial"/>
          <w:sz w:val="22"/>
        </w:rPr>
        <w:t xml:space="preserve">3.1.3 Publication of fees  </w:t>
      </w:r>
    </w:p>
    <w:p w14:paraId="4B3D03DB" w14:textId="6BE943C9" w:rsidR="00B264BF" w:rsidRPr="00DE7D07" w:rsidRDefault="000F1B59" w:rsidP="00DE7D07">
      <w:pPr>
        <w:spacing w:before="120" w:after="120" w:line="240" w:lineRule="auto"/>
        <w:ind w:left="851"/>
        <w:rPr>
          <w:rFonts w:ascii="Arial" w:hAnsi="Arial" w:cs="Arial"/>
          <w:sz w:val="22"/>
        </w:rPr>
      </w:pPr>
      <w:r w:rsidRPr="00DE7D07">
        <w:rPr>
          <w:rFonts w:ascii="Arial" w:hAnsi="Arial" w:cs="Arial"/>
          <w:sz w:val="22"/>
        </w:rPr>
        <w:t>Following Executive Group’s approval, Finance inform</w:t>
      </w:r>
      <w:r w:rsidR="004E39C2" w:rsidRPr="00DE7D07">
        <w:rPr>
          <w:rFonts w:ascii="Arial" w:hAnsi="Arial" w:cs="Arial"/>
          <w:sz w:val="22"/>
        </w:rPr>
        <w:t>s</w:t>
      </w:r>
      <w:r w:rsidRPr="00DE7D07">
        <w:rPr>
          <w:rFonts w:ascii="Arial" w:hAnsi="Arial" w:cs="Arial"/>
          <w:sz w:val="22"/>
        </w:rPr>
        <w:t xml:space="preserve"> relevant teams of the fee decisions to ensure that relevant systems and websites are updated to reflect Executive Group’s decisions on fees.</w:t>
      </w:r>
    </w:p>
    <w:p w14:paraId="7670B386" w14:textId="4D3C7E54" w:rsidR="00450A31" w:rsidRPr="00DE7D07" w:rsidRDefault="00450A31" w:rsidP="00DE7D07">
      <w:pPr>
        <w:pStyle w:val="Heading3"/>
        <w:spacing w:before="120" w:after="120"/>
        <w:ind w:left="567" w:firstLine="0"/>
        <w:rPr>
          <w:rFonts w:ascii="Arial" w:hAnsi="Arial" w:cs="Arial"/>
          <w:b/>
          <w:bCs/>
          <w:sz w:val="28"/>
          <w:szCs w:val="28"/>
        </w:rPr>
      </w:pPr>
      <w:r w:rsidRPr="00DE7D07">
        <w:rPr>
          <w:rFonts w:ascii="Arial" w:hAnsi="Arial" w:cs="Arial"/>
          <w:b/>
          <w:bCs/>
          <w:sz w:val="28"/>
          <w:szCs w:val="28"/>
        </w:rPr>
        <w:t>3.</w:t>
      </w:r>
      <w:r w:rsidR="002C3871" w:rsidRPr="00DE7D07">
        <w:rPr>
          <w:rFonts w:ascii="Arial" w:hAnsi="Arial" w:cs="Arial"/>
          <w:b/>
          <w:bCs/>
          <w:sz w:val="28"/>
          <w:szCs w:val="28"/>
        </w:rPr>
        <w:t>2</w:t>
      </w:r>
      <w:r w:rsidRPr="00DE7D07">
        <w:rPr>
          <w:rFonts w:ascii="Arial" w:hAnsi="Arial" w:cs="Arial"/>
          <w:b/>
          <w:bCs/>
          <w:sz w:val="28"/>
          <w:szCs w:val="28"/>
        </w:rPr>
        <w:t xml:space="preserve"> </w:t>
      </w:r>
      <w:bookmarkStart w:id="12" w:name="Approval_of_student_services"/>
      <w:r w:rsidRPr="00DE7D07">
        <w:rPr>
          <w:rFonts w:ascii="Arial" w:hAnsi="Arial" w:cs="Arial"/>
          <w:b/>
          <w:bCs/>
          <w:sz w:val="28"/>
          <w:szCs w:val="28"/>
        </w:rPr>
        <w:t xml:space="preserve">Approval of Student Services </w:t>
      </w:r>
      <w:bookmarkEnd w:id="12"/>
      <w:r w:rsidRPr="00DE7D07">
        <w:rPr>
          <w:rFonts w:ascii="Arial" w:hAnsi="Arial" w:cs="Arial"/>
          <w:b/>
          <w:bCs/>
          <w:sz w:val="28"/>
          <w:szCs w:val="28"/>
        </w:rPr>
        <w:t xml:space="preserve">and Amenities Fee </w:t>
      </w:r>
    </w:p>
    <w:p w14:paraId="1EE85D9D" w14:textId="4D293A2C" w:rsidR="00450A31" w:rsidRPr="00DE7D07" w:rsidRDefault="00450A31" w:rsidP="00DE7D07">
      <w:pPr>
        <w:spacing w:before="120" w:after="120" w:line="240" w:lineRule="auto"/>
        <w:ind w:left="567"/>
        <w:rPr>
          <w:rFonts w:ascii="Arial" w:hAnsi="Arial" w:cs="Arial"/>
          <w:sz w:val="22"/>
        </w:rPr>
      </w:pPr>
      <w:r w:rsidRPr="00DE7D07">
        <w:rPr>
          <w:rFonts w:ascii="Arial" w:hAnsi="Arial" w:cs="Arial"/>
          <w:sz w:val="22"/>
        </w:rPr>
        <w:t>Griffith set</w:t>
      </w:r>
      <w:r w:rsidR="004E39C2" w:rsidRPr="00DE7D07">
        <w:rPr>
          <w:rFonts w:ascii="Arial" w:hAnsi="Arial" w:cs="Arial"/>
          <w:sz w:val="22"/>
        </w:rPr>
        <w:t>s</w:t>
      </w:r>
      <w:r w:rsidRPr="00DE7D07">
        <w:rPr>
          <w:rFonts w:ascii="Arial" w:hAnsi="Arial" w:cs="Arial"/>
          <w:sz w:val="22"/>
        </w:rPr>
        <w:t xml:space="preserve"> and use the Student Services and Amenities Fee in line with relevant Commonwealth</w:t>
      </w:r>
      <w:r w:rsidR="00186C17" w:rsidRPr="00DE7D07">
        <w:rPr>
          <w:rFonts w:ascii="Arial" w:hAnsi="Arial" w:cs="Arial"/>
          <w:sz w:val="22"/>
        </w:rPr>
        <w:t xml:space="preserve"> </w:t>
      </w:r>
      <w:r w:rsidRPr="00DE7D07">
        <w:rPr>
          <w:rFonts w:ascii="Arial" w:hAnsi="Arial" w:cs="Arial"/>
          <w:sz w:val="22"/>
        </w:rPr>
        <w:t xml:space="preserve">Government legislation, </w:t>
      </w:r>
      <w:proofErr w:type="gramStart"/>
      <w:r w:rsidRPr="00DE7D07">
        <w:rPr>
          <w:rFonts w:ascii="Arial" w:hAnsi="Arial" w:cs="Arial"/>
          <w:sz w:val="22"/>
        </w:rPr>
        <w:t>regulations</w:t>
      </w:r>
      <w:proofErr w:type="gramEnd"/>
      <w:r w:rsidRPr="00DE7D07">
        <w:rPr>
          <w:rFonts w:ascii="Arial" w:hAnsi="Arial" w:cs="Arial"/>
          <w:sz w:val="22"/>
        </w:rPr>
        <w:t xml:space="preserve"> and related guidelines.  </w:t>
      </w:r>
    </w:p>
    <w:p w14:paraId="0C1F28D8" w14:textId="3A4ACFC0" w:rsidR="00450A31" w:rsidRPr="00DE7D07" w:rsidRDefault="00450A31" w:rsidP="00DE7D07">
      <w:pPr>
        <w:spacing w:before="120" w:after="120" w:line="240" w:lineRule="auto"/>
        <w:ind w:left="567"/>
        <w:rPr>
          <w:rFonts w:ascii="Arial" w:hAnsi="Arial" w:cs="Arial"/>
          <w:sz w:val="22"/>
        </w:rPr>
      </w:pPr>
      <w:r w:rsidRPr="00DE7D07">
        <w:rPr>
          <w:rFonts w:ascii="Arial" w:hAnsi="Arial" w:cs="Arial"/>
          <w:sz w:val="22"/>
        </w:rPr>
        <w:t>Finance provide</w:t>
      </w:r>
      <w:r w:rsidR="004E39C2" w:rsidRPr="00DE7D07">
        <w:rPr>
          <w:rFonts w:ascii="Arial" w:hAnsi="Arial" w:cs="Arial"/>
          <w:sz w:val="22"/>
        </w:rPr>
        <w:t>s</w:t>
      </w:r>
      <w:r w:rsidRPr="00DE7D07">
        <w:rPr>
          <w:rFonts w:ascii="Arial" w:hAnsi="Arial" w:cs="Arial"/>
          <w:sz w:val="22"/>
        </w:rPr>
        <w:t xml:space="preserve"> the </w:t>
      </w:r>
      <w:proofErr w:type="gramStart"/>
      <w:r w:rsidRPr="00DE7D07">
        <w:rPr>
          <w:rFonts w:ascii="Arial" w:hAnsi="Arial" w:cs="Arial"/>
          <w:sz w:val="22"/>
        </w:rPr>
        <w:t>Provost</w:t>
      </w:r>
      <w:proofErr w:type="gramEnd"/>
      <w:r w:rsidRPr="00DE7D07">
        <w:rPr>
          <w:rFonts w:ascii="Arial" w:hAnsi="Arial" w:cs="Arial"/>
          <w:sz w:val="22"/>
        </w:rPr>
        <w:t xml:space="preserve"> with the recommended standard Student Services and Amenities Fee for the next calendar year.  The </w:t>
      </w:r>
      <w:proofErr w:type="gramStart"/>
      <w:r w:rsidRPr="00DE7D07">
        <w:rPr>
          <w:rFonts w:ascii="Arial" w:hAnsi="Arial" w:cs="Arial"/>
          <w:sz w:val="22"/>
        </w:rPr>
        <w:t>Provost</w:t>
      </w:r>
      <w:proofErr w:type="gramEnd"/>
      <w:r w:rsidRPr="00DE7D07">
        <w:rPr>
          <w:rFonts w:ascii="Arial" w:hAnsi="Arial" w:cs="Arial"/>
          <w:sz w:val="22"/>
        </w:rPr>
        <w:t xml:space="preserve"> approve</w:t>
      </w:r>
      <w:r w:rsidR="004E39C2" w:rsidRPr="00DE7D07">
        <w:rPr>
          <w:rFonts w:ascii="Arial" w:hAnsi="Arial" w:cs="Arial"/>
          <w:sz w:val="22"/>
        </w:rPr>
        <w:t>s</w:t>
      </w:r>
      <w:r w:rsidRPr="00DE7D07">
        <w:rPr>
          <w:rFonts w:ascii="Arial" w:hAnsi="Arial" w:cs="Arial"/>
          <w:sz w:val="22"/>
        </w:rPr>
        <w:t xml:space="preserve"> the standard Student Services and Amenities Fee. The standard student services and amenities fee </w:t>
      </w:r>
      <w:r w:rsidR="004E39C2" w:rsidRPr="00DE7D07">
        <w:rPr>
          <w:rFonts w:ascii="Arial" w:hAnsi="Arial" w:cs="Arial"/>
          <w:sz w:val="22"/>
        </w:rPr>
        <w:t>is</w:t>
      </w:r>
      <w:r w:rsidRPr="00DE7D07">
        <w:rPr>
          <w:rFonts w:ascii="Arial" w:hAnsi="Arial" w:cs="Arial"/>
          <w:sz w:val="22"/>
        </w:rPr>
        <w:t xml:space="preserve">: </w:t>
      </w:r>
    </w:p>
    <w:p w14:paraId="06F81765" w14:textId="070980DA" w:rsidR="00450A31" w:rsidRPr="00DE7D07" w:rsidRDefault="00450A31" w:rsidP="00DE7D07">
      <w:pPr>
        <w:pStyle w:val="NormalWhite"/>
        <w:numPr>
          <w:ilvl w:val="0"/>
          <w:numId w:val="3"/>
        </w:numPr>
        <w:spacing w:before="120" w:after="120" w:line="240" w:lineRule="auto"/>
        <w:ind w:left="851" w:hanging="284"/>
        <w:rPr>
          <w:rFonts w:ascii="Arial" w:hAnsi="Arial" w:cs="Arial"/>
          <w:color w:val="000000" w:themeColor="text1"/>
          <w:sz w:val="22"/>
        </w:rPr>
      </w:pPr>
      <w:r w:rsidRPr="00DE7D07">
        <w:rPr>
          <w:rFonts w:ascii="Arial" w:hAnsi="Arial" w:cs="Arial"/>
          <w:color w:val="000000" w:themeColor="text1"/>
          <w:sz w:val="22"/>
        </w:rPr>
        <w:t xml:space="preserve">within the maximum amount set by the Commonwealth </w:t>
      </w:r>
      <w:proofErr w:type="gramStart"/>
      <w:r w:rsidRPr="00DE7D07">
        <w:rPr>
          <w:rFonts w:ascii="Arial" w:hAnsi="Arial" w:cs="Arial"/>
          <w:color w:val="000000" w:themeColor="text1"/>
          <w:sz w:val="22"/>
        </w:rPr>
        <w:t>Government</w:t>
      </w:r>
      <w:r w:rsidR="00621342">
        <w:rPr>
          <w:rFonts w:ascii="Arial" w:hAnsi="Arial" w:cs="Arial"/>
          <w:color w:val="000000" w:themeColor="text1"/>
          <w:sz w:val="22"/>
        </w:rPr>
        <w:t>;</w:t>
      </w:r>
      <w:proofErr w:type="gramEnd"/>
      <w:r w:rsidRPr="00DE7D07">
        <w:rPr>
          <w:rFonts w:ascii="Arial" w:hAnsi="Arial" w:cs="Arial"/>
          <w:color w:val="000000" w:themeColor="text1"/>
          <w:sz w:val="22"/>
        </w:rPr>
        <w:t xml:space="preserve">  </w:t>
      </w:r>
    </w:p>
    <w:p w14:paraId="5E8E4940" w14:textId="12A0E8F0" w:rsidR="00450A31" w:rsidRPr="00DE7D07" w:rsidRDefault="00450A31" w:rsidP="00DE7D07">
      <w:pPr>
        <w:pStyle w:val="NormalWhite"/>
        <w:numPr>
          <w:ilvl w:val="0"/>
          <w:numId w:val="3"/>
        </w:numPr>
        <w:spacing w:before="120" w:after="120" w:line="240" w:lineRule="auto"/>
        <w:ind w:left="851" w:hanging="284"/>
        <w:rPr>
          <w:rFonts w:ascii="Arial" w:hAnsi="Arial" w:cs="Arial"/>
          <w:color w:val="000000" w:themeColor="text1"/>
          <w:sz w:val="22"/>
        </w:rPr>
      </w:pPr>
      <w:r w:rsidRPr="00DE7D07">
        <w:rPr>
          <w:rFonts w:ascii="Arial" w:hAnsi="Arial" w:cs="Arial"/>
          <w:color w:val="000000" w:themeColor="text1"/>
          <w:sz w:val="22"/>
        </w:rPr>
        <w:t xml:space="preserve">charged per enrolled credit point for all courses and payable for each teaching period in which a student is </w:t>
      </w:r>
      <w:proofErr w:type="gramStart"/>
      <w:r w:rsidRPr="00DE7D07">
        <w:rPr>
          <w:rFonts w:ascii="Arial" w:hAnsi="Arial" w:cs="Arial"/>
          <w:color w:val="000000" w:themeColor="text1"/>
          <w:sz w:val="22"/>
        </w:rPr>
        <w:t>enrolled</w:t>
      </w:r>
      <w:r w:rsidR="00621342">
        <w:rPr>
          <w:rFonts w:ascii="Arial" w:hAnsi="Arial" w:cs="Arial"/>
          <w:color w:val="000000" w:themeColor="text1"/>
          <w:sz w:val="22"/>
        </w:rPr>
        <w:t>;</w:t>
      </w:r>
      <w:proofErr w:type="gramEnd"/>
      <w:r w:rsidRPr="00DE7D07">
        <w:rPr>
          <w:rFonts w:ascii="Arial" w:hAnsi="Arial" w:cs="Arial"/>
          <w:color w:val="000000" w:themeColor="text1"/>
          <w:sz w:val="22"/>
        </w:rPr>
        <w:t xml:space="preserve"> </w:t>
      </w:r>
    </w:p>
    <w:p w14:paraId="0BC1322E" w14:textId="06052636" w:rsidR="00450A31" w:rsidRPr="00DE7D07" w:rsidRDefault="00450A31" w:rsidP="00DE7D07">
      <w:pPr>
        <w:pStyle w:val="NormalWhite"/>
        <w:numPr>
          <w:ilvl w:val="0"/>
          <w:numId w:val="3"/>
        </w:numPr>
        <w:spacing w:before="120" w:after="120" w:line="240" w:lineRule="auto"/>
        <w:ind w:left="851" w:hanging="284"/>
        <w:rPr>
          <w:rFonts w:ascii="Arial" w:hAnsi="Arial" w:cs="Arial"/>
          <w:color w:val="000000" w:themeColor="text1"/>
          <w:sz w:val="22"/>
        </w:rPr>
      </w:pPr>
      <w:r w:rsidRPr="00DE7D07">
        <w:rPr>
          <w:rFonts w:ascii="Arial" w:hAnsi="Arial" w:cs="Arial"/>
          <w:color w:val="000000" w:themeColor="text1"/>
          <w:sz w:val="22"/>
        </w:rPr>
        <w:t>set out in Schedule B: Student Services and Amenities Fee.</w:t>
      </w:r>
    </w:p>
    <w:p w14:paraId="05C0ED14" w14:textId="0A411732" w:rsidR="00450A31" w:rsidRPr="00DE7D07" w:rsidRDefault="00450A31" w:rsidP="00DE7D07">
      <w:pPr>
        <w:pStyle w:val="Heading2"/>
        <w:spacing w:before="120" w:line="240" w:lineRule="auto"/>
        <w:ind w:left="426" w:hanging="426"/>
        <w:rPr>
          <w:rFonts w:ascii="Arial" w:hAnsi="Arial" w:cs="Arial"/>
          <w:b/>
          <w:bCs/>
          <w:sz w:val="32"/>
          <w:szCs w:val="32"/>
          <w:shd w:val="clear" w:color="auto" w:fill="FFFFFF"/>
        </w:rPr>
      </w:pPr>
      <w:bookmarkStart w:id="13" w:name="_4.0_Definitions"/>
      <w:bookmarkEnd w:id="13"/>
      <w:r w:rsidRPr="00DE7D07">
        <w:rPr>
          <w:rFonts w:ascii="Arial" w:hAnsi="Arial" w:cs="Arial"/>
          <w:b/>
          <w:bCs/>
          <w:sz w:val="32"/>
          <w:szCs w:val="32"/>
          <w:shd w:val="clear" w:color="auto" w:fill="FFFFFF"/>
        </w:rPr>
        <w:t xml:space="preserve">4.0 Definitions </w:t>
      </w:r>
    </w:p>
    <w:p w14:paraId="08D35FAF" w14:textId="1525A2AD" w:rsidR="00450A31" w:rsidRPr="00DE7D07" w:rsidRDefault="00450A31" w:rsidP="00DE7D07">
      <w:pPr>
        <w:spacing w:before="120" w:after="120" w:line="240" w:lineRule="auto"/>
        <w:rPr>
          <w:rFonts w:ascii="Arial" w:hAnsi="Arial" w:cs="Arial"/>
          <w:sz w:val="22"/>
        </w:rPr>
      </w:pPr>
      <w:r w:rsidRPr="00DE7D07">
        <w:rPr>
          <w:rFonts w:ascii="Arial" w:hAnsi="Arial" w:cs="Arial"/>
          <w:sz w:val="22"/>
        </w:rPr>
        <w:t xml:space="preserve">For the purposes of this procedure and related policy documents, the following definitions apply:  </w:t>
      </w:r>
    </w:p>
    <w:p w14:paraId="38614D86" w14:textId="77777777" w:rsidR="00DE0C5B" w:rsidRPr="00DE7D07" w:rsidRDefault="00DE0C5B" w:rsidP="00DE7D07">
      <w:pPr>
        <w:spacing w:before="120" w:after="120" w:line="240" w:lineRule="auto"/>
        <w:rPr>
          <w:rFonts w:ascii="Arial" w:hAnsi="Arial" w:cs="Arial"/>
          <w:sz w:val="22"/>
        </w:rPr>
      </w:pPr>
      <w:r w:rsidRPr="00DE7D07">
        <w:rPr>
          <w:rFonts w:ascii="Arial" w:hAnsi="Arial" w:cs="Arial"/>
          <w:b/>
          <w:bCs/>
          <w:sz w:val="22"/>
        </w:rPr>
        <w:t>Commencing student</w:t>
      </w:r>
      <w:r w:rsidRPr="00DE7D07">
        <w:rPr>
          <w:rFonts w:ascii="Arial" w:hAnsi="Arial" w:cs="Arial"/>
          <w:sz w:val="22"/>
        </w:rPr>
        <w:t xml:space="preserve">: A student who commenced with Griffith university (including students who have accepted a packaged offer) or a student enrolled in their first trimester or equivalent teaching period at Griffith university. </w:t>
      </w:r>
    </w:p>
    <w:p w14:paraId="07E7D3E4" w14:textId="77777777" w:rsidR="00DE0C5B" w:rsidRPr="00DE7D07" w:rsidRDefault="00DE0C5B" w:rsidP="00DE7D07">
      <w:pPr>
        <w:spacing w:before="120" w:after="120" w:line="240" w:lineRule="auto"/>
        <w:rPr>
          <w:rFonts w:ascii="Arial" w:hAnsi="Arial" w:cs="Arial"/>
          <w:sz w:val="22"/>
        </w:rPr>
      </w:pPr>
      <w:r w:rsidRPr="00DE7D07">
        <w:rPr>
          <w:rFonts w:ascii="Arial" w:hAnsi="Arial" w:cs="Arial"/>
          <w:b/>
          <w:bCs/>
          <w:sz w:val="22"/>
        </w:rPr>
        <w:t>Continuing student</w:t>
      </w:r>
      <w:r w:rsidRPr="00DE7D07">
        <w:rPr>
          <w:rFonts w:ascii="Arial" w:hAnsi="Arial" w:cs="Arial"/>
          <w:sz w:val="22"/>
        </w:rPr>
        <w:t xml:space="preserve">: A student who commenced their program of study in a previous year and is re-enrolling in that program or a program deemed to be a 'like program', </w:t>
      </w:r>
      <w:proofErr w:type="spellStart"/>
      <w:r w:rsidRPr="00DE7D07">
        <w:rPr>
          <w:rFonts w:ascii="Arial" w:hAnsi="Arial" w:cs="Arial"/>
          <w:sz w:val="22"/>
        </w:rPr>
        <w:t>ie</w:t>
      </w:r>
      <w:proofErr w:type="spellEnd"/>
      <w:r w:rsidRPr="00DE7D07">
        <w:rPr>
          <w:rFonts w:ascii="Arial" w:hAnsi="Arial" w:cs="Arial"/>
          <w:sz w:val="22"/>
        </w:rPr>
        <w:t xml:space="preserve">, not a new field of study. </w:t>
      </w:r>
    </w:p>
    <w:p w14:paraId="63B88CDF" w14:textId="77777777" w:rsidR="00DE0C5B" w:rsidRPr="00DE7D07" w:rsidRDefault="00DE0C5B" w:rsidP="00DE7D07">
      <w:pPr>
        <w:spacing w:before="120" w:after="120" w:line="240" w:lineRule="auto"/>
        <w:rPr>
          <w:rFonts w:ascii="Arial" w:hAnsi="Arial" w:cs="Arial"/>
          <w:sz w:val="22"/>
        </w:rPr>
      </w:pPr>
      <w:r w:rsidRPr="00DE7D07">
        <w:rPr>
          <w:rFonts w:ascii="Arial" w:hAnsi="Arial" w:cs="Arial"/>
          <w:b/>
          <w:bCs/>
          <w:sz w:val="22"/>
        </w:rPr>
        <w:t>Fees:</w:t>
      </w:r>
      <w:r w:rsidRPr="00DE7D07">
        <w:rPr>
          <w:rFonts w:ascii="Arial" w:hAnsi="Arial" w:cs="Arial"/>
          <w:sz w:val="22"/>
        </w:rPr>
        <w:t xml:space="preserve"> The University may charge fees for admission, enrolment, tuition, examination, granting of degrees, and such other activities as the Council may determine in accordance with Commonwealth Government policy. The fee for any program must not be less than the maximum Student Contribution Amount payable for that program by Commonwealth Supported students. </w:t>
      </w:r>
    </w:p>
    <w:p w14:paraId="4094844E" w14:textId="41AA2541" w:rsidR="009116E5" w:rsidRPr="00DE7D07" w:rsidRDefault="009116E5" w:rsidP="00DE7D07">
      <w:pPr>
        <w:pStyle w:val="Heading4"/>
        <w:shd w:val="clear" w:color="auto" w:fill="FFFFFF"/>
        <w:spacing w:before="120"/>
        <w:ind w:left="0" w:firstLine="0"/>
        <w:jc w:val="left"/>
        <w:rPr>
          <w:rFonts w:ascii="Arial" w:hAnsi="Arial"/>
          <w:b w:val="0"/>
          <w:bCs/>
          <w:color w:val="242424"/>
          <w:sz w:val="22"/>
        </w:rPr>
      </w:pPr>
      <w:r w:rsidRPr="00DE7D07">
        <w:rPr>
          <w:rFonts w:ascii="Arial" w:hAnsi="Arial"/>
          <w:color w:val="242424"/>
          <w:sz w:val="22"/>
        </w:rPr>
        <w:t>Higher Degree by Research (HDR):</w:t>
      </w:r>
      <w:r w:rsidRPr="00DE7D07">
        <w:rPr>
          <w:rFonts w:ascii="Arial" w:hAnsi="Arial"/>
          <w:b w:val="0"/>
          <w:bCs/>
          <w:color w:val="242424"/>
          <w:sz w:val="22"/>
        </w:rPr>
        <w:t xml:space="preserve">  refers to a Research Masters or Research Doctorate where a</w:t>
      </w:r>
      <w:r w:rsidR="006437FF" w:rsidRPr="00DE7D07">
        <w:rPr>
          <w:rFonts w:ascii="Arial" w:hAnsi="Arial"/>
          <w:b w:val="0"/>
          <w:bCs/>
          <w:color w:val="242424"/>
          <w:sz w:val="22"/>
        </w:rPr>
        <w:t xml:space="preserve"> </w:t>
      </w:r>
      <w:r w:rsidRPr="00DE7D07">
        <w:rPr>
          <w:rFonts w:ascii="Arial" w:hAnsi="Arial"/>
          <w:b w:val="0"/>
          <w:bCs/>
          <w:color w:val="242424"/>
          <w:sz w:val="22"/>
        </w:rPr>
        <w:t>Research Masters means a Level 9 qualification as described in the AQF and where a minimum of two-thirds of the program of learning is for research, research training and independent study; Research Doctorate means a Level 10 qualification as described in the AQF and where a minimum of two years of the program of learning, and typically two-thirds of the qualification, is research.</w:t>
      </w:r>
    </w:p>
    <w:p w14:paraId="59199412" w14:textId="3994B0FA" w:rsidR="00DE0C5B" w:rsidRPr="00DE7D07" w:rsidRDefault="00DE0C5B" w:rsidP="00DE7D07">
      <w:pPr>
        <w:spacing w:before="120" w:after="120" w:line="240" w:lineRule="auto"/>
        <w:rPr>
          <w:rFonts w:ascii="Arial" w:hAnsi="Arial" w:cs="Arial"/>
          <w:sz w:val="22"/>
        </w:rPr>
      </w:pPr>
      <w:r w:rsidRPr="00DE7D07">
        <w:rPr>
          <w:rFonts w:ascii="Arial" w:hAnsi="Arial" w:cs="Arial"/>
          <w:b/>
          <w:bCs/>
          <w:sz w:val="22"/>
        </w:rPr>
        <w:t>International students fee</w:t>
      </w:r>
      <w:r w:rsidRPr="00DE7D07">
        <w:rPr>
          <w:rFonts w:ascii="Arial" w:hAnsi="Arial" w:cs="Arial"/>
          <w:sz w:val="22"/>
        </w:rPr>
        <w:t xml:space="preserve">: The tuition fee payable by International Students (FPOS).  </w:t>
      </w:r>
    </w:p>
    <w:p w14:paraId="45526A9A" w14:textId="77777777" w:rsidR="00DE0C5B" w:rsidRPr="00DE7D07" w:rsidRDefault="00DE0C5B" w:rsidP="00DE7D07">
      <w:pPr>
        <w:spacing w:before="120" w:after="120" w:line="240" w:lineRule="auto"/>
        <w:rPr>
          <w:rFonts w:ascii="Arial" w:hAnsi="Arial" w:cs="Arial"/>
          <w:sz w:val="22"/>
        </w:rPr>
      </w:pPr>
      <w:r w:rsidRPr="00DE7D07">
        <w:rPr>
          <w:rFonts w:ascii="Arial" w:hAnsi="Arial" w:cs="Arial"/>
          <w:b/>
          <w:bCs/>
          <w:sz w:val="22"/>
        </w:rPr>
        <w:t>Non-award and continuing education study</w:t>
      </w:r>
      <w:r w:rsidRPr="00DE7D07">
        <w:rPr>
          <w:rFonts w:ascii="Arial" w:hAnsi="Arial" w:cs="Arial"/>
          <w:sz w:val="22"/>
        </w:rPr>
        <w:t xml:space="preserve">: The generic term indicating programs of study which do not lead to the award of a degree. </w:t>
      </w:r>
    </w:p>
    <w:p w14:paraId="05D07DA6" w14:textId="17685CC3" w:rsidR="00DE0C5B" w:rsidRPr="00DE7D07" w:rsidRDefault="00DE0C5B" w:rsidP="00DE7D07">
      <w:pPr>
        <w:spacing w:before="120" w:after="120" w:line="240" w:lineRule="auto"/>
        <w:rPr>
          <w:rFonts w:ascii="Arial" w:hAnsi="Arial" w:cs="Arial"/>
          <w:sz w:val="22"/>
        </w:rPr>
      </w:pPr>
      <w:r w:rsidRPr="00DE7D07">
        <w:rPr>
          <w:rFonts w:ascii="Arial" w:hAnsi="Arial" w:cs="Arial"/>
          <w:b/>
          <w:bCs/>
          <w:sz w:val="22"/>
        </w:rPr>
        <w:t>Study Abroad</w:t>
      </w:r>
      <w:r w:rsidRPr="00DE7D07">
        <w:rPr>
          <w:rFonts w:ascii="Arial" w:hAnsi="Arial" w:cs="Arial"/>
          <w:sz w:val="22"/>
        </w:rPr>
        <w:t xml:space="preserve">: Programs designed for students who wish to study at Griffith for one or two trimesters. Study Abroad students pay tuition to Griffith and apply directly, through a Study Abroad partner university or a Study Abroad agent or provider. </w:t>
      </w:r>
    </w:p>
    <w:p w14:paraId="308A67AE" w14:textId="77777777" w:rsidR="0034154B" w:rsidRDefault="00DE0C5B" w:rsidP="00DE7D07">
      <w:pPr>
        <w:spacing w:before="120" w:after="120" w:line="240" w:lineRule="auto"/>
        <w:rPr>
          <w:rFonts w:ascii="Arial" w:hAnsi="Arial" w:cs="Arial"/>
          <w:sz w:val="22"/>
        </w:rPr>
      </w:pPr>
      <w:r w:rsidRPr="00DE7D07">
        <w:rPr>
          <w:rFonts w:ascii="Arial" w:hAnsi="Arial" w:cs="Arial"/>
          <w:b/>
          <w:bCs/>
          <w:sz w:val="22"/>
        </w:rPr>
        <w:t>The Student Services and Amenities Fee (SSAF):</w:t>
      </w:r>
      <w:r w:rsidRPr="00DE7D07">
        <w:rPr>
          <w:rFonts w:ascii="Arial" w:hAnsi="Arial" w:cs="Arial"/>
          <w:sz w:val="22"/>
        </w:rPr>
        <w:t xml:space="preserve"> A fee for student services and amenities of a non-academic nature, the maximum annual amount for which is legislated by the Australian government.  </w:t>
      </w:r>
    </w:p>
    <w:p w14:paraId="4CCB7FEF" w14:textId="0259CE9E" w:rsidR="00DE7D07" w:rsidRPr="00DE7D07" w:rsidRDefault="00DE7D07" w:rsidP="00DE7D07">
      <w:pPr>
        <w:pStyle w:val="Heading2"/>
        <w:spacing w:before="120" w:line="240" w:lineRule="auto"/>
        <w:ind w:left="426" w:hanging="426"/>
        <w:rPr>
          <w:rFonts w:ascii="Arial" w:hAnsi="Arial" w:cs="Arial"/>
          <w:b/>
          <w:bCs/>
          <w:sz w:val="32"/>
          <w:szCs w:val="32"/>
          <w:shd w:val="clear" w:color="auto" w:fill="FFFFFF"/>
        </w:rPr>
      </w:pPr>
      <w:bookmarkStart w:id="14" w:name="_5.0_Information"/>
      <w:bookmarkEnd w:id="14"/>
      <w:r>
        <w:rPr>
          <w:rFonts w:ascii="Arial" w:hAnsi="Arial" w:cs="Arial"/>
          <w:b/>
          <w:bCs/>
          <w:sz w:val="32"/>
          <w:szCs w:val="32"/>
          <w:shd w:val="clear" w:color="auto" w:fill="FFFFFF"/>
        </w:rPr>
        <w:lastRenderedPageBreak/>
        <w:t>5</w:t>
      </w:r>
      <w:r w:rsidRPr="00DE7D07">
        <w:rPr>
          <w:rFonts w:ascii="Arial" w:hAnsi="Arial" w:cs="Arial"/>
          <w:b/>
          <w:bCs/>
          <w:sz w:val="32"/>
          <w:szCs w:val="32"/>
          <w:shd w:val="clear" w:color="auto" w:fill="FFFFFF"/>
        </w:rPr>
        <w:t xml:space="preserve">.0 </w:t>
      </w:r>
      <w:r>
        <w:rPr>
          <w:rFonts w:ascii="Arial" w:hAnsi="Arial" w:cs="Arial"/>
          <w:b/>
          <w:bCs/>
          <w:sz w:val="32"/>
          <w:szCs w:val="32"/>
          <w:shd w:val="clear" w:color="auto" w:fill="FFFFFF"/>
        </w:rPr>
        <w:t>Information</w:t>
      </w:r>
    </w:p>
    <w:tbl>
      <w:tblPr>
        <w:tblStyle w:val="TableGrid"/>
        <w:tblW w:w="5009"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7"/>
        <w:gridCol w:w="8090"/>
      </w:tblGrid>
      <w:tr w:rsidR="00DE7D07" w:rsidRPr="00DE7D07" w14:paraId="2D6E1785" w14:textId="77777777" w:rsidTr="00DE7D07">
        <w:trPr>
          <w:trHeight w:val="356"/>
        </w:trPr>
        <w:tc>
          <w:tcPr>
            <w:tcW w:w="1041" w:type="pct"/>
            <w:shd w:val="clear" w:color="auto" w:fill="auto"/>
          </w:tcPr>
          <w:p w14:paraId="71FA60EF" w14:textId="77777777" w:rsidR="00DE7D07" w:rsidRPr="00DE7D07" w:rsidRDefault="00DE7D07" w:rsidP="00546B2A">
            <w:pPr>
              <w:spacing w:before="120" w:after="120" w:line="240" w:lineRule="auto"/>
              <w:rPr>
                <w:rFonts w:ascii="Arial" w:hAnsi="Arial" w:cs="Arial"/>
                <w:sz w:val="22"/>
              </w:rPr>
            </w:pPr>
            <w:r w:rsidRPr="00DE7D07">
              <w:rPr>
                <w:rStyle w:val="normaltextrun"/>
                <w:rFonts w:ascii="Arial" w:hAnsi="Arial" w:cs="Arial"/>
                <w:color w:val="000000"/>
                <w:sz w:val="22"/>
                <w:bdr w:val="none" w:sz="0" w:space="0" w:color="auto" w:frame="1"/>
              </w:rPr>
              <w:t>Title</w:t>
            </w:r>
          </w:p>
        </w:tc>
        <w:tc>
          <w:tcPr>
            <w:tcW w:w="3959" w:type="pct"/>
            <w:shd w:val="clear" w:color="auto" w:fill="auto"/>
          </w:tcPr>
          <w:p w14:paraId="2D659767" w14:textId="77777777" w:rsidR="00DE7D07" w:rsidRPr="00DE7D07" w:rsidRDefault="00DE7D07" w:rsidP="00546B2A">
            <w:pPr>
              <w:spacing w:before="120" w:after="120" w:line="240" w:lineRule="auto"/>
              <w:rPr>
                <w:rFonts w:ascii="Arial" w:hAnsi="Arial" w:cs="Arial"/>
                <w:sz w:val="22"/>
              </w:rPr>
            </w:pPr>
            <w:r w:rsidRPr="00DE7D07">
              <w:rPr>
                <w:rFonts w:ascii="Arial" w:hAnsi="Arial" w:cs="Arial"/>
                <w:sz w:val="22"/>
              </w:rPr>
              <w:t>Approval of Tuition Fees and Fee Reduction Scholarships Procedure</w:t>
            </w:r>
          </w:p>
        </w:tc>
      </w:tr>
      <w:tr w:rsidR="00DE7D07" w:rsidRPr="00DE7D07" w14:paraId="0F603E7F" w14:textId="77777777" w:rsidTr="00DE7D07">
        <w:trPr>
          <w:trHeight w:val="261"/>
        </w:trPr>
        <w:tc>
          <w:tcPr>
            <w:tcW w:w="1041" w:type="pct"/>
            <w:shd w:val="clear" w:color="auto" w:fill="auto"/>
          </w:tcPr>
          <w:p w14:paraId="73891FA2" w14:textId="77777777" w:rsidR="00DE7D07" w:rsidRPr="00DE7D07" w:rsidRDefault="00DE7D07" w:rsidP="00546B2A">
            <w:pPr>
              <w:spacing w:before="120" w:after="120" w:line="240" w:lineRule="auto"/>
              <w:rPr>
                <w:rFonts w:ascii="Arial" w:hAnsi="Arial" w:cs="Arial"/>
                <w:sz w:val="22"/>
              </w:rPr>
            </w:pPr>
            <w:r w:rsidRPr="00DE7D07">
              <w:rPr>
                <w:rFonts w:ascii="Arial" w:hAnsi="Arial" w:cs="Arial"/>
                <w:sz w:val="22"/>
              </w:rPr>
              <w:t>Document Number</w:t>
            </w:r>
          </w:p>
        </w:tc>
        <w:tc>
          <w:tcPr>
            <w:tcW w:w="3959" w:type="pct"/>
            <w:shd w:val="clear" w:color="auto" w:fill="auto"/>
          </w:tcPr>
          <w:p w14:paraId="6E8F6D47" w14:textId="77777777" w:rsidR="00DE7D07" w:rsidRPr="00DE7D07" w:rsidRDefault="00DE7D07" w:rsidP="00546B2A">
            <w:pPr>
              <w:spacing w:before="120" w:after="120" w:line="240" w:lineRule="auto"/>
              <w:rPr>
                <w:rFonts w:ascii="Arial" w:hAnsi="Arial" w:cs="Arial"/>
                <w:sz w:val="22"/>
              </w:rPr>
            </w:pPr>
            <w:r w:rsidRPr="00DE7D07">
              <w:rPr>
                <w:rFonts w:ascii="Arial" w:hAnsi="Arial" w:cs="Arial"/>
                <w:sz w:val="22"/>
              </w:rPr>
              <w:t>2022/0000904</w:t>
            </w:r>
          </w:p>
        </w:tc>
      </w:tr>
      <w:tr w:rsidR="00DE7D07" w:rsidRPr="00DE7D07" w14:paraId="3D1F52AD" w14:textId="77777777" w:rsidTr="00DE7D07">
        <w:trPr>
          <w:trHeight w:val="261"/>
        </w:trPr>
        <w:tc>
          <w:tcPr>
            <w:tcW w:w="1041" w:type="pct"/>
            <w:shd w:val="clear" w:color="auto" w:fill="auto"/>
          </w:tcPr>
          <w:p w14:paraId="7A4A51CB" w14:textId="77777777" w:rsidR="00DE7D07" w:rsidRPr="00DE7D07" w:rsidRDefault="00DE7D07" w:rsidP="00546B2A">
            <w:pPr>
              <w:spacing w:before="120" w:after="120" w:line="240" w:lineRule="auto"/>
              <w:rPr>
                <w:rFonts w:ascii="Arial" w:hAnsi="Arial" w:cs="Arial"/>
                <w:sz w:val="22"/>
              </w:rPr>
            </w:pPr>
            <w:r w:rsidRPr="00DE7D07">
              <w:rPr>
                <w:rFonts w:ascii="Arial" w:hAnsi="Arial" w:cs="Arial"/>
                <w:sz w:val="22"/>
              </w:rPr>
              <w:t>Purpose</w:t>
            </w:r>
          </w:p>
        </w:tc>
        <w:tc>
          <w:tcPr>
            <w:tcW w:w="3959" w:type="pct"/>
            <w:shd w:val="clear" w:color="auto" w:fill="auto"/>
          </w:tcPr>
          <w:p w14:paraId="1030D9C7" w14:textId="77777777" w:rsidR="00DE7D07" w:rsidRPr="00DE7D07" w:rsidRDefault="00DE7D07" w:rsidP="00546B2A">
            <w:pPr>
              <w:spacing w:before="120" w:after="120" w:line="240" w:lineRule="auto"/>
              <w:rPr>
                <w:rFonts w:ascii="Arial" w:hAnsi="Arial" w:cs="Arial"/>
                <w:sz w:val="22"/>
              </w:rPr>
            </w:pPr>
            <w:r w:rsidRPr="00DE7D07">
              <w:rPr>
                <w:rFonts w:ascii="Arial" w:hAnsi="Arial" w:cs="Arial"/>
                <w:sz w:val="22"/>
              </w:rPr>
              <w:t xml:space="preserve">This procedure applies </w:t>
            </w:r>
            <w:proofErr w:type="gramStart"/>
            <w:r w:rsidRPr="00DE7D07">
              <w:rPr>
                <w:rFonts w:ascii="Arial" w:hAnsi="Arial" w:cs="Arial"/>
                <w:sz w:val="22"/>
              </w:rPr>
              <w:t>to:</w:t>
            </w:r>
            <w:proofErr w:type="gramEnd"/>
            <w:r w:rsidRPr="00DE7D07">
              <w:rPr>
                <w:rFonts w:ascii="Arial" w:hAnsi="Arial" w:cs="Arial"/>
                <w:sz w:val="22"/>
              </w:rPr>
              <w:t xml:space="preserve"> 1) tuition fees for international students</w:t>
            </w:r>
            <w:r w:rsidRPr="00DE7D07">
              <w:rPr>
                <w:rStyle w:val="FootnoteReference"/>
                <w:rFonts w:ascii="Arial" w:hAnsi="Arial" w:cs="Arial"/>
                <w:sz w:val="22"/>
              </w:rPr>
              <w:footnoteReference w:id="5"/>
            </w:r>
            <w:r w:rsidRPr="00DE7D07">
              <w:rPr>
                <w:rFonts w:ascii="Arial" w:hAnsi="Arial" w:cs="Arial"/>
                <w:sz w:val="22"/>
              </w:rPr>
              <w:t>, domestic postgraduate fee paying students, and non-award and continuing education students; 2) the Student Services and Amenities fee; and 3) scholarships which are tuition fee reductions for full fee paying students.</w:t>
            </w:r>
            <w:r w:rsidRPr="00DE7D07">
              <w:rPr>
                <w:rStyle w:val="FootnoteReference"/>
                <w:rFonts w:ascii="Arial" w:hAnsi="Arial" w:cs="Arial"/>
                <w:sz w:val="22"/>
              </w:rPr>
              <w:footnoteReference w:id="6"/>
            </w:r>
          </w:p>
        </w:tc>
      </w:tr>
      <w:tr w:rsidR="00DE7D07" w:rsidRPr="00DE7D07" w14:paraId="2EE113A0" w14:textId="77777777" w:rsidTr="00DE7D07">
        <w:trPr>
          <w:trHeight w:val="261"/>
        </w:trPr>
        <w:tc>
          <w:tcPr>
            <w:tcW w:w="1041" w:type="pct"/>
            <w:shd w:val="clear" w:color="auto" w:fill="auto"/>
          </w:tcPr>
          <w:p w14:paraId="75B39734" w14:textId="77777777" w:rsidR="00DE7D07" w:rsidRPr="00DE7D07" w:rsidRDefault="00DE7D07" w:rsidP="00546B2A">
            <w:pPr>
              <w:spacing w:before="120" w:after="120" w:line="240" w:lineRule="auto"/>
              <w:rPr>
                <w:rFonts w:ascii="Arial" w:hAnsi="Arial" w:cs="Arial"/>
                <w:sz w:val="22"/>
              </w:rPr>
            </w:pPr>
            <w:r w:rsidRPr="00DE7D07">
              <w:rPr>
                <w:rFonts w:ascii="Arial" w:hAnsi="Arial" w:cs="Arial"/>
                <w:sz w:val="22"/>
              </w:rPr>
              <w:t>Audience</w:t>
            </w:r>
          </w:p>
        </w:tc>
        <w:tc>
          <w:tcPr>
            <w:tcW w:w="3959" w:type="pct"/>
            <w:shd w:val="clear" w:color="auto" w:fill="auto"/>
          </w:tcPr>
          <w:p w14:paraId="05BC965D" w14:textId="77777777" w:rsidR="00DE7D07" w:rsidRPr="00DE7D07" w:rsidRDefault="00DE7D07" w:rsidP="00546B2A">
            <w:pPr>
              <w:spacing w:before="120" w:after="120" w:line="240" w:lineRule="auto"/>
              <w:rPr>
                <w:rFonts w:ascii="Arial" w:hAnsi="Arial" w:cs="Arial"/>
                <w:sz w:val="22"/>
              </w:rPr>
            </w:pPr>
            <w:r w:rsidRPr="00DE7D07">
              <w:rPr>
                <w:rFonts w:ascii="Arial" w:hAnsi="Arial" w:cs="Arial"/>
                <w:sz w:val="22"/>
              </w:rPr>
              <w:t>Staff; Students; Public</w:t>
            </w:r>
          </w:p>
        </w:tc>
      </w:tr>
      <w:tr w:rsidR="00DE7D07" w:rsidRPr="00DE7D07" w14:paraId="58873501" w14:textId="77777777" w:rsidTr="00DE7D07">
        <w:trPr>
          <w:trHeight w:val="261"/>
        </w:trPr>
        <w:tc>
          <w:tcPr>
            <w:tcW w:w="1041" w:type="pct"/>
            <w:shd w:val="clear" w:color="auto" w:fill="auto"/>
          </w:tcPr>
          <w:p w14:paraId="0BBAB08D" w14:textId="77777777" w:rsidR="00DE7D07" w:rsidRPr="00DE7D07" w:rsidRDefault="00DE7D07" w:rsidP="00546B2A">
            <w:pPr>
              <w:spacing w:before="120" w:after="120" w:line="240" w:lineRule="auto"/>
              <w:rPr>
                <w:rFonts w:ascii="Arial" w:hAnsi="Arial" w:cs="Arial"/>
                <w:sz w:val="22"/>
              </w:rPr>
            </w:pPr>
            <w:r w:rsidRPr="00DE7D07">
              <w:rPr>
                <w:rStyle w:val="normaltextrun"/>
                <w:rFonts w:ascii="Arial" w:hAnsi="Arial" w:cs="Arial"/>
                <w:color w:val="000000"/>
                <w:sz w:val="22"/>
                <w:bdr w:val="none" w:sz="0" w:space="0" w:color="auto" w:frame="1"/>
              </w:rPr>
              <w:t>Category</w:t>
            </w:r>
          </w:p>
        </w:tc>
        <w:tc>
          <w:tcPr>
            <w:tcW w:w="3959" w:type="pct"/>
            <w:shd w:val="clear" w:color="auto" w:fill="auto"/>
          </w:tcPr>
          <w:p w14:paraId="1413D962" w14:textId="77777777" w:rsidR="00DE7D07" w:rsidRPr="00DE7D07" w:rsidRDefault="00DE7D07" w:rsidP="00546B2A">
            <w:pPr>
              <w:spacing w:before="120" w:after="120" w:line="240" w:lineRule="auto"/>
              <w:rPr>
                <w:rFonts w:ascii="Arial" w:hAnsi="Arial" w:cs="Arial"/>
                <w:sz w:val="22"/>
              </w:rPr>
            </w:pPr>
            <w:r w:rsidRPr="00DE7D07">
              <w:rPr>
                <w:rFonts w:ascii="Arial" w:hAnsi="Arial" w:cs="Arial"/>
                <w:sz w:val="22"/>
              </w:rPr>
              <w:t>Academic</w:t>
            </w:r>
          </w:p>
        </w:tc>
      </w:tr>
      <w:tr w:rsidR="00DE7D07" w:rsidRPr="00DE7D07" w14:paraId="55E41BAD" w14:textId="77777777" w:rsidTr="00DE7D07">
        <w:trPr>
          <w:trHeight w:val="261"/>
        </w:trPr>
        <w:tc>
          <w:tcPr>
            <w:tcW w:w="1041" w:type="pct"/>
            <w:shd w:val="clear" w:color="auto" w:fill="auto"/>
          </w:tcPr>
          <w:p w14:paraId="56094E3D" w14:textId="77777777" w:rsidR="00DE7D07" w:rsidRPr="00DE7D07" w:rsidRDefault="00DE7D07" w:rsidP="00546B2A">
            <w:pPr>
              <w:spacing w:before="120" w:after="120" w:line="240" w:lineRule="auto"/>
              <w:rPr>
                <w:rFonts w:ascii="Arial" w:hAnsi="Arial" w:cs="Arial"/>
                <w:sz w:val="22"/>
              </w:rPr>
            </w:pPr>
            <w:r w:rsidRPr="00DE7D07">
              <w:rPr>
                <w:rStyle w:val="normaltextrun"/>
                <w:rFonts w:ascii="Arial" w:hAnsi="Arial" w:cs="Arial"/>
                <w:color w:val="000000"/>
                <w:sz w:val="22"/>
                <w:bdr w:val="none" w:sz="0" w:space="0" w:color="auto" w:frame="1"/>
              </w:rPr>
              <w:t>Subcategory</w:t>
            </w:r>
          </w:p>
        </w:tc>
        <w:tc>
          <w:tcPr>
            <w:tcW w:w="3959" w:type="pct"/>
            <w:shd w:val="clear" w:color="auto" w:fill="auto"/>
          </w:tcPr>
          <w:p w14:paraId="3E0B630F" w14:textId="77777777" w:rsidR="00DE7D07" w:rsidRPr="00DE7D07" w:rsidRDefault="00DE7D07" w:rsidP="00546B2A">
            <w:pPr>
              <w:spacing w:before="120" w:after="120" w:line="240" w:lineRule="auto"/>
              <w:rPr>
                <w:rFonts w:ascii="Arial" w:hAnsi="Arial" w:cs="Arial"/>
                <w:sz w:val="22"/>
              </w:rPr>
            </w:pPr>
            <w:r w:rsidRPr="00DE7D07">
              <w:rPr>
                <w:rFonts w:ascii="Arial" w:hAnsi="Arial" w:cs="Arial"/>
                <w:sz w:val="22"/>
              </w:rPr>
              <w:t>Student Services</w:t>
            </w:r>
          </w:p>
        </w:tc>
      </w:tr>
      <w:tr w:rsidR="00DE7D07" w:rsidRPr="00DE7D07" w14:paraId="0AA8FBDF" w14:textId="77777777" w:rsidTr="00DE7D07">
        <w:trPr>
          <w:trHeight w:val="261"/>
        </w:trPr>
        <w:tc>
          <w:tcPr>
            <w:tcW w:w="1041" w:type="pct"/>
            <w:shd w:val="clear" w:color="auto" w:fill="auto"/>
          </w:tcPr>
          <w:p w14:paraId="2B06A4E6" w14:textId="77777777" w:rsidR="00DE7D07" w:rsidRPr="00DE7D07" w:rsidRDefault="00DE7D07" w:rsidP="00546B2A">
            <w:pPr>
              <w:spacing w:before="120" w:after="120" w:line="240" w:lineRule="auto"/>
              <w:rPr>
                <w:rFonts w:ascii="Arial" w:hAnsi="Arial" w:cs="Arial"/>
                <w:sz w:val="22"/>
              </w:rPr>
            </w:pPr>
            <w:r w:rsidRPr="00DE7D07">
              <w:rPr>
                <w:rFonts w:ascii="Arial" w:hAnsi="Arial" w:cs="Arial"/>
                <w:sz w:val="22"/>
              </w:rPr>
              <w:t>Approval date</w:t>
            </w:r>
          </w:p>
        </w:tc>
        <w:tc>
          <w:tcPr>
            <w:tcW w:w="3959" w:type="pct"/>
            <w:shd w:val="clear" w:color="auto" w:fill="auto"/>
          </w:tcPr>
          <w:p w14:paraId="38F0D85B" w14:textId="77777777" w:rsidR="00DE7D07" w:rsidRPr="00DE7D07" w:rsidRDefault="00DE7D07" w:rsidP="00546B2A">
            <w:pPr>
              <w:spacing w:before="120" w:after="120" w:line="240" w:lineRule="auto"/>
              <w:rPr>
                <w:rFonts w:ascii="Arial" w:hAnsi="Arial" w:cs="Arial"/>
                <w:sz w:val="22"/>
              </w:rPr>
            </w:pPr>
            <w:r w:rsidRPr="00DE7D07">
              <w:rPr>
                <w:rFonts w:ascii="Arial" w:hAnsi="Arial" w:cs="Arial"/>
                <w:sz w:val="22"/>
              </w:rPr>
              <w:t>9 December 2022</w:t>
            </w:r>
          </w:p>
        </w:tc>
      </w:tr>
      <w:tr w:rsidR="00DE7D07" w:rsidRPr="00DE7D07" w14:paraId="5F18D6F3" w14:textId="77777777" w:rsidTr="00DE7D07">
        <w:trPr>
          <w:trHeight w:val="261"/>
        </w:trPr>
        <w:tc>
          <w:tcPr>
            <w:tcW w:w="1041" w:type="pct"/>
            <w:shd w:val="clear" w:color="auto" w:fill="auto"/>
          </w:tcPr>
          <w:p w14:paraId="0FD34134" w14:textId="77777777" w:rsidR="00DE7D07" w:rsidRPr="00DE7D07" w:rsidRDefault="00DE7D07" w:rsidP="00546B2A">
            <w:pPr>
              <w:spacing w:before="120" w:after="120" w:line="240" w:lineRule="auto"/>
              <w:rPr>
                <w:rFonts w:ascii="Arial" w:hAnsi="Arial" w:cs="Arial"/>
                <w:sz w:val="22"/>
              </w:rPr>
            </w:pPr>
            <w:r w:rsidRPr="00DE7D07">
              <w:rPr>
                <w:rFonts w:ascii="Arial" w:hAnsi="Arial" w:cs="Arial"/>
                <w:sz w:val="22"/>
              </w:rPr>
              <w:t>Effective date</w:t>
            </w:r>
          </w:p>
        </w:tc>
        <w:tc>
          <w:tcPr>
            <w:tcW w:w="3959" w:type="pct"/>
            <w:shd w:val="clear" w:color="auto" w:fill="auto"/>
          </w:tcPr>
          <w:p w14:paraId="36791B4B" w14:textId="77777777" w:rsidR="00DE7D07" w:rsidRPr="00DE7D07" w:rsidRDefault="00DE7D07" w:rsidP="00546B2A">
            <w:pPr>
              <w:spacing w:before="120" w:after="120" w:line="240" w:lineRule="auto"/>
              <w:rPr>
                <w:rFonts w:ascii="Arial" w:hAnsi="Arial" w:cs="Arial"/>
                <w:sz w:val="22"/>
              </w:rPr>
            </w:pPr>
            <w:r w:rsidRPr="00DE7D07">
              <w:rPr>
                <w:rFonts w:ascii="Arial" w:hAnsi="Arial" w:cs="Arial"/>
                <w:sz w:val="22"/>
              </w:rPr>
              <w:t>1 January 2023</w:t>
            </w:r>
          </w:p>
        </w:tc>
      </w:tr>
      <w:tr w:rsidR="00DE7D07" w:rsidRPr="00DE7D07" w14:paraId="3755A112" w14:textId="77777777" w:rsidTr="00DE7D07">
        <w:trPr>
          <w:trHeight w:val="261"/>
        </w:trPr>
        <w:tc>
          <w:tcPr>
            <w:tcW w:w="1041" w:type="pct"/>
            <w:shd w:val="clear" w:color="auto" w:fill="auto"/>
          </w:tcPr>
          <w:p w14:paraId="56FB05C9" w14:textId="77777777" w:rsidR="00DE7D07" w:rsidRPr="00DE7D07" w:rsidRDefault="00DE7D07" w:rsidP="00546B2A">
            <w:pPr>
              <w:spacing w:before="120" w:after="120" w:line="240" w:lineRule="auto"/>
              <w:rPr>
                <w:rFonts w:ascii="Arial" w:hAnsi="Arial" w:cs="Arial"/>
                <w:sz w:val="22"/>
              </w:rPr>
            </w:pPr>
            <w:r w:rsidRPr="00DE7D07">
              <w:rPr>
                <w:rFonts w:ascii="Arial" w:hAnsi="Arial" w:cs="Arial"/>
                <w:sz w:val="22"/>
              </w:rPr>
              <w:t>Review date</w:t>
            </w:r>
          </w:p>
        </w:tc>
        <w:tc>
          <w:tcPr>
            <w:tcW w:w="3959" w:type="pct"/>
            <w:shd w:val="clear" w:color="auto" w:fill="auto"/>
          </w:tcPr>
          <w:p w14:paraId="7719E43B" w14:textId="77777777" w:rsidR="00DE7D07" w:rsidRPr="00DE7D07" w:rsidRDefault="00DE7D07" w:rsidP="00546B2A">
            <w:pPr>
              <w:spacing w:before="120" w:after="120" w:line="240" w:lineRule="auto"/>
              <w:rPr>
                <w:rFonts w:ascii="Arial" w:hAnsi="Arial" w:cs="Arial"/>
                <w:sz w:val="22"/>
              </w:rPr>
            </w:pPr>
            <w:r w:rsidRPr="00DE7D07">
              <w:rPr>
                <w:rFonts w:ascii="Arial" w:hAnsi="Arial" w:cs="Arial"/>
                <w:sz w:val="22"/>
              </w:rPr>
              <w:t>2025</w:t>
            </w:r>
          </w:p>
        </w:tc>
      </w:tr>
      <w:tr w:rsidR="00DE7D07" w:rsidRPr="00DE7D07" w14:paraId="7FCE951F" w14:textId="77777777" w:rsidTr="00DE7D07">
        <w:trPr>
          <w:trHeight w:val="261"/>
        </w:trPr>
        <w:tc>
          <w:tcPr>
            <w:tcW w:w="1041" w:type="pct"/>
            <w:tcBorders>
              <w:bottom w:val="single" w:sz="4" w:space="0" w:color="auto"/>
            </w:tcBorders>
            <w:shd w:val="clear" w:color="auto" w:fill="auto"/>
          </w:tcPr>
          <w:p w14:paraId="6B111045" w14:textId="77777777" w:rsidR="00DE7D07" w:rsidRPr="00DE7D07" w:rsidRDefault="00DE7D07" w:rsidP="00546B2A">
            <w:pPr>
              <w:spacing w:before="120" w:after="120" w:line="240" w:lineRule="auto"/>
              <w:rPr>
                <w:rFonts w:ascii="Arial" w:hAnsi="Arial" w:cs="Arial"/>
                <w:sz w:val="22"/>
              </w:rPr>
            </w:pPr>
            <w:r w:rsidRPr="00DE7D07">
              <w:rPr>
                <w:rFonts w:ascii="Arial" w:hAnsi="Arial" w:cs="Arial"/>
                <w:sz w:val="22"/>
              </w:rPr>
              <w:t>Policy advisor</w:t>
            </w:r>
          </w:p>
        </w:tc>
        <w:tc>
          <w:tcPr>
            <w:tcW w:w="3959" w:type="pct"/>
            <w:tcBorders>
              <w:bottom w:val="single" w:sz="4" w:space="0" w:color="auto"/>
            </w:tcBorders>
            <w:shd w:val="clear" w:color="auto" w:fill="auto"/>
          </w:tcPr>
          <w:p w14:paraId="08AA1404" w14:textId="77777777" w:rsidR="00DE7D07" w:rsidRPr="00DE7D07" w:rsidRDefault="00DE7D07" w:rsidP="00546B2A">
            <w:pPr>
              <w:spacing w:before="120" w:after="120" w:line="240" w:lineRule="auto"/>
              <w:rPr>
                <w:rFonts w:ascii="Arial" w:hAnsi="Arial" w:cs="Arial"/>
                <w:sz w:val="22"/>
              </w:rPr>
            </w:pPr>
            <w:r w:rsidRPr="00DE7D07">
              <w:rPr>
                <w:rFonts w:ascii="Arial" w:hAnsi="Arial" w:cs="Arial"/>
                <w:sz w:val="22"/>
              </w:rPr>
              <w:t xml:space="preserve">Chief Financial Officer  </w:t>
            </w:r>
          </w:p>
        </w:tc>
      </w:tr>
      <w:tr w:rsidR="00DE7D07" w:rsidRPr="00DE7D07" w14:paraId="0B514B59" w14:textId="77777777" w:rsidTr="00DE7D07">
        <w:trPr>
          <w:trHeight w:val="261"/>
        </w:trPr>
        <w:tc>
          <w:tcPr>
            <w:tcW w:w="1041" w:type="pct"/>
            <w:tcBorders>
              <w:top w:val="single" w:sz="4" w:space="0" w:color="auto"/>
              <w:bottom w:val="single" w:sz="4" w:space="0" w:color="auto"/>
            </w:tcBorders>
            <w:shd w:val="clear" w:color="auto" w:fill="auto"/>
          </w:tcPr>
          <w:p w14:paraId="333BC4E4" w14:textId="77777777" w:rsidR="00DE7D07" w:rsidRPr="00DE7D07" w:rsidRDefault="00DE7D07" w:rsidP="00546B2A">
            <w:pPr>
              <w:spacing w:before="120" w:after="120" w:line="240" w:lineRule="auto"/>
              <w:rPr>
                <w:rFonts w:ascii="Arial" w:hAnsi="Arial" w:cs="Arial"/>
                <w:sz w:val="22"/>
              </w:rPr>
            </w:pPr>
            <w:r w:rsidRPr="00DE7D07">
              <w:rPr>
                <w:rFonts w:ascii="Arial" w:hAnsi="Arial" w:cs="Arial"/>
                <w:sz w:val="22"/>
              </w:rPr>
              <w:t>Approving authority</w:t>
            </w:r>
          </w:p>
        </w:tc>
        <w:tc>
          <w:tcPr>
            <w:tcW w:w="3959" w:type="pct"/>
            <w:tcBorders>
              <w:top w:val="single" w:sz="4" w:space="0" w:color="auto"/>
              <w:bottom w:val="single" w:sz="4" w:space="0" w:color="auto"/>
            </w:tcBorders>
            <w:shd w:val="clear" w:color="auto" w:fill="auto"/>
          </w:tcPr>
          <w:p w14:paraId="16FD37C5" w14:textId="77777777" w:rsidR="00DE7D07" w:rsidRPr="00DE7D07" w:rsidRDefault="00DE7D07" w:rsidP="00546B2A">
            <w:pPr>
              <w:spacing w:before="120" w:after="120" w:line="240" w:lineRule="auto"/>
              <w:rPr>
                <w:rFonts w:ascii="Arial" w:hAnsi="Arial" w:cs="Arial"/>
                <w:sz w:val="22"/>
              </w:rPr>
            </w:pPr>
            <w:r w:rsidRPr="00DE7D07">
              <w:rPr>
                <w:rStyle w:val="normaltextrun"/>
                <w:rFonts w:ascii="Arial" w:hAnsi="Arial" w:cs="Arial"/>
                <w:color w:val="000000"/>
                <w:sz w:val="22"/>
                <w:bdr w:val="none" w:sz="0" w:space="0" w:color="auto" w:frame="1"/>
              </w:rPr>
              <w:t>Provost</w:t>
            </w:r>
          </w:p>
        </w:tc>
      </w:tr>
    </w:tbl>
    <w:p w14:paraId="20AE67B4" w14:textId="34F81BD4" w:rsidR="00DE7D07" w:rsidRPr="00DE7D07" w:rsidRDefault="00DE7D07" w:rsidP="00DE7D07">
      <w:pPr>
        <w:pStyle w:val="Heading2"/>
        <w:spacing w:before="120" w:line="240" w:lineRule="auto"/>
        <w:ind w:left="426" w:hanging="426"/>
        <w:rPr>
          <w:rFonts w:ascii="Arial" w:hAnsi="Arial" w:cs="Arial"/>
          <w:b/>
          <w:bCs/>
          <w:sz w:val="32"/>
          <w:szCs w:val="32"/>
          <w:shd w:val="clear" w:color="auto" w:fill="FFFFFF"/>
        </w:rPr>
      </w:pPr>
      <w:bookmarkStart w:id="15" w:name="_6.0_Related_Policy"/>
      <w:bookmarkEnd w:id="15"/>
      <w:r>
        <w:rPr>
          <w:rFonts w:ascii="Arial" w:hAnsi="Arial" w:cs="Arial"/>
          <w:b/>
          <w:bCs/>
          <w:sz w:val="32"/>
          <w:szCs w:val="32"/>
          <w:shd w:val="clear" w:color="auto" w:fill="FFFFFF"/>
        </w:rPr>
        <w:t>6</w:t>
      </w:r>
      <w:r w:rsidRPr="00DE7D07">
        <w:rPr>
          <w:rFonts w:ascii="Arial" w:hAnsi="Arial" w:cs="Arial"/>
          <w:b/>
          <w:bCs/>
          <w:sz w:val="32"/>
          <w:szCs w:val="32"/>
          <w:shd w:val="clear" w:color="auto" w:fill="FFFFFF"/>
        </w:rPr>
        <w:t xml:space="preserve">.0 </w:t>
      </w:r>
      <w:r>
        <w:rPr>
          <w:rFonts w:ascii="Arial" w:hAnsi="Arial" w:cs="Arial"/>
          <w:b/>
          <w:bCs/>
          <w:sz w:val="32"/>
          <w:szCs w:val="32"/>
          <w:shd w:val="clear" w:color="auto" w:fill="FFFFFF"/>
        </w:rPr>
        <w:t>Related Policy Documents and Supporting Documents</w:t>
      </w:r>
    </w:p>
    <w:tbl>
      <w:tblPr>
        <w:tblStyle w:val="TableGrid"/>
        <w:tblW w:w="5005" w:type="pct"/>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30"/>
        <w:gridCol w:w="8079"/>
      </w:tblGrid>
      <w:tr w:rsidR="00DE7D07" w:rsidRPr="00DE7D07" w14:paraId="39683BB5" w14:textId="77777777" w:rsidTr="00DE7D07">
        <w:tc>
          <w:tcPr>
            <w:tcW w:w="1043" w:type="pct"/>
          </w:tcPr>
          <w:p w14:paraId="18511476" w14:textId="77777777" w:rsidR="00DE7D07" w:rsidRPr="00DE7D07" w:rsidRDefault="00DE7D07" w:rsidP="00546B2A">
            <w:pPr>
              <w:spacing w:before="120" w:after="120" w:line="240" w:lineRule="auto"/>
              <w:rPr>
                <w:rFonts w:ascii="Arial" w:hAnsi="Arial" w:cs="Arial"/>
                <w:sz w:val="22"/>
              </w:rPr>
            </w:pPr>
            <w:r w:rsidRPr="00DE7D07">
              <w:rPr>
                <w:rStyle w:val="normaltextrun"/>
                <w:rFonts w:ascii="Arial" w:hAnsi="Arial" w:cs="Arial"/>
                <w:color w:val="000000"/>
                <w:sz w:val="22"/>
                <w:bdr w:val="none" w:sz="0" w:space="0" w:color="auto" w:frame="1"/>
              </w:rPr>
              <w:t>Legislation </w:t>
            </w:r>
          </w:p>
        </w:tc>
        <w:tc>
          <w:tcPr>
            <w:tcW w:w="3957" w:type="pct"/>
          </w:tcPr>
          <w:p w14:paraId="798AA79D" w14:textId="77777777" w:rsidR="00DE7D07" w:rsidRPr="00DE7D07" w:rsidRDefault="00DE7D07" w:rsidP="00546B2A">
            <w:pPr>
              <w:pStyle w:val="paragraph"/>
              <w:spacing w:before="120" w:beforeAutospacing="0" w:after="120" w:afterAutospacing="0"/>
              <w:textAlignment w:val="baseline"/>
              <w:rPr>
                <w:rStyle w:val="normaltextrun"/>
                <w:rFonts w:ascii="Arial" w:hAnsi="Arial" w:cs="Arial"/>
                <w:color w:val="000000"/>
                <w:sz w:val="22"/>
                <w:szCs w:val="22"/>
                <w:bdr w:val="none" w:sz="0" w:space="0" w:color="auto" w:frame="1"/>
              </w:rPr>
            </w:pPr>
            <w:hyperlink r:id="rId11" w:history="1">
              <w:r w:rsidRPr="00DE7D07">
                <w:rPr>
                  <w:rStyle w:val="Hyperlink"/>
                  <w:rFonts w:ascii="Arial" w:hAnsi="Arial" w:cs="Arial"/>
                  <w:sz w:val="22"/>
                  <w:szCs w:val="22"/>
                  <w:u w:val="none"/>
                  <w:bdr w:val="none" w:sz="0" w:space="0" w:color="auto" w:frame="1"/>
                </w:rPr>
                <w:t>Higher Education Support Act 2003 (HESA)</w:t>
              </w:r>
            </w:hyperlink>
          </w:p>
          <w:p w14:paraId="574D2D71" w14:textId="77777777" w:rsidR="00DE7D07" w:rsidRPr="00DE7D07" w:rsidRDefault="00DE7D07" w:rsidP="00546B2A">
            <w:pPr>
              <w:pStyle w:val="paragraph"/>
              <w:spacing w:before="120" w:beforeAutospacing="0" w:after="120" w:afterAutospacing="0"/>
              <w:textAlignment w:val="baseline"/>
              <w:rPr>
                <w:rStyle w:val="normaltextrun"/>
                <w:rFonts w:ascii="Arial" w:hAnsi="Arial" w:cs="Arial"/>
                <w:color w:val="000000"/>
                <w:sz w:val="22"/>
                <w:szCs w:val="22"/>
                <w:bdr w:val="none" w:sz="0" w:space="0" w:color="auto" w:frame="1"/>
              </w:rPr>
            </w:pPr>
            <w:hyperlink r:id="rId12" w:history="1">
              <w:r w:rsidRPr="00DE7D07">
                <w:rPr>
                  <w:rStyle w:val="Hyperlink"/>
                  <w:rFonts w:ascii="Arial" w:hAnsi="Arial" w:cs="Arial"/>
                  <w:sz w:val="22"/>
                  <w:szCs w:val="22"/>
                  <w:u w:val="none"/>
                  <w:bdr w:val="none" w:sz="0" w:space="0" w:color="auto" w:frame="1"/>
                </w:rPr>
                <w:t>Higher Education Standards Framework (Threshold Standards) 2021</w:t>
              </w:r>
            </w:hyperlink>
          </w:p>
          <w:p w14:paraId="46D5282F" w14:textId="77777777" w:rsidR="00DE7D07" w:rsidRPr="00DE7D07" w:rsidRDefault="00DE7D07" w:rsidP="00546B2A">
            <w:pPr>
              <w:pStyle w:val="paragraph"/>
              <w:spacing w:before="120" w:beforeAutospacing="0" w:after="120" w:afterAutospacing="0"/>
              <w:textAlignment w:val="baseline"/>
              <w:rPr>
                <w:rStyle w:val="normaltextrun"/>
                <w:rFonts w:ascii="Arial" w:hAnsi="Arial" w:cs="Arial"/>
                <w:color w:val="000000"/>
                <w:sz w:val="22"/>
                <w:szCs w:val="22"/>
                <w:bdr w:val="none" w:sz="0" w:space="0" w:color="auto" w:frame="1"/>
              </w:rPr>
            </w:pPr>
            <w:hyperlink r:id="rId13" w:history="1">
              <w:r w:rsidRPr="00DE7D07">
                <w:rPr>
                  <w:rStyle w:val="Hyperlink"/>
                  <w:rFonts w:ascii="Arial" w:hAnsi="Arial" w:cs="Arial"/>
                  <w:sz w:val="22"/>
                  <w:szCs w:val="22"/>
                  <w:u w:val="none"/>
                  <w:bdr w:val="none" w:sz="0" w:space="0" w:color="auto" w:frame="1"/>
                </w:rPr>
                <w:t>Education Services for Overseas (ESOS) Act 2000</w:t>
              </w:r>
            </w:hyperlink>
          </w:p>
          <w:p w14:paraId="7A736EA2" w14:textId="77777777" w:rsidR="00DE7D07" w:rsidRPr="00DE7D07" w:rsidRDefault="00DE7D07" w:rsidP="00546B2A">
            <w:pPr>
              <w:pStyle w:val="paragraph"/>
              <w:spacing w:before="120" w:beforeAutospacing="0" w:after="120" w:afterAutospacing="0"/>
              <w:textAlignment w:val="baseline"/>
              <w:rPr>
                <w:rFonts w:ascii="Arial" w:hAnsi="Arial" w:cs="Arial"/>
                <w:color w:val="000000"/>
                <w:sz w:val="22"/>
                <w:szCs w:val="22"/>
                <w:bdr w:val="none" w:sz="0" w:space="0" w:color="auto" w:frame="1"/>
              </w:rPr>
            </w:pPr>
            <w:hyperlink r:id="rId14" w:history="1">
              <w:r w:rsidRPr="00DE7D07">
                <w:rPr>
                  <w:rStyle w:val="Hyperlink"/>
                  <w:rFonts w:ascii="Arial" w:hAnsi="Arial" w:cs="Arial"/>
                  <w:sz w:val="22"/>
                  <w:szCs w:val="22"/>
                  <w:u w:val="none"/>
                  <w:bdr w:val="none" w:sz="0" w:space="0" w:color="auto" w:frame="1"/>
                </w:rPr>
                <w:t>National Code of Practice for Providers of Education and Training to Overseas Students (the National Code 2018)</w:t>
              </w:r>
            </w:hyperlink>
          </w:p>
        </w:tc>
      </w:tr>
      <w:tr w:rsidR="00DE7D07" w:rsidRPr="00DE7D07" w14:paraId="125C231E" w14:textId="77777777" w:rsidTr="00DE7D07">
        <w:tc>
          <w:tcPr>
            <w:tcW w:w="1043" w:type="pct"/>
          </w:tcPr>
          <w:p w14:paraId="6EC75628" w14:textId="77777777" w:rsidR="00DE7D07" w:rsidRPr="00DE7D07" w:rsidRDefault="00DE7D07" w:rsidP="00546B2A">
            <w:pPr>
              <w:spacing w:before="120" w:after="120" w:line="240" w:lineRule="auto"/>
              <w:rPr>
                <w:rFonts w:ascii="Arial" w:hAnsi="Arial" w:cs="Arial"/>
                <w:sz w:val="22"/>
              </w:rPr>
            </w:pPr>
            <w:r w:rsidRPr="00DE7D07">
              <w:rPr>
                <w:rStyle w:val="normaltextrun"/>
                <w:rFonts w:ascii="Arial" w:hAnsi="Arial" w:cs="Arial"/>
                <w:color w:val="000000"/>
                <w:sz w:val="22"/>
                <w:bdr w:val="none" w:sz="0" w:space="0" w:color="auto" w:frame="1"/>
              </w:rPr>
              <w:t>Policy</w:t>
            </w:r>
          </w:p>
        </w:tc>
        <w:tc>
          <w:tcPr>
            <w:tcW w:w="3957" w:type="pct"/>
          </w:tcPr>
          <w:p w14:paraId="704140B4" w14:textId="77777777" w:rsidR="00DE7D07" w:rsidRPr="00DE7D07" w:rsidRDefault="00DE7D07" w:rsidP="00546B2A">
            <w:pPr>
              <w:spacing w:before="120" w:after="120" w:line="240" w:lineRule="auto"/>
              <w:rPr>
                <w:rFonts w:ascii="Arial" w:hAnsi="Arial" w:cs="Arial"/>
                <w:sz w:val="22"/>
              </w:rPr>
            </w:pPr>
            <w:r w:rsidRPr="00DE7D07">
              <w:rPr>
                <w:rFonts w:ascii="Arial" w:hAnsi="Arial" w:cs="Arial"/>
                <w:sz w:val="22"/>
              </w:rPr>
              <w:t>N/A</w:t>
            </w:r>
          </w:p>
        </w:tc>
      </w:tr>
      <w:tr w:rsidR="00DE7D07" w:rsidRPr="00DE7D07" w14:paraId="681988C7" w14:textId="77777777" w:rsidTr="00DE7D07">
        <w:tc>
          <w:tcPr>
            <w:tcW w:w="1043" w:type="pct"/>
          </w:tcPr>
          <w:p w14:paraId="73BBF4C3" w14:textId="49B57C76" w:rsidR="00DE7D07" w:rsidRPr="00DE7D07" w:rsidRDefault="00DE7D07" w:rsidP="00546B2A">
            <w:pPr>
              <w:spacing w:before="120" w:after="120" w:line="240" w:lineRule="auto"/>
              <w:rPr>
                <w:rFonts w:ascii="Arial" w:hAnsi="Arial" w:cs="Arial"/>
                <w:sz w:val="22"/>
              </w:rPr>
            </w:pPr>
            <w:r w:rsidRPr="00DE7D07">
              <w:rPr>
                <w:rStyle w:val="normaltextrun"/>
                <w:rFonts w:ascii="Arial" w:hAnsi="Arial" w:cs="Arial"/>
                <w:color w:val="000000"/>
                <w:sz w:val="22"/>
                <w:bdr w:val="none" w:sz="0" w:space="0" w:color="auto" w:frame="1"/>
              </w:rPr>
              <w:t>Procedure</w:t>
            </w:r>
          </w:p>
        </w:tc>
        <w:tc>
          <w:tcPr>
            <w:tcW w:w="3957" w:type="pct"/>
          </w:tcPr>
          <w:p w14:paraId="0CA9C5E5" w14:textId="77777777" w:rsidR="00DE7D07" w:rsidRPr="00DE7D07" w:rsidRDefault="00DE7D07" w:rsidP="00546B2A">
            <w:pPr>
              <w:spacing w:before="120" w:after="120" w:line="240" w:lineRule="auto"/>
              <w:rPr>
                <w:rFonts w:ascii="Arial" w:hAnsi="Arial" w:cs="Arial"/>
                <w:sz w:val="22"/>
              </w:rPr>
            </w:pPr>
            <w:hyperlink r:id="rId15" w:history="1">
              <w:r w:rsidRPr="00DE7D07">
                <w:rPr>
                  <w:rStyle w:val="Hyperlink"/>
                  <w:rFonts w:ascii="Arial" w:hAnsi="Arial" w:cs="Arial"/>
                  <w:sz w:val="22"/>
                  <w:u w:val="none"/>
                </w:rPr>
                <w:t>Fees and Charges Procedure</w:t>
              </w:r>
            </w:hyperlink>
          </w:p>
        </w:tc>
      </w:tr>
      <w:tr w:rsidR="00DE7D07" w:rsidRPr="00DE7D07" w14:paraId="0445DD11" w14:textId="77777777" w:rsidTr="00DE7D07">
        <w:tc>
          <w:tcPr>
            <w:tcW w:w="1043" w:type="pct"/>
            <w:tcBorders>
              <w:bottom w:val="single" w:sz="4" w:space="0" w:color="auto"/>
            </w:tcBorders>
          </w:tcPr>
          <w:p w14:paraId="36A1290A" w14:textId="5274A843" w:rsidR="00DE7D07" w:rsidRPr="00DE7D07" w:rsidRDefault="00DE7D07" w:rsidP="00546B2A">
            <w:pPr>
              <w:spacing w:before="120" w:after="120" w:line="240" w:lineRule="auto"/>
              <w:rPr>
                <w:rFonts w:ascii="Arial" w:hAnsi="Arial" w:cs="Arial"/>
                <w:sz w:val="22"/>
              </w:rPr>
            </w:pPr>
            <w:r w:rsidRPr="00DE7D07">
              <w:rPr>
                <w:rFonts w:ascii="Arial" w:hAnsi="Arial" w:cs="Arial"/>
                <w:sz w:val="22"/>
              </w:rPr>
              <w:t>Local protocol</w:t>
            </w:r>
          </w:p>
        </w:tc>
        <w:tc>
          <w:tcPr>
            <w:tcW w:w="3957" w:type="pct"/>
            <w:tcBorders>
              <w:bottom w:val="single" w:sz="4" w:space="0" w:color="auto"/>
            </w:tcBorders>
          </w:tcPr>
          <w:p w14:paraId="5FB029F1" w14:textId="1BD20228" w:rsidR="00DE7D07" w:rsidRPr="003137DF" w:rsidRDefault="00621342" w:rsidP="00546B2A">
            <w:pPr>
              <w:spacing w:before="120" w:after="120" w:line="240" w:lineRule="auto"/>
              <w:rPr>
                <w:rFonts w:ascii="Arial" w:hAnsi="Arial" w:cs="Arial"/>
                <w:sz w:val="22"/>
              </w:rPr>
            </w:pPr>
            <w:hyperlink r:id="rId16" w:history="1">
              <w:r w:rsidRPr="003137DF">
                <w:rPr>
                  <w:rStyle w:val="Hyperlink"/>
                  <w:rFonts w:ascii="Arial" w:hAnsi="Arial" w:cs="Arial"/>
                  <w:sz w:val="22"/>
                  <w:u w:val="none"/>
                </w:rPr>
                <w:t>Fees and Charges Schedules</w:t>
              </w:r>
            </w:hyperlink>
          </w:p>
        </w:tc>
      </w:tr>
      <w:tr w:rsidR="00DE7D07" w:rsidRPr="00DE7D07" w14:paraId="13310AAA" w14:textId="77777777" w:rsidTr="00DE7D07">
        <w:tc>
          <w:tcPr>
            <w:tcW w:w="1043" w:type="pct"/>
            <w:tcBorders>
              <w:top w:val="single" w:sz="4" w:space="0" w:color="auto"/>
              <w:bottom w:val="single" w:sz="4" w:space="0" w:color="auto"/>
            </w:tcBorders>
          </w:tcPr>
          <w:p w14:paraId="073E98D7" w14:textId="6067F3AC" w:rsidR="00DE7D07" w:rsidRPr="00DE7D07" w:rsidRDefault="00DE7D07" w:rsidP="00546B2A">
            <w:pPr>
              <w:pStyle w:val="NormalWhite"/>
              <w:spacing w:before="120" w:after="120" w:line="240" w:lineRule="auto"/>
              <w:rPr>
                <w:rFonts w:ascii="Arial" w:hAnsi="Arial" w:cs="Arial"/>
                <w:sz w:val="22"/>
              </w:rPr>
            </w:pPr>
            <w:r w:rsidRPr="00DE7D07">
              <w:rPr>
                <w:rStyle w:val="normaltextrun"/>
                <w:rFonts w:ascii="Arial" w:hAnsi="Arial" w:cs="Arial"/>
                <w:color w:val="000000"/>
                <w:sz w:val="22"/>
                <w:bdr w:val="none" w:sz="0" w:space="0" w:color="auto" w:frame="1"/>
              </w:rPr>
              <w:t>Schedule</w:t>
            </w:r>
          </w:p>
        </w:tc>
        <w:tc>
          <w:tcPr>
            <w:tcW w:w="3957" w:type="pct"/>
            <w:tcBorders>
              <w:top w:val="single" w:sz="4" w:space="0" w:color="auto"/>
              <w:bottom w:val="single" w:sz="4" w:space="0" w:color="auto"/>
            </w:tcBorders>
          </w:tcPr>
          <w:p w14:paraId="077A2469" w14:textId="77777777" w:rsidR="00DE7D07" w:rsidRPr="00DE7D07" w:rsidRDefault="00DE7D07" w:rsidP="00546B2A">
            <w:pPr>
              <w:pStyle w:val="paragraph"/>
              <w:spacing w:before="120" w:beforeAutospacing="0" w:after="120" w:afterAutospacing="0"/>
              <w:textAlignment w:val="baseline"/>
              <w:rPr>
                <w:rStyle w:val="normaltextrun"/>
                <w:rFonts w:ascii="Arial" w:hAnsi="Arial" w:cs="Arial"/>
                <w:color w:val="000000"/>
                <w:sz w:val="22"/>
                <w:szCs w:val="22"/>
                <w:bdr w:val="none" w:sz="0" w:space="0" w:color="auto" w:frame="1"/>
              </w:rPr>
            </w:pPr>
            <w:r w:rsidRPr="00DE7D07">
              <w:rPr>
                <w:rStyle w:val="normaltextrun"/>
                <w:rFonts w:ascii="Arial" w:hAnsi="Arial" w:cs="Arial"/>
                <w:color w:val="000000"/>
                <w:sz w:val="22"/>
                <w:szCs w:val="22"/>
                <w:bdr w:val="none" w:sz="0" w:space="0" w:color="auto" w:frame="1"/>
              </w:rPr>
              <w:t>Schedule A: Tuition Fees</w:t>
            </w:r>
          </w:p>
          <w:p w14:paraId="73D37B60" w14:textId="0FF2180E" w:rsidR="00621342" w:rsidRPr="00DE7D07" w:rsidRDefault="00DE7D07" w:rsidP="00546B2A">
            <w:pPr>
              <w:pStyle w:val="paragraph"/>
              <w:spacing w:before="120" w:beforeAutospacing="0" w:after="120" w:afterAutospacing="0"/>
              <w:textAlignment w:val="baseline"/>
              <w:rPr>
                <w:rStyle w:val="normaltextrun"/>
                <w:rFonts w:ascii="Arial" w:hAnsi="Arial" w:cs="Arial"/>
                <w:color w:val="000000"/>
                <w:sz w:val="22"/>
                <w:szCs w:val="22"/>
                <w:bdr w:val="none" w:sz="0" w:space="0" w:color="auto" w:frame="1"/>
              </w:rPr>
            </w:pPr>
            <w:r w:rsidRPr="00DE7D07">
              <w:rPr>
                <w:rStyle w:val="normaltextrun"/>
                <w:rFonts w:ascii="Arial" w:hAnsi="Arial" w:cs="Arial"/>
                <w:color w:val="000000"/>
                <w:sz w:val="22"/>
                <w:szCs w:val="22"/>
                <w:bdr w:val="none" w:sz="0" w:space="0" w:color="auto" w:frame="1"/>
              </w:rPr>
              <w:t>Schedule B: Student Services and Amenities Fee</w:t>
            </w:r>
          </w:p>
        </w:tc>
      </w:tr>
      <w:bookmarkEnd w:id="11"/>
    </w:tbl>
    <w:p w14:paraId="59A619DC" w14:textId="3ED7518F" w:rsidR="000372F6" w:rsidRPr="00DE7D07" w:rsidRDefault="000372F6" w:rsidP="00DE7D07">
      <w:pPr>
        <w:spacing w:before="120" w:after="120" w:line="240" w:lineRule="auto"/>
        <w:rPr>
          <w:rFonts w:ascii="Arial" w:hAnsi="Arial" w:cs="Arial"/>
          <w:color w:val="000000" w:themeColor="text1"/>
          <w:sz w:val="22"/>
        </w:rPr>
      </w:pPr>
    </w:p>
    <w:sectPr w:rsidR="000372F6" w:rsidRPr="00DE7D07" w:rsidSect="00DE7D07">
      <w:headerReference w:type="default" r:id="rId17"/>
      <w:footerReference w:type="default" r:id="rId18"/>
      <w:headerReference w:type="first" r:id="rId19"/>
      <w:footerReference w:type="first" r:id="rId20"/>
      <w:type w:val="nextColumn"/>
      <w:pgSz w:w="11901" w:h="16840"/>
      <w:pgMar w:top="1985" w:right="851" w:bottom="851" w:left="85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D989F" w14:textId="77777777" w:rsidR="00690394" w:rsidRDefault="00690394" w:rsidP="00F45E9C">
      <w:r>
        <w:separator/>
      </w:r>
    </w:p>
  </w:endnote>
  <w:endnote w:type="continuationSeparator" w:id="0">
    <w:p w14:paraId="219657DB" w14:textId="77777777" w:rsidR="00690394" w:rsidRDefault="00690394" w:rsidP="00F45E9C">
      <w:r>
        <w:continuationSeparator/>
      </w:r>
    </w:p>
  </w:endnote>
  <w:endnote w:type="continuationNotice" w:id="1">
    <w:p w14:paraId="06078380" w14:textId="77777777" w:rsidR="00690394" w:rsidRDefault="00690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libri"/>
    <w:panose1 w:val="02000500040000020004"/>
    <w:charset w:val="00"/>
    <w:family w:val="auto"/>
    <w:pitch w:val="variable"/>
    <w:sig w:usb0="80000027" w:usb1="00000040" w:usb2="00000000" w:usb3="00000000" w:csb0="00000001" w:csb1="00000000"/>
  </w:font>
  <w:font w:name="FoundrySterling-Book">
    <w:altName w:val="Calibri"/>
    <w:panose1 w:val="02000503040000020004"/>
    <w:charset w:val="00"/>
    <w:family w:val="auto"/>
    <w:pitch w:val="variable"/>
    <w:sig w:usb0="00000003" w:usb1="00000000" w:usb2="00000000" w:usb3="00000000" w:csb0="00000001" w:csb1="00000000"/>
  </w:font>
  <w:font w:name="Copernicus Medium">
    <w:altName w:val="Calibri"/>
    <w:panose1 w:val="02000000000000000000"/>
    <w:charset w:val="00"/>
    <w:family w:val="auto"/>
    <w:pitch w:val="variable"/>
    <w:sig w:usb0="A00000EF" w:usb1="500160FB" w:usb2="00000010" w:usb3="00000000" w:csb0="0000009B"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Lucida Grande">
    <w:altName w:val="Arial"/>
    <w:charset w:val="00"/>
    <w:family w:val="auto"/>
    <w:pitch w:val="variable"/>
    <w:sig w:usb0="E1000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564CC459" w14:textId="3B3EE6F4" w:rsidR="007C1483" w:rsidRDefault="005E2EB6" w:rsidP="007C1483">
        <w:pPr>
          <w:spacing w:after="0" w:line="240" w:lineRule="auto"/>
          <w:jc w:val="right"/>
          <w:rPr>
            <w:rFonts w:asciiTheme="minorHAnsi" w:hAnsiTheme="minorHAnsi" w:cstheme="minorHAnsi"/>
            <w:color w:val="70787B"/>
            <w:sz w:val="15"/>
            <w:szCs w:val="15"/>
          </w:rPr>
        </w:pPr>
        <w:r w:rsidRPr="005E2EB6">
          <w:rPr>
            <w:rFonts w:asciiTheme="minorHAnsi" w:hAnsiTheme="minorHAnsi" w:cstheme="minorHAnsi"/>
            <w:color w:val="70787B"/>
            <w:sz w:val="15"/>
            <w:szCs w:val="15"/>
          </w:rPr>
          <w:t>Approval of Tuition Fees and Fee Reduction Scholarships</w:t>
        </w:r>
        <w:r w:rsidR="00621342">
          <w:rPr>
            <w:rFonts w:asciiTheme="minorHAnsi" w:hAnsiTheme="minorHAnsi" w:cstheme="minorHAnsi"/>
            <w:color w:val="70787B"/>
            <w:sz w:val="15"/>
            <w:szCs w:val="15"/>
          </w:rPr>
          <w:t xml:space="preserve"> Procedure</w:t>
        </w:r>
        <w:r w:rsidRPr="005E2EB6">
          <w:rPr>
            <w:rFonts w:asciiTheme="minorHAnsi" w:hAnsiTheme="minorHAnsi" w:cstheme="minorHAnsi"/>
            <w:color w:val="70787B"/>
            <w:sz w:val="15"/>
            <w:szCs w:val="15"/>
          </w:rPr>
          <w:t xml:space="preserve"> </w:t>
        </w:r>
        <w:r w:rsidRPr="00102B8A">
          <w:rPr>
            <w:rFonts w:asciiTheme="minorHAnsi" w:hAnsiTheme="minorHAnsi" w:cstheme="minorHAnsi"/>
            <w:color w:val="70787B"/>
            <w:sz w:val="15"/>
            <w:szCs w:val="15"/>
          </w:rPr>
          <w:t xml:space="preserve">| </w:t>
        </w:r>
        <w:r w:rsidR="00081C36">
          <w:rPr>
            <w:rFonts w:asciiTheme="minorHAnsi" w:hAnsiTheme="minorHAnsi" w:cstheme="minorHAnsi"/>
            <w:color w:val="70787B"/>
            <w:sz w:val="15"/>
            <w:szCs w:val="15"/>
          </w:rPr>
          <w:t xml:space="preserve">December </w:t>
        </w:r>
        <w:r>
          <w:rPr>
            <w:rFonts w:asciiTheme="minorHAnsi" w:hAnsiTheme="minorHAnsi" w:cstheme="minorHAnsi"/>
            <w:color w:val="70787B"/>
            <w:sz w:val="15"/>
            <w:szCs w:val="15"/>
          </w:rPr>
          <w:t>2022</w:t>
        </w:r>
      </w:p>
      <w:p w14:paraId="5A1560DF" w14:textId="0A058904"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3D765A" w:rsidRPr="003D765A">
          <w:rPr>
            <w:rFonts w:asciiTheme="minorHAnsi" w:hAnsiTheme="minorHAnsi" w:cstheme="minorHAnsi"/>
            <w:color w:val="70787B"/>
            <w:sz w:val="15"/>
            <w:szCs w:val="15"/>
          </w:rPr>
          <w:t>2022/000</w:t>
        </w:r>
        <w:r w:rsidR="00081C36">
          <w:rPr>
            <w:rFonts w:asciiTheme="minorHAnsi" w:hAnsiTheme="minorHAnsi" w:cstheme="minorHAnsi"/>
            <w:color w:val="70787B"/>
            <w:sz w:val="15"/>
            <w:szCs w:val="15"/>
          </w:rPr>
          <w:t>0904</w:t>
        </w:r>
      </w:p>
      <w:p w14:paraId="59A619E6" w14:textId="0D639778" w:rsidR="00152D7D"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881" w14:textId="0DAE231D" w:rsidR="007C1483" w:rsidRPr="007C1483" w:rsidRDefault="007C1483"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p w14:paraId="6573319C" w14:textId="3E8C27AF" w:rsidR="007C1483" w:rsidRDefault="007C1483" w:rsidP="007C1483">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58243"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2A5556" id="Group 8" o:spid="_x0000_s1026" style="position:absolute;margin-left:0;margin-top:-218.95pt;width:280.7pt;height:280.65pt;z-index:251658243;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">
              <v:shapetype id="_x0000_t6" coordsize="21600,21600" o:spt="6" path="m,l,21600r21600,xe">
                <v:stroke joinstyle="miter"/>
                <v:path gradientshapeok="t" o:connecttype="custom" o:connectlocs="0,0;0,10800;0,21600;10800,21600;21600,21600;10800,10800" textboxrect="1800,12600,12600,19800"/>
              </v:shapetype>
              <v:shape id="Right Triangle 9"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adj="9943" fillcolor="#d8d8d8 [2732]" stroked="f" strokeweight="1pt"/>
              <w10:wrap anchorx="page"/>
            </v:group>
          </w:pict>
        </mc:Fallback>
      </mc:AlternateContent>
    </w:r>
    <w:r w:rsidR="005E2EB6" w:rsidRPr="005E2EB6">
      <w:t xml:space="preserve"> </w:t>
    </w:r>
    <w:r w:rsidR="005E2EB6" w:rsidRPr="005E2EB6">
      <w:rPr>
        <w:rFonts w:asciiTheme="minorHAnsi" w:hAnsiTheme="minorHAnsi" w:cstheme="minorHAnsi"/>
        <w:color w:val="70787B"/>
        <w:sz w:val="15"/>
        <w:szCs w:val="15"/>
      </w:rPr>
      <w:t>Approval of Tuition Fees and Fee Reduction Scholarships</w:t>
    </w:r>
    <w:r w:rsidR="00621342">
      <w:rPr>
        <w:rFonts w:asciiTheme="minorHAnsi" w:hAnsiTheme="minorHAnsi" w:cstheme="minorHAnsi"/>
        <w:color w:val="70787B"/>
        <w:sz w:val="15"/>
        <w:szCs w:val="15"/>
      </w:rPr>
      <w:t xml:space="preserve"> Procedure</w:t>
    </w:r>
    <w:r w:rsidR="005E2EB6" w:rsidRPr="005E2EB6">
      <w:rPr>
        <w:rFonts w:asciiTheme="minorHAnsi" w:hAnsiTheme="minorHAnsi" w:cstheme="minorHAnsi"/>
        <w:color w:val="70787B"/>
        <w:sz w:val="15"/>
        <w:szCs w:val="15"/>
      </w:rPr>
      <w:t xml:space="preserve"> </w:t>
    </w:r>
    <w:r w:rsidRPr="00102B8A">
      <w:rPr>
        <w:rFonts w:asciiTheme="minorHAnsi" w:hAnsiTheme="minorHAnsi" w:cstheme="minorHAnsi"/>
        <w:color w:val="70787B"/>
        <w:sz w:val="15"/>
        <w:szCs w:val="15"/>
      </w:rPr>
      <w:t xml:space="preserve">| </w:t>
    </w:r>
    <w:r w:rsidR="00081C36">
      <w:rPr>
        <w:rFonts w:asciiTheme="minorHAnsi" w:hAnsiTheme="minorHAnsi" w:cstheme="minorHAnsi"/>
        <w:color w:val="70787B"/>
        <w:sz w:val="15"/>
        <w:szCs w:val="15"/>
      </w:rPr>
      <w:t>December</w:t>
    </w:r>
    <w:r w:rsidR="005E2EB6">
      <w:rPr>
        <w:rFonts w:asciiTheme="minorHAnsi" w:hAnsiTheme="minorHAnsi" w:cstheme="minorHAnsi"/>
        <w:color w:val="70787B"/>
        <w:sz w:val="15"/>
        <w:szCs w:val="15"/>
      </w:rPr>
      <w:t xml:space="preserve"> 2022</w:t>
    </w:r>
    <w:r w:rsidRPr="00102B8A">
      <w:rPr>
        <w:rFonts w:asciiTheme="minorHAnsi" w:hAnsiTheme="minorHAnsi" w:cstheme="minorHAnsi"/>
        <w:color w:val="70787B"/>
        <w:sz w:val="15"/>
        <w:szCs w:val="15"/>
      </w:rPr>
      <w:t xml:space="preserve"> </w:t>
    </w:r>
  </w:p>
  <w:p w14:paraId="0F431CCB" w14:textId="43E5455F"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3D765A" w:rsidRPr="003D765A">
      <w:rPr>
        <w:rFonts w:asciiTheme="minorHAnsi" w:hAnsiTheme="minorHAnsi" w:cstheme="minorHAnsi"/>
        <w:color w:val="70787B"/>
        <w:sz w:val="15"/>
        <w:szCs w:val="15"/>
      </w:rPr>
      <w:t>2022/000</w:t>
    </w:r>
    <w:r w:rsidR="00081C36">
      <w:rPr>
        <w:rFonts w:asciiTheme="minorHAnsi" w:hAnsiTheme="minorHAnsi" w:cstheme="minorHAnsi"/>
        <w:color w:val="70787B"/>
        <w:sz w:val="15"/>
        <w:szCs w:val="15"/>
      </w:rPr>
      <w:t>0904</w:t>
    </w:r>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5F53" w14:textId="77777777" w:rsidR="00690394" w:rsidRDefault="00690394" w:rsidP="00F45E9C">
      <w:r>
        <w:separator/>
      </w:r>
    </w:p>
  </w:footnote>
  <w:footnote w:type="continuationSeparator" w:id="0">
    <w:p w14:paraId="7A2F6AFD" w14:textId="77777777" w:rsidR="00690394" w:rsidRDefault="00690394" w:rsidP="00F45E9C">
      <w:r>
        <w:continuationSeparator/>
      </w:r>
    </w:p>
  </w:footnote>
  <w:footnote w:type="continuationNotice" w:id="1">
    <w:p w14:paraId="12F6442B" w14:textId="77777777" w:rsidR="00690394" w:rsidRDefault="00690394">
      <w:pPr>
        <w:spacing w:after="0" w:line="240" w:lineRule="auto"/>
      </w:pPr>
    </w:p>
  </w:footnote>
  <w:footnote w:id="2">
    <w:p w14:paraId="5AB9EC4E" w14:textId="12B29B3C" w:rsidR="00D70340" w:rsidRDefault="00D70340" w:rsidP="00D70340">
      <w:pPr>
        <w:pStyle w:val="FootnoteText"/>
        <w:spacing w:before="0" w:after="0"/>
      </w:pPr>
      <w:r>
        <w:rPr>
          <w:rStyle w:val="FootnoteReference"/>
        </w:rPr>
        <w:footnoteRef/>
      </w:r>
      <w:r>
        <w:t xml:space="preserve"> </w:t>
      </w:r>
      <w:r w:rsidRPr="00530601">
        <w:rPr>
          <w:sz w:val="18"/>
          <w:szCs w:val="18"/>
        </w:rPr>
        <w:t xml:space="preserve">Including undergraduate, </w:t>
      </w:r>
      <w:proofErr w:type="gramStart"/>
      <w:r w:rsidRPr="00530601">
        <w:rPr>
          <w:sz w:val="18"/>
          <w:szCs w:val="18"/>
        </w:rPr>
        <w:t>postgraduate</w:t>
      </w:r>
      <w:proofErr w:type="gramEnd"/>
      <w:r w:rsidRPr="00530601">
        <w:rPr>
          <w:sz w:val="18"/>
          <w:szCs w:val="18"/>
        </w:rPr>
        <w:t xml:space="preserve"> and higher degree research (HDR) international students.</w:t>
      </w:r>
    </w:p>
  </w:footnote>
  <w:footnote w:id="3">
    <w:p w14:paraId="75BF94A1" w14:textId="555147DD" w:rsidR="00B3790C" w:rsidRDefault="00B3790C" w:rsidP="00B3790C">
      <w:pPr>
        <w:pStyle w:val="FootnoteText"/>
        <w:spacing w:before="0" w:after="0"/>
      </w:pPr>
      <w:r>
        <w:rPr>
          <w:rStyle w:val="FootnoteReference"/>
        </w:rPr>
        <w:footnoteRef/>
      </w:r>
      <w:r>
        <w:t xml:space="preserve"> </w:t>
      </w:r>
      <w:r w:rsidRPr="00530601">
        <w:rPr>
          <w:sz w:val="18"/>
          <w:szCs w:val="18"/>
        </w:rPr>
        <w:t xml:space="preserve">Including undergraduate, </w:t>
      </w:r>
      <w:proofErr w:type="gramStart"/>
      <w:r w:rsidRPr="00530601">
        <w:rPr>
          <w:sz w:val="18"/>
          <w:szCs w:val="18"/>
        </w:rPr>
        <w:t>postgraduate</w:t>
      </w:r>
      <w:proofErr w:type="gramEnd"/>
      <w:r w:rsidRPr="00530601">
        <w:rPr>
          <w:sz w:val="18"/>
          <w:szCs w:val="18"/>
        </w:rPr>
        <w:t xml:space="preserve"> and higher degree research (HDR) international students.</w:t>
      </w:r>
    </w:p>
  </w:footnote>
  <w:footnote w:id="4">
    <w:p w14:paraId="1CF2DC0C" w14:textId="77777777" w:rsidR="00081C36" w:rsidRDefault="00081C36" w:rsidP="00081C36">
      <w:pPr>
        <w:pStyle w:val="FootnoteText"/>
        <w:spacing w:before="0" w:after="0"/>
      </w:pPr>
      <w:r>
        <w:rPr>
          <w:rStyle w:val="FootnoteReference"/>
        </w:rPr>
        <w:footnoteRef/>
      </w:r>
      <w:r>
        <w:t xml:space="preserve"> </w:t>
      </w:r>
      <w:r w:rsidRPr="00530601">
        <w:rPr>
          <w:sz w:val="18"/>
          <w:szCs w:val="18"/>
        </w:rPr>
        <w:t xml:space="preserve">Including undergraduate, </w:t>
      </w:r>
      <w:proofErr w:type="gramStart"/>
      <w:r w:rsidRPr="00530601">
        <w:rPr>
          <w:sz w:val="18"/>
          <w:szCs w:val="18"/>
        </w:rPr>
        <w:t>postgraduate</w:t>
      </w:r>
      <w:proofErr w:type="gramEnd"/>
      <w:r w:rsidRPr="00530601">
        <w:rPr>
          <w:sz w:val="18"/>
          <w:szCs w:val="18"/>
        </w:rPr>
        <w:t xml:space="preserve"> and higher degree research (HDR) international students.</w:t>
      </w:r>
    </w:p>
  </w:footnote>
  <w:footnote w:id="5">
    <w:p w14:paraId="48C45373" w14:textId="77777777" w:rsidR="00DE7D07" w:rsidRPr="00530601" w:rsidRDefault="00DE7D07" w:rsidP="00DE7D07">
      <w:pPr>
        <w:pStyle w:val="FootnoteText"/>
        <w:spacing w:before="0" w:after="0"/>
        <w:rPr>
          <w:sz w:val="16"/>
          <w:szCs w:val="16"/>
        </w:rPr>
      </w:pPr>
      <w:r>
        <w:rPr>
          <w:rStyle w:val="FootnoteReference"/>
        </w:rPr>
        <w:footnoteRef/>
      </w:r>
      <w:r>
        <w:t xml:space="preserve"> </w:t>
      </w:r>
      <w:r w:rsidRPr="00DA7EB6">
        <w:rPr>
          <w:sz w:val="18"/>
          <w:szCs w:val="18"/>
        </w:rPr>
        <w:t xml:space="preserve">Including undergraduate, </w:t>
      </w:r>
      <w:proofErr w:type="gramStart"/>
      <w:r w:rsidRPr="00DA7EB6">
        <w:rPr>
          <w:sz w:val="18"/>
          <w:szCs w:val="18"/>
        </w:rPr>
        <w:t>postgraduate</w:t>
      </w:r>
      <w:proofErr w:type="gramEnd"/>
      <w:r w:rsidRPr="00DA7EB6">
        <w:rPr>
          <w:sz w:val="18"/>
          <w:szCs w:val="18"/>
        </w:rPr>
        <w:t xml:space="preserve"> and higher degree research (HDR) international students.</w:t>
      </w:r>
    </w:p>
  </w:footnote>
  <w:footnote w:id="6">
    <w:p w14:paraId="2EC22C82" w14:textId="77777777" w:rsidR="00DE7D07" w:rsidRDefault="00DE7D07" w:rsidP="00DE7D07">
      <w:pPr>
        <w:pStyle w:val="FootnoteText"/>
        <w:spacing w:before="0" w:after="0"/>
      </w:pPr>
      <w:r w:rsidRPr="00530601">
        <w:rPr>
          <w:rStyle w:val="FootnoteReference"/>
          <w:sz w:val="16"/>
          <w:szCs w:val="16"/>
        </w:rPr>
        <w:footnoteRef/>
      </w:r>
      <w:r w:rsidRPr="00530601">
        <w:rPr>
          <w:sz w:val="16"/>
          <w:szCs w:val="16"/>
        </w:rPr>
        <w:t xml:space="preserve"> </w:t>
      </w:r>
      <w:r w:rsidRPr="00DA7EB6">
        <w:rPr>
          <w:sz w:val="18"/>
          <w:szCs w:val="18"/>
        </w:rPr>
        <w:t xml:space="preserve">Including international undergraduate, international postgraduate (including HDR) and domestic full </w:t>
      </w:r>
      <w:proofErr w:type="gramStart"/>
      <w:r w:rsidRPr="00DA7EB6">
        <w:rPr>
          <w:sz w:val="18"/>
          <w:szCs w:val="18"/>
        </w:rPr>
        <w:t>fee paying</w:t>
      </w:r>
      <w:proofErr w:type="gramEnd"/>
      <w:r w:rsidRPr="00DA7EB6">
        <w:rPr>
          <w:sz w:val="18"/>
          <w:szCs w:val="18"/>
        </w:rPr>
        <w:t xml:space="preserve"> postgraduates.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3C879B9D" w:rsidR="00F45E9C" w:rsidRPr="00F7147F" w:rsidRDefault="00DE7D07" w:rsidP="007A132E">
    <w:pPr>
      <w:pStyle w:val="Header"/>
      <w:ind w:right="-348"/>
      <w:jc w:val="right"/>
      <w:rPr>
        <w:rFonts w:ascii="Arial" w:hAnsi="Arial" w:cs="Arial"/>
        <w:b/>
        <w:sz w:val="52"/>
        <w:szCs w:val="52"/>
      </w:rPr>
    </w:pPr>
    <w:r w:rsidRPr="00237AB3">
      <w:rPr>
        <w:rFonts w:cs="Arial"/>
        <w:b/>
        <w:bCs/>
        <w:noProof/>
        <w:color w:val="E30918"/>
        <w:sz w:val="52"/>
        <w:szCs w:val="52"/>
      </w:rPr>
      <w:drawing>
        <wp:anchor distT="0" distB="0" distL="114300" distR="114300" simplePos="0" relativeHeight="251663363" behindDoc="1" locked="0" layoutInCell="1" allowOverlap="1" wp14:anchorId="3969A576" wp14:editId="3A2815E1">
          <wp:simplePos x="0" y="0"/>
          <wp:positionH relativeFrom="margin">
            <wp:align>left</wp:align>
          </wp:positionH>
          <wp:positionV relativeFrom="page">
            <wp:posOffset>441768</wp:posOffset>
          </wp:positionV>
          <wp:extent cx="2047875" cy="434975"/>
          <wp:effectExtent l="0" t="0" r="9525" b="3175"/>
          <wp:wrapTight wrapText="bothSides">
            <wp:wrapPolygon edited="0">
              <wp:start x="0" y="0"/>
              <wp:lineTo x="0" y="20812"/>
              <wp:lineTo x="21500" y="20812"/>
              <wp:lineTo x="21500" y="0"/>
              <wp:lineTo x="0" y="0"/>
            </wp:wrapPolygon>
          </wp:wrapTight>
          <wp:docPr id="196070924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CC69B4" w:rsidRPr="00F7147F">
      <w:rPr>
        <w:rFonts w:ascii="Arial" w:hAnsi="Arial"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5F4B" w14:textId="3B7F598F" w:rsidR="007C1483" w:rsidRPr="00DE7D07" w:rsidRDefault="00DE7D07" w:rsidP="00DE7D07">
    <w:pPr>
      <w:pStyle w:val="Header"/>
      <w:jc w:val="right"/>
      <w:rPr>
        <w:rFonts w:ascii="Arial" w:hAnsi="Arial" w:cs="Arial"/>
      </w:rPr>
    </w:pPr>
    <w:r w:rsidRPr="00DE7D07">
      <w:rPr>
        <w:rFonts w:ascii="Arial" w:hAnsi="Arial" w:cs="Arial"/>
        <w:b/>
        <w:bCs/>
        <w:noProof/>
        <w:color w:val="E30918"/>
        <w:sz w:val="52"/>
        <w:szCs w:val="52"/>
      </w:rPr>
      <mc:AlternateContent>
        <mc:Choice Requires="wps">
          <w:drawing>
            <wp:anchor distT="0" distB="0" distL="114300" distR="114300" simplePos="0" relativeHeight="251660291" behindDoc="1" locked="0" layoutInCell="1" allowOverlap="1" wp14:anchorId="4E432828" wp14:editId="3DA0BD0E">
              <wp:simplePos x="0" y="0"/>
              <wp:positionH relativeFrom="column">
                <wp:posOffset>2568073</wp:posOffset>
              </wp:positionH>
              <wp:positionV relativeFrom="page">
                <wp:posOffset>-575817</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E7A085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02.2pt;margin-top:-45.35pt;width:450.35pt;height:220.55pt;rotation:180;z-index:-25165618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" fillcolor="#f40609" stroked="f" strokeweight="1pt">
              <w10:wrap anchory="page"/>
            </v:shape>
          </w:pict>
        </mc:Fallback>
      </mc:AlternateContent>
    </w:r>
    <w:r w:rsidR="009116E5" w:rsidRPr="00DE7D07">
      <w:rPr>
        <w:rFonts w:ascii="Arial" w:hAnsi="Arial" w:cs="Arial"/>
      </w:rPr>
      <w:tab/>
    </w:r>
    <w:r w:rsidR="009116E5" w:rsidRPr="00DE7D07">
      <w:rPr>
        <w:rFonts w:ascii="Arial" w:hAnsi="Arial" w:cs="Arial"/>
      </w:rPr>
      <w:tab/>
    </w:r>
    <w:r w:rsidR="009116E5" w:rsidRPr="00DE7D07">
      <w:rPr>
        <w:rFonts w:ascii="Arial" w:hAnsi="Arial" w:cs="Arial"/>
      </w:rPr>
      <w:tab/>
    </w:r>
    <w:r w:rsidRPr="00DE7D07">
      <w:rPr>
        <w:rFonts w:ascii="Arial" w:hAnsi="Arial" w:cs="Arial"/>
        <w:b/>
        <w:bCs/>
        <w:noProof/>
        <w:color w:val="E30918"/>
        <w:sz w:val="52"/>
        <w:szCs w:val="52"/>
      </w:rPr>
      <w:drawing>
        <wp:anchor distT="0" distB="0" distL="114300" distR="114300" simplePos="0" relativeHeight="251661315" behindDoc="1" locked="0" layoutInCell="1" allowOverlap="1" wp14:anchorId="5AE732A0" wp14:editId="4551FF8C">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DE7D07">
      <w:rPr>
        <w:rFonts w:ascii="Arial" w:hAnsi="Arial" w:cs="Arial"/>
        <w:b/>
        <w:bCs/>
        <w:color w:val="FFFFFF" w:themeColor="background1"/>
        <w:sz w:val="52"/>
        <w:szCs w:val="52"/>
      </w:rPr>
      <w:t>Procedure</w:t>
    </w:r>
    <w:r>
      <w:rPr>
        <w:rFonts w:ascii="Arial" w:hAnsi="Arial" w:cs="Arial"/>
        <w:b/>
        <w:bCs/>
        <w:color w:val="FFFFFF" w:themeColor="background1"/>
        <w:sz w:val="22"/>
      </w:rPr>
      <w:br/>
    </w:r>
    <w:r w:rsidRPr="00DE7D07">
      <w:rPr>
        <w:rFonts w:ascii="Arial" w:hAnsi="Arial" w:cs="Arial"/>
        <w:b/>
        <w:bCs/>
        <w:color w:val="FFFFFF" w:themeColor="background1"/>
        <w:sz w:val="22"/>
      </w:rPr>
      <w:br/>
    </w:r>
    <w:r w:rsidR="009116E5" w:rsidRPr="00DE7D07">
      <w:rPr>
        <w:rFonts w:ascii="Arial" w:hAnsi="Arial" w:cs="Arial"/>
        <w:b/>
        <w:color w:val="000000" w:themeColor="text1"/>
        <w:sz w:val="22"/>
        <w:u w:val="single"/>
      </w:rPr>
      <w:t>NOTE</w:t>
    </w:r>
    <w:r w:rsidR="009116E5" w:rsidRPr="00DE7D07">
      <w:rPr>
        <w:rFonts w:ascii="Arial" w:hAnsi="Arial" w:cs="Arial"/>
        <w:b/>
        <w:color w:val="000000" w:themeColor="text1"/>
        <w:sz w:val="22"/>
      </w:rPr>
      <w:t>:  Effective from 1 January 2023</w:t>
    </w:r>
    <w:r w:rsidR="007C2F02" w:rsidRPr="00DE7D07">
      <w:rPr>
        <w:rFonts w:ascii="Arial" w:hAnsi="Arial" w:cs="Arial"/>
        <w:b/>
        <w:color w:val="E30918"/>
        <w:sz w:val="52"/>
        <w:szCs w:val="5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76D"/>
    <w:multiLevelType w:val="multilevel"/>
    <w:tmpl w:val="793ED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385919"/>
    <w:multiLevelType w:val="multilevel"/>
    <w:tmpl w:val="FC0CECD0"/>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b/>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6BA2E0A"/>
    <w:multiLevelType w:val="hybridMultilevel"/>
    <w:tmpl w:val="C94E68C8"/>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0B9F7C09"/>
    <w:multiLevelType w:val="multilevel"/>
    <w:tmpl w:val="57ACDF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17E43D6C"/>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46594E"/>
    <w:multiLevelType w:val="multilevel"/>
    <w:tmpl w:val="B9A46F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4C72401"/>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3"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3D4FC3"/>
    <w:multiLevelType w:val="multilevel"/>
    <w:tmpl w:val="8022FA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CEF7F3B"/>
    <w:multiLevelType w:val="hybridMultilevel"/>
    <w:tmpl w:val="95CC2A0A"/>
    <w:lvl w:ilvl="0" w:tplc="0C090001">
      <w:start w:val="1"/>
      <w:numFmt w:val="bullet"/>
      <w:lvlText w:val=""/>
      <w:lvlJc w:val="left"/>
      <w:pPr>
        <w:ind w:left="1043" w:hanging="360"/>
      </w:pPr>
      <w:rPr>
        <w:rFonts w:ascii="Symbol" w:hAnsi="Symbol" w:hint="default"/>
      </w:rPr>
    </w:lvl>
    <w:lvl w:ilvl="1" w:tplc="0C090003" w:tentative="1">
      <w:start w:val="1"/>
      <w:numFmt w:val="bullet"/>
      <w:lvlText w:val="o"/>
      <w:lvlJc w:val="left"/>
      <w:pPr>
        <w:ind w:left="1763" w:hanging="360"/>
      </w:pPr>
      <w:rPr>
        <w:rFonts w:ascii="Courier New" w:hAnsi="Courier New" w:cs="Courier New" w:hint="default"/>
      </w:rPr>
    </w:lvl>
    <w:lvl w:ilvl="2" w:tplc="0C090005" w:tentative="1">
      <w:start w:val="1"/>
      <w:numFmt w:val="bullet"/>
      <w:lvlText w:val=""/>
      <w:lvlJc w:val="left"/>
      <w:pPr>
        <w:ind w:left="2483" w:hanging="360"/>
      </w:pPr>
      <w:rPr>
        <w:rFonts w:ascii="Wingdings" w:hAnsi="Wingdings" w:hint="default"/>
      </w:rPr>
    </w:lvl>
    <w:lvl w:ilvl="3" w:tplc="0C090001" w:tentative="1">
      <w:start w:val="1"/>
      <w:numFmt w:val="bullet"/>
      <w:lvlText w:val=""/>
      <w:lvlJc w:val="left"/>
      <w:pPr>
        <w:ind w:left="3203" w:hanging="360"/>
      </w:pPr>
      <w:rPr>
        <w:rFonts w:ascii="Symbol" w:hAnsi="Symbol" w:hint="default"/>
      </w:rPr>
    </w:lvl>
    <w:lvl w:ilvl="4" w:tplc="0C090003" w:tentative="1">
      <w:start w:val="1"/>
      <w:numFmt w:val="bullet"/>
      <w:lvlText w:val="o"/>
      <w:lvlJc w:val="left"/>
      <w:pPr>
        <w:ind w:left="3923" w:hanging="360"/>
      </w:pPr>
      <w:rPr>
        <w:rFonts w:ascii="Courier New" w:hAnsi="Courier New" w:cs="Courier New" w:hint="default"/>
      </w:rPr>
    </w:lvl>
    <w:lvl w:ilvl="5" w:tplc="0C090005" w:tentative="1">
      <w:start w:val="1"/>
      <w:numFmt w:val="bullet"/>
      <w:lvlText w:val=""/>
      <w:lvlJc w:val="left"/>
      <w:pPr>
        <w:ind w:left="4643" w:hanging="360"/>
      </w:pPr>
      <w:rPr>
        <w:rFonts w:ascii="Wingdings" w:hAnsi="Wingdings" w:hint="default"/>
      </w:rPr>
    </w:lvl>
    <w:lvl w:ilvl="6" w:tplc="0C090001" w:tentative="1">
      <w:start w:val="1"/>
      <w:numFmt w:val="bullet"/>
      <w:lvlText w:val=""/>
      <w:lvlJc w:val="left"/>
      <w:pPr>
        <w:ind w:left="5363" w:hanging="360"/>
      </w:pPr>
      <w:rPr>
        <w:rFonts w:ascii="Symbol" w:hAnsi="Symbol" w:hint="default"/>
      </w:rPr>
    </w:lvl>
    <w:lvl w:ilvl="7" w:tplc="0C090003" w:tentative="1">
      <w:start w:val="1"/>
      <w:numFmt w:val="bullet"/>
      <w:lvlText w:val="o"/>
      <w:lvlJc w:val="left"/>
      <w:pPr>
        <w:ind w:left="6083" w:hanging="360"/>
      </w:pPr>
      <w:rPr>
        <w:rFonts w:ascii="Courier New" w:hAnsi="Courier New" w:cs="Courier New" w:hint="default"/>
      </w:rPr>
    </w:lvl>
    <w:lvl w:ilvl="8" w:tplc="0C090005" w:tentative="1">
      <w:start w:val="1"/>
      <w:numFmt w:val="bullet"/>
      <w:lvlText w:val=""/>
      <w:lvlJc w:val="left"/>
      <w:pPr>
        <w:ind w:left="6803" w:hanging="360"/>
      </w:pPr>
      <w:rPr>
        <w:rFonts w:ascii="Wingdings" w:hAnsi="Wingdings" w:hint="default"/>
      </w:rPr>
    </w:lvl>
  </w:abstractNum>
  <w:abstractNum w:abstractNumId="16" w15:restartNumberingAfterBreak="0">
    <w:nsid w:val="36FC0F98"/>
    <w:multiLevelType w:val="multilevel"/>
    <w:tmpl w:val="FFC24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BE6A2F"/>
    <w:multiLevelType w:val="hybridMultilevel"/>
    <w:tmpl w:val="A7143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9B1CC6"/>
    <w:multiLevelType w:val="hybridMultilevel"/>
    <w:tmpl w:val="08FC0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A42645"/>
    <w:multiLevelType w:val="hybridMultilevel"/>
    <w:tmpl w:val="C9F4381C"/>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4D0D32EF"/>
    <w:multiLevelType w:val="hybridMultilevel"/>
    <w:tmpl w:val="599E7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C37BC1"/>
    <w:multiLevelType w:val="hybridMultilevel"/>
    <w:tmpl w:val="DB6A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637B2556"/>
    <w:multiLevelType w:val="hybridMultilevel"/>
    <w:tmpl w:val="7AB866D6"/>
    <w:lvl w:ilvl="0" w:tplc="BEA4178E">
      <w:start w:val="1"/>
      <w:numFmt w:val="bullet"/>
      <w:lvlText w:val=""/>
      <w:lvlJc w:val="left"/>
      <w:pPr>
        <w:ind w:left="1004" w:hanging="360"/>
      </w:pPr>
      <w:rPr>
        <w:rFonts w:ascii="Wingdings" w:hAnsi="Wingdings" w:hint="default"/>
        <w:color w:val="E309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9570C01"/>
    <w:multiLevelType w:val="hybridMultilevel"/>
    <w:tmpl w:val="478C5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B62D72"/>
    <w:multiLevelType w:val="hybridMultilevel"/>
    <w:tmpl w:val="607E4372"/>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BA3FC4"/>
    <w:multiLevelType w:val="hybridMultilevel"/>
    <w:tmpl w:val="2CF4E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734945"/>
    <w:multiLevelType w:val="hybridMultilevel"/>
    <w:tmpl w:val="51406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9717AE"/>
    <w:multiLevelType w:val="hybridMultilevel"/>
    <w:tmpl w:val="E238298E"/>
    <w:lvl w:ilvl="0" w:tplc="959AA842">
      <w:start w:val="1"/>
      <w:numFmt w:val="decimal"/>
      <w:lvlText w:val="%1."/>
      <w:lvlJc w:val="left"/>
      <w:pPr>
        <w:ind w:left="360" w:hanging="360"/>
      </w:pPr>
      <w:rPr>
        <w:b w:val="0"/>
        <w:strike w:val="0"/>
      </w:rPr>
    </w:lvl>
    <w:lvl w:ilvl="1" w:tplc="A31CE3B0">
      <w:start w:val="1"/>
      <w:numFmt w:val="lowerLetter"/>
      <w:lvlText w:val="%2."/>
      <w:lvlJc w:val="left"/>
      <w:pPr>
        <w:ind w:left="1080" w:hanging="360"/>
      </w:pPr>
      <w:rPr>
        <w:i w:val="0"/>
        <w:i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6865078"/>
    <w:multiLevelType w:val="hybridMultilevel"/>
    <w:tmpl w:val="90D481E0"/>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9655BF3"/>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1"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705A8A"/>
    <w:multiLevelType w:val="hybridMultilevel"/>
    <w:tmpl w:val="6344A516"/>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639142632">
    <w:abstractNumId w:val="9"/>
  </w:num>
  <w:num w:numId="2" w16cid:durableId="1139225182">
    <w:abstractNumId w:val="5"/>
  </w:num>
  <w:num w:numId="3" w16cid:durableId="1763722021">
    <w:abstractNumId w:val="18"/>
  </w:num>
  <w:num w:numId="4" w16cid:durableId="1918128077">
    <w:abstractNumId w:val="41"/>
  </w:num>
  <w:num w:numId="5" w16cid:durableId="1936935066">
    <w:abstractNumId w:val="24"/>
  </w:num>
  <w:num w:numId="6" w16cid:durableId="710617017">
    <w:abstractNumId w:val="22"/>
  </w:num>
  <w:num w:numId="7" w16cid:durableId="1415393450">
    <w:abstractNumId w:val="26"/>
  </w:num>
  <w:num w:numId="8" w16cid:durableId="1740322742">
    <w:abstractNumId w:val="8"/>
  </w:num>
  <w:num w:numId="9" w16cid:durableId="618488058">
    <w:abstractNumId w:val="13"/>
  </w:num>
  <w:num w:numId="10" w16cid:durableId="947812333">
    <w:abstractNumId w:val="30"/>
  </w:num>
  <w:num w:numId="11" w16cid:durableId="1166556059">
    <w:abstractNumId w:val="17"/>
  </w:num>
  <w:num w:numId="12" w16cid:durableId="1212305062">
    <w:abstractNumId w:val="27"/>
  </w:num>
  <w:num w:numId="13" w16cid:durableId="802431292">
    <w:abstractNumId w:val="6"/>
  </w:num>
  <w:num w:numId="14" w16cid:durableId="1031496970">
    <w:abstractNumId w:val="28"/>
  </w:num>
  <w:num w:numId="15" w16cid:durableId="620571738">
    <w:abstractNumId w:val="4"/>
  </w:num>
  <w:num w:numId="16" w16cid:durableId="361366812">
    <w:abstractNumId w:val="36"/>
  </w:num>
  <w:num w:numId="17" w16cid:durableId="1880782817">
    <w:abstractNumId w:val="37"/>
  </w:num>
  <w:num w:numId="18" w16cid:durableId="226038586">
    <w:abstractNumId w:val="21"/>
  </w:num>
  <w:num w:numId="19" w16cid:durableId="208303889">
    <w:abstractNumId w:val="32"/>
  </w:num>
  <w:num w:numId="20" w16cid:durableId="217477178">
    <w:abstractNumId w:val="42"/>
  </w:num>
  <w:num w:numId="21" w16cid:durableId="1513106842">
    <w:abstractNumId w:val="0"/>
  </w:num>
  <w:num w:numId="22" w16cid:durableId="1997176342">
    <w:abstractNumId w:val="11"/>
  </w:num>
  <w:num w:numId="23" w16cid:durableId="1120876641">
    <w:abstractNumId w:val="1"/>
  </w:num>
  <w:num w:numId="24" w16cid:durableId="157768374">
    <w:abstractNumId w:val="40"/>
  </w:num>
  <w:num w:numId="25" w16cid:durableId="1557086090">
    <w:abstractNumId w:val="12"/>
  </w:num>
  <w:num w:numId="26" w16cid:durableId="1267926885">
    <w:abstractNumId w:val="16"/>
  </w:num>
  <w:num w:numId="27" w16cid:durableId="1447582121">
    <w:abstractNumId w:val="3"/>
  </w:num>
  <w:num w:numId="28" w16cid:durableId="2066023172">
    <w:abstractNumId w:val="14"/>
  </w:num>
  <w:num w:numId="29" w16cid:durableId="1583220490">
    <w:abstractNumId w:val="7"/>
  </w:num>
  <w:num w:numId="30" w16cid:durableId="286476837">
    <w:abstractNumId w:val="38"/>
  </w:num>
  <w:num w:numId="31" w16cid:durableId="905408515">
    <w:abstractNumId w:val="10"/>
  </w:num>
  <w:num w:numId="32" w16cid:durableId="121120416">
    <w:abstractNumId w:val="31"/>
  </w:num>
  <w:num w:numId="33" w16cid:durableId="632177632">
    <w:abstractNumId w:val="39"/>
  </w:num>
  <w:num w:numId="34" w16cid:durableId="1054698840">
    <w:abstractNumId w:val="29"/>
  </w:num>
  <w:num w:numId="35" w16cid:durableId="1833451615">
    <w:abstractNumId w:val="34"/>
  </w:num>
  <w:num w:numId="36" w16cid:durableId="1539077441">
    <w:abstractNumId w:val="15"/>
  </w:num>
  <w:num w:numId="37" w16cid:durableId="1602178280">
    <w:abstractNumId w:val="19"/>
  </w:num>
  <w:num w:numId="38" w16cid:durableId="889461778">
    <w:abstractNumId w:val="25"/>
  </w:num>
  <w:num w:numId="39" w16cid:durableId="1504852153">
    <w:abstractNumId w:val="2"/>
  </w:num>
  <w:num w:numId="40" w16cid:durableId="991178244">
    <w:abstractNumId w:val="20"/>
  </w:num>
  <w:num w:numId="41" w16cid:durableId="1646619976">
    <w:abstractNumId w:val="33"/>
  </w:num>
  <w:num w:numId="42" w16cid:durableId="1392075808">
    <w:abstractNumId w:val="23"/>
  </w:num>
  <w:num w:numId="43" w16cid:durableId="1064333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7CE6"/>
    <w:rsid w:val="0001254D"/>
    <w:rsid w:val="00012F47"/>
    <w:rsid w:val="00016676"/>
    <w:rsid w:val="00021C01"/>
    <w:rsid w:val="0002258D"/>
    <w:rsid w:val="000372F6"/>
    <w:rsid w:val="00037E6F"/>
    <w:rsid w:val="000408E3"/>
    <w:rsid w:val="00040BB8"/>
    <w:rsid w:val="00041B5B"/>
    <w:rsid w:val="00042FBA"/>
    <w:rsid w:val="00045D5F"/>
    <w:rsid w:val="00050910"/>
    <w:rsid w:val="00051573"/>
    <w:rsid w:val="00052E7B"/>
    <w:rsid w:val="00052F81"/>
    <w:rsid w:val="00053A5F"/>
    <w:rsid w:val="00056724"/>
    <w:rsid w:val="000576DF"/>
    <w:rsid w:val="00063FCF"/>
    <w:rsid w:val="000674C0"/>
    <w:rsid w:val="00081C36"/>
    <w:rsid w:val="000849AD"/>
    <w:rsid w:val="00087697"/>
    <w:rsid w:val="0009125F"/>
    <w:rsid w:val="000B2888"/>
    <w:rsid w:val="000B3767"/>
    <w:rsid w:val="000B43C9"/>
    <w:rsid w:val="000B7D0C"/>
    <w:rsid w:val="000C2C05"/>
    <w:rsid w:val="000C6D46"/>
    <w:rsid w:val="000D5843"/>
    <w:rsid w:val="000E2A8A"/>
    <w:rsid w:val="000E4CBE"/>
    <w:rsid w:val="000E51B4"/>
    <w:rsid w:val="000E5D52"/>
    <w:rsid w:val="000E5D83"/>
    <w:rsid w:val="000E6B26"/>
    <w:rsid w:val="000F1B59"/>
    <w:rsid w:val="00102763"/>
    <w:rsid w:val="00102B8A"/>
    <w:rsid w:val="00102D19"/>
    <w:rsid w:val="00104000"/>
    <w:rsid w:val="00105063"/>
    <w:rsid w:val="0010768E"/>
    <w:rsid w:val="00122CF0"/>
    <w:rsid w:val="001254E2"/>
    <w:rsid w:val="0013141E"/>
    <w:rsid w:val="00145A6F"/>
    <w:rsid w:val="00147A35"/>
    <w:rsid w:val="00147B11"/>
    <w:rsid w:val="00152D7D"/>
    <w:rsid w:val="001537D5"/>
    <w:rsid w:val="001578A1"/>
    <w:rsid w:val="00162972"/>
    <w:rsid w:val="00167117"/>
    <w:rsid w:val="001718E4"/>
    <w:rsid w:val="001735D3"/>
    <w:rsid w:val="0017412E"/>
    <w:rsid w:val="00175190"/>
    <w:rsid w:val="00180052"/>
    <w:rsid w:val="00180673"/>
    <w:rsid w:val="00180A28"/>
    <w:rsid w:val="00181BF5"/>
    <w:rsid w:val="00185B4E"/>
    <w:rsid w:val="00186C17"/>
    <w:rsid w:val="00187159"/>
    <w:rsid w:val="0019292F"/>
    <w:rsid w:val="00192ACD"/>
    <w:rsid w:val="001A138A"/>
    <w:rsid w:val="001A1ABF"/>
    <w:rsid w:val="001C308E"/>
    <w:rsid w:val="001D0DB6"/>
    <w:rsid w:val="001D2660"/>
    <w:rsid w:val="001D540B"/>
    <w:rsid w:val="001E2A59"/>
    <w:rsid w:val="001E6438"/>
    <w:rsid w:val="001E64A4"/>
    <w:rsid w:val="001F1114"/>
    <w:rsid w:val="001F5E2B"/>
    <w:rsid w:val="002015FA"/>
    <w:rsid w:val="002043F8"/>
    <w:rsid w:val="002301BB"/>
    <w:rsid w:val="00231CF0"/>
    <w:rsid w:val="00233068"/>
    <w:rsid w:val="00236041"/>
    <w:rsid w:val="00237510"/>
    <w:rsid w:val="00243683"/>
    <w:rsid w:val="0024475D"/>
    <w:rsid w:val="00246CB4"/>
    <w:rsid w:val="00251147"/>
    <w:rsid w:val="0026751D"/>
    <w:rsid w:val="00272168"/>
    <w:rsid w:val="00272A33"/>
    <w:rsid w:val="0027526D"/>
    <w:rsid w:val="002848DA"/>
    <w:rsid w:val="00284D80"/>
    <w:rsid w:val="002A1DE8"/>
    <w:rsid w:val="002A78A0"/>
    <w:rsid w:val="002B02ED"/>
    <w:rsid w:val="002B100C"/>
    <w:rsid w:val="002B432B"/>
    <w:rsid w:val="002B5AE6"/>
    <w:rsid w:val="002C3871"/>
    <w:rsid w:val="002C4450"/>
    <w:rsid w:val="002E14B8"/>
    <w:rsid w:val="002E285B"/>
    <w:rsid w:val="002E3244"/>
    <w:rsid w:val="002E4FA8"/>
    <w:rsid w:val="002F13EA"/>
    <w:rsid w:val="002F5132"/>
    <w:rsid w:val="002F52A9"/>
    <w:rsid w:val="002F6138"/>
    <w:rsid w:val="003045F8"/>
    <w:rsid w:val="00305299"/>
    <w:rsid w:val="00305C35"/>
    <w:rsid w:val="00311F29"/>
    <w:rsid w:val="003137DF"/>
    <w:rsid w:val="00316AA3"/>
    <w:rsid w:val="00317D4A"/>
    <w:rsid w:val="00320C55"/>
    <w:rsid w:val="00322FF9"/>
    <w:rsid w:val="00323490"/>
    <w:rsid w:val="00332215"/>
    <w:rsid w:val="00332EC1"/>
    <w:rsid w:val="00333B53"/>
    <w:rsid w:val="0034154B"/>
    <w:rsid w:val="00346319"/>
    <w:rsid w:val="00350408"/>
    <w:rsid w:val="00350CB0"/>
    <w:rsid w:val="0037658D"/>
    <w:rsid w:val="00376FB2"/>
    <w:rsid w:val="00382F39"/>
    <w:rsid w:val="0038519F"/>
    <w:rsid w:val="003873FF"/>
    <w:rsid w:val="00394AC0"/>
    <w:rsid w:val="003A2D9C"/>
    <w:rsid w:val="003B0C9A"/>
    <w:rsid w:val="003B1D32"/>
    <w:rsid w:val="003B5483"/>
    <w:rsid w:val="003C20B4"/>
    <w:rsid w:val="003C4CA3"/>
    <w:rsid w:val="003D0FE4"/>
    <w:rsid w:val="003D418D"/>
    <w:rsid w:val="003D51F2"/>
    <w:rsid w:val="003D5267"/>
    <w:rsid w:val="003D765A"/>
    <w:rsid w:val="003E0B6D"/>
    <w:rsid w:val="003E1E69"/>
    <w:rsid w:val="003E394A"/>
    <w:rsid w:val="003E5024"/>
    <w:rsid w:val="003E514B"/>
    <w:rsid w:val="003F32AF"/>
    <w:rsid w:val="003F67AC"/>
    <w:rsid w:val="003F7451"/>
    <w:rsid w:val="004127D7"/>
    <w:rsid w:val="004144E6"/>
    <w:rsid w:val="004251EE"/>
    <w:rsid w:val="0043586F"/>
    <w:rsid w:val="00441014"/>
    <w:rsid w:val="004430BB"/>
    <w:rsid w:val="00443ADF"/>
    <w:rsid w:val="00450A31"/>
    <w:rsid w:val="00452F4C"/>
    <w:rsid w:val="00454D57"/>
    <w:rsid w:val="004617E4"/>
    <w:rsid w:val="00462AE8"/>
    <w:rsid w:val="00466B7E"/>
    <w:rsid w:val="00470B79"/>
    <w:rsid w:val="00470DC3"/>
    <w:rsid w:val="004723ED"/>
    <w:rsid w:val="00473800"/>
    <w:rsid w:val="00490424"/>
    <w:rsid w:val="0049225D"/>
    <w:rsid w:val="004A0E51"/>
    <w:rsid w:val="004B38E1"/>
    <w:rsid w:val="004B67EB"/>
    <w:rsid w:val="004B767C"/>
    <w:rsid w:val="004C49E3"/>
    <w:rsid w:val="004C77E1"/>
    <w:rsid w:val="004D2859"/>
    <w:rsid w:val="004D2BE0"/>
    <w:rsid w:val="004D7998"/>
    <w:rsid w:val="004E17AF"/>
    <w:rsid w:val="004E230C"/>
    <w:rsid w:val="004E2E48"/>
    <w:rsid w:val="004E39C2"/>
    <w:rsid w:val="004E50B9"/>
    <w:rsid w:val="004F01DA"/>
    <w:rsid w:val="004F1714"/>
    <w:rsid w:val="004F3E9A"/>
    <w:rsid w:val="005023AA"/>
    <w:rsid w:val="00503A3B"/>
    <w:rsid w:val="0050415F"/>
    <w:rsid w:val="00504A42"/>
    <w:rsid w:val="00504E01"/>
    <w:rsid w:val="005104A1"/>
    <w:rsid w:val="00511137"/>
    <w:rsid w:val="00525C19"/>
    <w:rsid w:val="00525C75"/>
    <w:rsid w:val="005279AC"/>
    <w:rsid w:val="00530601"/>
    <w:rsid w:val="005409F1"/>
    <w:rsid w:val="005411C6"/>
    <w:rsid w:val="00541F5A"/>
    <w:rsid w:val="00542D7F"/>
    <w:rsid w:val="00545FF8"/>
    <w:rsid w:val="00547ADF"/>
    <w:rsid w:val="0055123D"/>
    <w:rsid w:val="00553B87"/>
    <w:rsid w:val="0055651E"/>
    <w:rsid w:val="00557E43"/>
    <w:rsid w:val="00560079"/>
    <w:rsid w:val="00561625"/>
    <w:rsid w:val="005625B9"/>
    <w:rsid w:val="00564685"/>
    <w:rsid w:val="005649EC"/>
    <w:rsid w:val="005703AB"/>
    <w:rsid w:val="005738ED"/>
    <w:rsid w:val="00573A3D"/>
    <w:rsid w:val="005758D8"/>
    <w:rsid w:val="00582B51"/>
    <w:rsid w:val="005841FC"/>
    <w:rsid w:val="00585205"/>
    <w:rsid w:val="00585668"/>
    <w:rsid w:val="00586575"/>
    <w:rsid w:val="00590C60"/>
    <w:rsid w:val="005943D5"/>
    <w:rsid w:val="005A03C1"/>
    <w:rsid w:val="005A071D"/>
    <w:rsid w:val="005A09EF"/>
    <w:rsid w:val="005A612B"/>
    <w:rsid w:val="005A7A34"/>
    <w:rsid w:val="005B0F31"/>
    <w:rsid w:val="005B3CB1"/>
    <w:rsid w:val="005B5914"/>
    <w:rsid w:val="005B5C34"/>
    <w:rsid w:val="005C15CF"/>
    <w:rsid w:val="005C7CF8"/>
    <w:rsid w:val="005E1E03"/>
    <w:rsid w:val="005E2487"/>
    <w:rsid w:val="005E2EB6"/>
    <w:rsid w:val="005E4006"/>
    <w:rsid w:val="005E494F"/>
    <w:rsid w:val="005F00FB"/>
    <w:rsid w:val="005F3488"/>
    <w:rsid w:val="00603E94"/>
    <w:rsid w:val="00621342"/>
    <w:rsid w:val="00624720"/>
    <w:rsid w:val="00634387"/>
    <w:rsid w:val="006437FF"/>
    <w:rsid w:val="0064557D"/>
    <w:rsid w:val="006464BB"/>
    <w:rsid w:val="00647006"/>
    <w:rsid w:val="00650F00"/>
    <w:rsid w:val="0065542A"/>
    <w:rsid w:val="00661D55"/>
    <w:rsid w:val="006626D7"/>
    <w:rsid w:val="00662A4D"/>
    <w:rsid w:val="006640BF"/>
    <w:rsid w:val="006664D5"/>
    <w:rsid w:val="006669FE"/>
    <w:rsid w:val="00667F87"/>
    <w:rsid w:val="006700EA"/>
    <w:rsid w:val="00674AC7"/>
    <w:rsid w:val="00675E94"/>
    <w:rsid w:val="00686AED"/>
    <w:rsid w:val="00690394"/>
    <w:rsid w:val="0069439E"/>
    <w:rsid w:val="00696054"/>
    <w:rsid w:val="006A2939"/>
    <w:rsid w:val="006A4F70"/>
    <w:rsid w:val="006B31ED"/>
    <w:rsid w:val="006C182A"/>
    <w:rsid w:val="006C2418"/>
    <w:rsid w:val="006C3984"/>
    <w:rsid w:val="006D0444"/>
    <w:rsid w:val="006D1A97"/>
    <w:rsid w:val="006D2A66"/>
    <w:rsid w:val="006D4D5D"/>
    <w:rsid w:val="006D6CEA"/>
    <w:rsid w:val="006E719D"/>
    <w:rsid w:val="006F246A"/>
    <w:rsid w:val="00701574"/>
    <w:rsid w:val="00701F3E"/>
    <w:rsid w:val="00702795"/>
    <w:rsid w:val="00704A2C"/>
    <w:rsid w:val="00707E82"/>
    <w:rsid w:val="0071121B"/>
    <w:rsid w:val="0072491E"/>
    <w:rsid w:val="00742899"/>
    <w:rsid w:val="00754B45"/>
    <w:rsid w:val="0075505C"/>
    <w:rsid w:val="0075730D"/>
    <w:rsid w:val="0076327D"/>
    <w:rsid w:val="007706AB"/>
    <w:rsid w:val="00771F35"/>
    <w:rsid w:val="00772E2D"/>
    <w:rsid w:val="00773B30"/>
    <w:rsid w:val="007744AD"/>
    <w:rsid w:val="00776C5D"/>
    <w:rsid w:val="0078241D"/>
    <w:rsid w:val="00782898"/>
    <w:rsid w:val="00784315"/>
    <w:rsid w:val="007866BC"/>
    <w:rsid w:val="0078767D"/>
    <w:rsid w:val="00792AD8"/>
    <w:rsid w:val="0079386C"/>
    <w:rsid w:val="0079547D"/>
    <w:rsid w:val="007A132E"/>
    <w:rsid w:val="007A3046"/>
    <w:rsid w:val="007A36D7"/>
    <w:rsid w:val="007A578C"/>
    <w:rsid w:val="007B0365"/>
    <w:rsid w:val="007B100E"/>
    <w:rsid w:val="007B685A"/>
    <w:rsid w:val="007C00D0"/>
    <w:rsid w:val="007C1483"/>
    <w:rsid w:val="007C14CB"/>
    <w:rsid w:val="007C2F02"/>
    <w:rsid w:val="007C68AC"/>
    <w:rsid w:val="007D2C38"/>
    <w:rsid w:val="007D2CF5"/>
    <w:rsid w:val="007D6093"/>
    <w:rsid w:val="007D65B8"/>
    <w:rsid w:val="007F1C81"/>
    <w:rsid w:val="007F2B02"/>
    <w:rsid w:val="007F612F"/>
    <w:rsid w:val="008013F7"/>
    <w:rsid w:val="00807345"/>
    <w:rsid w:val="008075B2"/>
    <w:rsid w:val="00813D87"/>
    <w:rsid w:val="00814590"/>
    <w:rsid w:val="0081659D"/>
    <w:rsid w:val="00823301"/>
    <w:rsid w:val="00825110"/>
    <w:rsid w:val="008267C5"/>
    <w:rsid w:val="008268D7"/>
    <w:rsid w:val="00831703"/>
    <w:rsid w:val="008342CC"/>
    <w:rsid w:val="00834839"/>
    <w:rsid w:val="00843997"/>
    <w:rsid w:val="0084695A"/>
    <w:rsid w:val="00853B58"/>
    <w:rsid w:val="008542C4"/>
    <w:rsid w:val="00854ED8"/>
    <w:rsid w:val="0086273D"/>
    <w:rsid w:val="00863385"/>
    <w:rsid w:val="00870A6C"/>
    <w:rsid w:val="00871013"/>
    <w:rsid w:val="008752F2"/>
    <w:rsid w:val="008805DD"/>
    <w:rsid w:val="0088405A"/>
    <w:rsid w:val="00887D07"/>
    <w:rsid w:val="0089398C"/>
    <w:rsid w:val="008A1327"/>
    <w:rsid w:val="008A54D4"/>
    <w:rsid w:val="008D030A"/>
    <w:rsid w:val="008D1E3C"/>
    <w:rsid w:val="008E0144"/>
    <w:rsid w:val="008E1D32"/>
    <w:rsid w:val="008E4171"/>
    <w:rsid w:val="008E4C9F"/>
    <w:rsid w:val="008E5D69"/>
    <w:rsid w:val="008F30C8"/>
    <w:rsid w:val="008F5D03"/>
    <w:rsid w:val="00911012"/>
    <w:rsid w:val="009116E5"/>
    <w:rsid w:val="00911B41"/>
    <w:rsid w:val="0091205A"/>
    <w:rsid w:val="00921567"/>
    <w:rsid w:val="00924275"/>
    <w:rsid w:val="009252DB"/>
    <w:rsid w:val="00925E0C"/>
    <w:rsid w:val="0092637C"/>
    <w:rsid w:val="00926581"/>
    <w:rsid w:val="009321D2"/>
    <w:rsid w:val="00933D23"/>
    <w:rsid w:val="00940E76"/>
    <w:rsid w:val="009459B4"/>
    <w:rsid w:val="00945B70"/>
    <w:rsid w:val="00946B2D"/>
    <w:rsid w:val="00947F35"/>
    <w:rsid w:val="00950014"/>
    <w:rsid w:val="009504D2"/>
    <w:rsid w:val="0095399A"/>
    <w:rsid w:val="00954F24"/>
    <w:rsid w:val="00964037"/>
    <w:rsid w:val="0097437D"/>
    <w:rsid w:val="00974E55"/>
    <w:rsid w:val="00980F8E"/>
    <w:rsid w:val="0098690D"/>
    <w:rsid w:val="0098747B"/>
    <w:rsid w:val="00987959"/>
    <w:rsid w:val="0099187B"/>
    <w:rsid w:val="00997D62"/>
    <w:rsid w:val="00997DEA"/>
    <w:rsid w:val="009A6028"/>
    <w:rsid w:val="009B3179"/>
    <w:rsid w:val="009B7685"/>
    <w:rsid w:val="009C1955"/>
    <w:rsid w:val="009C3D6A"/>
    <w:rsid w:val="009D46C6"/>
    <w:rsid w:val="009E2F2F"/>
    <w:rsid w:val="009E7471"/>
    <w:rsid w:val="009F15CB"/>
    <w:rsid w:val="009F1BD8"/>
    <w:rsid w:val="009F313A"/>
    <w:rsid w:val="00A00A6F"/>
    <w:rsid w:val="00A04082"/>
    <w:rsid w:val="00A06C38"/>
    <w:rsid w:val="00A07483"/>
    <w:rsid w:val="00A127BD"/>
    <w:rsid w:val="00A24E55"/>
    <w:rsid w:val="00A25AA1"/>
    <w:rsid w:val="00A36943"/>
    <w:rsid w:val="00A4569E"/>
    <w:rsid w:val="00A50ED4"/>
    <w:rsid w:val="00A60321"/>
    <w:rsid w:val="00A61DCE"/>
    <w:rsid w:val="00A63331"/>
    <w:rsid w:val="00A64338"/>
    <w:rsid w:val="00A65908"/>
    <w:rsid w:val="00A67DAE"/>
    <w:rsid w:val="00A70E6F"/>
    <w:rsid w:val="00A71AD8"/>
    <w:rsid w:val="00A72932"/>
    <w:rsid w:val="00A7785F"/>
    <w:rsid w:val="00A804BA"/>
    <w:rsid w:val="00A8131C"/>
    <w:rsid w:val="00A8142C"/>
    <w:rsid w:val="00A82A75"/>
    <w:rsid w:val="00A84484"/>
    <w:rsid w:val="00A84CEC"/>
    <w:rsid w:val="00A8677D"/>
    <w:rsid w:val="00A90EAE"/>
    <w:rsid w:val="00A95F56"/>
    <w:rsid w:val="00A961AC"/>
    <w:rsid w:val="00AA227D"/>
    <w:rsid w:val="00AA4460"/>
    <w:rsid w:val="00AB30DD"/>
    <w:rsid w:val="00AC2131"/>
    <w:rsid w:val="00AC25B5"/>
    <w:rsid w:val="00AC426C"/>
    <w:rsid w:val="00AD1316"/>
    <w:rsid w:val="00AD6696"/>
    <w:rsid w:val="00AE4EA8"/>
    <w:rsid w:val="00AE51FB"/>
    <w:rsid w:val="00AF3B1E"/>
    <w:rsid w:val="00AF4034"/>
    <w:rsid w:val="00AF56C6"/>
    <w:rsid w:val="00AF5BF6"/>
    <w:rsid w:val="00B0284B"/>
    <w:rsid w:val="00B02B70"/>
    <w:rsid w:val="00B03A41"/>
    <w:rsid w:val="00B04BAA"/>
    <w:rsid w:val="00B15D0B"/>
    <w:rsid w:val="00B2219B"/>
    <w:rsid w:val="00B264BF"/>
    <w:rsid w:val="00B26C9A"/>
    <w:rsid w:val="00B33990"/>
    <w:rsid w:val="00B34AA7"/>
    <w:rsid w:val="00B3790C"/>
    <w:rsid w:val="00B4214F"/>
    <w:rsid w:val="00B43C60"/>
    <w:rsid w:val="00B51DF8"/>
    <w:rsid w:val="00B53615"/>
    <w:rsid w:val="00B54CE9"/>
    <w:rsid w:val="00B5691B"/>
    <w:rsid w:val="00B56FD6"/>
    <w:rsid w:val="00B57117"/>
    <w:rsid w:val="00B65738"/>
    <w:rsid w:val="00B72AF2"/>
    <w:rsid w:val="00B90033"/>
    <w:rsid w:val="00B90A63"/>
    <w:rsid w:val="00B954C5"/>
    <w:rsid w:val="00BA0015"/>
    <w:rsid w:val="00BA0D7E"/>
    <w:rsid w:val="00BA4BF0"/>
    <w:rsid w:val="00BA5B5E"/>
    <w:rsid w:val="00BA6219"/>
    <w:rsid w:val="00BA70D7"/>
    <w:rsid w:val="00BA7F01"/>
    <w:rsid w:val="00BB0B98"/>
    <w:rsid w:val="00BB332B"/>
    <w:rsid w:val="00BB3359"/>
    <w:rsid w:val="00BB3D5F"/>
    <w:rsid w:val="00BB407A"/>
    <w:rsid w:val="00BB66B5"/>
    <w:rsid w:val="00BC3ED3"/>
    <w:rsid w:val="00BC4432"/>
    <w:rsid w:val="00BC44CB"/>
    <w:rsid w:val="00BC55CF"/>
    <w:rsid w:val="00BD107C"/>
    <w:rsid w:val="00BD22B6"/>
    <w:rsid w:val="00BD32B2"/>
    <w:rsid w:val="00BE5645"/>
    <w:rsid w:val="00BF3090"/>
    <w:rsid w:val="00C16500"/>
    <w:rsid w:val="00C17EB2"/>
    <w:rsid w:val="00C20588"/>
    <w:rsid w:val="00C31ECA"/>
    <w:rsid w:val="00C33CC5"/>
    <w:rsid w:val="00C40554"/>
    <w:rsid w:val="00C430A4"/>
    <w:rsid w:val="00C43588"/>
    <w:rsid w:val="00C47F2D"/>
    <w:rsid w:val="00C50D57"/>
    <w:rsid w:val="00C54061"/>
    <w:rsid w:val="00C5755D"/>
    <w:rsid w:val="00C61357"/>
    <w:rsid w:val="00C644BC"/>
    <w:rsid w:val="00C655EF"/>
    <w:rsid w:val="00C733F6"/>
    <w:rsid w:val="00C74FCB"/>
    <w:rsid w:val="00C80B51"/>
    <w:rsid w:val="00C80F2E"/>
    <w:rsid w:val="00C82E66"/>
    <w:rsid w:val="00C91165"/>
    <w:rsid w:val="00C97251"/>
    <w:rsid w:val="00C97759"/>
    <w:rsid w:val="00CA7E35"/>
    <w:rsid w:val="00CC43B2"/>
    <w:rsid w:val="00CC69B4"/>
    <w:rsid w:val="00CD4C02"/>
    <w:rsid w:val="00CD4DCE"/>
    <w:rsid w:val="00CD6D22"/>
    <w:rsid w:val="00CE0A50"/>
    <w:rsid w:val="00CE4484"/>
    <w:rsid w:val="00CF2EBA"/>
    <w:rsid w:val="00CF6D79"/>
    <w:rsid w:val="00CF7F1B"/>
    <w:rsid w:val="00D14EF0"/>
    <w:rsid w:val="00D1605A"/>
    <w:rsid w:val="00D16753"/>
    <w:rsid w:val="00D20DE3"/>
    <w:rsid w:val="00D22A18"/>
    <w:rsid w:val="00D31975"/>
    <w:rsid w:val="00D33E0C"/>
    <w:rsid w:val="00D35A2C"/>
    <w:rsid w:val="00D41A10"/>
    <w:rsid w:val="00D44766"/>
    <w:rsid w:val="00D44AB2"/>
    <w:rsid w:val="00D4735F"/>
    <w:rsid w:val="00D5114B"/>
    <w:rsid w:val="00D51E27"/>
    <w:rsid w:val="00D66192"/>
    <w:rsid w:val="00D66ECF"/>
    <w:rsid w:val="00D67F1F"/>
    <w:rsid w:val="00D70340"/>
    <w:rsid w:val="00D72BFE"/>
    <w:rsid w:val="00D77C9B"/>
    <w:rsid w:val="00D8344C"/>
    <w:rsid w:val="00D8453B"/>
    <w:rsid w:val="00D855AA"/>
    <w:rsid w:val="00D86177"/>
    <w:rsid w:val="00D86597"/>
    <w:rsid w:val="00D94F19"/>
    <w:rsid w:val="00D95767"/>
    <w:rsid w:val="00DA348D"/>
    <w:rsid w:val="00DA3C93"/>
    <w:rsid w:val="00DA7EB6"/>
    <w:rsid w:val="00DB0A25"/>
    <w:rsid w:val="00DB46CC"/>
    <w:rsid w:val="00DB53FB"/>
    <w:rsid w:val="00DC4670"/>
    <w:rsid w:val="00DD657E"/>
    <w:rsid w:val="00DD6A23"/>
    <w:rsid w:val="00DD7190"/>
    <w:rsid w:val="00DD72B2"/>
    <w:rsid w:val="00DE0C5B"/>
    <w:rsid w:val="00DE207C"/>
    <w:rsid w:val="00DE745A"/>
    <w:rsid w:val="00DE7D07"/>
    <w:rsid w:val="00DF173D"/>
    <w:rsid w:val="00DF3959"/>
    <w:rsid w:val="00E00AD2"/>
    <w:rsid w:val="00E01C36"/>
    <w:rsid w:val="00E02A2F"/>
    <w:rsid w:val="00E136B5"/>
    <w:rsid w:val="00E14ADF"/>
    <w:rsid w:val="00E17726"/>
    <w:rsid w:val="00E225C6"/>
    <w:rsid w:val="00E235C1"/>
    <w:rsid w:val="00E239C6"/>
    <w:rsid w:val="00E3370E"/>
    <w:rsid w:val="00E33EAB"/>
    <w:rsid w:val="00E40115"/>
    <w:rsid w:val="00E40567"/>
    <w:rsid w:val="00E406BB"/>
    <w:rsid w:val="00E41658"/>
    <w:rsid w:val="00E4546F"/>
    <w:rsid w:val="00E5631A"/>
    <w:rsid w:val="00E5772B"/>
    <w:rsid w:val="00E61154"/>
    <w:rsid w:val="00E8103B"/>
    <w:rsid w:val="00E83148"/>
    <w:rsid w:val="00E870F4"/>
    <w:rsid w:val="00EA6390"/>
    <w:rsid w:val="00EA6454"/>
    <w:rsid w:val="00EA794F"/>
    <w:rsid w:val="00EB04C1"/>
    <w:rsid w:val="00EB5FF6"/>
    <w:rsid w:val="00EB67EB"/>
    <w:rsid w:val="00EB789F"/>
    <w:rsid w:val="00EC0BCC"/>
    <w:rsid w:val="00EC1778"/>
    <w:rsid w:val="00EC4744"/>
    <w:rsid w:val="00EC6DBE"/>
    <w:rsid w:val="00ED12B6"/>
    <w:rsid w:val="00EE02E1"/>
    <w:rsid w:val="00EE421A"/>
    <w:rsid w:val="00EE4726"/>
    <w:rsid w:val="00EE53D7"/>
    <w:rsid w:val="00EF083E"/>
    <w:rsid w:val="00EF0FC1"/>
    <w:rsid w:val="00EF2D1C"/>
    <w:rsid w:val="00EF391B"/>
    <w:rsid w:val="00EF6934"/>
    <w:rsid w:val="00F014A2"/>
    <w:rsid w:val="00F02DBB"/>
    <w:rsid w:val="00F035C0"/>
    <w:rsid w:val="00F3151F"/>
    <w:rsid w:val="00F32BFD"/>
    <w:rsid w:val="00F35481"/>
    <w:rsid w:val="00F41226"/>
    <w:rsid w:val="00F45E9C"/>
    <w:rsid w:val="00F471E2"/>
    <w:rsid w:val="00F56216"/>
    <w:rsid w:val="00F5751B"/>
    <w:rsid w:val="00F65E11"/>
    <w:rsid w:val="00F673C0"/>
    <w:rsid w:val="00F7147F"/>
    <w:rsid w:val="00F71CBA"/>
    <w:rsid w:val="00F86E95"/>
    <w:rsid w:val="00F91BD5"/>
    <w:rsid w:val="00F92F84"/>
    <w:rsid w:val="00F97A5A"/>
    <w:rsid w:val="00FA1219"/>
    <w:rsid w:val="00FA64E1"/>
    <w:rsid w:val="00FB01BB"/>
    <w:rsid w:val="00FB0914"/>
    <w:rsid w:val="00FB353A"/>
    <w:rsid w:val="00FB60AE"/>
    <w:rsid w:val="00FB6309"/>
    <w:rsid w:val="00FC25DD"/>
    <w:rsid w:val="00FC4934"/>
    <w:rsid w:val="00FC4EBB"/>
    <w:rsid w:val="00FD4F36"/>
    <w:rsid w:val="00FD540F"/>
    <w:rsid w:val="00FD79C7"/>
    <w:rsid w:val="00FE0943"/>
    <w:rsid w:val="00FE28CF"/>
    <w:rsid w:val="00FE505D"/>
    <w:rsid w:val="00FE5515"/>
    <w:rsid w:val="00FF5957"/>
    <w:rsid w:val="00FF5AB3"/>
    <w:rsid w:val="00FF6FDA"/>
    <w:rsid w:val="1C7AE54C"/>
    <w:rsid w:val="29D868E2"/>
    <w:rsid w:val="725D5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0680D8D9-B771-457F-BE6A-260F2CFB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BD22B6"/>
    <w:pPr>
      <w:numPr>
        <w:numId w:val="3"/>
      </w:numPr>
    </w:pPr>
    <w:rPr>
      <w:rFonts w:ascii="Arial" w:hAnsi="Arial"/>
    </w:r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customStyle="1" w:styleId="normaltextrun">
    <w:name w:val="normaltextrun"/>
    <w:basedOn w:val="DefaultParagraphFont"/>
    <w:rsid w:val="00C50D57"/>
  </w:style>
  <w:style w:type="character" w:customStyle="1" w:styleId="eop">
    <w:name w:val="eop"/>
    <w:basedOn w:val="DefaultParagraphFont"/>
    <w:rsid w:val="00C50D57"/>
  </w:style>
  <w:style w:type="paragraph" w:customStyle="1" w:styleId="paragraph">
    <w:name w:val="paragraph"/>
    <w:basedOn w:val="Normal"/>
    <w:rsid w:val="0023751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F6FDA"/>
    <w:rPr>
      <w:sz w:val="16"/>
      <w:szCs w:val="16"/>
    </w:rPr>
  </w:style>
  <w:style w:type="paragraph" w:styleId="CommentText">
    <w:name w:val="annotation text"/>
    <w:basedOn w:val="Normal"/>
    <w:link w:val="CommentTextChar"/>
    <w:uiPriority w:val="99"/>
    <w:semiHidden/>
    <w:unhideWhenUsed/>
    <w:rsid w:val="00FF6FDA"/>
    <w:pPr>
      <w:spacing w:line="240" w:lineRule="auto"/>
    </w:pPr>
    <w:rPr>
      <w:szCs w:val="20"/>
    </w:rPr>
  </w:style>
  <w:style w:type="character" w:customStyle="1" w:styleId="CommentTextChar">
    <w:name w:val="Comment Text Char"/>
    <w:basedOn w:val="DefaultParagraphFont"/>
    <w:link w:val="CommentText"/>
    <w:uiPriority w:val="99"/>
    <w:semiHidden/>
    <w:rsid w:val="00FF6FDA"/>
    <w:rPr>
      <w:rFonts w:ascii="FoundrySterling-Book" w:hAnsi="FoundrySterling-Book"/>
      <w:sz w:val="20"/>
      <w:szCs w:val="20"/>
      <w:lang w:eastAsia="en-AU"/>
    </w:rPr>
  </w:style>
  <w:style w:type="paragraph" w:styleId="CommentSubject">
    <w:name w:val="annotation subject"/>
    <w:basedOn w:val="CommentText"/>
    <w:next w:val="CommentText"/>
    <w:link w:val="CommentSubjectChar"/>
    <w:uiPriority w:val="99"/>
    <w:semiHidden/>
    <w:unhideWhenUsed/>
    <w:rsid w:val="00FF6FDA"/>
    <w:rPr>
      <w:b/>
      <w:bCs/>
    </w:rPr>
  </w:style>
  <w:style w:type="character" w:customStyle="1" w:styleId="CommentSubjectChar">
    <w:name w:val="Comment Subject Char"/>
    <w:basedOn w:val="CommentTextChar"/>
    <w:link w:val="CommentSubject"/>
    <w:uiPriority w:val="99"/>
    <w:semiHidden/>
    <w:rsid w:val="00FF6FDA"/>
    <w:rPr>
      <w:rFonts w:ascii="FoundrySterling-Book" w:hAnsi="FoundrySterling-Book"/>
      <w:b/>
      <w:bCs/>
      <w:sz w:val="20"/>
      <w:szCs w:val="20"/>
      <w:lang w:eastAsia="en-AU"/>
    </w:rPr>
  </w:style>
  <w:style w:type="character" w:styleId="Mention">
    <w:name w:val="Mention"/>
    <w:basedOn w:val="DefaultParagraphFont"/>
    <w:uiPriority w:val="99"/>
    <w:rsid w:val="00FF6FDA"/>
    <w:rPr>
      <w:color w:val="2B579A"/>
      <w:shd w:val="clear" w:color="auto" w:fill="E1DFDD"/>
    </w:rPr>
  </w:style>
  <w:style w:type="paragraph" w:styleId="NormalWeb">
    <w:name w:val="Normal (Web)"/>
    <w:basedOn w:val="Normal"/>
    <w:uiPriority w:val="99"/>
    <w:semiHidden/>
    <w:unhideWhenUsed/>
    <w:rsid w:val="009116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467667628">
      <w:bodyDiv w:val="1"/>
      <w:marLeft w:val="0"/>
      <w:marRight w:val="0"/>
      <w:marTop w:val="0"/>
      <w:marBottom w:val="0"/>
      <w:divBdr>
        <w:top w:val="none" w:sz="0" w:space="0" w:color="auto"/>
        <w:left w:val="none" w:sz="0" w:space="0" w:color="auto"/>
        <w:bottom w:val="none" w:sz="0" w:space="0" w:color="auto"/>
        <w:right w:val="none" w:sz="0" w:space="0" w:color="auto"/>
      </w:divBdr>
    </w:div>
    <w:div w:id="556017176">
      <w:bodyDiv w:val="1"/>
      <w:marLeft w:val="0"/>
      <w:marRight w:val="0"/>
      <w:marTop w:val="0"/>
      <w:marBottom w:val="0"/>
      <w:divBdr>
        <w:top w:val="none" w:sz="0" w:space="0" w:color="auto"/>
        <w:left w:val="none" w:sz="0" w:space="0" w:color="auto"/>
        <w:bottom w:val="none" w:sz="0" w:space="0" w:color="auto"/>
        <w:right w:val="none" w:sz="0" w:space="0" w:color="auto"/>
      </w:divBdr>
      <w:divsChild>
        <w:div w:id="463235675">
          <w:marLeft w:val="0"/>
          <w:marRight w:val="0"/>
          <w:marTop w:val="0"/>
          <w:marBottom w:val="0"/>
          <w:divBdr>
            <w:top w:val="none" w:sz="0" w:space="0" w:color="auto"/>
            <w:left w:val="none" w:sz="0" w:space="0" w:color="auto"/>
            <w:bottom w:val="none" w:sz="0" w:space="0" w:color="auto"/>
            <w:right w:val="none" w:sz="0" w:space="0" w:color="auto"/>
          </w:divBdr>
        </w:div>
        <w:div w:id="754938905">
          <w:marLeft w:val="0"/>
          <w:marRight w:val="0"/>
          <w:marTop w:val="0"/>
          <w:marBottom w:val="0"/>
          <w:divBdr>
            <w:top w:val="none" w:sz="0" w:space="0" w:color="auto"/>
            <w:left w:val="none" w:sz="0" w:space="0" w:color="auto"/>
            <w:bottom w:val="none" w:sz="0" w:space="0" w:color="auto"/>
            <w:right w:val="none" w:sz="0" w:space="0" w:color="auto"/>
          </w:divBdr>
        </w:div>
        <w:div w:id="1528565153">
          <w:marLeft w:val="0"/>
          <w:marRight w:val="0"/>
          <w:marTop w:val="0"/>
          <w:marBottom w:val="0"/>
          <w:divBdr>
            <w:top w:val="none" w:sz="0" w:space="0" w:color="auto"/>
            <w:left w:val="none" w:sz="0" w:space="0" w:color="auto"/>
            <w:bottom w:val="none" w:sz="0" w:space="0" w:color="auto"/>
            <w:right w:val="none" w:sz="0" w:space="0" w:color="auto"/>
          </w:divBdr>
        </w:div>
        <w:div w:id="1913613861">
          <w:marLeft w:val="0"/>
          <w:marRight w:val="0"/>
          <w:marTop w:val="0"/>
          <w:marBottom w:val="0"/>
          <w:divBdr>
            <w:top w:val="none" w:sz="0" w:space="0" w:color="auto"/>
            <w:left w:val="none" w:sz="0" w:space="0" w:color="auto"/>
            <w:bottom w:val="none" w:sz="0" w:space="0" w:color="auto"/>
            <w:right w:val="none" w:sz="0" w:space="0" w:color="auto"/>
          </w:divBdr>
        </w:div>
      </w:divsChild>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992023977">
      <w:bodyDiv w:val="1"/>
      <w:marLeft w:val="0"/>
      <w:marRight w:val="0"/>
      <w:marTop w:val="0"/>
      <w:marBottom w:val="0"/>
      <w:divBdr>
        <w:top w:val="none" w:sz="0" w:space="0" w:color="auto"/>
        <w:left w:val="none" w:sz="0" w:space="0" w:color="auto"/>
        <w:bottom w:val="none" w:sz="0" w:space="0" w:color="auto"/>
        <w:right w:val="none" w:sz="0" w:space="0" w:color="auto"/>
      </w:divBdr>
    </w:div>
    <w:div w:id="1196961153">
      <w:bodyDiv w:val="1"/>
      <w:marLeft w:val="0"/>
      <w:marRight w:val="0"/>
      <w:marTop w:val="0"/>
      <w:marBottom w:val="0"/>
      <w:divBdr>
        <w:top w:val="none" w:sz="0" w:space="0" w:color="auto"/>
        <w:left w:val="none" w:sz="0" w:space="0" w:color="auto"/>
        <w:bottom w:val="none" w:sz="0" w:space="0" w:color="auto"/>
        <w:right w:val="none" w:sz="0" w:space="0" w:color="auto"/>
      </w:divBdr>
      <w:divsChild>
        <w:div w:id="1059936347">
          <w:marLeft w:val="0"/>
          <w:marRight w:val="0"/>
          <w:marTop w:val="0"/>
          <w:marBottom w:val="0"/>
          <w:divBdr>
            <w:top w:val="none" w:sz="0" w:space="0" w:color="auto"/>
            <w:left w:val="none" w:sz="0" w:space="0" w:color="auto"/>
            <w:bottom w:val="none" w:sz="0" w:space="0" w:color="auto"/>
            <w:right w:val="none" w:sz="0" w:space="0" w:color="auto"/>
          </w:divBdr>
          <w:divsChild>
            <w:div w:id="1076705192">
              <w:marLeft w:val="0"/>
              <w:marRight w:val="0"/>
              <w:marTop w:val="0"/>
              <w:marBottom w:val="0"/>
              <w:divBdr>
                <w:top w:val="none" w:sz="0" w:space="0" w:color="auto"/>
                <w:left w:val="none" w:sz="0" w:space="0" w:color="auto"/>
                <w:bottom w:val="none" w:sz="0" w:space="0" w:color="auto"/>
                <w:right w:val="none" w:sz="0" w:space="0" w:color="auto"/>
              </w:divBdr>
            </w:div>
            <w:div w:id="2123529709">
              <w:marLeft w:val="0"/>
              <w:marRight w:val="0"/>
              <w:marTop w:val="0"/>
              <w:marBottom w:val="0"/>
              <w:divBdr>
                <w:top w:val="none" w:sz="0" w:space="0" w:color="auto"/>
                <w:left w:val="none" w:sz="0" w:space="0" w:color="auto"/>
                <w:bottom w:val="none" w:sz="0" w:space="0" w:color="auto"/>
                <w:right w:val="none" w:sz="0" w:space="0" w:color="auto"/>
              </w:divBdr>
            </w:div>
          </w:divsChild>
        </w:div>
        <w:div w:id="1092582650">
          <w:marLeft w:val="0"/>
          <w:marRight w:val="0"/>
          <w:marTop w:val="0"/>
          <w:marBottom w:val="0"/>
          <w:divBdr>
            <w:top w:val="none" w:sz="0" w:space="0" w:color="auto"/>
            <w:left w:val="none" w:sz="0" w:space="0" w:color="auto"/>
            <w:bottom w:val="none" w:sz="0" w:space="0" w:color="auto"/>
            <w:right w:val="none" w:sz="0" w:space="0" w:color="auto"/>
          </w:divBdr>
          <w:divsChild>
            <w:div w:id="420368617">
              <w:marLeft w:val="0"/>
              <w:marRight w:val="0"/>
              <w:marTop w:val="0"/>
              <w:marBottom w:val="0"/>
              <w:divBdr>
                <w:top w:val="none" w:sz="0" w:space="0" w:color="auto"/>
                <w:left w:val="none" w:sz="0" w:space="0" w:color="auto"/>
                <w:bottom w:val="none" w:sz="0" w:space="0" w:color="auto"/>
                <w:right w:val="none" w:sz="0" w:space="0" w:color="auto"/>
              </w:divBdr>
            </w:div>
            <w:div w:id="547836070">
              <w:marLeft w:val="0"/>
              <w:marRight w:val="0"/>
              <w:marTop w:val="0"/>
              <w:marBottom w:val="0"/>
              <w:divBdr>
                <w:top w:val="none" w:sz="0" w:space="0" w:color="auto"/>
                <w:left w:val="none" w:sz="0" w:space="0" w:color="auto"/>
                <w:bottom w:val="none" w:sz="0" w:space="0" w:color="auto"/>
                <w:right w:val="none" w:sz="0" w:space="0" w:color="auto"/>
              </w:divBdr>
            </w:div>
            <w:div w:id="1767341193">
              <w:marLeft w:val="0"/>
              <w:marRight w:val="0"/>
              <w:marTop w:val="0"/>
              <w:marBottom w:val="0"/>
              <w:divBdr>
                <w:top w:val="none" w:sz="0" w:space="0" w:color="auto"/>
                <w:left w:val="none" w:sz="0" w:space="0" w:color="auto"/>
                <w:bottom w:val="none" w:sz="0" w:space="0" w:color="auto"/>
                <w:right w:val="none" w:sz="0" w:space="0" w:color="auto"/>
              </w:divBdr>
            </w:div>
          </w:divsChild>
        </w:div>
        <w:div w:id="1619213221">
          <w:marLeft w:val="0"/>
          <w:marRight w:val="0"/>
          <w:marTop w:val="0"/>
          <w:marBottom w:val="0"/>
          <w:divBdr>
            <w:top w:val="none" w:sz="0" w:space="0" w:color="auto"/>
            <w:left w:val="none" w:sz="0" w:space="0" w:color="auto"/>
            <w:bottom w:val="none" w:sz="0" w:space="0" w:color="auto"/>
            <w:right w:val="none" w:sz="0" w:space="0" w:color="auto"/>
          </w:divBdr>
          <w:divsChild>
            <w:div w:id="542062144">
              <w:marLeft w:val="0"/>
              <w:marRight w:val="0"/>
              <w:marTop w:val="0"/>
              <w:marBottom w:val="0"/>
              <w:divBdr>
                <w:top w:val="none" w:sz="0" w:space="0" w:color="auto"/>
                <w:left w:val="none" w:sz="0" w:space="0" w:color="auto"/>
                <w:bottom w:val="none" w:sz="0" w:space="0" w:color="auto"/>
                <w:right w:val="none" w:sz="0" w:space="0" w:color="auto"/>
              </w:divBdr>
            </w:div>
            <w:div w:id="925505311">
              <w:marLeft w:val="0"/>
              <w:marRight w:val="0"/>
              <w:marTop w:val="0"/>
              <w:marBottom w:val="0"/>
              <w:divBdr>
                <w:top w:val="none" w:sz="0" w:space="0" w:color="auto"/>
                <w:left w:val="none" w:sz="0" w:space="0" w:color="auto"/>
                <w:bottom w:val="none" w:sz="0" w:space="0" w:color="auto"/>
                <w:right w:val="none" w:sz="0" w:space="0" w:color="auto"/>
              </w:divBdr>
            </w:div>
          </w:divsChild>
        </w:div>
        <w:div w:id="1897547695">
          <w:marLeft w:val="0"/>
          <w:marRight w:val="0"/>
          <w:marTop w:val="0"/>
          <w:marBottom w:val="0"/>
          <w:divBdr>
            <w:top w:val="none" w:sz="0" w:space="0" w:color="auto"/>
            <w:left w:val="none" w:sz="0" w:space="0" w:color="auto"/>
            <w:bottom w:val="none" w:sz="0" w:space="0" w:color="auto"/>
            <w:right w:val="none" w:sz="0" w:space="0" w:color="auto"/>
          </w:divBdr>
          <w:divsChild>
            <w:div w:id="1492335106">
              <w:marLeft w:val="0"/>
              <w:marRight w:val="0"/>
              <w:marTop w:val="0"/>
              <w:marBottom w:val="0"/>
              <w:divBdr>
                <w:top w:val="none" w:sz="0" w:space="0" w:color="auto"/>
                <w:left w:val="none" w:sz="0" w:space="0" w:color="auto"/>
                <w:bottom w:val="none" w:sz="0" w:space="0" w:color="auto"/>
                <w:right w:val="none" w:sz="0" w:space="0" w:color="auto"/>
              </w:divBdr>
            </w:div>
            <w:div w:id="2020616450">
              <w:marLeft w:val="0"/>
              <w:marRight w:val="0"/>
              <w:marTop w:val="0"/>
              <w:marBottom w:val="0"/>
              <w:divBdr>
                <w:top w:val="none" w:sz="0" w:space="0" w:color="auto"/>
                <w:left w:val="none" w:sz="0" w:space="0" w:color="auto"/>
                <w:bottom w:val="none" w:sz="0" w:space="0" w:color="auto"/>
                <w:right w:val="none" w:sz="0" w:space="0" w:color="auto"/>
              </w:divBdr>
            </w:div>
            <w:div w:id="21131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55421111">
      <w:bodyDiv w:val="1"/>
      <w:marLeft w:val="0"/>
      <w:marRight w:val="0"/>
      <w:marTop w:val="0"/>
      <w:marBottom w:val="0"/>
      <w:divBdr>
        <w:top w:val="none" w:sz="0" w:space="0" w:color="auto"/>
        <w:left w:val="none" w:sz="0" w:space="0" w:color="auto"/>
        <w:bottom w:val="none" w:sz="0" w:space="0" w:color="auto"/>
        <w:right w:val="none" w:sz="0" w:space="0" w:color="auto"/>
      </w:divBdr>
      <w:divsChild>
        <w:div w:id="1617440737">
          <w:marLeft w:val="0"/>
          <w:marRight w:val="0"/>
          <w:marTop w:val="0"/>
          <w:marBottom w:val="0"/>
          <w:divBdr>
            <w:top w:val="none" w:sz="0" w:space="0" w:color="auto"/>
            <w:left w:val="none" w:sz="0" w:space="0" w:color="auto"/>
            <w:bottom w:val="none" w:sz="0" w:space="0" w:color="auto"/>
            <w:right w:val="none" w:sz="0" w:space="0" w:color="auto"/>
          </w:divBdr>
        </w:div>
        <w:div w:id="2041198945">
          <w:marLeft w:val="0"/>
          <w:marRight w:val="0"/>
          <w:marTop w:val="0"/>
          <w:marBottom w:val="0"/>
          <w:divBdr>
            <w:top w:val="none" w:sz="0" w:space="0" w:color="auto"/>
            <w:left w:val="none" w:sz="0" w:space="0" w:color="auto"/>
            <w:bottom w:val="none" w:sz="0" w:space="0" w:color="auto"/>
            <w:right w:val="none" w:sz="0" w:space="0" w:color="auto"/>
          </w:divBdr>
        </w:div>
      </w:divsChild>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C2018C0021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slation.gov.au/Details/F2022C00105/Html/Tex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harepointpubstor.blob.core.windows.net/policylibrary-prod/Fees%20and%20Charges%20Schedule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C2022C00005" TargetMode="External"/><Relationship Id="rId5" Type="http://schemas.openxmlformats.org/officeDocument/2006/relationships/numbering" Target="numbering.xml"/><Relationship Id="rId15" Type="http://schemas.openxmlformats.org/officeDocument/2006/relationships/hyperlink" Target="https://sharepointpubstor.blob.core.windows.net/policylibrary-prod/Fees%20and%20Charges%20Procedure.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nationaleducation.gov.au/Regulatory-Information/Pages/National-Code-2018-Factsheets-.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
        <AccountId xsi:nil="true"/>
        <AccountType/>
      </UserInfo>
    </SharedWithUsers>
    <TaxCatchAll xmlns="b40c662e-0380-4817-843d-2c7e10d40c39">
      <Value>559</Value>
      <Value>116</Value>
      <Value>114</Value>
      <Value>519</Value>
      <Value>70</Value>
      <Value>86</Value>
    </TaxCatchAll>
    <PublishOn xmlns="2f261a70-825f-4a37-b7b5-f6ecc2f4c5fa">2022-11-03T04:53:20+00:00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4aa22cf4-03a0-4167-aaa7-1894a1ac6b82</TermId>
        </TermInfo>
      </Terms>
    </l92b321e1c6d4932b3b7fc50f551e57a>
    <policysummary xmlns="2f261a70-825f-4a37-b7b5-f6ecc2f4c5fa">This procedure applies to; 1) tuition fees for international students, domestic postgraduate fee paying students, and non-award and continuing education students; 2) the Student Services and Amenities fee; and 3) scholarships which are tuition fee reductions for full fee paying students.</policysummary>
    <PolicyCategoryPath xmlns="2f261a70-825f-4a37-b7b5-f6ecc2f4c5fa">Academic</PolicyCategoryPath>
    <PolicyCategory0 xmlns="2f261a70-825f-4a37-b7b5-f6ecc2f4c5fa">General</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Academic</PolicyCategoryParent>
    <LastPublished xmlns="2f261a70-825f-4a37-b7b5-f6ecc2f4c5fa" xsi:nil="true"/>
    <doccomments xmlns="2f261a70-825f-4a37-b7b5-f6ecc2f4c5fa">3/11/2022 - The 5/2022 (10 October) meeting the Council approved the new procedure to replace the rescinded Fees and Charges Policy and accompanying schedules and related policy library documents, with effect from 1 January 2023 – Approval of Tuition Fees and Fee Reduction Scholarships Procedure (2022/0001238).
13/12/2022 - Approving Authority Provost approved on 9/12/2022 the minor amendments suggested by GGRS - Student Credentials issued a new document number (2022/0000904).</doccomments>
    <datedeclared xmlns="2f261a70-825f-4a37-b7b5-f6ecc2f4c5fa">2022-10-09T14:00:00+00:00</datedeclared>
    <PrivatePolicy xmlns="2f261a70-825f-4a37-b7b5-f6ecc2f4c5fa">false</PrivatePolicy>
    <policyadvisor xmlns="2f261a70-825f-4a37-b7b5-f6ecc2f4c5fa">
      <UserInfo>
        <DisplayName>Michelle Clarke</DisplayName>
        <AccountId>64</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extlink xmlns="2f261a70-825f-4a37-b7b5-f6ecc2f4c5fa">
      <Url xsi:nil="true"/>
      <Description xsi:nil="true"/>
    </ext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2.xml><?xml version="1.0" encoding="utf-8"?>
<ds:datastoreItem xmlns:ds="http://schemas.openxmlformats.org/officeDocument/2006/customXml" ds:itemID="{13F74359-2850-442B-936C-2611B314C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b40c662e-0380-4817-843d-2c7e10d40c39"/>
    <ds:schemaRef ds:uri="2f261a70-825f-4a37-b7b5-f6ecc2f4c5fa"/>
  </ds:schemaRefs>
</ds:datastoreItem>
</file>

<file path=customXml/itemProps4.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5</TotalTime>
  <Pages>4</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Approval of Tuition Fees and Fee Reduction Scholarships Procedure</vt:lpstr>
    </vt:vector>
  </TitlesOfParts>
  <Company/>
  <LinksUpToDate>false</LinksUpToDate>
  <CharactersWithSpaces>9863</CharactersWithSpaces>
  <SharedDoc>false</SharedDoc>
  <HLinks>
    <vt:vector size="42" baseType="variant">
      <vt:variant>
        <vt:i4>5308502</vt:i4>
      </vt:variant>
      <vt:variant>
        <vt:i4>27</vt:i4>
      </vt:variant>
      <vt:variant>
        <vt:i4>0</vt:i4>
      </vt:variant>
      <vt:variant>
        <vt:i4>5</vt:i4>
      </vt:variant>
      <vt:variant>
        <vt:lpwstr>https://internationaleducation.gov.au/regulatory-information/Education-Services-for-Overseas-Students-ESOS-Legislative-Framework/National-Code/Pages/default.aspx</vt:lpwstr>
      </vt:variant>
      <vt:variant>
        <vt:lpwstr/>
      </vt:variant>
      <vt:variant>
        <vt:i4>7995431</vt:i4>
      </vt:variant>
      <vt:variant>
        <vt:i4>24</vt:i4>
      </vt:variant>
      <vt:variant>
        <vt:i4>0</vt:i4>
      </vt:variant>
      <vt:variant>
        <vt:i4>5</vt:i4>
      </vt:variant>
      <vt:variant>
        <vt:lpwstr>https://www.legislation.gov.au/Details/C2018C00210</vt:lpwstr>
      </vt:variant>
      <vt:variant>
        <vt:lpwstr/>
      </vt:variant>
      <vt:variant>
        <vt:i4>4718622</vt:i4>
      </vt:variant>
      <vt:variant>
        <vt:i4>21</vt:i4>
      </vt:variant>
      <vt:variant>
        <vt:i4>0</vt:i4>
      </vt:variant>
      <vt:variant>
        <vt:i4>5</vt:i4>
      </vt:variant>
      <vt:variant>
        <vt:lpwstr>https://www.legislation.gov.au/Details/F2022C00105/Html/Text</vt:lpwstr>
      </vt:variant>
      <vt:variant>
        <vt:lpwstr/>
      </vt:variant>
      <vt:variant>
        <vt:i4>7798821</vt:i4>
      </vt:variant>
      <vt:variant>
        <vt:i4>18</vt:i4>
      </vt:variant>
      <vt:variant>
        <vt:i4>0</vt:i4>
      </vt:variant>
      <vt:variant>
        <vt:i4>5</vt:i4>
      </vt:variant>
      <vt:variant>
        <vt:lpwstr>https://www.legislation.gov.au/Details/C2022C00005</vt:lpwstr>
      </vt:variant>
      <vt:variant>
        <vt:lpwstr/>
      </vt:variant>
      <vt:variant>
        <vt:i4>5570606</vt:i4>
      </vt:variant>
      <vt:variant>
        <vt:i4>15</vt:i4>
      </vt:variant>
      <vt:variant>
        <vt:i4>0</vt:i4>
      </vt:variant>
      <vt:variant>
        <vt:i4>5</vt:i4>
      </vt:variant>
      <vt:variant>
        <vt:lpwstr/>
      </vt:variant>
      <vt:variant>
        <vt:lpwstr>_3.3_&lt;Insert_sub-heading&gt;</vt:lpwstr>
      </vt:variant>
      <vt:variant>
        <vt:i4>5505070</vt:i4>
      </vt:variant>
      <vt:variant>
        <vt:i4>12</vt:i4>
      </vt:variant>
      <vt:variant>
        <vt:i4>0</vt:i4>
      </vt:variant>
      <vt:variant>
        <vt:i4>5</vt:i4>
      </vt:variant>
      <vt:variant>
        <vt:lpwstr/>
      </vt:variant>
      <vt:variant>
        <vt:lpwstr>_3.2_&lt;Insert_sub-heading&gt;</vt:lpwstr>
      </vt:variant>
      <vt:variant>
        <vt:i4>5701678</vt:i4>
      </vt:variant>
      <vt:variant>
        <vt:i4>9</vt:i4>
      </vt:variant>
      <vt:variant>
        <vt:i4>0</vt:i4>
      </vt:variant>
      <vt:variant>
        <vt:i4>5</vt:i4>
      </vt:variant>
      <vt:variant>
        <vt:lpwstr/>
      </vt:variant>
      <vt:variant>
        <vt:lpwstr>_3.1_&lt;Insert_sub-heading&gt;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Tuition Fees and Fee Reduction Scholarships Procedure</dc:title>
  <dc:subject/>
  <dc:creator>Rebecca Voisey</dc:creator>
  <cp:keywords/>
  <dc:description/>
  <cp:lastModifiedBy>Donna Kalaentzis</cp:lastModifiedBy>
  <cp:revision>3</cp:revision>
  <cp:lastPrinted>2022-08-31T19:49:00Z</cp:lastPrinted>
  <dcterms:created xsi:type="dcterms:W3CDTF">2024-04-16T01:17:00Z</dcterms:created>
  <dcterms:modified xsi:type="dcterms:W3CDTF">2024-04-16T01:18:00Z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21800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TriggerFlowInfo">
    <vt:lpwstr/>
  </property>
  <property fmtid="{D5CDD505-2E9C-101B-9397-08002B2CF9AE}" pid="11" name="ComplianceAssetId">
    <vt:lpwstr/>
  </property>
  <property fmtid="{D5CDD505-2E9C-101B-9397-08002B2CF9AE}" pid="12" name="_ExtendedDescription">
    <vt:lpwstr/>
  </property>
  <property fmtid="{D5CDD505-2E9C-101B-9397-08002B2CF9AE}" pid="13" name="MediaServiceImageTags">
    <vt:lpwstr/>
  </property>
  <property fmtid="{D5CDD505-2E9C-101B-9397-08002B2CF9AE}" pid="14" name="policysection">
    <vt:lpwstr/>
  </property>
  <property fmtid="{D5CDD505-2E9C-101B-9397-08002B2CF9AE}" pid="15" name="appauthority">
    <vt:lpwstr>559;#Provost|bee6e04a-89d5-44a2-a3ef-d33cdfe1b4af</vt:lpwstr>
  </property>
  <property fmtid="{D5CDD505-2E9C-101B-9397-08002B2CF9AE}" pid="16" name="policycategory">
    <vt:lpwstr>86;#Procedure|bb3f25e1-3c03-4bde-afc2-5888b49b7d7d</vt:lpwstr>
  </property>
  <property fmtid="{D5CDD505-2E9C-101B-9397-08002B2CF9AE}" pid="17" name="officearea">
    <vt:lpwstr>114;#Finance|4aa22cf4-03a0-4167-aaa7-1894a1ac6b82</vt:lpwstr>
  </property>
  <property fmtid="{D5CDD505-2E9C-101B-9397-08002B2CF9AE}" pid="18" name="policyaudience">
    <vt:lpwstr>70;#Student|ee8ed24e-bfab-45f3-a2fa-94abe1e7357a</vt:lpwstr>
  </property>
  <property fmtid="{D5CDD505-2E9C-101B-9397-08002B2CF9AE}" pid="19" name="policyreview">
    <vt:lpwstr>116;#2025|fa1cf741-e18b-4093-9127-a4b8f49df0e9</vt:lpwstr>
  </property>
  <property fmtid="{D5CDD505-2E9C-101B-9397-08002B2CF9AE}" pid="20" name="Managed_Testing_Field">
    <vt:lpwstr/>
  </property>
  <property fmtid="{D5CDD505-2E9C-101B-9397-08002B2CF9AE}" pid="21" name="policy-category">
    <vt:lpwstr>519;#Academic|19fb9ccf-3758-4715-9546-fdd966adec75</vt:lpwstr>
  </property>
  <property fmtid="{D5CDD505-2E9C-101B-9397-08002B2CF9AE}" pid="22" name="glossaryterms">
    <vt:lpwstr/>
  </property>
  <property fmtid="{D5CDD505-2E9C-101B-9397-08002B2CF9AE}" pid="23" name="MSIP_Label_adaa4be3-f650-4692-881a-64ae220cbceb_Enabled">
    <vt:lpwstr>true</vt:lpwstr>
  </property>
  <property fmtid="{D5CDD505-2E9C-101B-9397-08002B2CF9AE}" pid="24" name="MSIP_Label_adaa4be3-f650-4692-881a-64ae220cbceb_SetDate">
    <vt:lpwstr>2022-12-13T02:08:11Z</vt:lpwstr>
  </property>
  <property fmtid="{D5CDD505-2E9C-101B-9397-08002B2CF9AE}" pid="25" name="MSIP_Label_adaa4be3-f650-4692-881a-64ae220cbceb_Method">
    <vt:lpwstr>Standard</vt:lpwstr>
  </property>
  <property fmtid="{D5CDD505-2E9C-101B-9397-08002B2CF9AE}" pid="26" name="MSIP_Label_adaa4be3-f650-4692-881a-64ae220cbceb_Name">
    <vt:lpwstr>OFFICIAL  Internal (External sharing)</vt:lpwstr>
  </property>
  <property fmtid="{D5CDD505-2E9C-101B-9397-08002B2CF9AE}" pid="27" name="MSIP_Label_adaa4be3-f650-4692-881a-64ae220cbceb_SiteId">
    <vt:lpwstr>5a7cc8ab-a4dc-4f9b-bf60-66714049ad62</vt:lpwstr>
  </property>
  <property fmtid="{D5CDD505-2E9C-101B-9397-08002B2CF9AE}" pid="28" name="MSIP_Label_adaa4be3-f650-4692-881a-64ae220cbceb_ActionId">
    <vt:lpwstr>6189c67f-ab6b-44e3-8842-ccac26e1839e</vt:lpwstr>
  </property>
  <property fmtid="{D5CDD505-2E9C-101B-9397-08002B2CF9AE}" pid="29" name="MSIP_Label_adaa4be3-f650-4692-881a-64ae220cbceb_ContentBits">
    <vt:lpwstr>0</vt:lpwstr>
  </property>
</Properties>
</file>