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619C5" w14:textId="7F1BF555" w:rsidR="00933D23" w:rsidRPr="00F057EB" w:rsidRDefault="009F0F22" w:rsidP="00461D00">
      <w:pPr>
        <w:pStyle w:val="ContentsHeading1"/>
        <w:pBdr>
          <w:bottom w:val="none" w:sz="0" w:space="0" w:color="auto"/>
        </w:pBdr>
        <w:spacing w:before="120" w:after="120"/>
        <w:rPr>
          <w:rFonts w:ascii="Arial" w:hAnsi="Arial" w:cs="Arial"/>
          <w:sz w:val="52"/>
          <w:szCs w:val="52"/>
        </w:rPr>
      </w:pPr>
      <w:r w:rsidRPr="00F057EB">
        <w:rPr>
          <w:rFonts w:ascii="Arial" w:hAnsi="Arial" w:cs="Arial"/>
          <w:sz w:val="52"/>
          <w:szCs w:val="52"/>
        </w:rPr>
        <w:t>Admission</w:t>
      </w:r>
    </w:p>
    <w:bookmarkStart w:id="0" w:name="_Ref20321537"/>
    <w:p w14:paraId="14C8766D" w14:textId="26C211A8" w:rsidR="00650D19" w:rsidRPr="00F057EB" w:rsidRDefault="00E46F8C" w:rsidP="00461D00">
      <w:pPr>
        <w:spacing w:before="240" w:after="0" w:line="240" w:lineRule="auto"/>
        <w:rPr>
          <w:rFonts w:ascii="Arial" w:hAnsi="Arial" w:cs="Arial"/>
          <w:bCs/>
          <w:color w:val="E30918"/>
          <w:sz w:val="24"/>
          <w:szCs w:val="24"/>
        </w:rPr>
      </w:pPr>
      <w:r w:rsidRPr="00F057EB">
        <w:rPr>
          <w:rFonts w:ascii="Arial" w:hAnsi="Arial" w:cs="Arial"/>
          <w:bCs/>
          <w:color w:val="E30918"/>
          <w:sz w:val="24"/>
          <w:szCs w:val="24"/>
        </w:rPr>
        <w:fldChar w:fldCharType="begin"/>
      </w:r>
      <w:r w:rsidRPr="00F057EB">
        <w:rPr>
          <w:rFonts w:ascii="Arial" w:hAnsi="Arial" w:cs="Arial"/>
          <w:bCs/>
          <w:color w:val="E30918"/>
          <w:sz w:val="24"/>
          <w:szCs w:val="24"/>
        </w:rPr>
        <w:instrText>HYPERLINK  \l "_1.0_Purpose"</w:instrText>
      </w:r>
      <w:r w:rsidRPr="00F057EB">
        <w:rPr>
          <w:rFonts w:ascii="Arial" w:hAnsi="Arial" w:cs="Arial"/>
          <w:bCs/>
          <w:color w:val="E30918"/>
          <w:sz w:val="24"/>
          <w:szCs w:val="24"/>
        </w:rPr>
      </w:r>
      <w:r w:rsidRPr="00F057EB">
        <w:rPr>
          <w:rFonts w:ascii="Arial" w:hAnsi="Arial" w:cs="Arial"/>
          <w:bCs/>
          <w:color w:val="E30918"/>
          <w:sz w:val="24"/>
          <w:szCs w:val="24"/>
        </w:rPr>
        <w:fldChar w:fldCharType="separate"/>
      </w:r>
      <w:r w:rsidR="00650D19" w:rsidRPr="00F057EB">
        <w:rPr>
          <w:rStyle w:val="Hyperlink"/>
          <w:rFonts w:ascii="Arial" w:hAnsi="Arial" w:cs="Arial"/>
          <w:bCs/>
          <w:sz w:val="24"/>
          <w:szCs w:val="24"/>
          <w:u w:val="none"/>
        </w:rPr>
        <w:t>1.0 Purpose</w:t>
      </w:r>
      <w:r w:rsidRPr="00F057EB">
        <w:rPr>
          <w:rFonts w:ascii="Arial" w:hAnsi="Arial" w:cs="Arial"/>
          <w:bCs/>
          <w:color w:val="E30918"/>
          <w:sz w:val="24"/>
          <w:szCs w:val="24"/>
        </w:rPr>
        <w:fldChar w:fldCharType="end"/>
      </w:r>
    </w:p>
    <w:p w14:paraId="7BAD41B5" w14:textId="3393B367" w:rsidR="00650D19" w:rsidRPr="00F057EB" w:rsidRDefault="00DB348D" w:rsidP="00461D00">
      <w:pPr>
        <w:spacing w:after="0" w:line="240" w:lineRule="auto"/>
        <w:rPr>
          <w:rFonts w:ascii="Arial" w:hAnsi="Arial" w:cs="Arial"/>
          <w:bCs/>
          <w:color w:val="E30918"/>
          <w:sz w:val="24"/>
          <w:szCs w:val="24"/>
        </w:rPr>
      </w:pPr>
      <w:hyperlink w:anchor="_2.0_Scope" w:history="1">
        <w:r w:rsidR="00650D19" w:rsidRPr="00F057EB">
          <w:rPr>
            <w:rStyle w:val="Hyperlink"/>
            <w:rFonts w:ascii="Arial" w:hAnsi="Arial" w:cs="Arial"/>
            <w:bCs/>
            <w:sz w:val="24"/>
            <w:szCs w:val="24"/>
            <w:u w:val="none"/>
          </w:rPr>
          <w:t>2.0 Scope</w:t>
        </w:r>
      </w:hyperlink>
    </w:p>
    <w:p w14:paraId="733E0321" w14:textId="6A958FC9" w:rsidR="00650D19" w:rsidRPr="00F057EB" w:rsidRDefault="00DB348D" w:rsidP="00461D00">
      <w:pPr>
        <w:spacing w:after="0" w:line="240" w:lineRule="auto"/>
        <w:rPr>
          <w:rFonts w:ascii="Arial" w:hAnsi="Arial" w:cs="Arial"/>
          <w:bCs/>
          <w:color w:val="E30918"/>
          <w:sz w:val="24"/>
          <w:szCs w:val="24"/>
        </w:rPr>
      </w:pPr>
      <w:hyperlink w:anchor="_3.0_Policy_statement" w:history="1">
        <w:r w:rsidR="00650D19" w:rsidRPr="00F057EB">
          <w:rPr>
            <w:rStyle w:val="Hyperlink"/>
            <w:rFonts w:ascii="Arial" w:hAnsi="Arial" w:cs="Arial"/>
            <w:bCs/>
            <w:sz w:val="24"/>
            <w:szCs w:val="24"/>
            <w:u w:val="none"/>
          </w:rPr>
          <w:t>3.0 Policy statement</w:t>
        </w:r>
      </w:hyperlink>
    </w:p>
    <w:p w14:paraId="77AF41E1" w14:textId="30796339" w:rsidR="00650D19" w:rsidRPr="00F057EB" w:rsidRDefault="00DB348D" w:rsidP="00461D00">
      <w:pPr>
        <w:spacing w:after="0" w:line="240" w:lineRule="auto"/>
        <w:rPr>
          <w:rStyle w:val="Hyperlink"/>
          <w:rFonts w:ascii="Arial" w:hAnsi="Arial" w:cs="Arial"/>
          <w:bCs/>
          <w:sz w:val="24"/>
          <w:szCs w:val="24"/>
          <w:u w:val="none"/>
        </w:rPr>
      </w:pPr>
      <w:hyperlink w:anchor="_4.0_Roles,_responsibilities" w:history="1">
        <w:r w:rsidR="00650D19" w:rsidRPr="00F057EB">
          <w:rPr>
            <w:rStyle w:val="Hyperlink"/>
            <w:rFonts w:ascii="Arial" w:hAnsi="Arial" w:cs="Arial"/>
            <w:bCs/>
            <w:sz w:val="24"/>
            <w:szCs w:val="24"/>
            <w:u w:val="none"/>
          </w:rPr>
          <w:t>4.0 Roles, responsibilities and delegations</w:t>
        </w:r>
      </w:hyperlink>
    </w:p>
    <w:p w14:paraId="311C0102" w14:textId="36240747" w:rsidR="00F60482" w:rsidRPr="00F057EB" w:rsidRDefault="00DB348D" w:rsidP="00461D00">
      <w:pPr>
        <w:spacing w:after="0" w:line="240" w:lineRule="auto"/>
        <w:rPr>
          <w:rStyle w:val="Hyperlink"/>
          <w:rFonts w:ascii="Arial" w:hAnsi="Arial" w:cs="Arial"/>
          <w:bCs/>
          <w:sz w:val="24"/>
          <w:szCs w:val="24"/>
          <w:u w:val="none"/>
        </w:rPr>
      </w:pPr>
      <w:hyperlink w:anchor="_5.0_Information" w:history="1">
        <w:r w:rsidR="00F60482" w:rsidRPr="00F057EB">
          <w:rPr>
            <w:rStyle w:val="Hyperlink"/>
            <w:rFonts w:ascii="Arial" w:hAnsi="Arial" w:cs="Arial"/>
            <w:bCs/>
            <w:sz w:val="24"/>
            <w:szCs w:val="24"/>
            <w:u w:val="none"/>
          </w:rPr>
          <w:t>5.0 Information</w:t>
        </w:r>
      </w:hyperlink>
    </w:p>
    <w:p w14:paraId="4AB59B25" w14:textId="281B3097" w:rsidR="00F60482" w:rsidRPr="00F057EB" w:rsidRDefault="00DB348D" w:rsidP="00461D00">
      <w:pPr>
        <w:spacing w:after="0" w:line="240" w:lineRule="auto"/>
        <w:rPr>
          <w:rFonts w:ascii="Arial" w:hAnsi="Arial" w:cs="Arial"/>
          <w:bCs/>
          <w:color w:val="E30918"/>
          <w:sz w:val="24"/>
          <w:szCs w:val="24"/>
        </w:rPr>
      </w:pPr>
      <w:hyperlink w:anchor="_6.0_Related_Policy" w:history="1">
        <w:r w:rsidR="00F60482" w:rsidRPr="00F057EB">
          <w:rPr>
            <w:rStyle w:val="Hyperlink"/>
            <w:rFonts w:ascii="Arial" w:hAnsi="Arial" w:cs="Arial"/>
            <w:bCs/>
            <w:sz w:val="24"/>
            <w:szCs w:val="24"/>
            <w:u w:val="none"/>
          </w:rPr>
          <w:t>6.0 Relate</w:t>
        </w:r>
        <w:r w:rsidR="0017577B" w:rsidRPr="00F057EB">
          <w:rPr>
            <w:rStyle w:val="Hyperlink"/>
            <w:rFonts w:ascii="Arial" w:hAnsi="Arial" w:cs="Arial"/>
            <w:bCs/>
            <w:sz w:val="24"/>
            <w:szCs w:val="24"/>
            <w:u w:val="none"/>
          </w:rPr>
          <w:t>d</w:t>
        </w:r>
        <w:r w:rsidR="00F60482" w:rsidRPr="00F057EB">
          <w:rPr>
            <w:rStyle w:val="Hyperlink"/>
            <w:rFonts w:ascii="Arial" w:hAnsi="Arial" w:cs="Arial"/>
            <w:bCs/>
            <w:sz w:val="24"/>
            <w:szCs w:val="24"/>
            <w:u w:val="none"/>
          </w:rPr>
          <w:t xml:space="preserve"> policy documents and supporting documents</w:t>
        </w:r>
      </w:hyperlink>
    </w:p>
    <w:p w14:paraId="2E800012" w14:textId="520E9720" w:rsidR="00BC55CF" w:rsidRPr="00F057EB" w:rsidRDefault="00902125" w:rsidP="00310A96">
      <w:pPr>
        <w:pStyle w:val="Heading2"/>
        <w:spacing w:before="120" w:line="240" w:lineRule="auto"/>
        <w:rPr>
          <w:rFonts w:ascii="Arial" w:hAnsi="Arial" w:cs="Arial"/>
          <w:b/>
          <w:bCs/>
          <w:sz w:val="32"/>
          <w:szCs w:val="32"/>
        </w:rPr>
      </w:pPr>
      <w:bookmarkStart w:id="1" w:name="_1.0_Purpose"/>
      <w:bookmarkEnd w:id="1"/>
      <w:r w:rsidRPr="00F057EB">
        <w:rPr>
          <w:rFonts w:ascii="Arial" w:hAnsi="Arial" w:cs="Arial"/>
          <w:b/>
          <w:bCs/>
          <w:sz w:val="32"/>
          <w:szCs w:val="32"/>
        </w:rPr>
        <w:t xml:space="preserve">1.0 </w:t>
      </w:r>
      <w:r w:rsidR="00BC55CF" w:rsidRPr="00F057EB">
        <w:rPr>
          <w:rFonts w:ascii="Arial" w:hAnsi="Arial" w:cs="Arial"/>
          <w:b/>
          <w:bCs/>
          <w:sz w:val="32"/>
          <w:szCs w:val="32"/>
        </w:rPr>
        <w:t>Purpose</w:t>
      </w:r>
      <w:bookmarkEnd w:id="0"/>
    </w:p>
    <w:p w14:paraId="5EFED9D6" w14:textId="38C00036" w:rsidR="007136DB" w:rsidRPr="00F057EB" w:rsidRDefault="007136DB" w:rsidP="00461D00">
      <w:pPr>
        <w:spacing w:before="120" w:after="120" w:line="240" w:lineRule="auto"/>
        <w:rPr>
          <w:rFonts w:ascii="Arial" w:eastAsia="Arial" w:hAnsi="Arial" w:cs="Arial"/>
          <w:sz w:val="22"/>
        </w:rPr>
      </w:pPr>
      <w:bookmarkStart w:id="2" w:name="_Ref20318879"/>
      <w:r w:rsidRPr="00F057EB">
        <w:rPr>
          <w:rFonts w:ascii="Arial" w:eastAsia="Arial" w:hAnsi="Arial" w:cs="Arial"/>
          <w:sz w:val="22"/>
        </w:rPr>
        <w:t>This Policy sets out the coursework admission principles which governs the admission of students to Griffith University</w:t>
      </w:r>
      <w:r w:rsidR="007879B4" w:rsidRPr="00F057EB">
        <w:rPr>
          <w:rFonts w:ascii="Arial" w:eastAsia="Arial" w:hAnsi="Arial" w:cs="Arial"/>
          <w:sz w:val="22"/>
        </w:rPr>
        <w:t xml:space="preserve">. </w:t>
      </w:r>
      <w:r w:rsidR="00650C39" w:rsidRPr="00F057EB">
        <w:rPr>
          <w:rFonts w:ascii="Arial" w:eastAsia="Arial" w:hAnsi="Arial" w:cs="Arial"/>
          <w:sz w:val="22"/>
        </w:rPr>
        <w:t>Please refer to the</w:t>
      </w:r>
      <w:r w:rsidRPr="00F057EB">
        <w:rPr>
          <w:rFonts w:ascii="Arial" w:eastAsia="Arial" w:hAnsi="Arial" w:cs="Arial"/>
          <w:sz w:val="22"/>
        </w:rPr>
        <w:t xml:space="preserve"> </w:t>
      </w:r>
      <w:r w:rsidRPr="00F057EB">
        <w:rPr>
          <w:rFonts w:ascii="Arial" w:eastAsia="Arial" w:hAnsi="Arial" w:cs="Arial"/>
          <w:i/>
          <w:iCs/>
          <w:sz w:val="22"/>
        </w:rPr>
        <w:t>Admission Procedure</w:t>
      </w:r>
      <w:r w:rsidR="00650C39" w:rsidRPr="00F057EB">
        <w:rPr>
          <w:rFonts w:ascii="Arial" w:eastAsia="Arial" w:hAnsi="Arial" w:cs="Arial"/>
          <w:sz w:val="22"/>
        </w:rPr>
        <w:t xml:space="preserve"> for specific processes.</w:t>
      </w:r>
    </w:p>
    <w:p w14:paraId="65297E40" w14:textId="61DFADD6" w:rsidR="00F97A5A" w:rsidRPr="00F057EB" w:rsidRDefault="00902125" w:rsidP="00310A96">
      <w:pPr>
        <w:pStyle w:val="Heading2"/>
        <w:spacing w:before="120" w:line="240" w:lineRule="auto"/>
        <w:rPr>
          <w:rFonts w:ascii="Arial" w:hAnsi="Arial" w:cs="Arial"/>
          <w:b/>
          <w:bCs/>
          <w:sz w:val="32"/>
          <w:szCs w:val="32"/>
        </w:rPr>
      </w:pPr>
      <w:bookmarkStart w:id="3" w:name="_2.0_Scope"/>
      <w:bookmarkEnd w:id="3"/>
      <w:r w:rsidRPr="00F057EB">
        <w:rPr>
          <w:rFonts w:ascii="Arial" w:hAnsi="Arial" w:cs="Arial"/>
          <w:b/>
          <w:bCs/>
          <w:sz w:val="32"/>
          <w:szCs w:val="32"/>
        </w:rPr>
        <w:t xml:space="preserve">2.0 </w:t>
      </w:r>
      <w:r w:rsidR="00F97A5A" w:rsidRPr="00F057EB">
        <w:rPr>
          <w:rFonts w:ascii="Arial" w:hAnsi="Arial" w:cs="Arial"/>
          <w:b/>
          <w:bCs/>
          <w:sz w:val="32"/>
          <w:szCs w:val="32"/>
        </w:rPr>
        <w:t>Scope</w:t>
      </w:r>
      <w:bookmarkEnd w:id="2"/>
    </w:p>
    <w:p w14:paraId="6F7D850D" w14:textId="4E793534" w:rsidR="00D62F61" w:rsidRPr="00F057EB" w:rsidRDefault="00D62F61" w:rsidP="00461D00">
      <w:pPr>
        <w:spacing w:before="120" w:after="120" w:line="240" w:lineRule="auto"/>
        <w:rPr>
          <w:rFonts w:ascii="Arial" w:eastAsia="Arial" w:hAnsi="Arial" w:cs="Arial"/>
          <w:sz w:val="22"/>
        </w:rPr>
      </w:pPr>
      <w:bookmarkStart w:id="4" w:name="_Ref20318910"/>
      <w:r w:rsidRPr="00F057EB">
        <w:rPr>
          <w:rFonts w:ascii="Arial" w:eastAsia="Arial" w:hAnsi="Arial" w:cs="Arial"/>
          <w:sz w:val="22"/>
        </w:rPr>
        <w:t>This policy applies to all:</w:t>
      </w:r>
    </w:p>
    <w:p w14:paraId="3D66317E" w14:textId="135653FD" w:rsidR="00D62F61" w:rsidRPr="00F057EB" w:rsidRDefault="00D62F61" w:rsidP="00461D00">
      <w:pPr>
        <w:pStyle w:val="ListParagraph"/>
        <w:numPr>
          <w:ilvl w:val="0"/>
          <w:numId w:val="33"/>
        </w:numPr>
        <w:spacing w:before="120" w:after="120" w:line="240" w:lineRule="auto"/>
        <w:rPr>
          <w:rFonts w:ascii="Arial" w:eastAsia="Arial" w:hAnsi="Arial" w:cs="Arial"/>
          <w:sz w:val="22"/>
        </w:rPr>
      </w:pPr>
      <w:r w:rsidRPr="00F057EB">
        <w:rPr>
          <w:rFonts w:ascii="Arial" w:eastAsia="Arial" w:hAnsi="Arial" w:cs="Arial"/>
          <w:sz w:val="22"/>
        </w:rPr>
        <w:t xml:space="preserve">undergraduate and postgraduate coursework programs and non-award </w:t>
      </w:r>
      <w:r w:rsidR="61A826E2" w:rsidRPr="00F057EB">
        <w:rPr>
          <w:rFonts w:ascii="Arial" w:eastAsia="Arial" w:hAnsi="Arial" w:cs="Arial"/>
          <w:sz w:val="22"/>
        </w:rPr>
        <w:t>programs</w:t>
      </w:r>
      <w:r w:rsidRPr="00F057EB">
        <w:rPr>
          <w:rFonts w:ascii="Arial" w:eastAsia="Arial" w:hAnsi="Arial" w:cs="Arial"/>
          <w:sz w:val="22"/>
        </w:rPr>
        <w:t xml:space="preserve"> (Single Course of Study, Cross-institutional incoming)</w:t>
      </w:r>
    </w:p>
    <w:p w14:paraId="14858CA9" w14:textId="6F102C4E" w:rsidR="00D62F61" w:rsidRPr="00F057EB" w:rsidRDefault="00D62F61" w:rsidP="00461D00">
      <w:pPr>
        <w:pStyle w:val="ListParagraph"/>
        <w:numPr>
          <w:ilvl w:val="0"/>
          <w:numId w:val="33"/>
        </w:numPr>
        <w:spacing w:before="120" w:after="120" w:line="240" w:lineRule="auto"/>
        <w:rPr>
          <w:rFonts w:ascii="Arial" w:eastAsia="Arial" w:hAnsi="Arial" w:cs="Arial"/>
          <w:sz w:val="22"/>
        </w:rPr>
      </w:pPr>
      <w:r w:rsidRPr="00F057EB">
        <w:rPr>
          <w:rFonts w:ascii="Arial" w:eastAsia="Arial" w:hAnsi="Arial" w:cs="Arial"/>
          <w:sz w:val="22"/>
        </w:rPr>
        <w:t>staff involved in admission</w:t>
      </w:r>
    </w:p>
    <w:p w14:paraId="6271F9B9" w14:textId="77777777" w:rsidR="00D62F61" w:rsidRPr="00F057EB" w:rsidRDefault="00D62F61" w:rsidP="00461D00">
      <w:pPr>
        <w:pStyle w:val="ListParagraph"/>
        <w:numPr>
          <w:ilvl w:val="0"/>
          <w:numId w:val="33"/>
        </w:numPr>
        <w:spacing w:before="120" w:after="120" w:line="240" w:lineRule="auto"/>
        <w:rPr>
          <w:rFonts w:ascii="Arial" w:eastAsia="Arial" w:hAnsi="Arial" w:cs="Arial"/>
          <w:sz w:val="22"/>
        </w:rPr>
      </w:pPr>
      <w:r w:rsidRPr="00F057EB">
        <w:rPr>
          <w:rFonts w:ascii="Arial" w:eastAsia="Arial" w:hAnsi="Arial" w:cs="Arial"/>
          <w:sz w:val="22"/>
        </w:rPr>
        <w:t>coursework students; and</w:t>
      </w:r>
    </w:p>
    <w:p w14:paraId="49860F3D" w14:textId="1E49F137" w:rsidR="00D62F61" w:rsidRPr="00F057EB" w:rsidRDefault="00D62F61" w:rsidP="00461D00">
      <w:pPr>
        <w:pStyle w:val="ListParagraph"/>
        <w:numPr>
          <w:ilvl w:val="0"/>
          <w:numId w:val="33"/>
        </w:numPr>
        <w:spacing w:before="120" w:after="120" w:line="240" w:lineRule="auto"/>
        <w:rPr>
          <w:rFonts w:ascii="Arial" w:eastAsia="Arial" w:hAnsi="Arial" w:cs="Arial"/>
          <w:sz w:val="22"/>
        </w:rPr>
      </w:pPr>
      <w:r w:rsidRPr="00F057EB">
        <w:rPr>
          <w:rFonts w:ascii="Arial" w:eastAsia="Arial" w:hAnsi="Arial" w:cs="Arial"/>
          <w:sz w:val="22"/>
        </w:rPr>
        <w:t>coursework applicants seeking to be admitted to study at the University.</w:t>
      </w:r>
    </w:p>
    <w:p w14:paraId="16734CDB" w14:textId="67C50FCD" w:rsidR="00C91165" w:rsidRPr="00F057EB" w:rsidRDefault="00902125" w:rsidP="00310A96">
      <w:pPr>
        <w:pStyle w:val="Heading2"/>
        <w:spacing w:before="120" w:line="240" w:lineRule="auto"/>
        <w:rPr>
          <w:rFonts w:ascii="Arial" w:hAnsi="Arial" w:cs="Arial"/>
          <w:b/>
          <w:bCs/>
          <w:sz w:val="32"/>
          <w:szCs w:val="32"/>
        </w:rPr>
      </w:pPr>
      <w:bookmarkStart w:id="5" w:name="_3.0_Policy_statement"/>
      <w:bookmarkEnd w:id="5"/>
      <w:r w:rsidRPr="00F057EB">
        <w:rPr>
          <w:rFonts w:ascii="Arial" w:hAnsi="Arial" w:cs="Arial"/>
          <w:b/>
          <w:bCs/>
          <w:sz w:val="32"/>
          <w:szCs w:val="32"/>
        </w:rPr>
        <w:t xml:space="preserve">3.0 </w:t>
      </w:r>
      <w:r w:rsidR="00C91165" w:rsidRPr="00F057EB">
        <w:rPr>
          <w:rFonts w:ascii="Arial" w:hAnsi="Arial" w:cs="Arial"/>
          <w:b/>
          <w:bCs/>
          <w:sz w:val="32"/>
          <w:szCs w:val="32"/>
        </w:rPr>
        <w:t xml:space="preserve">Policy </w:t>
      </w:r>
      <w:r w:rsidR="00C655EF" w:rsidRPr="00F057EB">
        <w:rPr>
          <w:rFonts w:ascii="Arial" w:hAnsi="Arial" w:cs="Arial"/>
          <w:b/>
          <w:bCs/>
          <w:sz w:val="32"/>
          <w:szCs w:val="32"/>
        </w:rPr>
        <w:t>s</w:t>
      </w:r>
      <w:r w:rsidR="00C91165" w:rsidRPr="00F057EB">
        <w:rPr>
          <w:rFonts w:ascii="Arial" w:hAnsi="Arial" w:cs="Arial"/>
          <w:b/>
          <w:bCs/>
          <w:sz w:val="32"/>
          <w:szCs w:val="32"/>
        </w:rPr>
        <w:t>tatement</w:t>
      </w:r>
      <w:bookmarkEnd w:id="4"/>
    </w:p>
    <w:p w14:paraId="479C3E15" w14:textId="60A2974F" w:rsidR="00DB5C51" w:rsidRPr="00F057EB" w:rsidRDefault="00DB5C51" w:rsidP="00461D00">
      <w:pPr>
        <w:spacing w:before="120" w:after="120" w:line="240" w:lineRule="auto"/>
        <w:rPr>
          <w:rFonts w:ascii="Arial" w:eastAsiaTheme="minorEastAsia" w:hAnsi="Arial" w:cs="Arial"/>
          <w:sz w:val="22"/>
        </w:rPr>
      </w:pPr>
      <w:r w:rsidRPr="00F057EB">
        <w:rPr>
          <w:rFonts w:ascii="Arial" w:eastAsiaTheme="minorEastAsia" w:hAnsi="Arial" w:cs="Arial"/>
          <w:sz w:val="22"/>
        </w:rPr>
        <w:t>Griffith is committed to ensuring all practices in relation to admission are consistent, fair, and transparent, and comply with relevant internal and external regulations and requirements and align with the Universit</w:t>
      </w:r>
      <w:r w:rsidR="597FD450" w:rsidRPr="00F057EB">
        <w:rPr>
          <w:rFonts w:ascii="Arial" w:eastAsiaTheme="minorEastAsia" w:hAnsi="Arial" w:cs="Arial"/>
          <w:sz w:val="22"/>
        </w:rPr>
        <w:t>y’s</w:t>
      </w:r>
      <w:r w:rsidRPr="00F057EB">
        <w:rPr>
          <w:rFonts w:ascii="Arial" w:eastAsiaTheme="minorEastAsia" w:hAnsi="Arial" w:cs="Arial"/>
          <w:sz w:val="22"/>
        </w:rPr>
        <w:t xml:space="preserve"> strategic objectives. Admission practices should be inclusive and provide for all students to have a seamless transition through their study.</w:t>
      </w:r>
    </w:p>
    <w:p w14:paraId="5006967A" w14:textId="6589432F" w:rsidR="00DB5C51" w:rsidRPr="00F057EB" w:rsidRDefault="00DB5C51" w:rsidP="00461D00">
      <w:pPr>
        <w:spacing w:before="120" w:after="120" w:line="240" w:lineRule="auto"/>
        <w:rPr>
          <w:rFonts w:ascii="Arial" w:eastAsiaTheme="minorEastAsia" w:hAnsi="Arial" w:cs="Arial"/>
          <w:sz w:val="22"/>
        </w:rPr>
      </w:pPr>
      <w:r w:rsidRPr="00F057EB">
        <w:rPr>
          <w:rFonts w:ascii="Arial" w:eastAsiaTheme="minorEastAsia" w:hAnsi="Arial" w:cs="Arial"/>
          <w:sz w:val="22"/>
        </w:rPr>
        <w:t>Admission requirements for coursework programs offered by the University are designed to:</w:t>
      </w:r>
    </w:p>
    <w:p w14:paraId="27C7A0E9" w14:textId="733F83AD" w:rsidR="00DB5C51" w:rsidRPr="00F057EB" w:rsidRDefault="00D86C91" w:rsidP="00461D00">
      <w:pPr>
        <w:pStyle w:val="ListParagraph"/>
        <w:numPr>
          <w:ilvl w:val="0"/>
          <w:numId w:val="33"/>
        </w:numPr>
        <w:spacing w:before="120" w:after="120" w:line="240" w:lineRule="auto"/>
        <w:rPr>
          <w:rFonts w:ascii="Arial" w:eastAsia="Arial" w:hAnsi="Arial" w:cs="Arial"/>
          <w:sz w:val="22"/>
        </w:rPr>
      </w:pPr>
      <w:r w:rsidRPr="00F057EB">
        <w:rPr>
          <w:rFonts w:ascii="Arial" w:eastAsia="Arial" w:hAnsi="Arial" w:cs="Arial"/>
          <w:sz w:val="22"/>
        </w:rPr>
        <w:t>e</w:t>
      </w:r>
      <w:r w:rsidR="00DB5C51" w:rsidRPr="00F057EB">
        <w:rPr>
          <w:rFonts w:ascii="Arial" w:eastAsia="Arial" w:hAnsi="Arial" w:cs="Arial"/>
          <w:sz w:val="22"/>
        </w:rPr>
        <w:t>nsure the applicant has the academic preparation, English language proficiency and skills for success at Griffith</w:t>
      </w:r>
    </w:p>
    <w:p w14:paraId="3074D546" w14:textId="19244574" w:rsidR="00DB5C51" w:rsidRPr="00F057EB" w:rsidRDefault="00D86C91" w:rsidP="00461D00">
      <w:pPr>
        <w:pStyle w:val="ListParagraph"/>
        <w:numPr>
          <w:ilvl w:val="0"/>
          <w:numId w:val="33"/>
        </w:numPr>
        <w:spacing w:before="120" w:after="120" w:line="240" w:lineRule="auto"/>
        <w:rPr>
          <w:rFonts w:ascii="Arial" w:eastAsia="Arial" w:hAnsi="Arial" w:cs="Arial"/>
          <w:sz w:val="22"/>
        </w:rPr>
      </w:pPr>
      <w:r w:rsidRPr="00F057EB">
        <w:rPr>
          <w:rFonts w:ascii="Arial" w:eastAsia="Arial" w:hAnsi="Arial" w:cs="Arial"/>
          <w:sz w:val="22"/>
        </w:rPr>
        <w:t>e</w:t>
      </w:r>
      <w:r w:rsidR="00DB5C51" w:rsidRPr="00F057EB">
        <w:rPr>
          <w:rFonts w:ascii="Arial" w:eastAsia="Arial" w:hAnsi="Arial" w:cs="Arial"/>
          <w:sz w:val="22"/>
        </w:rPr>
        <w:t>nsure the admission information and criteria is clear and applicants are equipped to succeed in their chosen program</w:t>
      </w:r>
    </w:p>
    <w:p w14:paraId="0D26B4FA" w14:textId="1ACB007E" w:rsidR="00DB5C51" w:rsidRPr="00F057EB" w:rsidRDefault="00D86C91" w:rsidP="00461D00">
      <w:pPr>
        <w:pStyle w:val="ListParagraph"/>
        <w:numPr>
          <w:ilvl w:val="0"/>
          <w:numId w:val="33"/>
        </w:numPr>
        <w:spacing w:before="120" w:after="120" w:line="240" w:lineRule="auto"/>
        <w:rPr>
          <w:rFonts w:ascii="Arial" w:eastAsia="Arial" w:hAnsi="Arial" w:cs="Arial"/>
          <w:sz w:val="22"/>
        </w:rPr>
      </w:pPr>
      <w:r w:rsidRPr="00F057EB">
        <w:rPr>
          <w:rFonts w:ascii="Arial" w:eastAsia="Arial" w:hAnsi="Arial" w:cs="Arial"/>
          <w:sz w:val="22"/>
        </w:rPr>
        <w:t>b</w:t>
      </w:r>
      <w:r w:rsidR="00DB5C51" w:rsidRPr="00F057EB">
        <w:rPr>
          <w:rFonts w:ascii="Arial" w:eastAsia="Arial" w:hAnsi="Arial" w:cs="Arial"/>
          <w:sz w:val="22"/>
        </w:rPr>
        <w:t>e compliant under relevant state and federal legislation.</w:t>
      </w:r>
    </w:p>
    <w:p w14:paraId="20F9866E" w14:textId="3349797A" w:rsidR="00DB5C51" w:rsidRPr="00F057EB" w:rsidRDefault="00DB5C51" w:rsidP="00461D00">
      <w:pPr>
        <w:spacing w:before="120" w:after="120" w:line="240" w:lineRule="auto"/>
        <w:rPr>
          <w:rFonts w:ascii="Arial" w:eastAsiaTheme="minorEastAsia" w:hAnsi="Arial" w:cs="Arial"/>
          <w:sz w:val="22"/>
        </w:rPr>
      </w:pPr>
      <w:r w:rsidRPr="00F057EB">
        <w:rPr>
          <w:rFonts w:ascii="Arial" w:eastAsiaTheme="minorEastAsia" w:hAnsi="Arial" w:cs="Arial"/>
          <w:sz w:val="22"/>
        </w:rPr>
        <w:t>Decisions about whether to admit and/or enrol a person are based on the person's academic merit and the availability of the resources required for the person to undertake the program or course.</w:t>
      </w:r>
    </w:p>
    <w:p w14:paraId="1FF105B8" w14:textId="5FE94550" w:rsidR="5A24C32E" w:rsidRPr="00F057EB" w:rsidRDefault="5A24C32E" w:rsidP="00461D00">
      <w:pPr>
        <w:spacing w:before="120" w:after="120" w:line="240" w:lineRule="auto"/>
        <w:rPr>
          <w:rFonts w:ascii="Arial" w:eastAsiaTheme="minorEastAsia" w:hAnsi="Arial" w:cs="Arial"/>
          <w:sz w:val="22"/>
        </w:rPr>
      </w:pPr>
      <w:r w:rsidRPr="00F057EB">
        <w:rPr>
          <w:rFonts w:ascii="Arial" w:eastAsiaTheme="minorEastAsia" w:hAnsi="Arial" w:cs="Arial"/>
          <w:sz w:val="22"/>
        </w:rPr>
        <w:t>Admission requirements are informed by the results of program monitoring and review, external benchmarking and student feedback.</w:t>
      </w:r>
    </w:p>
    <w:p w14:paraId="1FA6F8DD" w14:textId="395D55EF" w:rsidR="00DB5C51" w:rsidRPr="00F057EB" w:rsidRDefault="00DB5C51" w:rsidP="00461D00">
      <w:pPr>
        <w:spacing w:before="120" w:after="120" w:line="240" w:lineRule="auto"/>
        <w:rPr>
          <w:rFonts w:ascii="Arial" w:eastAsiaTheme="minorEastAsia" w:hAnsi="Arial" w:cs="Arial"/>
          <w:sz w:val="22"/>
        </w:rPr>
      </w:pPr>
      <w:r w:rsidRPr="00F057EB">
        <w:rPr>
          <w:rFonts w:ascii="Arial" w:eastAsiaTheme="minorEastAsia" w:hAnsi="Arial" w:cs="Arial"/>
          <w:sz w:val="22"/>
        </w:rPr>
        <w:t>This policy is aligned with the University’s commitment to the United Nations Sustainable Development Goals (SDG), particularly SDG 4: Quality Education for all, SDG 5: Gender Equality and SDG 10: Reduced Inequalities.</w:t>
      </w:r>
    </w:p>
    <w:p w14:paraId="35B37A56" w14:textId="1F67D8E0" w:rsidR="00DA348D" w:rsidRPr="00F057EB" w:rsidRDefault="00902125" w:rsidP="00310A96">
      <w:pPr>
        <w:pStyle w:val="Heading2"/>
        <w:spacing w:before="120" w:line="240" w:lineRule="auto"/>
        <w:rPr>
          <w:rFonts w:ascii="Arial" w:hAnsi="Arial" w:cs="Arial"/>
          <w:b/>
          <w:bCs/>
          <w:sz w:val="32"/>
          <w:szCs w:val="32"/>
        </w:rPr>
      </w:pPr>
      <w:bookmarkStart w:id="6" w:name="_4.0_Roles,_responsibilities"/>
      <w:bookmarkStart w:id="7" w:name="_Ref20320710"/>
      <w:bookmarkStart w:id="8" w:name="_Ref21613385"/>
      <w:bookmarkEnd w:id="6"/>
      <w:r w:rsidRPr="00F057EB">
        <w:rPr>
          <w:rFonts w:ascii="Arial" w:hAnsi="Arial" w:cs="Arial"/>
          <w:b/>
          <w:bCs/>
          <w:sz w:val="32"/>
          <w:szCs w:val="32"/>
        </w:rPr>
        <w:t xml:space="preserve">4.0 </w:t>
      </w:r>
      <w:r w:rsidR="00DA348D" w:rsidRPr="00F057EB">
        <w:rPr>
          <w:rFonts w:ascii="Arial" w:hAnsi="Arial" w:cs="Arial"/>
          <w:b/>
          <w:bCs/>
          <w:sz w:val="32"/>
          <w:szCs w:val="32"/>
        </w:rPr>
        <w:t>Roles</w:t>
      </w:r>
      <w:r w:rsidR="00AB5659" w:rsidRPr="00F057EB">
        <w:rPr>
          <w:rFonts w:ascii="Arial" w:hAnsi="Arial" w:cs="Arial"/>
          <w:b/>
          <w:bCs/>
          <w:sz w:val="32"/>
          <w:szCs w:val="32"/>
        </w:rPr>
        <w:t>,</w:t>
      </w:r>
      <w:r w:rsidR="00DA348D" w:rsidRPr="00F057EB">
        <w:rPr>
          <w:rFonts w:ascii="Arial" w:hAnsi="Arial" w:cs="Arial"/>
          <w:b/>
          <w:bCs/>
          <w:sz w:val="32"/>
          <w:szCs w:val="32"/>
        </w:rPr>
        <w:t xml:space="preserve"> responsibilities</w:t>
      </w:r>
      <w:bookmarkEnd w:id="7"/>
      <w:r w:rsidR="00AB5659" w:rsidRPr="00F057EB">
        <w:rPr>
          <w:rFonts w:ascii="Arial" w:hAnsi="Arial" w:cs="Arial"/>
          <w:b/>
          <w:bCs/>
          <w:sz w:val="32"/>
          <w:szCs w:val="32"/>
        </w:rPr>
        <w:t xml:space="preserve"> and delegations</w:t>
      </w:r>
      <w:bookmarkEnd w:id="8"/>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402"/>
        <w:gridCol w:w="6438"/>
      </w:tblGrid>
      <w:tr w:rsidR="00461D00" w:rsidRPr="00F057EB" w14:paraId="7EBB1578" w14:textId="77777777" w:rsidTr="00C846D1">
        <w:trPr>
          <w:trHeight w:val="450"/>
          <w:tblHeader/>
        </w:trPr>
        <w:tc>
          <w:tcPr>
            <w:tcW w:w="3402" w:type="dxa"/>
            <w:shd w:val="clear" w:color="auto" w:fill="auto"/>
            <w:tcMar>
              <w:left w:w="105" w:type="dxa"/>
              <w:right w:w="105" w:type="dxa"/>
            </w:tcMar>
          </w:tcPr>
          <w:p w14:paraId="2434651F" w14:textId="77777777" w:rsidR="001352E3" w:rsidRPr="00F057EB" w:rsidRDefault="001352E3" w:rsidP="00461D00">
            <w:pPr>
              <w:spacing w:before="120" w:after="120" w:line="240" w:lineRule="auto"/>
              <w:rPr>
                <w:rFonts w:ascii="Arial" w:hAnsi="Arial" w:cs="Arial"/>
                <w:color w:val="000000" w:themeColor="text1"/>
                <w:szCs w:val="20"/>
              </w:rPr>
            </w:pPr>
            <w:r w:rsidRPr="00F057EB">
              <w:rPr>
                <w:rFonts w:ascii="Arial" w:eastAsia="Arial" w:hAnsi="Arial" w:cs="Arial"/>
                <w:b/>
                <w:bCs/>
                <w:color w:val="000000" w:themeColor="text1"/>
                <w:sz w:val="24"/>
                <w:szCs w:val="24"/>
              </w:rPr>
              <w:t>ROLE</w:t>
            </w:r>
            <w:r w:rsidRPr="00F057EB">
              <w:rPr>
                <w:rFonts w:ascii="Arial" w:hAnsi="Arial" w:cs="Arial"/>
                <w:b/>
                <w:bCs/>
                <w:color w:val="000000" w:themeColor="text1"/>
                <w:szCs w:val="20"/>
              </w:rPr>
              <w:t xml:space="preserve"> </w:t>
            </w:r>
          </w:p>
        </w:tc>
        <w:tc>
          <w:tcPr>
            <w:tcW w:w="6438" w:type="dxa"/>
            <w:shd w:val="clear" w:color="auto" w:fill="auto"/>
            <w:tcMar>
              <w:left w:w="105" w:type="dxa"/>
              <w:right w:w="105" w:type="dxa"/>
            </w:tcMar>
          </w:tcPr>
          <w:p w14:paraId="091827CA" w14:textId="77777777" w:rsidR="001352E3" w:rsidRPr="00F057EB" w:rsidRDefault="001352E3" w:rsidP="00461D00">
            <w:pPr>
              <w:spacing w:before="120" w:after="120" w:line="240" w:lineRule="auto"/>
              <w:rPr>
                <w:rFonts w:ascii="Arial" w:hAnsi="Arial" w:cs="Arial"/>
                <w:color w:val="000000" w:themeColor="text1"/>
                <w:szCs w:val="20"/>
              </w:rPr>
            </w:pPr>
            <w:r w:rsidRPr="00F057EB">
              <w:rPr>
                <w:rFonts w:ascii="Arial" w:hAnsi="Arial" w:cs="Arial"/>
                <w:b/>
                <w:bCs/>
                <w:color w:val="000000" w:themeColor="text1"/>
                <w:szCs w:val="20"/>
              </w:rPr>
              <w:t xml:space="preserve">      </w:t>
            </w:r>
            <w:r w:rsidRPr="00F057EB">
              <w:rPr>
                <w:rFonts w:ascii="Arial" w:eastAsia="Arial" w:hAnsi="Arial" w:cs="Arial"/>
                <w:b/>
                <w:bCs/>
                <w:color w:val="000000" w:themeColor="text1"/>
                <w:sz w:val="24"/>
                <w:szCs w:val="24"/>
              </w:rPr>
              <w:t>RESPONSIBILITY</w:t>
            </w:r>
          </w:p>
        </w:tc>
      </w:tr>
      <w:tr w:rsidR="001352E3" w:rsidRPr="00F057EB" w14:paraId="68F667B4" w14:textId="77777777" w:rsidTr="00461D00">
        <w:trPr>
          <w:trHeight w:val="553"/>
        </w:trPr>
        <w:tc>
          <w:tcPr>
            <w:tcW w:w="3402" w:type="dxa"/>
            <w:shd w:val="clear" w:color="auto" w:fill="auto"/>
            <w:tcMar>
              <w:left w:w="105" w:type="dxa"/>
              <w:right w:w="105" w:type="dxa"/>
            </w:tcMar>
          </w:tcPr>
          <w:p w14:paraId="6A33996C" w14:textId="780C7EEF" w:rsidR="001352E3" w:rsidRPr="00F057EB" w:rsidRDefault="00FD2141" w:rsidP="00461D00">
            <w:pPr>
              <w:spacing w:before="120" w:after="120" w:line="240" w:lineRule="auto"/>
              <w:rPr>
                <w:rFonts w:ascii="Arial" w:hAnsi="Arial" w:cs="Arial"/>
                <w:sz w:val="22"/>
              </w:rPr>
            </w:pPr>
            <w:r w:rsidRPr="00F057EB">
              <w:rPr>
                <w:rFonts w:ascii="Arial" w:hAnsi="Arial" w:cs="Arial"/>
                <w:sz w:val="22"/>
              </w:rPr>
              <w:t>Academic Committee</w:t>
            </w:r>
          </w:p>
        </w:tc>
        <w:tc>
          <w:tcPr>
            <w:tcW w:w="6438" w:type="dxa"/>
            <w:shd w:val="clear" w:color="auto" w:fill="auto"/>
            <w:tcMar>
              <w:left w:w="105" w:type="dxa"/>
              <w:right w:w="105" w:type="dxa"/>
            </w:tcMar>
          </w:tcPr>
          <w:p w14:paraId="5891B5C0" w14:textId="3F322F67" w:rsidR="00461D00" w:rsidRPr="00F057EB" w:rsidRDefault="001352E3" w:rsidP="00310A96">
            <w:pPr>
              <w:numPr>
                <w:ilvl w:val="0"/>
                <w:numId w:val="38"/>
              </w:numPr>
              <w:spacing w:before="120" w:after="120" w:line="240" w:lineRule="auto"/>
              <w:rPr>
                <w:rFonts w:ascii="Arial" w:hAnsi="Arial" w:cs="Arial"/>
                <w:sz w:val="22"/>
              </w:rPr>
            </w:pPr>
            <w:r w:rsidRPr="00F057EB">
              <w:rPr>
                <w:rFonts w:ascii="Arial" w:hAnsi="Arial" w:cs="Arial"/>
                <w:sz w:val="22"/>
              </w:rPr>
              <w:t>Approving authority for changes to this policy and related procedure.</w:t>
            </w:r>
            <w:r w:rsidR="00461D00" w:rsidRPr="00F057EB">
              <w:rPr>
                <w:rFonts w:ascii="Arial" w:hAnsi="Arial" w:cs="Arial"/>
                <w:sz w:val="22"/>
              </w:rPr>
              <w:tab/>
            </w:r>
          </w:p>
        </w:tc>
      </w:tr>
      <w:tr w:rsidR="001352E3" w:rsidRPr="00F057EB" w14:paraId="4839D9D0" w14:textId="77777777" w:rsidTr="00461D00">
        <w:trPr>
          <w:trHeight w:val="300"/>
        </w:trPr>
        <w:tc>
          <w:tcPr>
            <w:tcW w:w="3402" w:type="dxa"/>
            <w:shd w:val="clear" w:color="auto" w:fill="auto"/>
            <w:tcMar>
              <w:left w:w="105" w:type="dxa"/>
              <w:right w:w="105" w:type="dxa"/>
            </w:tcMar>
          </w:tcPr>
          <w:p w14:paraId="4FF5663E" w14:textId="360CF5F4" w:rsidR="001352E3" w:rsidRPr="00F057EB" w:rsidRDefault="00FD2141" w:rsidP="00461D00">
            <w:pPr>
              <w:spacing w:before="120" w:after="120" w:line="240" w:lineRule="auto"/>
              <w:rPr>
                <w:rFonts w:ascii="Arial" w:hAnsi="Arial" w:cs="Arial"/>
                <w:sz w:val="22"/>
              </w:rPr>
            </w:pPr>
            <w:r w:rsidRPr="00F057EB">
              <w:rPr>
                <w:rFonts w:ascii="Arial" w:hAnsi="Arial" w:cs="Arial"/>
                <w:sz w:val="22"/>
              </w:rPr>
              <w:lastRenderedPageBreak/>
              <w:t>Programs Committee</w:t>
            </w:r>
          </w:p>
        </w:tc>
        <w:tc>
          <w:tcPr>
            <w:tcW w:w="6438" w:type="dxa"/>
            <w:shd w:val="clear" w:color="auto" w:fill="auto"/>
            <w:tcMar>
              <w:left w:w="105" w:type="dxa"/>
              <w:right w:w="105" w:type="dxa"/>
            </w:tcMar>
          </w:tcPr>
          <w:p w14:paraId="14602A0C" w14:textId="77777777" w:rsidR="001352E3" w:rsidRPr="00F057EB" w:rsidRDefault="001352E3" w:rsidP="00310A96">
            <w:pPr>
              <w:numPr>
                <w:ilvl w:val="0"/>
                <w:numId w:val="38"/>
              </w:numPr>
              <w:spacing w:before="120" w:after="120" w:line="240" w:lineRule="auto"/>
              <w:rPr>
                <w:rFonts w:ascii="Arial" w:hAnsi="Arial" w:cs="Arial"/>
                <w:sz w:val="22"/>
              </w:rPr>
            </w:pPr>
            <w:r w:rsidRPr="00F057EB">
              <w:rPr>
                <w:rFonts w:ascii="Arial" w:hAnsi="Arial" w:cs="Arial"/>
                <w:sz w:val="22"/>
              </w:rPr>
              <w:t>Admission requirements, including additional admission criteria for each undergraduate and postgraduate program on the recommendation of the relevant academic Group Board.</w:t>
            </w:r>
          </w:p>
        </w:tc>
      </w:tr>
      <w:tr w:rsidR="001352E3" w:rsidRPr="00F057EB" w14:paraId="498375BD" w14:textId="77777777" w:rsidTr="00461D00">
        <w:trPr>
          <w:trHeight w:val="300"/>
        </w:trPr>
        <w:tc>
          <w:tcPr>
            <w:tcW w:w="3402" w:type="dxa"/>
            <w:shd w:val="clear" w:color="auto" w:fill="auto"/>
            <w:tcMar>
              <w:left w:w="105" w:type="dxa"/>
              <w:right w:w="105" w:type="dxa"/>
            </w:tcMar>
          </w:tcPr>
          <w:p w14:paraId="6E65D707" w14:textId="1EA5564E" w:rsidR="001352E3" w:rsidRPr="00F057EB" w:rsidRDefault="00FD2141" w:rsidP="00461D00">
            <w:pPr>
              <w:spacing w:before="120" w:after="120" w:line="240" w:lineRule="auto"/>
              <w:rPr>
                <w:rFonts w:ascii="Arial" w:hAnsi="Arial" w:cs="Arial"/>
                <w:sz w:val="22"/>
              </w:rPr>
            </w:pPr>
            <w:r w:rsidRPr="00F057EB">
              <w:rPr>
                <w:rFonts w:ascii="Arial" w:hAnsi="Arial" w:cs="Arial"/>
                <w:sz w:val="22"/>
              </w:rPr>
              <w:t>Deputy Vice Chancellor (Education)</w:t>
            </w:r>
          </w:p>
        </w:tc>
        <w:tc>
          <w:tcPr>
            <w:tcW w:w="6438" w:type="dxa"/>
            <w:shd w:val="clear" w:color="auto" w:fill="auto"/>
            <w:tcMar>
              <w:left w:w="105" w:type="dxa"/>
              <w:right w:w="105" w:type="dxa"/>
            </w:tcMar>
          </w:tcPr>
          <w:p w14:paraId="53F718E9" w14:textId="5744AD34" w:rsidR="001352E3" w:rsidRPr="00F057EB" w:rsidRDefault="001352E3" w:rsidP="00310A96">
            <w:pPr>
              <w:numPr>
                <w:ilvl w:val="0"/>
                <w:numId w:val="38"/>
              </w:numPr>
              <w:spacing w:before="120" w:after="120" w:line="240" w:lineRule="auto"/>
              <w:rPr>
                <w:rFonts w:ascii="Arial" w:hAnsi="Arial" w:cs="Arial"/>
                <w:sz w:val="22"/>
              </w:rPr>
            </w:pPr>
            <w:r w:rsidRPr="00F057EB">
              <w:rPr>
                <w:rFonts w:ascii="Arial" w:hAnsi="Arial" w:cs="Arial"/>
                <w:sz w:val="22"/>
              </w:rPr>
              <w:t>Minimum selection ranks for admission to undergraduate degrees</w:t>
            </w:r>
            <w:r w:rsidR="00310A96" w:rsidRPr="00F057EB">
              <w:rPr>
                <w:rFonts w:ascii="Arial" w:hAnsi="Arial" w:cs="Arial"/>
                <w:sz w:val="22"/>
              </w:rPr>
              <w:t>.</w:t>
            </w:r>
          </w:p>
        </w:tc>
      </w:tr>
      <w:tr w:rsidR="5F1D42DC" w:rsidRPr="00F057EB" w14:paraId="199BA50D" w14:textId="77777777" w:rsidTr="00461D00">
        <w:trPr>
          <w:trHeight w:val="300"/>
        </w:trPr>
        <w:tc>
          <w:tcPr>
            <w:tcW w:w="3402" w:type="dxa"/>
            <w:shd w:val="clear" w:color="auto" w:fill="auto"/>
            <w:tcMar>
              <w:left w:w="105" w:type="dxa"/>
              <w:right w:w="105" w:type="dxa"/>
            </w:tcMar>
          </w:tcPr>
          <w:p w14:paraId="733C5AC9" w14:textId="04BBE521" w:rsidR="3CB228E5" w:rsidRPr="00F057EB" w:rsidRDefault="00FD2141" w:rsidP="00461D00">
            <w:pPr>
              <w:spacing w:before="120" w:after="120" w:line="240" w:lineRule="auto"/>
              <w:rPr>
                <w:rFonts w:ascii="Arial" w:eastAsia="Arial" w:hAnsi="Arial" w:cs="Arial"/>
                <w:color w:val="000000" w:themeColor="text1"/>
                <w:sz w:val="22"/>
              </w:rPr>
            </w:pPr>
            <w:r w:rsidRPr="00F057EB">
              <w:rPr>
                <w:rFonts w:ascii="Arial" w:eastAsia="Arial" w:hAnsi="Arial" w:cs="Arial"/>
                <w:color w:val="000000" w:themeColor="text1"/>
                <w:sz w:val="22"/>
              </w:rPr>
              <w:t>Deputy Vice Chancellor (Indigenous, Diversity and Inclusion)</w:t>
            </w:r>
          </w:p>
        </w:tc>
        <w:tc>
          <w:tcPr>
            <w:tcW w:w="6438" w:type="dxa"/>
            <w:shd w:val="clear" w:color="auto" w:fill="auto"/>
            <w:tcMar>
              <w:left w:w="105" w:type="dxa"/>
              <w:right w:w="105" w:type="dxa"/>
            </w:tcMar>
          </w:tcPr>
          <w:p w14:paraId="3A107853" w14:textId="2815C43E" w:rsidR="3CB228E5" w:rsidRPr="00F057EB" w:rsidRDefault="3CB228E5" w:rsidP="00310A96">
            <w:pPr>
              <w:numPr>
                <w:ilvl w:val="0"/>
                <w:numId w:val="38"/>
              </w:numPr>
              <w:spacing w:before="120" w:after="120" w:line="240" w:lineRule="auto"/>
              <w:rPr>
                <w:rFonts w:ascii="Arial" w:hAnsi="Arial" w:cs="Arial"/>
                <w:sz w:val="22"/>
              </w:rPr>
            </w:pPr>
            <w:r w:rsidRPr="00F057EB">
              <w:rPr>
                <w:rFonts w:ascii="Arial" w:hAnsi="Arial" w:cs="Arial"/>
                <w:sz w:val="22"/>
              </w:rPr>
              <w:t>Makes recommendations of admission regarding suitably qualified First Peoples applicants.</w:t>
            </w:r>
          </w:p>
        </w:tc>
      </w:tr>
      <w:tr w:rsidR="001352E3" w:rsidRPr="00F057EB" w14:paraId="405F57C6" w14:textId="77777777" w:rsidTr="00461D00">
        <w:trPr>
          <w:trHeight w:val="300"/>
        </w:trPr>
        <w:tc>
          <w:tcPr>
            <w:tcW w:w="3402" w:type="dxa"/>
            <w:shd w:val="clear" w:color="auto" w:fill="auto"/>
            <w:tcMar>
              <w:left w:w="105" w:type="dxa"/>
              <w:right w:w="105" w:type="dxa"/>
            </w:tcMar>
          </w:tcPr>
          <w:p w14:paraId="5348BE5B" w14:textId="52321553" w:rsidR="001352E3" w:rsidRPr="00F057EB" w:rsidRDefault="00FD2141" w:rsidP="00461D00">
            <w:pPr>
              <w:spacing w:before="120" w:after="120" w:line="240" w:lineRule="auto"/>
              <w:rPr>
                <w:rFonts w:ascii="Arial" w:hAnsi="Arial" w:cs="Arial"/>
                <w:sz w:val="22"/>
              </w:rPr>
            </w:pPr>
            <w:r w:rsidRPr="00F057EB">
              <w:rPr>
                <w:rFonts w:ascii="Arial" w:hAnsi="Arial" w:cs="Arial"/>
                <w:sz w:val="22"/>
              </w:rPr>
              <w:t>Vice President (Global)</w:t>
            </w:r>
          </w:p>
        </w:tc>
        <w:tc>
          <w:tcPr>
            <w:tcW w:w="6438" w:type="dxa"/>
            <w:shd w:val="clear" w:color="auto" w:fill="auto"/>
            <w:tcMar>
              <w:left w:w="105" w:type="dxa"/>
              <w:right w:w="105" w:type="dxa"/>
            </w:tcMar>
          </w:tcPr>
          <w:p w14:paraId="28BB9C13" w14:textId="77777777" w:rsidR="001352E3" w:rsidRPr="00F057EB" w:rsidRDefault="02BFB83F" w:rsidP="00310A96">
            <w:pPr>
              <w:numPr>
                <w:ilvl w:val="0"/>
                <w:numId w:val="38"/>
              </w:numPr>
              <w:spacing w:before="120" w:after="120" w:line="240" w:lineRule="auto"/>
              <w:rPr>
                <w:rFonts w:ascii="Arial" w:hAnsi="Arial" w:cs="Arial"/>
                <w:sz w:val="22"/>
              </w:rPr>
            </w:pPr>
            <w:r w:rsidRPr="00F057EB">
              <w:rPr>
                <w:rFonts w:ascii="Arial" w:hAnsi="Arial" w:cs="Arial"/>
                <w:sz w:val="22"/>
              </w:rPr>
              <w:t>The Vice President (Global), and officers delegated by the Vice President (Global) are responsible for the assessment of international students’ applications for admission, and for making offers of admission on the basis of the University’s English language entry requirements and related admission schedules.</w:t>
            </w:r>
          </w:p>
        </w:tc>
      </w:tr>
      <w:tr w:rsidR="001352E3" w:rsidRPr="00F057EB" w14:paraId="2BA0DC80" w14:textId="77777777" w:rsidTr="00461D00">
        <w:trPr>
          <w:trHeight w:val="300"/>
        </w:trPr>
        <w:tc>
          <w:tcPr>
            <w:tcW w:w="3402" w:type="dxa"/>
            <w:shd w:val="clear" w:color="auto" w:fill="auto"/>
            <w:tcMar>
              <w:left w:w="105" w:type="dxa"/>
              <w:right w:w="105" w:type="dxa"/>
            </w:tcMar>
          </w:tcPr>
          <w:p w14:paraId="24B71CB9" w14:textId="65813C1C" w:rsidR="001352E3" w:rsidRPr="00F057EB" w:rsidRDefault="00FD2141" w:rsidP="00461D00">
            <w:pPr>
              <w:spacing w:before="120" w:after="120" w:line="240" w:lineRule="auto"/>
              <w:rPr>
                <w:rFonts w:ascii="Arial" w:hAnsi="Arial" w:cs="Arial"/>
                <w:sz w:val="22"/>
              </w:rPr>
            </w:pPr>
            <w:r w:rsidRPr="00F057EB">
              <w:rPr>
                <w:rFonts w:ascii="Arial" w:hAnsi="Arial" w:cs="Arial"/>
                <w:sz w:val="22"/>
              </w:rPr>
              <w:t>Pro Vice Chancellors (Group)</w:t>
            </w:r>
          </w:p>
        </w:tc>
        <w:tc>
          <w:tcPr>
            <w:tcW w:w="6438" w:type="dxa"/>
            <w:shd w:val="clear" w:color="auto" w:fill="auto"/>
            <w:tcMar>
              <w:left w:w="105" w:type="dxa"/>
              <w:right w:w="105" w:type="dxa"/>
            </w:tcMar>
          </w:tcPr>
          <w:p w14:paraId="1FD5BE39" w14:textId="519ED2D3" w:rsidR="001352E3" w:rsidRPr="00F057EB" w:rsidRDefault="02BFB83F" w:rsidP="00310A96">
            <w:pPr>
              <w:numPr>
                <w:ilvl w:val="0"/>
                <w:numId w:val="38"/>
              </w:numPr>
              <w:spacing w:before="120" w:after="120" w:line="240" w:lineRule="auto"/>
              <w:rPr>
                <w:rFonts w:ascii="Arial" w:hAnsi="Arial" w:cs="Arial"/>
                <w:sz w:val="22"/>
              </w:rPr>
            </w:pPr>
            <w:r w:rsidRPr="00F057EB">
              <w:rPr>
                <w:rFonts w:ascii="Arial" w:hAnsi="Arial" w:cs="Arial"/>
                <w:sz w:val="22"/>
              </w:rPr>
              <w:t>Responsible for quotas</w:t>
            </w:r>
            <w:r w:rsidR="00310A96" w:rsidRPr="00F057EB">
              <w:rPr>
                <w:rFonts w:ascii="Arial" w:hAnsi="Arial" w:cs="Arial"/>
                <w:sz w:val="22"/>
              </w:rPr>
              <w:t>.</w:t>
            </w:r>
          </w:p>
          <w:p w14:paraId="65EF6274" w14:textId="550AC0FE" w:rsidR="001352E3" w:rsidRPr="00F057EB" w:rsidRDefault="02BFB83F" w:rsidP="00310A96">
            <w:pPr>
              <w:numPr>
                <w:ilvl w:val="0"/>
                <w:numId w:val="38"/>
              </w:numPr>
              <w:spacing w:before="120" w:after="120" w:line="240" w:lineRule="auto"/>
              <w:rPr>
                <w:rFonts w:ascii="Arial" w:hAnsi="Arial" w:cs="Arial"/>
                <w:sz w:val="22"/>
              </w:rPr>
            </w:pPr>
            <w:r w:rsidRPr="00F057EB">
              <w:rPr>
                <w:rFonts w:ascii="Arial" w:hAnsi="Arial" w:cs="Arial"/>
                <w:sz w:val="22"/>
              </w:rPr>
              <w:t>Review Admission Scheme program inclusions and exclusions annually</w:t>
            </w:r>
            <w:r w:rsidR="00310A96" w:rsidRPr="00F057EB">
              <w:rPr>
                <w:rFonts w:ascii="Arial" w:hAnsi="Arial" w:cs="Arial"/>
                <w:sz w:val="22"/>
              </w:rPr>
              <w:t>.</w:t>
            </w:r>
          </w:p>
        </w:tc>
      </w:tr>
      <w:tr w:rsidR="001352E3" w:rsidRPr="00F057EB" w14:paraId="4300D42D" w14:textId="77777777" w:rsidTr="00461D00">
        <w:trPr>
          <w:trHeight w:val="300"/>
        </w:trPr>
        <w:tc>
          <w:tcPr>
            <w:tcW w:w="3402" w:type="dxa"/>
            <w:shd w:val="clear" w:color="auto" w:fill="auto"/>
            <w:tcMar>
              <w:left w:w="105" w:type="dxa"/>
              <w:right w:w="105" w:type="dxa"/>
            </w:tcMar>
          </w:tcPr>
          <w:p w14:paraId="7A442EB7" w14:textId="4E0B555D" w:rsidR="001352E3" w:rsidRPr="00F057EB" w:rsidRDefault="00FD2141" w:rsidP="00461D00">
            <w:pPr>
              <w:spacing w:before="120" w:after="120" w:line="240" w:lineRule="auto"/>
              <w:rPr>
                <w:rFonts w:ascii="Arial" w:hAnsi="Arial" w:cs="Arial"/>
                <w:sz w:val="22"/>
              </w:rPr>
            </w:pPr>
            <w:r w:rsidRPr="00F057EB">
              <w:rPr>
                <w:rFonts w:ascii="Arial" w:hAnsi="Arial" w:cs="Arial"/>
                <w:sz w:val="22"/>
              </w:rPr>
              <w:t>Heads Of School (HOS), Deans, Directors</w:t>
            </w:r>
          </w:p>
        </w:tc>
        <w:tc>
          <w:tcPr>
            <w:tcW w:w="6438" w:type="dxa"/>
            <w:shd w:val="clear" w:color="auto" w:fill="auto"/>
            <w:tcMar>
              <w:left w:w="105" w:type="dxa"/>
              <w:right w:w="105" w:type="dxa"/>
            </w:tcMar>
          </w:tcPr>
          <w:p w14:paraId="24C11F3D" w14:textId="1E44FBCB" w:rsidR="001352E3" w:rsidRPr="00F057EB" w:rsidRDefault="02BFB83F" w:rsidP="00310A96">
            <w:pPr>
              <w:numPr>
                <w:ilvl w:val="0"/>
                <w:numId w:val="38"/>
              </w:numPr>
              <w:spacing w:before="120" w:after="120" w:line="240" w:lineRule="auto"/>
              <w:rPr>
                <w:rFonts w:ascii="Arial" w:hAnsi="Arial" w:cs="Arial"/>
                <w:sz w:val="22"/>
              </w:rPr>
            </w:pPr>
            <w:r w:rsidRPr="00F057EB">
              <w:rPr>
                <w:rFonts w:ascii="Arial" w:hAnsi="Arial" w:cs="Arial"/>
                <w:sz w:val="22"/>
              </w:rPr>
              <w:t xml:space="preserve">Responsible for overseeing admission to </w:t>
            </w:r>
            <w:r w:rsidR="7D45A92B" w:rsidRPr="00F057EB">
              <w:rPr>
                <w:rFonts w:ascii="Arial" w:hAnsi="Arial" w:cs="Arial"/>
                <w:sz w:val="22"/>
              </w:rPr>
              <w:t xml:space="preserve">(end-on) </w:t>
            </w:r>
            <w:r w:rsidR="4C7B034B" w:rsidRPr="00F057EB">
              <w:rPr>
                <w:rFonts w:ascii="Arial" w:hAnsi="Arial" w:cs="Arial"/>
                <w:sz w:val="22"/>
              </w:rPr>
              <w:t xml:space="preserve">Honours and </w:t>
            </w:r>
            <w:r w:rsidRPr="00F057EB">
              <w:rPr>
                <w:rFonts w:ascii="Arial" w:hAnsi="Arial" w:cs="Arial"/>
                <w:sz w:val="22"/>
              </w:rPr>
              <w:t xml:space="preserve">Postgraduate </w:t>
            </w:r>
            <w:r w:rsidR="0FD51C02" w:rsidRPr="00F057EB">
              <w:rPr>
                <w:rFonts w:ascii="Arial" w:hAnsi="Arial" w:cs="Arial"/>
                <w:sz w:val="22"/>
              </w:rPr>
              <w:t>p</w:t>
            </w:r>
            <w:r w:rsidRPr="00F057EB">
              <w:rPr>
                <w:rFonts w:ascii="Arial" w:hAnsi="Arial" w:cs="Arial"/>
                <w:sz w:val="22"/>
              </w:rPr>
              <w:t>rograms</w:t>
            </w:r>
            <w:r w:rsidR="00310A96" w:rsidRPr="00F057EB">
              <w:rPr>
                <w:rFonts w:ascii="Arial" w:hAnsi="Arial" w:cs="Arial"/>
                <w:sz w:val="22"/>
              </w:rPr>
              <w:t>.</w:t>
            </w:r>
          </w:p>
          <w:p w14:paraId="1FD82B46" w14:textId="77777777" w:rsidR="001352E3" w:rsidRPr="00F057EB" w:rsidRDefault="02BFB83F" w:rsidP="00310A96">
            <w:pPr>
              <w:numPr>
                <w:ilvl w:val="0"/>
                <w:numId w:val="38"/>
              </w:numPr>
              <w:spacing w:before="120" w:after="120" w:line="240" w:lineRule="auto"/>
              <w:rPr>
                <w:rFonts w:ascii="Arial" w:hAnsi="Arial" w:cs="Arial"/>
                <w:sz w:val="22"/>
              </w:rPr>
            </w:pPr>
            <w:r w:rsidRPr="00F057EB">
              <w:rPr>
                <w:rFonts w:ascii="Arial" w:hAnsi="Arial" w:cs="Arial"/>
                <w:sz w:val="22"/>
              </w:rPr>
              <w:t>Relevant HOS or Dean responsible for recommendations to the Registrar for Minimum Age applicants below 16.</w:t>
            </w:r>
          </w:p>
        </w:tc>
      </w:tr>
      <w:tr w:rsidR="001352E3" w:rsidRPr="00F057EB" w14:paraId="52745723" w14:textId="77777777" w:rsidTr="00C846D1">
        <w:trPr>
          <w:trHeight w:val="300"/>
        </w:trPr>
        <w:tc>
          <w:tcPr>
            <w:tcW w:w="3402" w:type="dxa"/>
            <w:tcBorders>
              <w:bottom w:val="single" w:sz="4" w:space="0" w:color="auto"/>
            </w:tcBorders>
            <w:shd w:val="clear" w:color="auto" w:fill="auto"/>
            <w:tcMar>
              <w:left w:w="105" w:type="dxa"/>
              <w:right w:w="105" w:type="dxa"/>
            </w:tcMar>
          </w:tcPr>
          <w:p w14:paraId="11D8A196" w14:textId="0ABC8957" w:rsidR="001352E3" w:rsidRPr="00F057EB" w:rsidRDefault="00FD2141" w:rsidP="00461D00">
            <w:pPr>
              <w:spacing w:before="120" w:after="120" w:line="240" w:lineRule="auto"/>
              <w:rPr>
                <w:rFonts w:ascii="Arial" w:hAnsi="Arial" w:cs="Arial"/>
                <w:sz w:val="22"/>
              </w:rPr>
            </w:pPr>
            <w:r w:rsidRPr="00F057EB">
              <w:rPr>
                <w:rFonts w:ascii="Arial" w:hAnsi="Arial" w:cs="Arial"/>
                <w:sz w:val="22"/>
              </w:rPr>
              <w:t>Program Director</w:t>
            </w:r>
          </w:p>
        </w:tc>
        <w:tc>
          <w:tcPr>
            <w:tcW w:w="6438" w:type="dxa"/>
            <w:tcBorders>
              <w:bottom w:val="single" w:sz="4" w:space="0" w:color="auto"/>
            </w:tcBorders>
            <w:shd w:val="clear" w:color="auto" w:fill="auto"/>
            <w:tcMar>
              <w:left w:w="105" w:type="dxa"/>
              <w:right w:w="105" w:type="dxa"/>
            </w:tcMar>
          </w:tcPr>
          <w:p w14:paraId="3EBBA5CC" w14:textId="09DDC633" w:rsidR="001352E3" w:rsidRPr="00F057EB" w:rsidRDefault="02BFB83F" w:rsidP="00310A96">
            <w:pPr>
              <w:numPr>
                <w:ilvl w:val="0"/>
                <w:numId w:val="38"/>
              </w:numPr>
              <w:spacing w:before="120" w:after="120" w:line="240" w:lineRule="auto"/>
              <w:rPr>
                <w:rFonts w:ascii="Arial" w:hAnsi="Arial" w:cs="Arial"/>
                <w:sz w:val="22"/>
              </w:rPr>
            </w:pPr>
            <w:r w:rsidRPr="00F057EB">
              <w:rPr>
                <w:rFonts w:ascii="Arial" w:hAnsi="Arial" w:cs="Arial"/>
                <w:sz w:val="22"/>
              </w:rPr>
              <w:t>Responsible for assessing applications for admission to Postgraduate and (end-on) Honours programs based on the published criteria.</w:t>
            </w:r>
          </w:p>
          <w:p w14:paraId="3FD466B0" w14:textId="37B9F0E1" w:rsidR="001352E3" w:rsidRPr="00F057EB" w:rsidRDefault="02BFB83F" w:rsidP="00310A96">
            <w:pPr>
              <w:numPr>
                <w:ilvl w:val="0"/>
                <w:numId w:val="38"/>
              </w:numPr>
              <w:spacing w:before="120" w:after="120" w:line="240" w:lineRule="auto"/>
              <w:rPr>
                <w:rFonts w:ascii="Arial" w:hAnsi="Arial" w:cs="Arial"/>
                <w:sz w:val="22"/>
              </w:rPr>
            </w:pPr>
            <w:r w:rsidRPr="00F057EB">
              <w:rPr>
                <w:rFonts w:ascii="Arial" w:hAnsi="Arial" w:cs="Arial"/>
                <w:sz w:val="22"/>
              </w:rPr>
              <w:t>For Graduate Entry undergraduate programs, the relevant Program Director makes recommendations on offers to be made on the basis of the approved entry requirements.</w:t>
            </w:r>
          </w:p>
        </w:tc>
      </w:tr>
      <w:tr w:rsidR="001352E3" w:rsidRPr="00F057EB" w14:paraId="61DE200E" w14:textId="77777777" w:rsidTr="00C846D1">
        <w:trPr>
          <w:trHeight w:val="300"/>
        </w:trPr>
        <w:tc>
          <w:tcPr>
            <w:tcW w:w="3402" w:type="dxa"/>
            <w:tcBorders>
              <w:top w:val="single" w:sz="4" w:space="0" w:color="auto"/>
              <w:bottom w:val="nil"/>
            </w:tcBorders>
            <w:shd w:val="clear" w:color="auto" w:fill="auto"/>
            <w:tcMar>
              <w:left w:w="105" w:type="dxa"/>
              <w:right w:w="105" w:type="dxa"/>
            </w:tcMar>
          </w:tcPr>
          <w:p w14:paraId="543FB474" w14:textId="1CEBE28F" w:rsidR="001352E3" w:rsidRPr="00F057EB" w:rsidRDefault="00FD2141" w:rsidP="00461D00">
            <w:pPr>
              <w:spacing w:before="120" w:after="120" w:line="240" w:lineRule="auto"/>
              <w:rPr>
                <w:rFonts w:ascii="Arial" w:hAnsi="Arial" w:cs="Arial"/>
                <w:sz w:val="22"/>
              </w:rPr>
            </w:pPr>
            <w:r w:rsidRPr="00F057EB">
              <w:rPr>
                <w:rFonts w:ascii="Arial" w:hAnsi="Arial" w:cs="Arial"/>
                <w:sz w:val="22"/>
              </w:rPr>
              <w:t>Registrar</w:t>
            </w:r>
          </w:p>
        </w:tc>
        <w:tc>
          <w:tcPr>
            <w:tcW w:w="6438" w:type="dxa"/>
            <w:tcBorders>
              <w:top w:val="single" w:sz="4" w:space="0" w:color="auto"/>
              <w:bottom w:val="nil"/>
            </w:tcBorders>
            <w:shd w:val="clear" w:color="auto" w:fill="auto"/>
            <w:tcMar>
              <w:left w:w="105" w:type="dxa"/>
              <w:right w:w="105" w:type="dxa"/>
            </w:tcMar>
          </w:tcPr>
          <w:p w14:paraId="2AFA9EB5" w14:textId="1CC688B2" w:rsidR="001352E3" w:rsidRPr="00F057EB" w:rsidRDefault="001352E3" w:rsidP="00310A96">
            <w:pPr>
              <w:numPr>
                <w:ilvl w:val="0"/>
                <w:numId w:val="38"/>
              </w:numPr>
              <w:spacing w:before="120" w:after="120" w:line="240" w:lineRule="auto"/>
              <w:rPr>
                <w:rFonts w:ascii="Arial" w:hAnsi="Arial" w:cs="Arial"/>
                <w:sz w:val="22"/>
              </w:rPr>
            </w:pPr>
            <w:r w:rsidRPr="00F057EB">
              <w:rPr>
                <w:rFonts w:ascii="Arial" w:hAnsi="Arial" w:cs="Arial"/>
                <w:sz w:val="22"/>
              </w:rPr>
              <w:t>Approval of all Admission Pathways including First Peoples Pathways.</w:t>
            </w:r>
          </w:p>
          <w:p w14:paraId="6BA7540D" w14:textId="6DC60C16" w:rsidR="001352E3" w:rsidRPr="00F057EB" w:rsidRDefault="001352E3" w:rsidP="00310A96">
            <w:pPr>
              <w:numPr>
                <w:ilvl w:val="0"/>
                <w:numId w:val="38"/>
              </w:numPr>
              <w:spacing w:before="120" w:after="120" w:line="240" w:lineRule="auto"/>
              <w:rPr>
                <w:rFonts w:ascii="Arial" w:hAnsi="Arial" w:cs="Arial"/>
                <w:sz w:val="22"/>
              </w:rPr>
            </w:pPr>
            <w:r w:rsidRPr="00F057EB">
              <w:rPr>
                <w:rFonts w:ascii="Arial" w:hAnsi="Arial" w:cs="Arial"/>
                <w:sz w:val="22"/>
              </w:rPr>
              <w:t>Admission undergraduate offers are made by the Registrar and staff delegated by the Registrar with authority to make particular categories of admission offers on the basis of this admission policy and on the recommendation of the relevant Dean, where applicable.</w:t>
            </w:r>
          </w:p>
          <w:p w14:paraId="0D506FCF" w14:textId="67DBE356" w:rsidR="001352E3" w:rsidRPr="00F057EB" w:rsidRDefault="001352E3" w:rsidP="00310A96">
            <w:pPr>
              <w:numPr>
                <w:ilvl w:val="0"/>
                <w:numId w:val="38"/>
              </w:numPr>
              <w:spacing w:before="120" w:after="120" w:line="240" w:lineRule="auto"/>
              <w:rPr>
                <w:rFonts w:ascii="Arial" w:hAnsi="Arial" w:cs="Arial"/>
                <w:sz w:val="22"/>
              </w:rPr>
            </w:pPr>
            <w:r w:rsidRPr="00F057EB">
              <w:rPr>
                <w:rFonts w:ascii="Arial" w:hAnsi="Arial" w:cs="Arial"/>
                <w:sz w:val="22"/>
              </w:rPr>
              <w:t>Minimum Age approvals for applicants below 16</w:t>
            </w:r>
            <w:r w:rsidR="61153832" w:rsidRPr="00F057EB">
              <w:rPr>
                <w:rFonts w:ascii="Arial" w:hAnsi="Arial" w:cs="Arial"/>
                <w:sz w:val="22"/>
              </w:rPr>
              <w:t>.</w:t>
            </w:r>
          </w:p>
        </w:tc>
      </w:tr>
      <w:tr w:rsidR="001352E3" w:rsidRPr="00F057EB" w14:paraId="56EEC619" w14:textId="77777777" w:rsidTr="00C846D1">
        <w:trPr>
          <w:trHeight w:val="300"/>
        </w:trPr>
        <w:tc>
          <w:tcPr>
            <w:tcW w:w="3402" w:type="dxa"/>
            <w:tcBorders>
              <w:top w:val="nil"/>
            </w:tcBorders>
            <w:shd w:val="clear" w:color="auto" w:fill="auto"/>
            <w:tcMar>
              <w:left w:w="105" w:type="dxa"/>
              <w:right w:w="105" w:type="dxa"/>
            </w:tcMar>
          </w:tcPr>
          <w:p w14:paraId="6C53464D" w14:textId="55E508C1" w:rsidR="001352E3" w:rsidRPr="00F057EB" w:rsidRDefault="00FD2141" w:rsidP="00461D00">
            <w:pPr>
              <w:spacing w:before="120" w:after="120" w:line="240" w:lineRule="auto"/>
              <w:rPr>
                <w:rFonts w:ascii="Arial" w:hAnsi="Arial" w:cs="Arial"/>
                <w:sz w:val="22"/>
              </w:rPr>
            </w:pPr>
            <w:r w:rsidRPr="00F057EB">
              <w:rPr>
                <w:rFonts w:ascii="Arial" w:hAnsi="Arial" w:cs="Arial"/>
                <w:sz w:val="22"/>
              </w:rPr>
              <w:lastRenderedPageBreak/>
              <w:t>Senior Manager, Domestic Admissions</w:t>
            </w:r>
          </w:p>
        </w:tc>
        <w:tc>
          <w:tcPr>
            <w:tcW w:w="6438" w:type="dxa"/>
            <w:tcBorders>
              <w:top w:val="nil"/>
            </w:tcBorders>
            <w:shd w:val="clear" w:color="auto" w:fill="auto"/>
            <w:tcMar>
              <w:left w:w="105" w:type="dxa"/>
              <w:right w:w="105" w:type="dxa"/>
            </w:tcMar>
          </w:tcPr>
          <w:p w14:paraId="51BCE6CA" w14:textId="233BDA3D" w:rsidR="001352E3" w:rsidRPr="00F057EB" w:rsidRDefault="001352E3" w:rsidP="00310A96">
            <w:pPr>
              <w:numPr>
                <w:ilvl w:val="0"/>
                <w:numId w:val="38"/>
              </w:numPr>
              <w:spacing w:before="120" w:after="120" w:line="240" w:lineRule="auto"/>
              <w:rPr>
                <w:rFonts w:ascii="Arial" w:hAnsi="Arial" w:cs="Arial"/>
                <w:sz w:val="22"/>
              </w:rPr>
            </w:pPr>
            <w:r w:rsidRPr="00F057EB">
              <w:rPr>
                <w:rFonts w:ascii="Arial" w:hAnsi="Arial" w:cs="Arial"/>
                <w:sz w:val="22"/>
              </w:rPr>
              <w:t>Responsible for the provision of admissions advice in relation to the Admissions Policy, Admissions Procedures and Admission Pathway schedules including First Peoples.</w:t>
            </w:r>
          </w:p>
        </w:tc>
      </w:tr>
      <w:tr w:rsidR="001352E3" w:rsidRPr="00F057EB" w14:paraId="391E2908" w14:textId="77777777" w:rsidTr="00461D00">
        <w:trPr>
          <w:trHeight w:val="300"/>
        </w:trPr>
        <w:tc>
          <w:tcPr>
            <w:tcW w:w="3402" w:type="dxa"/>
            <w:tcBorders>
              <w:bottom w:val="single" w:sz="4" w:space="0" w:color="auto"/>
            </w:tcBorders>
            <w:shd w:val="clear" w:color="auto" w:fill="auto"/>
            <w:tcMar>
              <w:left w:w="105" w:type="dxa"/>
              <w:right w:w="105" w:type="dxa"/>
            </w:tcMar>
          </w:tcPr>
          <w:p w14:paraId="21328A72" w14:textId="2D03B38E" w:rsidR="001352E3" w:rsidRPr="00F057EB" w:rsidRDefault="00FD2141" w:rsidP="00461D00">
            <w:pPr>
              <w:spacing w:before="120" w:after="120" w:line="240" w:lineRule="auto"/>
              <w:rPr>
                <w:rFonts w:ascii="Arial" w:hAnsi="Arial" w:cs="Arial"/>
                <w:sz w:val="22"/>
              </w:rPr>
            </w:pPr>
            <w:r w:rsidRPr="00F057EB">
              <w:rPr>
                <w:rFonts w:ascii="Arial" w:hAnsi="Arial" w:cs="Arial"/>
                <w:sz w:val="22"/>
              </w:rPr>
              <w:t>Manager, International Admissions (Operations)</w:t>
            </w:r>
          </w:p>
        </w:tc>
        <w:tc>
          <w:tcPr>
            <w:tcW w:w="6438" w:type="dxa"/>
            <w:tcBorders>
              <w:bottom w:val="single" w:sz="4" w:space="0" w:color="auto"/>
            </w:tcBorders>
            <w:shd w:val="clear" w:color="auto" w:fill="auto"/>
            <w:tcMar>
              <w:left w:w="105" w:type="dxa"/>
              <w:right w:w="105" w:type="dxa"/>
            </w:tcMar>
          </w:tcPr>
          <w:p w14:paraId="2AF5F754" w14:textId="3AF8AFEC" w:rsidR="001352E3" w:rsidRPr="00F057EB" w:rsidRDefault="001352E3" w:rsidP="00310A96">
            <w:pPr>
              <w:numPr>
                <w:ilvl w:val="0"/>
                <w:numId w:val="38"/>
              </w:numPr>
              <w:spacing w:before="120" w:after="120" w:line="240" w:lineRule="auto"/>
              <w:rPr>
                <w:rFonts w:ascii="Arial" w:hAnsi="Arial" w:cs="Arial"/>
                <w:sz w:val="22"/>
              </w:rPr>
            </w:pPr>
            <w:r w:rsidRPr="00F057EB">
              <w:rPr>
                <w:rFonts w:ascii="Arial" w:hAnsi="Arial" w:cs="Arial"/>
                <w:sz w:val="22"/>
              </w:rPr>
              <w:t>Responsible for the provision of advice in relation to International admission and procedures for International applicants.</w:t>
            </w:r>
          </w:p>
        </w:tc>
      </w:tr>
      <w:tr w:rsidR="001352E3" w:rsidRPr="00F057EB" w14:paraId="38CD3C8D" w14:textId="77777777" w:rsidTr="00461D00">
        <w:trPr>
          <w:trHeight w:val="300"/>
        </w:trPr>
        <w:tc>
          <w:tcPr>
            <w:tcW w:w="3402" w:type="dxa"/>
            <w:tcBorders>
              <w:top w:val="single" w:sz="4" w:space="0" w:color="auto"/>
              <w:bottom w:val="single" w:sz="4" w:space="0" w:color="auto"/>
            </w:tcBorders>
            <w:shd w:val="clear" w:color="auto" w:fill="auto"/>
            <w:tcMar>
              <w:left w:w="105" w:type="dxa"/>
              <w:right w:w="105" w:type="dxa"/>
            </w:tcMar>
          </w:tcPr>
          <w:p w14:paraId="5518F7BD" w14:textId="24D70D89" w:rsidR="001352E3" w:rsidRPr="00F057EB" w:rsidRDefault="00FD2141" w:rsidP="00461D00">
            <w:pPr>
              <w:spacing w:before="120" w:after="120" w:line="240" w:lineRule="auto"/>
              <w:rPr>
                <w:rFonts w:ascii="Arial" w:hAnsi="Arial" w:cs="Arial"/>
                <w:sz w:val="22"/>
              </w:rPr>
            </w:pPr>
            <w:r w:rsidRPr="00F057EB">
              <w:rPr>
                <w:rFonts w:ascii="Arial" w:hAnsi="Arial" w:cs="Arial"/>
                <w:sz w:val="22"/>
              </w:rPr>
              <w:t>Admissions Staff</w:t>
            </w:r>
          </w:p>
        </w:tc>
        <w:tc>
          <w:tcPr>
            <w:tcW w:w="6438" w:type="dxa"/>
            <w:tcBorders>
              <w:top w:val="single" w:sz="4" w:space="0" w:color="auto"/>
              <w:bottom w:val="single" w:sz="4" w:space="0" w:color="auto"/>
            </w:tcBorders>
            <w:shd w:val="clear" w:color="auto" w:fill="auto"/>
            <w:tcMar>
              <w:left w:w="105" w:type="dxa"/>
              <w:right w:w="105" w:type="dxa"/>
            </w:tcMar>
          </w:tcPr>
          <w:p w14:paraId="39E4F3B7" w14:textId="0DBA5549" w:rsidR="001352E3" w:rsidRPr="00F057EB" w:rsidRDefault="001352E3" w:rsidP="00310A96">
            <w:pPr>
              <w:numPr>
                <w:ilvl w:val="0"/>
                <w:numId w:val="38"/>
              </w:numPr>
              <w:spacing w:before="120" w:after="120" w:line="240" w:lineRule="auto"/>
              <w:rPr>
                <w:rFonts w:ascii="Arial" w:hAnsi="Arial" w:cs="Arial"/>
                <w:sz w:val="22"/>
              </w:rPr>
            </w:pPr>
            <w:r w:rsidRPr="00F057EB">
              <w:rPr>
                <w:rFonts w:ascii="Arial" w:hAnsi="Arial" w:cs="Arial"/>
                <w:b/>
                <w:sz w:val="22"/>
              </w:rPr>
              <w:t>Domestic Admissions</w:t>
            </w:r>
            <w:r w:rsidRPr="00F057EB">
              <w:rPr>
                <w:rFonts w:ascii="Arial" w:hAnsi="Arial" w:cs="Arial"/>
                <w:sz w:val="22"/>
              </w:rPr>
              <w:t xml:space="preserve"> have delegated offer authority from the Registrar to make domestic offers for all undergraduate programs (exceptions some Grad Entry programs). Hold Delegated Offer Authority (DOA) for nominated postgraduate programs (either in part or full) and assess based on published criteria.</w:t>
            </w:r>
          </w:p>
          <w:p w14:paraId="1F667618" w14:textId="6BB5D882" w:rsidR="001352E3" w:rsidRPr="00F057EB" w:rsidRDefault="001352E3" w:rsidP="00310A96">
            <w:pPr>
              <w:numPr>
                <w:ilvl w:val="0"/>
                <w:numId w:val="38"/>
              </w:numPr>
              <w:spacing w:before="120" w:after="120" w:line="240" w:lineRule="auto"/>
              <w:rPr>
                <w:rFonts w:ascii="Arial" w:hAnsi="Arial" w:cs="Arial"/>
                <w:sz w:val="22"/>
              </w:rPr>
            </w:pPr>
            <w:r w:rsidRPr="00F057EB">
              <w:rPr>
                <w:rFonts w:ascii="Arial" w:hAnsi="Arial" w:cs="Arial"/>
                <w:b/>
                <w:sz w:val="22"/>
              </w:rPr>
              <w:t xml:space="preserve">International Admissions </w:t>
            </w:r>
            <w:r w:rsidRPr="00F057EB">
              <w:rPr>
                <w:rFonts w:ascii="Arial" w:hAnsi="Arial" w:cs="Arial"/>
                <w:sz w:val="22"/>
              </w:rPr>
              <w:t>have delegated offer authority from the Vice President (Global) to make</w:t>
            </w:r>
            <w:r w:rsidRPr="00F057EB">
              <w:rPr>
                <w:rFonts w:ascii="Arial" w:hAnsi="Arial" w:cs="Arial"/>
                <w:b/>
                <w:sz w:val="22"/>
              </w:rPr>
              <w:t xml:space="preserve"> </w:t>
            </w:r>
            <w:r w:rsidRPr="00F057EB">
              <w:rPr>
                <w:rFonts w:ascii="Arial" w:hAnsi="Arial" w:cs="Arial"/>
                <w:sz w:val="22"/>
              </w:rPr>
              <w:t>offers of admission to all International applicants on the basis of the University’s English language entry requirements and related admission schedules.</w:t>
            </w:r>
          </w:p>
        </w:tc>
      </w:tr>
    </w:tbl>
    <w:p w14:paraId="6EE30192" w14:textId="77777777" w:rsidR="00F6584B" w:rsidRPr="00F057EB" w:rsidRDefault="00461D00" w:rsidP="00310A96">
      <w:pPr>
        <w:pStyle w:val="Heading2"/>
        <w:spacing w:before="120" w:line="240" w:lineRule="auto"/>
        <w:rPr>
          <w:rFonts w:ascii="Arial" w:hAnsi="Arial" w:cs="Arial"/>
          <w:b/>
          <w:bCs/>
          <w:sz w:val="32"/>
          <w:szCs w:val="32"/>
        </w:rPr>
      </w:pPr>
      <w:bookmarkStart w:id="9" w:name="_5.0_Information"/>
      <w:bookmarkEnd w:id="9"/>
      <w:r w:rsidRPr="00F057EB">
        <w:rPr>
          <w:rFonts w:ascii="Arial" w:hAnsi="Arial" w:cs="Arial"/>
          <w:b/>
          <w:bCs/>
          <w:sz w:val="32"/>
          <w:szCs w:val="32"/>
        </w:rPr>
        <w:t>5.0 Information</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752"/>
        <w:gridCol w:w="7106"/>
      </w:tblGrid>
      <w:tr w:rsidR="003D7091" w:rsidRPr="00F057EB" w14:paraId="0D098E06" w14:textId="77777777" w:rsidTr="00461D00">
        <w:tc>
          <w:tcPr>
            <w:tcW w:w="1396" w:type="pct"/>
            <w:shd w:val="clear" w:color="auto" w:fill="auto"/>
          </w:tcPr>
          <w:p w14:paraId="161550C7" w14:textId="77777777" w:rsidR="003D7091" w:rsidRPr="00F057EB" w:rsidRDefault="003D7091" w:rsidP="00461D00">
            <w:pPr>
              <w:spacing w:before="120" w:after="120" w:line="240" w:lineRule="auto"/>
              <w:rPr>
                <w:rFonts w:ascii="Arial" w:hAnsi="Arial" w:cs="Arial"/>
                <w:sz w:val="22"/>
              </w:rPr>
            </w:pPr>
            <w:r w:rsidRPr="00F057EB">
              <w:rPr>
                <w:rFonts w:ascii="Arial" w:hAnsi="Arial" w:cs="Arial"/>
                <w:sz w:val="22"/>
              </w:rPr>
              <w:t>Title</w:t>
            </w:r>
          </w:p>
        </w:tc>
        <w:tc>
          <w:tcPr>
            <w:tcW w:w="3604" w:type="pct"/>
            <w:shd w:val="clear" w:color="auto" w:fill="auto"/>
          </w:tcPr>
          <w:p w14:paraId="4AC89BB0" w14:textId="14636B43" w:rsidR="003D7091" w:rsidRPr="00F057EB" w:rsidRDefault="003D7091" w:rsidP="00461D00">
            <w:pPr>
              <w:spacing w:before="120" w:after="120" w:line="240" w:lineRule="auto"/>
              <w:rPr>
                <w:rFonts w:ascii="Arial" w:hAnsi="Arial" w:cs="Arial"/>
                <w:sz w:val="22"/>
              </w:rPr>
            </w:pPr>
            <w:r w:rsidRPr="00F057EB">
              <w:rPr>
                <w:rFonts w:ascii="Arial" w:hAnsi="Arial" w:cs="Arial"/>
                <w:sz w:val="22"/>
              </w:rPr>
              <w:t>Admission Policy</w:t>
            </w:r>
          </w:p>
        </w:tc>
      </w:tr>
      <w:tr w:rsidR="003D7091" w:rsidRPr="00F057EB" w14:paraId="011B4DAF" w14:textId="77777777" w:rsidTr="00461D00">
        <w:tc>
          <w:tcPr>
            <w:tcW w:w="1396" w:type="pct"/>
            <w:shd w:val="clear" w:color="auto" w:fill="auto"/>
          </w:tcPr>
          <w:p w14:paraId="429A42EA" w14:textId="77777777" w:rsidR="003D7091" w:rsidRPr="00F057EB" w:rsidRDefault="003D7091" w:rsidP="00461D00">
            <w:pPr>
              <w:spacing w:before="120" w:after="120" w:line="240" w:lineRule="auto"/>
              <w:rPr>
                <w:rFonts w:ascii="Arial" w:hAnsi="Arial" w:cs="Arial"/>
                <w:sz w:val="22"/>
              </w:rPr>
            </w:pPr>
            <w:r w:rsidRPr="00F057EB">
              <w:rPr>
                <w:rFonts w:ascii="Arial" w:hAnsi="Arial" w:cs="Arial"/>
                <w:sz w:val="22"/>
              </w:rPr>
              <w:t>Document number</w:t>
            </w:r>
          </w:p>
        </w:tc>
        <w:tc>
          <w:tcPr>
            <w:tcW w:w="3604" w:type="pct"/>
            <w:shd w:val="clear" w:color="auto" w:fill="auto"/>
          </w:tcPr>
          <w:p w14:paraId="3305D078" w14:textId="3EB96CF2" w:rsidR="003D7091" w:rsidRPr="00F057EB" w:rsidRDefault="00BA4A87" w:rsidP="00461D00">
            <w:pPr>
              <w:spacing w:before="120" w:after="120" w:line="240" w:lineRule="auto"/>
              <w:rPr>
                <w:rFonts w:ascii="Arial" w:hAnsi="Arial" w:cs="Arial"/>
                <w:sz w:val="22"/>
              </w:rPr>
            </w:pPr>
            <w:r w:rsidRPr="00F057EB">
              <w:rPr>
                <w:rFonts w:ascii="Arial" w:hAnsi="Arial" w:cs="Arial"/>
                <w:sz w:val="22"/>
              </w:rPr>
              <w:t>2023/0000</w:t>
            </w:r>
            <w:r w:rsidR="000D7BE8" w:rsidRPr="00F057EB">
              <w:rPr>
                <w:rFonts w:ascii="Arial" w:hAnsi="Arial" w:cs="Arial"/>
                <w:sz w:val="22"/>
              </w:rPr>
              <w:t>412</w:t>
            </w:r>
          </w:p>
        </w:tc>
      </w:tr>
      <w:tr w:rsidR="003D7091" w:rsidRPr="00F057EB" w14:paraId="7BF2A9FD" w14:textId="77777777" w:rsidTr="00461D00">
        <w:tc>
          <w:tcPr>
            <w:tcW w:w="1396" w:type="pct"/>
            <w:shd w:val="clear" w:color="auto" w:fill="auto"/>
          </w:tcPr>
          <w:p w14:paraId="0F7FEDFF" w14:textId="77777777" w:rsidR="003D7091" w:rsidRPr="00F057EB" w:rsidRDefault="003D7091" w:rsidP="00461D00">
            <w:pPr>
              <w:spacing w:before="120" w:after="120" w:line="240" w:lineRule="auto"/>
              <w:rPr>
                <w:rFonts w:ascii="Arial" w:hAnsi="Arial" w:cs="Arial"/>
                <w:sz w:val="22"/>
              </w:rPr>
            </w:pPr>
            <w:r w:rsidRPr="00F057EB">
              <w:rPr>
                <w:rFonts w:ascii="Arial" w:hAnsi="Arial" w:cs="Arial"/>
                <w:sz w:val="22"/>
              </w:rPr>
              <w:t>Purpose</w:t>
            </w:r>
          </w:p>
        </w:tc>
        <w:tc>
          <w:tcPr>
            <w:tcW w:w="3604" w:type="pct"/>
            <w:shd w:val="clear" w:color="auto" w:fill="auto"/>
          </w:tcPr>
          <w:p w14:paraId="39DA04B0" w14:textId="77777777" w:rsidR="003D7091" w:rsidRPr="00F057EB" w:rsidRDefault="003D7091" w:rsidP="00461D00">
            <w:pPr>
              <w:spacing w:before="120" w:after="120" w:line="240" w:lineRule="auto"/>
              <w:rPr>
                <w:rFonts w:ascii="Arial" w:hAnsi="Arial" w:cs="Arial"/>
                <w:sz w:val="22"/>
              </w:rPr>
            </w:pPr>
            <w:r w:rsidRPr="00F057EB">
              <w:rPr>
                <w:rFonts w:ascii="Arial" w:hAnsi="Arial" w:cs="Arial"/>
                <w:sz w:val="22"/>
              </w:rPr>
              <w:t xml:space="preserve">This Policy sets out the coursework admission principles which governs the admission of students to Griffith University. </w:t>
            </w:r>
          </w:p>
        </w:tc>
      </w:tr>
      <w:tr w:rsidR="003D7091" w:rsidRPr="00F057EB" w14:paraId="394E3AEF" w14:textId="77777777" w:rsidTr="00461D00">
        <w:tc>
          <w:tcPr>
            <w:tcW w:w="1396" w:type="pct"/>
            <w:shd w:val="clear" w:color="auto" w:fill="auto"/>
          </w:tcPr>
          <w:p w14:paraId="27705389" w14:textId="77777777" w:rsidR="003D7091" w:rsidRPr="00F057EB" w:rsidRDefault="003D7091" w:rsidP="00461D00">
            <w:pPr>
              <w:spacing w:before="120" w:after="120" w:line="240" w:lineRule="auto"/>
              <w:rPr>
                <w:rFonts w:ascii="Arial" w:hAnsi="Arial" w:cs="Arial"/>
                <w:sz w:val="22"/>
              </w:rPr>
            </w:pPr>
            <w:r w:rsidRPr="00F057EB">
              <w:rPr>
                <w:rFonts w:ascii="Arial" w:hAnsi="Arial" w:cs="Arial"/>
                <w:sz w:val="22"/>
              </w:rPr>
              <w:t>Audience</w:t>
            </w:r>
          </w:p>
        </w:tc>
        <w:tc>
          <w:tcPr>
            <w:tcW w:w="3604" w:type="pct"/>
            <w:shd w:val="clear" w:color="auto" w:fill="auto"/>
          </w:tcPr>
          <w:p w14:paraId="1B4175BB" w14:textId="23CA560C" w:rsidR="003D7091" w:rsidRPr="00F057EB" w:rsidRDefault="003D7091" w:rsidP="00461D00">
            <w:pPr>
              <w:spacing w:before="120" w:after="120" w:line="240" w:lineRule="auto"/>
              <w:rPr>
                <w:rFonts w:ascii="Arial" w:hAnsi="Arial" w:cs="Arial"/>
                <w:sz w:val="22"/>
              </w:rPr>
            </w:pPr>
            <w:r w:rsidRPr="00F057EB">
              <w:rPr>
                <w:rFonts w:ascii="Arial" w:hAnsi="Arial" w:cs="Arial"/>
                <w:sz w:val="22"/>
              </w:rPr>
              <w:t>Staff</w:t>
            </w:r>
          </w:p>
        </w:tc>
      </w:tr>
      <w:tr w:rsidR="003D7091" w:rsidRPr="00F057EB" w14:paraId="39F79912" w14:textId="77777777" w:rsidTr="00461D00">
        <w:tc>
          <w:tcPr>
            <w:tcW w:w="1396" w:type="pct"/>
            <w:shd w:val="clear" w:color="auto" w:fill="auto"/>
          </w:tcPr>
          <w:p w14:paraId="0937BEEA" w14:textId="77777777" w:rsidR="003D7091" w:rsidRPr="00F057EB" w:rsidRDefault="003D7091" w:rsidP="00461D00">
            <w:pPr>
              <w:spacing w:before="120" w:after="120" w:line="240" w:lineRule="auto"/>
              <w:rPr>
                <w:rFonts w:ascii="Arial" w:hAnsi="Arial" w:cs="Arial"/>
                <w:sz w:val="22"/>
              </w:rPr>
            </w:pPr>
            <w:r w:rsidRPr="00F057EB">
              <w:rPr>
                <w:rFonts w:ascii="Arial" w:hAnsi="Arial" w:cs="Arial"/>
                <w:sz w:val="22"/>
              </w:rPr>
              <w:t>Category</w:t>
            </w:r>
          </w:p>
        </w:tc>
        <w:tc>
          <w:tcPr>
            <w:tcW w:w="3604" w:type="pct"/>
            <w:shd w:val="clear" w:color="auto" w:fill="auto"/>
          </w:tcPr>
          <w:p w14:paraId="3AA3D38D" w14:textId="77777777" w:rsidR="003D7091" w:rsidRPr="00F057EB" w:rsidRDefault="003D7091" w:rsidP="00461D00">
            <w:pPr>
              <w:spacing w:before="120" w:after="120" w:line="240" w:lineRule="auto"/>
              <w:rPr>
                <w:rFonts w:ascii="Arial" w:hAnsi="Arial" w:cs="Arial"/>
                <w:sz w:val="22"/>
              </w:rPr>
            </w:pPr>
            <w:r w:rsidRPr="00F057EB">
              <w:rPr>
                <w:rFonts w:ascii="Arial" w:hAnsi="Arial" w:cs="Arial"/>
                <w:sz w:val="22"/>
              </w:rPr>
              <w:t>Academic</w:t>
            </w:r>
          </w:p>
        </w:tc>
      </w:tr>
      <w:tr w:rsidR="003D7091" w:rsidRPr="00F057EB" w14:paraId="360A4D95" w14:textId="77777777" w:rsidTr="00461D00">
        <w:tc>
          <w:tcPr>
            <w:tcW w:w="1396" w:type="pct"/>
            <w:shd w:val="clear" w:color="auto" w:fill="auto"/>
          </w:tcPr>
          <w:p w14:paraId="6AB82100" w14:textId="77777777" w:rsidR="003D7091" w:rsidRPr="00F057EB" w:rsidRDefault="003D7091" w:rsidP="00461D00">
            <w:pPr>
              <w:spacing w:before="120" w:after="120" w:line="240" w:lineRule="auto"/>
              <w:rPr>
                <w:rFonts w:ascii="Arial" w:hAnsi="Arial" w:cs="Arial"/>
                <w:sz w:val="22"/>
              </w:rPr>
            </w:pPr>
            <w:r w:rsidRPr="00F057EB">
              <w:rPr>
                <w:rFonts w:ascii="Arial" w:hAnsi="Arial" w:cs="Arial"/>
                <w:sz w:val="22"/>
              </w:rPr>
              <w:t>Subcategory</w:t>
            </w:r>
          </w:p>
        </w:tc>
        <w:tc>
          <w:tcPr>
            <w:tcW w:w="3604" w:type="pct"/>
            <w:shd w:val="clear" w:color="auto" w:fill="auto"/>
          </w:tcPr>
          <w:p w14:paraId="34D6F88F" w14:textId="572C6ED3" w:rsidR="003D7091" w:rsidRPr="00F057EB" w:rsidRDefault="00C83160" w:rsidP="00461D00">
            <w:pPr>
              <w:spacing w:before="120" w:after="120" w:line="240" w:lineRule="auto"/>
              <w:rPr>
                <w:rFonts w:ascii="Arial" w:eastAsia="Calibri" w:hAnsi="Arial" w:cs="Arial"/>
                <w:sz w:val="22"/>
              </w:rPr>
            </w:pPr>
            <w:r w:rsidRPr="00F057EB">
              <w:rPr>
                <w:rFonts w:ascii="Arial" w:eastAsia="Arial" w:hAnsi="Arial" w:cs="Arial"/>
                <w:color w:val="000000" w:themeColor="text1"/>
                <w:sz w:val="22"/>
              </w:rPr>
              <w:t>Student Services</w:t>
            </w:r>
          </w:p>
        </w:tc>
      </w:tr>
      <w:tr w:rsidR="003D7091" w:rsidRPr="00F057EB" w14:paraId="4944C946" w14:textId="77777777" w:rsidTr="00461D00">
        <w:tc>
          <w:tcPr>
            <w:tcW w:w="1396" w:type="pct"/>
            <w:shd w:val="clear" w:color="auto" w:fill="auto"/>
          </w:tcPr>
          <w:p w14:paraId="444F197B" w14:textId="1BFEE86E" w:rsidR="003D7091" w:rsidRPr="00F057EB" w:rsidRDefault="00C83160" w:rsidP="00461D00">
            <w:pPr>
              <w:spacing w:before="120" w:after="120" w:line="240" w:lineRule="auto"/>
              <w:rPr>
                <w:rFonts w:ascii="Arial" w:hAnsi="Arial" w:cs="Arial"/>
                <w:sz w:val="22"/>
              </w:rPr>
            </w:pPr>
            <w:r w:rsidRPr="00F057EB">
              <w:rPr>
                <w:rFonts w:ascii="Arial" w:hAnsi="Arial" w:cs="Arial"/>
                <w:sz w:val="22"/>
              </w:rPr>
              <w:t>Approval date</w:t>
            </w:r>
          </w:p>
        </w:tc>
        <w:tc>
          <w:tcPr>
            <w:tcW w:w="3604" w:type="pct"/>
            <w:shd w:val="clear" w:color="auto" w:fill="auto"/>
          </w:tcPr>
          <w:p w14:paraId="2991610C" w14:textId="5C757BA3" w:rsidR="00C83160" w:rsidRPr="00F057EB" w:rsidRDefault="000D7BE8" w:rsidP="00461D00">
            <w:pPr>
              <w:spacing w:before="120" w:after="120" w:line="240" w:lineRule="auto"/>
              <w:rPr>
                <w:rFonts w:ascii="Arial" w:hAnsi="Arial" w:cs="Arial"/>
                <w:sz w:val="22"/>
              </w:rPr>
            </w:pPr>
            <w:r w:rsidRPr="00F057EB">
              <w:rPr>
                <w:rFonts w:ascii="Arial" w:hAnsi="Arial" w:cs="Arial"/>
                <w:sz w:val="22"/>
              </w:rPr>
              <w:t>16 November 2023</w:t>
            </w:r>
          </w:p>
        </w:tc>
      </w:tr>
      <w:tr w:rsidR="00FE72AA" w:rsidRPr="00F057EB" w14:paraId="2D8814A9" w14:textId="77777777" w:rsidTr="00461D00">
        <w:tc>
          <w:tcPr>
            <w:tcW w:w="1396" w:type="pct"/>
            <w:shd w:val="clear" w:color="auto" w:fill="auto"/>
          </w:tcPr>
          <w:p w14:paraId="60AB1AA5" w14:textId="724E36A6" w:rsidR="00FE72AA" w:rsidRPr="00F057EB" w:rsidRDefault="00FE72AA" w:rsidP="00461D00">
            <w:pPr>
              <w:spacing w:before="120" w:after="120" w:line="240" w:lineRule="auto"/>
              <w:rPr>
                <w:rFonts w:ascii="Arial" w:hAnsi="Arial" w:cs="Arial"/>
                <w:sz w:val="22"/>
              </w:rPr>
            </w:pPr>
            <w:r w:rsidRPr="00F057EB">
              <w:rPr>
                <w:rFonts w:ascii="Arial" w:hAnsi="Arial" w:cs="Arial"/>
                <w:sz w:val="22"/>
              </w:rPr>
              <w:t>Effective date</w:t>
            </w:r>
          </w:p>
        </w:tc>
        <w:tc>
          <w:tcPr>
            <w:tcW w:w="3604" w:type="pct"/>
            <w:shd w:val="clear" w:color="auto" w:fill="auto"/>
          </w:tcPr>
          <w:p w14:paraId="1F2A1C30" w14:textId="78C8E064" w:rsidR="00FE72AA" w:rsidRPr="00F057EB" w:rsidRDefault="00FE72AA" w:rsidP="00461D00">
            <w:pPr>
              <w:spacing w:before="120" w:after="120" w:line="240" w:lineRule="auto"/>
              <w:rPr>
                <w:rFonts w:ascii="Arial" w:hAnsi="Arial" w:cs="Arial"/>
                <w:sz w:val="22"/>
              </w:rPr>
            </w:pPr>
            <w:r w:rsidRPr="00F057EB">
              <w:rPr>
                <w:rFonts w:ascii="Arial" w:hAnsi="Arial" w:cs="Arial"/>
                <w:sz w:val="22"/>
              </w:rPr>
              <w:t>Trimester 1 2024</w:t>
            </w:r>
          </w:p>
        </w:tc>
      </w:tr>
      <w:tr w:rsidR="003D7091" w:rsidRPr="00F057EB" w14:paraId="47EA1D84" w14:textId="77777777" w:rsidTr="00461D00">
        <w:tc>
          <w:tcPr>
            <w:tcW w:w="1396" w:type="pct"/>
            <w:shd w:val="clear" w:color="auto" w:fill="auto"/>
          </w:tcPr>
          <w:p w14:paraId="6EEA59F2" w14:textId="77777777" w:rsidR="003D7091" w:rsidRPr="00F057EB" w:rsidRDefault="003D7091" w:rsidP="00461D00">
            <w:pPr>
              <w:spacing w:before="120" w:after="120" w:line="240" w:lineRule="auto"/>
              <w:rPr>
                <w:rFonts w:ascii="Arial" w:hAnsi="Arial" w:cs="Arial"/>
                <w:sz w:val="22"/>
              </w:rPr>
            </w:pPr>
            <w:r w:rsidRPr="00F057EB">
              <w:rPr>
                <w:rFonts w:ascii="Arial" w:hAnsi="Arial" w:cs="Arial"/>
                <w:sz w:val="22"/>
              </w:rPr>
              <w:t>Review date</w:t>
            </w:r>
          </w:p>
        </w:tc>
        <w:tc>
          <w:tcPr>
            <w:tcW w:w="3604" w:type="pct"/>
            <w:shd w:val="clear" w:color="auto" w:fill="auto"/>
          </w:tcPr>
          <w:p w14:paraId="2F8978C0" w14:textId="68AD50F4" w:rsidR="003D7091" w:rsidRPr="00F057EB" w:rsidRDefault="00D86C91" w:rsidP="00461D00">
            <w:pPr>
              <w:spacing w:before="120" w:after="120" w:line="240" w:lineRule="auto"/>
              <w:rPr>
                <w:rFonts w:ascii="Arial" w:hAnsi="Arial" w:cs="Arial"/>
                <w:sz w:val="22"/>
              </w:rPr>
            </w:pPr>
            <w:r w:rsidRPr="00F057EB">
              <w:rPr>
                <w:rFonts w:ascii="Arial" w:hAnsi="Arial" w:cs="Arial"/>
                <w:sz w:val="22"/>
              </w:rPr>
              <w:t>2028</w:t>
            </w:r>
          </w:p>
        </w:tc>
      </w:tr>
      <w:tr w:rsidR="003D7091" w:rsidRPr="00F057EB" w14:paraId="22E64310" w14:textId="77777777" w:rsidTr="00461D00">
        <w:tc>
          <w:tcPr>
            <w:tcW w:w="1396" w:type="pct"/>
            <w:tcBorders>
              <w:bottom w:val="single" w:sz="4" w:space="0" w:color="auto"/>
            </w:tcBorders>
            <w:shd w:val="clear" w:color="auto" w:fill="auto"/>
          </w:tcPr>
          <w:p w14:paraId="7B7B1A88" w14:textId="77777777" w:rsidR="003D7091" w:rsidRPr="00F057EB" w:rsidRDefault="003D7091" w:rsidP="00461D00">
            <w:pPr>
              <w:spacing w:before="120" w:after="120" w:line="240" w:lineRule="auto"/>
              <w:rPr>
                <w:rFonts w:ascii="Arial" w:hAnsi="Arial" w:cs="Arial"/>
                <w:sz w:val="22"/>
              </w:rPr>
            </w:pPr>
            <w:r w:rsidRPr="00F057EB">
              <w:rPr>
                <w:rFonts w:ascii="Arial" w:hAnsi="Arial" w:cs="Arial"/>
                <w:sz w:val="22"/>
              </w:rPr>
              <w:t>Policy advisor</w:t>
            </w:r>
          </w:p>
        </w:tc>
        <w:tc>
          <w:tcPr>
            <w:tcW w:w="3604" w:type="pct"/>
            <w:tcBorders>
              <w:bottom w:val="single" w:sz="4" w:space="0" w:color="auto"/>
            </w:tcBorders>
            <w:shd w:val="clear" w:color="auto" w:fill="auto"/>
          </w:tcPr>
          <w:p w14:paraId="3CB5BB7B" w14:textId="77777777" w:rsidR="003D7091" w:rsidRPr="00F057EB" w:rsidRDefault="003D7091" w:rsidP="00461D00">
            <w:pPr>
              <w:spacing w:before="120" w:after="120" w:line="240" w:lineRule="auto"/>
              <w:rPr>
                <w:rFonts w:ascii="Arial" w:hAnsi="Arial" w:cs="Arial"/>
                <w:sz w:val="22"/>
              </w:rPr>
            </w:pPr>
            <w:r w:rsidRPr="00F057EB">
              <w:rPr>
                <w:rFonts w:ascii="Arial" w:hAnsi="Arial" w:cs="Arial"/>
                <w:sz w:val="22"/>
              </w:rPr>
              <w:t xml:space="preserve">Senior Manager, Domestic Admissions </w:t>
            </w:r>
          </w:p>
        </w:tc>
      </w:tr>
      <w:tr w:rsidR="003D7091" w:rsidRPr="00F057EB" w14:paraId="67674084" w14:textId="77777777" w:rsidTr="00461D00">
        <w:tc>
          <w:tcPr>
            <w:tcW w:w="1396" w:type="pct"/>
            <w:tcBorders>
              <w:top w:val="single" w:sz="4" w:space="0" w:color="auto"/>
              <w:bottom w:val="single" w:sz="4" w:space="0" w:color="auto"/>
            </w:tcBorders>
            <w:shd w:val="clear" w:color="auto" w:fill="auto"/>
          </w:tcPr>
          <w:p w14:paraId="76A78D6F" w14:textId="77777777" w:rsidR="003D7091" w:rsidRPr="00F057EB" w:rsidRDefault="003D7091" w:rsidP="00461D00">
            <w:pPr>
              <w:spacing w:before="120" w:after="120" w:line="240" w:lineRule="auto"/>
              <w:rPr>
                <w:rFonts w:ascii="Arial" w:hAnsi="Arial" w:cs="Arial"/>
                <w:sz w:val="22"/>
              </w:rPr>
            </w:pPr>
            <w:r w:rsidRPr="00F057EB">
              <w:rPr>
                <w:rFonts w:ascii="Arial" w:hAnsi="Arial" w:cs="Arial"/>
                <w:sz w:val="22"/>
              </w:rPr>
              <w:t>Approving authority</w:t>
            </w:r>
          </w:p>
        </w:tc>
        <w:tc>
          <w:tcPr>
            <w:tcW w:w="3604" w:type="pct"/>
            <w:tcBorders>
              <w:top w:val="single" w:sz="4" w:space="0" w:color="auto"/>
              <w:bottom w:val="single" w:sz="4" w:space="0" w:color="auto"/>
            </w:tcBorders>
            <w:shd w:val="clear" w:color="auto" w:fill="auto"/>
          </w:tcPr>
          <w:p w14:paraId="14E9C640" w14:textId="77777777" w:rsidR="003D7091" w:rsidRPr="00F057EB" w:rsidRDefault="003D7091" w:rsidP="00461D00">
            <w:pPr>
              <w:spacing w:before="120" w:after="120" w:line="240" w:lineRule="auto"/>
              <w:rPr>
                <w:rFonts w:ascii="Arial" w:hAnsi="Arial" w:cs="Arial"/>
                <w:sz w:val="22"/>
              </w:rPr>
            </w:pPr>
            <w:r w:rsidRPr="00F057EB">
              <w:rPr>
                <w:rFonts w:ascii="Arial" w:hAnsi="Arial" w:cs="Arial"/>
                <w:sz w:val="22"/>
              </w:rPr>
              <w:t>Academic Committee</w:t>
            </w:r>
          </w:p>
        </w:tc>
      </w:tr>
    </w:tbl>
    <w:p w14:paraId="1F4FF38B" w14:textId="76CD5374" w:rsidR="00461D00" w:rsidRPr="00F057EB" w:rsidRDefault="00461D00" w:rsidP="00310A96">
      <w:pPr>
        <w:pStyle w:val="Heading2"/>
        <w:spacing w:before="120" w:line="240" w:lineRule="auto"/>
        <w:rPr>
          <w:rFonts w:ascii="Arial" w:hAnsi="Arial" w:cs="Arial"/>
          <w:szCs w:val="20"/>
        </w:rPr>
      </w:pPr>
      <w:bookmarkStart w:id="10" w:name="_6.0_Related_Policy"/>
      <w:bookmarkEnd w:id="10"/>
      <w:r w:rsidRPr="00F057EB">
        <w:rPr>
          <w:rFonts w:ascii="Arial" w:hAnsi="Arial" w:cs="Arial"/>
          <w:b/>
          <w:bCs/>
          <w:sz w:val="32"/>
          <w:szCs w:val="32"/>
        </w:rPr>
        <w:t>6.0 Related Policy Documents and Supporting Documents</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752"/>
        <w:gridCol w:w="7106"/>
      </w:tblGrid>
      <w:tr w:rsidR="003D7091" w:rsidRPr="00F057EB" w14:paraId="4796BE34" w14:textId="77777777" w:rsidTr="61021116">
        <w:tc>
          <w:tcPr>
            <w:tcW w:w="1396" w:type="pct"/>
            <w:shd w:val="clear" w:color="auto" w:fill="auto"/>
          </w:tcPr>
          <w:p w14:paraId="05D4893C" w14:textId="77777777" w:rsidR="003D7091" w:rsidRPr="00F057EB" w:rsidRDefault="003D7091" w:rsidP="00461D00">
            <w:pPr>
              <w:spacing w:before="120" w:after="120" w:line="240" w:lineRule="auto"/>
              <w:rPr>
                <w:rFonts w:ascii="Arial" w:hAnsi="Arial" w:cs="Arial"/>
                <w:sz w:val="22"/>
              </w:rPr>
            </w:pPr>
            <w:r w:rsidRPr="00F057EB">
              <w:rPr>
                <w:rFonts w:ascii="Arial" w:hAnsi="Arial" w:cs="Arial"/>
                <w:sz w:val="22"/>
              </w:rPr>
              <w:t xml:space="preserve">Legislation </w:t>
            </w:r>
          </w:p>
        </w:tc>
        <w:tc>
          <w:tcPr>
            <w:tcW w:w="3604" w:type="pct"/>
            <w:shd w:val="clear" w:color="auto" w:fill="auto"/>
          </w:tcPr>
          <w:p w14:paraId="45A17C91" w14:textId="77777777" w:rsidR="003D7091" w:rsidRPr="00F057EB" w:rsidRDefault="00DB348D" w:rsidP="00461D00">
            <w:pPr>
              <w:spacing w:before="120" w:after="120" w:line="240" w:lineRule="auto"/>
              <w:rPr>
                <w:rFonts w:ascii="Arial" w:hAnsi="Arial" w:cs="Arial"/>
                <w:sz w:val="22"/>
              </w:rPr>
            </w:pPr>
            <w:hyperlink r:id="rId11" w:history="1">
              <w:r w:rsidR="003D7091" w:rsidRPr="00F057EB">
                <w:rPr>
                  <w:rStyle w:val="Hyperlink"/>
                  <w:rFonts w:ascii="Arial" w:hAnsi="Arial" w:cs="Arial"/>
                  <w:sz w:val="22"/>
                </w:rPr>
                <w:t>Griffith University Act 1998</w:t>
              </w:r>
            </w:hyperlink>
          </w:p>
          <w:p w14:paraId="5F34A23D" w14:textId="77777777" w:rsidR="003D7091" w:rsidRPr="00F057EB" w:rsidRDefault="00DB348D" w:rsidP="00461D00">
            <w:pPr>
              <w:spacing w:before="120" w:after="120" w:line="240" w:lineRule="auto"/>
              <w:rPr>
                <w:rFonts w:ascii="Arial" w:hAnsi="Arial" w:cs="Arial"/>
                <w:sz w:val="22"/>
              </w:rPr>
            </w:pPr>
            <w:hyperlink r:id="rId12" w:history="1">
              <w:r w:rsidR="003D7091" w:rsidRPr="00F057EB">
                <w:rPr>
                  <w:rStyle w:val="Hyperlink"/>
                  <w:rFonts w:ascii="Arial" w:hAnsi="Arial" w:cs="Arial"/>
                  <w:sz w:val="22"/>
                </w:rPr>
                <w:t>Higher Education Support Act 2003</w:t>
              </w:r>
            </w:hyperlink>
          </w:p>
          <w:p w14:paraId="0140D6A8" w14:textId="77777777" w:rsidR="003D7091" w:rsidRPr="00F057EB" w:rsidRDefault="00DB348D" w:rsidP="00461D00">
            <w:pPr>
              <w:spacing w:before="120" w:after="120" w:line="240" w:lineRule="auto"/>
              <w:rPr>
                <w:rFonts w:ascii="Arial" w:hAnsi="Arial" w:cs="Arial"/>
                <w:color w:val="E30918"/>
                <w:sz w:val="22"/>
                <w:u w:val="single"/>
              </w:rPr>
            </w:pPr>
            <w:hyperlink r:id="rId13">
              <w:r w:rsidR="003D7091" w:rsidRPr="00F057EB">
                <w:rPr>
                  <w:rFonts w:ascii="Arial" w:hAnsi="Arial" w:cs="Arial"/>
                  <w:color w:val="E30918"/>
                  <w:sz w:val="22"/>
                  <w:u w:val="single"/>
                </w:rPr>
                <w:t>Higher Education (Threshold) Standards 2015</w:t>
              </w:r>
            </w:hyperlink>
          </w:p>
          <w:p w14:paraId="2F778C00" w14:textId="77777777" w:rsidR="003D7091" w:rsidRPr="00F057EB" w:rsidRDefault="00DB348D" w:rsidP="00461D00">
            <w:pPr>
              <w:spacing w:before="120" w:after="120" w:line="240" w:lineRule="auto"/>
              <w:rPr>
                <w:rFonts w:ascii="Arial" w:hAnsi="Arial" w:cs="Arial"/>
                <w:color w:val="E30918"/>
                <w:sz w:val="22"/>
                <w:u w:val="single"/>
              </w:rPr>
            </w:pPr>
            <w:hyperlink r:id="rId14" w:history="1">
              <w:r w:rsidR="003D7091" w:rsidRPr="00F057EB">
                <w:rPr>
                  <w:rStyle w:val="Hyperlink"/>
                  <w:rFonts w:ascii="Arial" w:hAnsi="Arial" w:cs="Arial"/>
                  <w:sz w:val="22"/>
                </w:rPr>
                <w:t>Education Services for Overseas Students Act 2000</w:t>
              </w:r>
            </w:hyperlink>
          </w:p>
          <w:p w14:paraId="1842B2D9" w14:textId="77777777" w:rsidR="003D7091" w:rsidRPr="00F057EB" w:rsidRDefault="003D7091" w:rsidP="00461D00">
            <w:pPr>
              <w:spacing w:before="120" w:after="120" w:line="240" w:lineRule="auto"/>
              <w:rPr>
                <w:rFonts w:ascii="Arial" w:hAnsi="Arial" w:cs="Arial"/>
                <w:color w:val="E30918"/>
                <w:sz w:val="22"/>
                <w:u w:val="single"/>
              </w:rPr>
            </w:pPr>
            <w:r w:rsidRPr="00F057EB">
              <w:rPr>
                <w:rFonts w:ascii="Arial" w:hAnsi="Arial" w:cs="Arial"/>
                <w:color w:val="E30918"/>
                <w:sz w:val="22"/>
                <w:u w:val="single"/>
              </w:rPr>
              <w:t>Migration Act 1958</w:t>
            </w:r>
          </w:p>
          <w:p w14:paraId="51D3DB73" w14:textId="77777777" w:rsidR="003D7091" w:rsidRPr="00F057EB" w:rsidRDefault="003D7091" w:rsidP="00461D00">
            <w:pPr>
              <w:spacing w:before="120" w:after="120" w:line="240" w:lineRule="auto"/>
              <w:rPr>
                <w:rFonts w:ascii="Arial" w:eastAsia="Calibri" w:hAnsi="Arial" w:cs="Arial"/>
                <w:color w:val="000000" w:themeColor="text1"/>
                <w:sz w:val="22"/>
              </w:rPr>
            </w:pPr>
            <w:r w:rsidRPr="00F057EB">
              <w:rPr>
                <w:rFonts w:ascii="Arial" w:eastAsia="Calibri" w:hAnsi="Arial" w:cs="Arial"/>
                <w:color w:val="D13438"/>
                <w:sz w:val="22"/>
                <w:u w:val="single"/>
              </w:rPr>
              <w:t>Autonomous Sanctions Regulations</w:t>
            </w:r>
          </w:p>
        </w:tc>
      </w:tr>
      <w:tr w:rsidR="003D7091" w:rsidRPr="00F057EB" w14:paraId="6BF94D81" w14:textId="77777777" w:rsidTr="61021116">
        <w:tc>
          <w:tcPr>
            <w:tcW w:w="1396" w:type="pct"/>
            <w:shd w:val="clear" w:color="auto" w:fill="auto"/>
          </w:tcPr>
          <w:p w14:paraId="7D0BB6F1" w14:textId="77777777" w:rsidR="003D7091" w:rsidRPr="00F057EB" w:rsidRDefault="003D7091" w:rsidP="00461D00">
            <w:pPr>
              <w:spacing w:before="120" w:after="120" w:line="240" w:lineRule="auto"/>
              <w:rPr>
                <w:rFonts w:ascii="Arial" w:hAnsi="Arial" w:cs="Arial"/>
                <w:sz w:val="22"/>
              </w:rPr>
            </w:pPr>
            <w:r w:rsidRPr="00F057EB">
              <w:rPr>
                <w:rFonts w:ascii="Arial" w:hAnsi="Arial" w:cs="Arial"/>
                <w:sz w:val="22"/>
              </w:rPr>
              <w:lastRenderedPageBreak/>
              <w:t>Policy</w:t>
            </w:r>
          </w:p>
        </w:tc>
        <w:tc>
          <w:tcPr>
            <w:tcW w:w="3604" w:type="pct"/>
            <w:shd w:val="clear" w:color="auto" w:fill="auto"/>
          </w:tcPr>
          <w:p w14:paraId="606414F3" w14:textId="77777777" w:rsidR="003D7091" w:rsidRPr="00F057EB" w:rsidRDefault="00DB348D" w:rsidP="00461D00">
            <w:pPr>
              <w:spacing w:before="120" w:after="120" w:line="240" w:lineRule="auto"/>
              <w:rPr>
                <w:rFonts w:ascii="Arial" w:hAnsi="Arial" w:cs="Arial"/>
                <w:color w:val="E30918"/>
                <w:sz w:val="22"/>
                <w:u w:val="single"/>
              </w:rPr>
            </w:pPr>
            <w:hyperlink r:id="rId15">
              <w:r w:rsidR="003D7091" w:rsidRPr="00F057EB">
                <w:rPr>
                  <w:rFonts w:ascii="Arial" w:hAnsi="Arial" w:cs="Arial"/>
                  <w:color w:val="E30918"/>
                  <w:sz w:val="22"/>
                  <w:u w:val="single"/>
                </w:rPr>
                <w:t>Conflict of Interest Policy</w:t>
              </w:r>
            </w:hyperlink>
          </w:p>
          <w:p w14:paraId="7A849A2C" w14:textId="77777777" w:rsidR="003D7091" w:rsidRPr="00F057EB" w:rsidRDefault="00DB348D" w:rsidP="00461D00">
            <w:pPr>
              <w:spacing w:before="120" w:after="120" w:line="240" w:lineRule="auto"/>
              <w:rPr>
                <w:rFonts w:ascii="Arial" w:hAnsi="Arial" w:cs="Arial"/>
                <w:color w:val="E30918"/>
                <w:sz w:val="22"/>
                <w:u w:val="single"/>
              </w:rPr>
            </w:pPr>
            <w:hyperlink r:id="rId16">
              <w:r w:rsidR="003D7091" w:rsidRPr="00F057EB">
                <w:rPr>
                  <w:rFonts w:ascii="Arial" w:hAnsi="Arial" w:cs="Arial"/>
                  <w:color w:val="E30918"/>
                  <w:sz w:val="22"/>
                  <w:u w:val="single"/>
                </w:rPr>
                <w:t>Credit and Recognition of Prior Learning Policy</w:t>
              </w:r>
            </w:hyperlink>
          </w:p>
          <w:p w14:paraId="4C1B7967" w14:textId="77777777" w:rsidR="003D7091" w:rsidRPr="00F057EB" w:rsidRDefault="00DB348D" w:rsidP="00461D00">
            <w:pPr>
              <w:spacing w:before="120" w:after="120" w:line="240" w:lineRule="auto"/>
              <w:rPr>
                <w:rFonts w:ascii="Arial" w:hAnsi="Arial" w:cs="Arial"/>
                <w:color w:val="E30918"/>
                <w:sz w:val="22"/>
                <w:u w:val="single"/>
              </w:rPr>
            </w:pPr>
            <w:hyperlink r:id="rId17">
              <w:r w:rsidR="003D7091" w:rsidRPr="00F057EB">
                <w:rPr>
                  <w:rFonts w:ascii="Arial" w:hAnsi="Arial" w:cs="Arial"/>
                  <w:color w:val="E30918"/>
                  <w:sz w:val="22"/>
                  <w:u w:val="single"/>
                </w:rPr>
                <w:t>E</w:t>
              </w:r>
              <w:r w:rsidR="003D7091" w:rsidRPr="00F057EB">
                <w:rPr>
                  <w:rFonts w:ascii="Arial" w:eastAsiaTheme="minorEastAsia" w:hAnsi="Arial" w:cs="Arial"/>
                  <w:color w:val="E30918"/>
                  <w:sz w:val="22"/>
                  <w:u w:val="single"/>
                </w:rPr>
                <w:t>nrolment Policy</w:t>
              </w:r>
            </w:hyperlink>
          </w:p>
          <w:p w14:paraId="550D4227" w14:textId="77777777" w:rsidR="003D7091" w:rsidRPr="00F057EB" w:rsidRDefault="00DB348D" w:rsidP="00461D00">
            <w:pPr>
              <w:spacing w:before="120" w:after="120" w:line="240" w:lineRule="auto"/>
              <w:rPr>
                <w:rFonts w:ascii="Arial" w:hAnsi="Arial" w:cs="Arial"/>
                <w:color w:val="E30918"/>
                <w:sz w:val="22"/>
                <w:u w:val="single"/>
              </w:rPr>
            </w:pPr>
            <w:hyperlink r:id="rId18">
              <w:r w:rsidR="003D7091" w:rsidRPr="61021116">
                <w:rPr>
                  <w:rFonts w:ascii="Arial" w:eastAsiaTheme="minorEastAsia" w:hAnsi="Arial" w:cs="Arial"/>
                  <w:color w:val="E30918"/>
                  <w:sz w:val="22"/>
                  <w:u w:val="single"/>
                </w:rPr>
                <w:t>Griffith Global Mobility Policy</w:t>
              </w:r>
            </w:hyperlink>
          </w:p>
          <w:p w14:paraId="0C21F55E" w14:textId="42775B25" w:rsidR="7F4990FF" w:rsidRDefault="00DB348D" w:rsidP="61021116">
            <w:pPr>
              <w:spacing w:before="120" w:after="120" w:line="240" w:lineRule="auto"/>
              <w:rPr>
                <w:rFonts w:ascii="Arial" w:hAnsi="Arial" w:cs="Arial"/>
                <w:color w:val="E30918"/>
                <w:sz w:val="22"/>
                <w:u w:val="single"/>
              </w:rPr>
            </w:pPr>
            <w:hyperlink r:id="rId19">
              <w:r w:rsidR="7F4990FF" w:rsidRPr="61021116">
                <w:rPr>
                  <w:rStyle w:val="Hyperlink"/>
                  <w:rFonts w:ascii="Arial" w:hAnsi="Arial" w:cs="Arial"/>
                  <w:sz w:val="22"/>
                </w:rPr>
                <w:t>Program and Course Policy</w:t>
              </w:r>
            </w:hyperlink>
          </w:p>
          <w:p w14:paraId="07BCAB03" w14:textId="77777777" w:rsidR="003D7091" w:rsidRPr="00F057EB" w:rsidRDefault="00DB348D" w:rsidP="00461D00">
            <w:pPr>
              <w:spacing w:before="120" w:after="120" w:line="240" w:lineRule="auto"/>
              <w:rPr>
                <w:rFonts w:ascii="Arial" w:hAnsi="Arial" w:cs="Arial"/>
                <w:color w:val="E30918"/>
                <w:sz w:val="22"/>
                <w:u w:val="single"/>
              </w:rPr>
            </w:pPr>
            <w:hyperlink r:id="rId20">
              <w:r w:rsidR="003D7091" w:rsidRPr="00F057EB">
                <w:rPr>
                  <w:rFonts w:ascii="Arial" w:hAnsi="Arial" w:cs="Arial"/>
                  <w:color w:val="E30918"/>
                  <w:sz w:val="22"/>
                  <w:u w:val="single"/>
                </w:rPr>
                <w:t>Student Review and Appeals Policy</w:t>
              </w:r>
            </w:hyperlink>
          </w:p>
        </w:tc>
      </w:tr>
      <w:tr w:rsidR="003D7091" w:rsidRPr="00F057EB" w14:paraId="669D33C7" w14:textId="77777777" w:rsidTr="61021116">
        <w:tc>
          <w:tcPr>
            <w:tcW w:w="1396" w:type="pct"/>
            <w:tcBorders>
              <w:bottom w:val="single" w:sz="4" w:space="0" w:color="auto"/>
            </w:tcBorders>
            <w:shd w:val="clear" w:color="auto" w:fill="auto"/>
          </w:tcPr>
          <w:p w14:paraId="561F4FA3" w14:textId="45636751" w:rsidR="003D7091" w:rsidRPr="00F057EB" w:rsidRDefault="003D7091" w:rsidP="00461D00">
            <w:pPr>
              <w:spacing w:before="120" w:after="120" w:line="240" w:lineRule="auto"/>
              <w:rPr>
                <w:rFonts w:ascii="Arial" w:hAnsi="Arial" w:cs="Arial"/>
                <w:sz w:val="22"/>
              </w:rPr>
            </w:pPr>
            <w:r w:rsidRPr="00F057EB">
              <w:rPr>
                <w:rFonts w:ascii="Arial" w:hAnsi="Arial" w:cs="Arial"/>
                <w:sz w:val="22"/>
              </w:rPr>
              <w:t>Procedure</w:t>
            </w:r>
          </w:p>
        </w:tc>
        <w:tc>
          <w:tcPr>
            <w:tcW w:w="3604" w:type="pct"/>
            <w:tcBorders>
              <w:bottom w:val="single" w:sz="4" w:space="0" w:color="auto"/>
            </w:tcBorders>
            <w:shd w:val="clear" w:color="auto" w:fill="auto"/>
          </w:tcPr>
          <w:p w14:paraId="7D8E10B3" w14:textId="008B39B2" w:rsidR="001C0F5E" w:rsidRPr="00F057EB" w:rsidRDefault="00DB348D" w:rsidP="00461D00">
            <w:pPr>
              <w:spacing w:before="120" w:after="120" w:line="240" w:lineRule="auto"/>
              <w:rPr>
                <w:rFonts w:ascii="Arial" w:hAnsi="Arial" w:cs="Arial"/>
                <w:sz w:val="22"/>
              </w:rPr>
            </w:pPr>
            <w:hyperlink r:id="rId21" w:history="1">
              <w:r w:rsidR="001C0F5E" w:rsidRPr="00F057EB">
                <w:rPr>
                  <w:rStyle w:val="Hyperlink"/>
                  <w:rFonts w:ascii="Arial" w:hAnsi="Arial" w:cs="Arial"/>
                  <w:sz w:val="22"/>
                </w:rPr>
                <w:t>Academic Progress Procedure</w:t>
              </w:r>
            </w:hyperlink>
          </w:p>
          <w:p w14:paraId="0A3F1123" w14:textId="5CD54A3E" w:rsidR="003D7091" w:rsidRPr="00F057EB" w:rsidRDefault="00DB348D" w:rsidP="00461D00">
            <w:pPr>
              <w:spacing w:before="120" w:after="120" w:line="240" w:lineRule="auto"/>
              <w:rPr>
                <w:rFonts w:ascii="Arial" w:hAnsi="Arial" w:cs="Arial"/>
                <w:sz w:val="22"/>
              </w:rPr>
            </w:pPr>
            <w:hyperlink r:id="rId22" w:history="1">
              <w:r w:rsidR="003D7091" w:rsidRPr="00F057EB">
                <w:rPr>
                  <w:rStyle w:val="Hyperlink"/>
                  <w:rFonts w:ascii="Arial" w:hAnsi="Arial" w:cs="Arial"/>
                  <w:sz w:val="22"/>
                </w:rPr>
                <w:t>Admission Procedure</w:t>
              </w:r>
            </w:hyperlink>
          </w:p>
          <w:p w14:paraId="308114ED" w14:textId="77777777" w:rsidR="003D7091" w:rsidRPr="00F057EB" w:rsidRDefault="00DB348D" w:rsidP="00461D00">
            <w:pPr>
              <w:spacing w:before="120" w:after="120" w:line="240" w:lineRule="auto"/>
              <w:rPr>
                <w:rFonts w:ascii="Arial" w:hAnsi="Arial" w:cs="Arial"/>
                <w:color w:val="E30918"/>
                <w:sz w:val="22"/>
                <w:u w:val="single"/>
              </w:rPr>
            </w:pPr>
            <w:hyperlink r:id="rId23">
              <w:r w:rsidR="003D7091" w:rsidRPr="00F057EB">
                <w:rPr>
                  <w:rFonts w:ascii="Arial" w:hAnsi="Arial" w:cs="Arial"/>
                  <w:color w:val="E30918"/>
                  <w:sz w:val="22"/>
                  <w:u w:val="single"/>
                </w:rPr>
                <w:t>Enrolment Procedure</w:t>
              </w:r>
            </w:hyperlink>
          </w:p>
          <w:p w14:paraId="630C9E30" w14:textId="77777777" w:rsidR="003D7091" w:rsidRPr="00F057EB" w:rsidRDefault="00DB348D" w:rsidP="00461D00">
            <w:pPr>
              <w:spacing w:before="120" w:after="120" w:line="240" w:lineRule="auto"/>
              <w:rPr>
                <w:rFonts w:ascii="Arial" w:hAnsi="Arial" w:cs="Arial"/>
                <w:color w:val="E30918"/>
                <w:sz w:val="22"/>
                <w:u w:val="single"/>
              </w:rPr>
            </w:pPr>
            <w:hyperlink r:id="rId24">
              <w:r w:rsidR="003D7091" w:rsidRPr="00F057EB">
                <w:rPr>
                  <w:rFonts w:ascii="Arial" w:hAnsi="Arial" w:cs="Arial"/>
                  <w:color w:val="E30918"/>
                  <w:sz w:val="22"/>
                  <w:u w:val="single"/>
                </w:rPr>
                <w:t>Fees and Charges Procedure</w:t>
              </w:r>
            </w:hyperlink>
          </w:p>
          <w:p w14:paraId="761D8C53" w14:textId="77777777" w:rsidR="003D7091" w:rsidRPr="00F057EB" w:rsidRDefault="00DB348D" w:rsidP="00461D00">
            <w:pPr>
              <w:spacing w:before="120" w:after="120" w:line="240" w:lineRule="auto"/>
              <w:rPr>
                <w:rFonts w:ascii="Arial" w:hAnsi="Arial" w:cs="Arial"/>
                <w:sz w:val="22"/>
              </w:rPr>
            </w:pPr>
            <w:hyperlink r:id="rId25">
              <w:r w:rsidR="003D7091" w:rsidRPr="00F057EB">
                <w:rPr>
                  <w:rFonts w:ascii="Arial" w:hAnsi="Arial" w:cs="Arial"/>
                  <w:color w:val="E30918"/>
                  <w:sz w:val="22"/>
                  <w:u w:val="single"/>
                </w:rPr>
                <w:t>Student Review and Appeals Procedures</w:t>
              </w:r>
            </w:hyperlink>
          </w:p>
        </w:tc>
      </w:tr>
      <w:tr w:rsidR="003D7091" w:rsidRPr="00F057EB" w14:paraId="3296E745" w14:textId="77777777" w:rsidTr="61021116">
        <w:tc>
          <w:tcPr>
            <w:tcW w:w="1396" w:type="pct"/>
            <w:tcBorders>
              <w:top w:val="single" w:sz="4" w:space="0" w:color="auto"/>
              <w:bottom w:val="single" w:sz="4" w:space="0" w:color="auto"/>
            </w:tcBorders>
            <w:shd w:val="clear" w:color="auto" w:fill="auto"/>
          </w:tcPr>
          <w:p w14:paraId="37D83B3A" w14:textId="07A8FB99" w:rsidR="003D7091" w:rsidRPr="00F057EB" w:rsidRDefault="003D7091" w:rsidP="00461D00">
            <w:pPr>
              <w:spacing w:before="120" w:after="120" w:line="240" w:lineRule="auto"/>
              <w:rPr>
                <w:rFonts w:ascii="Arial" w:hAnsi="Arial" w:cs="Arial"/>
                <w:sz w:val="22"/>
              </w:rPr>
            </w:pPr>
            <w:r w:rsidRPr="00F057EB">
              <w:rPr>
                <w:rFonts w:ascii="Arial" w:hAnsi="Arial" w:cs="Arial"/>
                <w:sz w:val="22"/>
              </w:rPr>
              <w:t>Local protocol</w:t>
            </w:r>
          </w:p>
        </w:tc>
        <w:tc>
          <w:tcPr>
            <w:tcW w:w="3604" w:type="pct"/>
            <w:tcBorders>
              <w:top w:val="single" w:sz="4" w:space="0" w:color="auto"/>
              <w:bottom w:val="single" w:sz="4" w:space="0" w:color="auto"/>
            </w:tcBorders>
            <w:shd w:val="clear" w:color="auto" w:fill="auto"/>
          </w:tcPr>
          <w:p w14:paraId="7D64E30E" w14:textId="6B72B7A7" w:rsidR="003D7091" w:rsidRPr="00F057EB" w:rsidRDefault="00DB348D" w:rsidP="00461D00">
            <w:pPr>
              <w:spacing w:before="120" w:after="120" w:line="240" w:lineRule="auto"/>
              <w:rPr>
                <w:rFonts w:ascii="Arial" w:hAnsi="Arial" w:cs="Arial"/>
                <w:sz w:val="22"/>
              </w:rPr>
            </w:pPr>
            <w:hyperlink r:id="rId26" w:history="1">
              <w:r w:rsidR="00BF4828">
                <w:rPr>
                  <w:rStyle w:val="Hyperlink"/>
                  <w:rFonts w:ascii="Arial" w:hAnsi="Arial" w:cs="Arial"/>
                  <w:sz w:val="22"/>
                </w:rPr>
                <w:t>En</w:t>
              </w:r>
              <w:r w:rsidR="003D7091" w:rsidRPr="00F057EB">
                <w:rPr>
                  <w:rStyle w:val="Hyperlink"/>
                  <w:rFonts w:ascii="Arial" w:hAnsi="Arial" w:cs="Arial"/>
                  <w:sz w:val="22"/>
                </w:rPr>
                <w:t>glish Language Proficiency</w:t>
              </w:r>
            </w:hyperlink>
          </w:p>
          <w:p w14:paraId="226778C3" w14:textId="2AFC6BFE" w:rsidR="003D7091" w:rsidRPr="00F057EB" w:rsidRDefault="00DB348D" w:rsidP="00461D00">
            <w:pPr>
              <w:spacing w:before="120" w:after="120" w:line="240" w:lineRule="auto"/>
              <w:rPr>
                <w:rFonts w:ascii="Arial" w:hAnsi="Arial" w:cs="Arial"/>
                <w:sz w:val="22"/>
              </w:rPr>
            </w:pPr>
            <w:hyperlink r:id="rId27" w:history="1">
              <w:r w:rsidR="008205DE">
                <w:rPr>
                  <w:rStyle w:val="Hyperlink"/>
                  <w:rFonts w:ascii="Arial" w:hAnsi="Arial" w:cs="Arial"/>
                  <w:sz w:val="22"/>
                </w:rPr>
                <w:t>I</w:t>
              </w:r>
              <w:r w:rsidR="003D7091" w:rsidRPr="00F057EB">
                <w:rPr>
                  <w:rStyle w:val="Hyperlink"/>
                  <w:rFonts w:ascii="Arial" w:hAnsi="Arial" w:cs="Arial"/>
                  <w:sz w:val="22"/>
                </w:rPr>
                <w:t>nternational – Academic Entry Requirements by Country Schedule</w:t>
              </w:r>
            </w:hyperlink>
          </w:p>
          <w:p w14:paraId="7690A13C" w14:textId="30C7BF86" w:rsidR="003D7091" w:rsidRPr="00F057EB" w:rsidRDefault="00DB348D" w:rsidP="00461D00">
            <w:pPr>
              <w:spacing w:before="120" w:after="120" w:line="240" w:lineRule="auto"/>
              <w:rPr>
                <w:rFonts w:ascii="Arial" w:hAnsi="Arial" w:cs="Arial"/>
                <w:sz w:val="22"/>
              </w:rPr>
            </w:pPr>
            <w:hyperlink r:id="rId28" w:history="1">
              <w:r w:rsidR="00512FC0">
                <w:rPr>
                  <w:rStyle w:val="Hyperlink"/>
                  <w:rFonts w:ascii="Arial" w:hAnsi="Arial" w:cs="Arial"/>
                  <w:sz w:val="22"/>
                </w:rPr>
                <w:t>F</w:t>
              </w:r>
              <w:r w:rsidR="003D7091" w:rsidRPr="00F057EB">
                <w:rPr>
                  <w:rStyle w:val="Hyperlink"/>
                  <w:rFonts w:ascii="Arial" w:hAnsi="Arial" w:cs="Arial"/>
                  <w:sz w:val="22"/>
                </w:rPr>
                <w:t xml:space="preserve">irst Peoples </w:t>
              </w:r>
              <w:r w:rsidR="00AB65AF" w:rsidRPr="00F057EB">
                <w:rPr>
                  <w:rStyle w:val="Hyperlink"/>
                  <w:rFonts w:ascii="Arial" w:hAnsi="Arial" w:cs="Arial"/>
                  <w:sz w:val="22"/>
                </w:rPr>
                <w:t>Pathways</w:t>
              </w:r>
              <w:r w:rsidR="003D7091" w:rsidRPr="00F057EB">
                <w:rPr>
                  <w:rStyle w:val="Hyperlink"/>
                  <w:rFonts w:ascii="Arial" w:hAnsi="Arial" w:cs="Arial"/>
                  <w:sz w:val="22"/>
                </w:rPr>
                <w:t xml:space="preserve"> Schedule</w:t>
              </w:r>
            </w:hyperlink>
          </w:p>
          <w:p w14:paraId="2586772E" w14:textId="77777777" w:rsidR="003D7091" w:rsidRPr="00F057EB" w:rsidRDefault="00DB348D" w:rsidP="00461D00">
            <w:pPr>
              <w:spacing w:before="120" w:after="120" w:line="240" w:lineRule="auto"/>
              <w:rPr>
                <w:rFonts w:ascii="Arial" w:hAnsi="Arial" w:cs="Arial"/>
                <w:color w:val="E30918"/>
                <w:sz w:val="22"/>
                <w:u w:val="single"/>
              </w:rPr>
            </w:pPr>
            <w:hyperlink r:id="rId29">
              <w:r w:rsidR="003D7091" w:rsidRPr="00F057EB">
                <w:rPr>
                  <w:rFonts w:ascii="Arial" w:eastAsiaTheme="minorEastAsia" w:hAnsi="Arial" w:cs="Arial"/>
                  <w:color w:val="E30918"/>
                  <w:sz w:val="22"/>
                  <w:u w:val="single"/>
                </w:rPr>
                <w:t>Enrolment Dates Protocol</w:t>
              </w:r>
            </w:hyperlink>
          </w:p>
        </w:tc>
      </w:tr>
    </w:tbl>
    <w:p w14:paraId="7C226D8A" w14:textId="77777777" w:rsidR="003D7091" w:rsidRPr="00F057EB" w:rsidRDefault="003D7091" w:rsidP="00461D00">
      <w:pPr>
        <w:tabs>
          <w:tab w:val="left" w:pos="8550"/>
        </w:tabs>
        <w:spacing w:before="120" w:after="120" w:line="240" w:lineRule="auto"/>
        <w:rPr>
          <w:rFonts w:ascii="Arial" w:hAnsi="Arial" w:cs="Arial"/>
          <w:sz w:val="22"/>
        </w:rPr>
      </w:pPr>
    </w:p>
    <w:sectPr w:rsidR="003D7091" w:rsidRPr="00F057EB" w:rsidSect="00461D00">
      <w:headerReference w:type="default" r:id="rId30"/>
      <w:footerReference w:type="default" r:id="rId31"/>
      <w:headerReference w:type="first" r:id="rId32"/>
      <w:footerReference w:type="first" r:id="rId33"/>
      <w:pgSz w:w="11900" w:h="16820"/>
      <w:pgMar w:top="1985" w:right="1021" w:bottom="1021" w:left="1021" w:header="680" w:footer="454"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8E4C" w14:textId="77777777" w:rsidR="00B5706D" w:rsidRDefault="00B5706D" w:rsidP="00F45E9C">
      <w:r>
        <w:separator/>
      </w:r>
    </w:p>
  </w:endnote>
  <w:endnote w:type="continuationSeparator" w:id="0">
    <w:p w14:paraId="56AE1C57" w14:textId="77777777" w:rsidR="00B5706D" w:rsidRDefault="00B5706D" w:rsidP="00F45E9C">
      <w:r>
        <w:continuationSeparator/>
      </w:r>
    </w:p>
  </w:endnote>
  <w:endnote w:type="continuationNotice" w:id="1">
    <w:p w14:paraId="4C2C50D5" w14:textId="77777777" w:rsidR="00B5706D" w:rsidRDefault="00B570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mbria"/>
    <w:panose1 w:val="02000500040000020004"/>
    <w:charset w:val="00"/>
    <w:family w:val="auto"/>
    <w:pitch w:val="variable"/>
    <w:sig w:usb0="80000027" w:usb1="00000040" w:usb2="00000000" w:usb3="00000000" w:csb0="00000001" w:csb1="00000000"/>
  </w:font>
  <w:font w:name="Foundry Sterling Book">
    <w:altName w:val="Calibri"/>
    <w:panose1 w:val="02000503040000020004"/>
    <w:charset w:val="00"/>
    <w:family w:val="modern"/>
    <w:notTrueType/>
    <w:pitch w:val="variable"/>
    <w:sig w:usb0="800000AF" w:usb1="5000205B"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opernicus Medium">
    <w:altName w:val="Calibri"/>
    <w:panose1 w:val="02000000000000000000"/>
    <w:charset w:val="00"/>
    <w:family w:val="auto"/>
    <w:pitch w:val="variable"/>
    <w:sig w:usb0="A00000EF" w:usb1="500160FB" w:usb2="00000010" w:usb3="00000000" w:csb0="0000009B" w:csb1="00000000"/>
  </w:font>
  <w:font w:name="Yu Mincho">
    <w:charset w:val="80"/>
    <w:family w:val="roman"/>
    <w:pitch w:val="variable"/>
    <w:sig w:usb0="800002E7" w:usb1="2AC7FCFF" w:usb2="00000012" w:usb3="00000000" w:csb0="0002009F" w:csb1="00000000"/>
  </w:font>
  <w:font w:name="FoundrySterling-Book">
    <w:altName w:val="Courier New"/>
    <w:panose1 w:val="02000503040000020004"/>
    <w:charset w:val="00"/>
    <w:family w:val="auto"/>
    <w:pitch w:val="variable"/>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Jotia">
    <w:altName w:val="Calibri"/>
    <w:panose1 w:val="000005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Foundry Sterling Demi">
    <w:altName w:val="Calibri"/>
    <w:panose1 w:val="02000700040000020004"/>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Griffith Sans Text">
    <w:altName w:val="Calibri"/>
    <w:panose1 w:val="00000000000000000000"/>
    <w:charset w:val="00"/>
    <w:family w:val="modern"/>
    <w:notTrueType/>
    <w:pitch w:val="variable"/>
    <w:sig w:usb0="A00000AF" w:usb1="00003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348509"/>
      <w:docPartObj>
        <w:docPartGallery w:val="Page Numbers (Bottom of Page)"/>
        <w:docPartUnique/>
      </w:docPartObj>
    </w:sdtPr>
    <w:sdtEndPr>
      <w:rPr>
        <w:noProof/>
      </w:rPr>
    </w:sdtEndPr>
    <w:sdtContent>
      <w:p w14:paraId="4F53F8C5" w14:textId="77777777" w:rsidR="00461D00" w:rsidRDefault="00461D00">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66427D06" w14:textId="77777777" w:rsidR="00461D00" w:rsidRDefault="00461D00" w:rsidP="00461D00">
        <w:pPr>
          <w:pStyle w:val="Footer"/>
          <w:jc w:val="right"/>
          <w:rPr>
            <w:rFonts w:asciiTheme="minorHAnsi" w:hAnsiTheme="minorHAnsi" w:cstheme="minorHAnsi"/>
            <w:color w:val="70787B"/>
            <w:sz w:val="15"/>
            <w:szCs w:val="15"/>
          </w:rPr>
        </w:pPr>
        <w:r w:rsidRPr="00D86C91">
          <w:rPr>
            <w:rFonts w:asciiTheme="minorHAnsi" w:hAnsiTheme="minorHAnsi" w:cstheme="minorHAnsi"/>
            <w:color w:val="70787B"/>
            <w:sz w:val="15"/>
            <w:szCs w:val="15"/>
          </w:rPr>
          <w:t>Admission Policy</w:t>
        </w:r>
        <w:r w:rsidRPr="000209B9">
          <w:rPr>
            <w:rFonts w:asciiTheme="minorHAnsi" w:hAnsiTheme="minorHAnsi" w:cstheme="minorHAnsi"/>
            <w:color w:val="70787B"/>
            <w:sz w:val="15"/>
            <w:szCs w:val="15"/>
          </w:rPr>
          <w:t xml:space="preserve"> | </w:t>
        </w:r>
        <w:r>
          <w:rPr>
            <w:rFonts w:asciiTheme="minorHAnsi" w:hAnsiTheme="minorHAnsi" w:cstheme="minorHAnsi"/>
            <w:color w:val="70787B"/>
            <w:sz w:val="15"/>
            <w:szCs w:val="15"/>
          </w:rPr>
          <w:t>November 2023</w:t>
        </w:r>
      </w:p>
      <w:p w14:paraId="1FC33935" w14:textId="77777777" w:rsidR="00461D00" w:rsidRPr="000209B9" w:rsidRDefault="00461D00" w:rsidP="00461D00">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Pr="00CC64DB">
          <w:rPr>
            <w:rFonts w:asciiTheme="minorHAnsi" w:hAnsiTheme="minorHAnsi" w:cstheme="minorHAnsi"/>
            <w:color w:val="70787B"/>
            <w:sz w:val="15"/>
            <w:szCs w:val="15"/>
          </w:rPr>
          <w:t>2023/0000</w:t>
        </w:r>
        <w:r>
          <w:rPr>
            <w:rFonts w:asciiTheme="minorHAnsi" w:hAnsiTheme="minorHAnsi" w:cstheme="minorHAnsi"/>
            <w:color w:val="70787B"/>
            <w:sz w:val="15"/>
            <w:szCs w:val="15"/>
          </w:rPr>
          <w:t>412</w:t>
        </w:r>
      </w:p>
      <w:p w14:paraId="40909FD2" w14:textId="24E9F65E" w:rsidR="00461D00" w:rsidRDefault="00461D00" w:rsidP="00461D00">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p w14:paraId="368AFE9B" w14:textId="198C9083" w:rsidR="00EC76B1" w:rsidRDefault="00EC76B1" w:rsidP="00363A8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48974"/>
      <w:docPartObj>
        <w:docPartGallery w:val="Page Numbers (Bottom of Page)"/>
        <w:docPartUnique/>
      </w:docPartObj>
    </w:sdtPr>
    <w:sdtEndPr>
      <w:rPr>
        <w:noProof/>
      </w:rPr>
    </w:sdtEndPr>
    <w:sdtContent>
      <w:p w14:paraId="6C468FD2" w14:textId="77777777" w:rsidR="00461D00" w:rsidRDefault="00461D00" w:rsidP="00461D00">
        <w:pPr>
          <w:pStyle w:val="Footer"/>
          <w:jc w:val="right"/>
          <w:rPr>
            <w:noProof/>
          </w:rPr>
        </w:pPr>
        <w:r>
          <w:fldChar w:fldCharType="begin"/>
        </w:r>
        <w:r>
          <w:instrText xml:space="preserve"> PAGE   \* MERGEFORMAT </w:instrText>
        </w:r>
        <w:r>
          <w:fldChar w:fldCharType="separate"/>
        </w:r>
        <w:r>
          <w:t>2</w:t>
        </w:r>
        <w:r>
          <w:rPr>
            <w:noProof/>
          </w:rPr>
          <w:fldChar w:fldCharType="end"/>
        </w:r>
      </w:p>
      <w:p w14:paraId="6A084F3E" w14:textId="77777777" w:rsidR="00461D00" w:rsidRDefault="00461D00" w:rsidP="00461D00">
        <w:pPr>
          <w:pStyle w:val="Footer"/>
          <w:jc w:val="right"/>
          <w:rPr>
            <w:rFonts w:asciiTheme="minorHAnsi" w:hAnsiTheme="minorHAnsi" w:cstheme="minorHAnsi"/>
            <w:color w:val="70787B"/>
            <w:sz w:val="15"/>
            <w:szCs w:val="15"/>
          </w:rPr>
        </w:pPr>
        <w:r w:rsidRPr="00D86C91">
          <w:rPr>
            <w:rFonts w:asciiTheme="minorHAnsi" w:hAnsiTheme="minorHAnsi" w:cstheme="minorHAnsi"/>
            <w:color w:val="70787B"/>
            <w:sz w:val="15"/>
            <w:szCs w:val="15"/>
          </w:rPr>
          <w:t>Admission Policy</w:t>
        </w:r>
        <w:r w:rsidRPr="000209B9">
          <w:rPr>
            <w:rFonts w:asciiTheme="minorHAnsi" w:hAnsiTheme="minorHAnsi" w:cstheme="minorHAnsi"/>
            <w:color w:val="70787B"/>
            <w:sz w:val="15"/>
            <w:szCs w:val="15"/>
          </w:rPr>
          <w:t xml:space="preserve"> | </w:t>
        </w:r>
        <w:r>
          <w:rPr>
            <w:rFonts w:asciiTheme="minorHAnsi" w:hAnsiTheme="minorHAnsi" w:cstheme="minorHAnsi"/>
            <w:color w:val="70787B"/>
            <w:sz w:val="15"/>
            <w:szCs w:val="15"/>
          </w:rPr>
          <w:t>November 2023</w:t>
        </w:r>
      </w:p>
      <w:p w14:paraId="5BD4E35A" w14:textId="77777777" w:rsidR="00461D00" w:rsidRPr="000209B9" w:rsidRDefault="00461D00" w:rsidP="00461D00">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Pr="00CC64DB">
          <w:rPr>
            <w:rFonts w:asciiTheme="minorHAnsi" w:hAnsiTheme="minorHAnsi" w:cstheme="minorHAnsi"/>
            <w:color w:val="70787B"/>
            <w:sz w:val="15"/>
            <w:szCs w:val="15"/>
          </w:rPr>
          <w:t>2023/0000</w:t>
        </w:r>
        <w:r>
          <w:rPr>
            <w:rFonts w:asciiTheme="minorHAnsi" w:hAnsiTheme="minorHAnsi" w:cstheme="minorHAnsi"/>
            <w:color w:val="70787B"/>
            <w:sz w:val="15"/>
            <w:szCs w:val="15"/>
          </w:rPr>
          <w:t>412</w:t>
        </w:r>
      </w:p>
      <w:p w14:paraId="4BA7B393" w14:textId="7E567C65" w:rsidR="00461D00" w:rsidRDefault="00461D00" w:rsidP="00461D00">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E4440" w14:textId="77777777" w:rsidR="00B5706D" w:rsidRDefault="00B5706D" w:rsidP="00F45E9C">
      <w:r>
        <w:separator/>
      </w:r>
    </w:p>
  </w:footnote>
  <w:footnote w:type="continuationSeparator" w:id="0">
    <w:p w14:paraId="6C5EA8AB" w14:textId="77777777" w:rsidR="00B5706D" w:rsidRDefault="00B5706D" w:rsidP="00F45E9C">
      <w:r>
        <w:continuationSeparator/>
      </w:r>
    </w:p>
  </w:footnote>
  <w:footnote w:type="continuationNotice" w:id="1">
    <w:p w14:paraId="7F50428A" w14:textId="77777777" w:rsidR="00B5706D" w:rsidRDefault="00B570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87A0" w14:textId="1745A756" w:rsidR="00D87683" w:rsidRPr="00577FA9" w:rsidRDefault="00461D00" w:rsidP="00D87683">
    <w:pPr>
      <w:pStyle w:val="Header"/>
      <w:ind w:right="-348"/>
      <w:jc w:val="right"/>
      <w:rPr>
        <w:rFonts w:ascii="Arial" w:hAnsi="Arial" w:cs="Arial"/>
        <w:b/>
        <w:color w:val="FFFFFF" w:themeColor="background1"/>
        <w:sz w:val="52"/>
        <w:szCs w:val="52"/>
      </w:rPr>
    </w:pPr>
    <w:r w:rsidRPr="009E127A">
      <w:rPr>
        <w:rFonts w:ascii="Griffith Sans Text" w:hAnsi="Griffith Sans Text" w:cs="Arial"/>
        <w:b/>
        <w:bCs/>
        <w:noProof/>
        <w:color w:val="E30918"/>
        <w:sz w:val="52"/>
        <w:szCs w:val="52"/>
      </w:rPr>
      <w:drawing>
        <wp:anchor distT="0" distB="0" distL="114300" distR="114300" simplePos="0" relativeHeight="251661312" behindDoc="1" locked="0" layoutInCell="1" allowOverlap="1" wp14:anchorId="6631501A" wp14:editId="0FF097EC">
          <wp:simplePos x="0" y="0"/>
          <wp:positionH relativeFrom="margin">
            <wp:align>left</wp:align>
          </wp:positionH>
          <wp:positionV relativeFrom="page">
            <wp:posOffset>469265</wp:posOffset>
          </wp:positionV>
          <wp:extent cx="2047875" cy="434975"/>
          <wp:effectExtent l="0" t="0" r="9525" b="3175"/>
          <wp:wrapTight wrapText="bothSides">
            <wp:wrapPolygon edited="0">
              <wp:start x="0" y="0"/>
              <wp:lineTo x="0" y="20812"/>
              <wp:lineTo x="21500" y="20812"/>
              <wp:lineTo x="21500" y="0"/>
              <wp:lineTo x="0" y="0"/>
            </wp:wrapPolygon>
          </wp:wrapTight>
          <wp:docPr id="1890861090" name="Picture 18908610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D87683" w:rsidRPr="00577FA9">
      <w:rPr>
        <w:rFonts w:ascii="Arial" w:hAnsi="Arial" w:cs="Arial"/>
        <w:b/>
        <w:color w:val="FFFFFF" w:themeColor="background1"/>
        <w:sz w:val="52"/>
        <w:szCs w:val="52"/>
      </w:rPr>
      <w:t xml:space="preserve">Policy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CD6E" w14:textId="692581E2" w:rsidR="00461D00" w:rsidRPr="00C846D1" w:rsidRDefault="00461D00" w:rsidP="00C846D1">
    <w:pPr>
      <w:pStyle w:val="Header"/>
      <w:ind w:right="-65"/>
      <w:jc w:val="right"/>
      <w:rPr>
        <w:rFonts w:ascii="Griffith Sans Text" w:hAnsi="Griffith Sans Text"/>
        <w:color w:val="000000" w:themeColor="text1"/>
      </w:rPr>
    </w:pPr>
    <w:r w:rsidRPr="00F057EB">
      <w:rPr>
        <w:rFonts w:ascii="Arial" w:hAnsi="Arial" w:cs="Arial"/>
        <w:b/>
        <w:bCs/>
        <w:color w:val="FFFFFF" w:themeColor="background1"/>
        <w:sz w:val="52"/>
        <w:szCs w:val="52"/>
      </w:rPr>
      <w:t>Policy</w:t>
    </w:r>
    <w:r w:rsidR="00C846D1">
      <w:rPr>
        <w:rFonts w:ascii="Arial" w:hAnsi="Arial" w:cs="Arial"/>
        <w:b/>
        <w:bCs/>
        <w:color w:val="FFFFFF" w:themeColor="background1"/>
        <w:sz w:val="22"/>
      </w:rPr>
      <w:br/>
    </w:r>
    <w:r w:rsidR="00C846D1">
      <w:rPr>
        <w:rFonts w:ascii="Arial" w:hAnsi="Arial" w:cs="Arial"/>
        <w:b/>
        <w:bCs/>
        <w:color w:val="FFFFFF" w:themeColor="background1"/>
        <w:sz w:val="22"/>
      </w:rPr>
      <w:br/>
    </w:r>
    <w:r w:rsidRPr="00160555">
      <w:rPr>
        <w:rFonts w:ascii="Griffith Sans Text" w:hAnsi="Griffith Sans Text" w:cs="Arial"/>
        <w:b/>
        <w:bCs/>
        <w:noProof/>
        <w:color w:val="000000" w:themeColor="text1"/>
        <w:sz w:val="52"/>
        <w:szCs w:val="52"/>
        <w:u w:val="single"/>
      </w:rPr>
      <mc:AlternateContent>
        <mc:Choice Requires="wps">
          <w:drawing>
            <wp:anchor distT="0" distB="0" distL="114300" distR="114300" simplePos="0" relativeHeight="251665408" behindDoc="1" locked="0" layoutInCell="1" allowOverlap="1" wp14:anchorId="0096E3A2" wp14:editId="37A77C31">
              <wp:simplePos x="0" y="0"/>
              <wp:positionH relativeFrom="column">
                <wp:posOffset>2914650</wp:posOffset>
              </wp:positionH>
              <wp:positionV relativeFrom="page">
                <wp:posOffset>-721360</wp:posOffset>
              </wp:positionV>
              <wp:extent cx="5719445" cy="2800985"/>
              <wp:effectExtent l="0" t="0" r="0" b="0"/>
              <wp:wrapNone/>
              <wp:docPr id="1093603904"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dec="http://schemas.microsoft.com/office/drawing/2017/decorative" xmlns:pic="http://schemas.openxmlformats.org/drawingml/2006/picture" xmlns:a14="http://schemas.microsoft.com/office/drawing/2010/main">
          <w:pict>
            <v:shapetype id="_x0000_t5" coordsize="21600,21600" o:spt="5" adj="10800" path="m@0,l,21600r21600,xe" w14:anchorId="1ED0BB33">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Triangle 1" style="position:absolute;margin-left:229.5pt;margin-top:-56.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lt="&quot;&quot;" o:spid="_x0000_s1026" fillcolor="#f40609" stroked="f"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">
              <w10:wrap anchory="page"/>
            </v:shape>
          </w:pict>
        </mc:Fallback>
      </mc:AlternateContent>
    </w:r>
    <w:r w:rsidR="00C846D1" w:rsidRPr="00160555">
      <w:rPr>
        <w:rFonts w:ascii="Arial" w:hAnsi="Arial" w:cs="Arial"/>
        <w:b/>
        <w:bCs/>
        <w:color w:val="000000" w:themeColor="text1"/>
        <w:sz w:val="22"/>
        <w:u w:val="single"/>
      </w:rPr>
      <w:t>NOTE</w:t>
    </w:r>
    <w:r w:rsidR="00C846D1" w:rsidRPr="00160555">
      <w:rPr>
        <w:rFonts w:ascii="Arial" w:hAnsi="Arial" w:cs="Arial"/>
        <w:b/>
        <w:bCs/>
        <w:color w:val="000000" w:themeColor="text1"/>
        <w:sz w:val="22"/>
      </w:rPr>
      <w:t>:  Effective from Trimester 1 2024</w:t>
    </w:r>
  </w:p>
  <w:p w14:paraId="293FE135" w14:textId="0BA3FF45" w:rsidR="00461D00" w:rsidRDefault="00461D00" w:rsidP="00461D00">
    <w:pPr>
      <w:pStyle w:val="Header"/>
      <w:tabs>
        <w:tab w:val="clear" w:pos="4513"/>
        <w:tab w:val="clear" w:pos="9026"/>
        <w:tab w:val="left" w:pos="1155"/>
      </w:tabs>
    </w:pPr>
    <w:r w:rsidRPr="009E127A">
      <w:rPr>
        <w:rFonts w:ascii="Griffith Sans Text" w:hAnsi="Griffith Sans Text" w:cs="Arial"/>
        <w:b/>
        <w:bCs/>
        <w:noProof/>
        <w:color w:val="E30918"/>
        <w:sz w:val="52"/>
        <w:szCs w:val="52"/>
      </w:rPr>
      <w:drawing>
        <wp:anchor distT="0" distB="0" distL="114300" distR="114300" simplePos="0" relativeHeight="251659264" behindDoc="1" locked="0" layoutInCell="1" allowOverlap="1" wp14:anchorId="57B7FF5F" wp14:editId="2D84A7DA">
          <wp:simplePos x="0" y="0"/>
          <wp:positionH relativeFrom="margin">
            <wp:align>left</wp:align>
          </wp:positionH>
          <wp:positionV relativeFrom="page">
            <wp:posOffset>440690</wp:posOffset>
          </wp:positionV>
          <wp:extent cx="2047875" cy="434975"/>
          <wp:effectExtent l="0" t="0" r="9525" b="3175"/>
          <wp:wrapTight wrapText="bothSides">
            <wp:wrapPolygon edited="0">
              <wp:start x="0" y="0"/>
              <wp:lineTo x="0" y="20812"/>
              <wp:lineTo x="21500" y="20812"/>
              <wp:lineTo x="21500" y="0"/>
              <wp:lineTo x="0" y="0"/>
            </wp:wrapPolygon>
          </wp:wrapTight>
          <wp:docPr id="108610711" name="Picture 1086107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 w15:restartNumberingAfterBreak="0">
    <w:nsid w:val="05634453"/>
    <w:multiLevelType w:val="hybridMultilevel"/>
    <w:tmpl w:val="EAE602B0"/>
    <w:lvl w:ilvl="0" w:tplc="D04EEABC">
      <w:start w:val="1"/>
      <w:numFmt w:val="bullet"/>
      <w:lvlText w:val=""/>
      <w:lvlJc w:val="left"/>
      <w:pPr>
        <w:ind w:left="360" w:hanging="360"/>
      </w:pPr>
      <w:rPr>
        <w:rFonts w:ascii="Wingdings" w:hAnsi="Wingdings" w:hint="default"/>
        <w:color w:val="E30918"/>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1A80387"/>
    <w:multiLevelType w:val="hybridMultilevel"/>
    <w:tmpl w:val="D27C8C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D243B4"/>
    <w:multiLevelType w:val="hybridMultilevel"/>
    <w:tmpl w:val="066A5D22"/>
    <w:lvl w:ilvl="0" w:tplc="D2386362">
      <w:start w:val="1"/>
      <w:numFmt w:val="bullet"/>
      <w:lvlText w:val=""/>
      <w:lvlJc w:val="left"/>
      <w:pPr>
        <w:ind w:left="720" w:hanging="360"/>
      </w:pPr>
      <w:rPr>
        <w:rFonts w:ascii="Symbol" w:hAnsi="Symbol" w:hint="default"/>
        <w:color w:val="E30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F3521"/>
    <w:multiLevelType w:val="multilevel"/>
    <w:tmpl w:val="0648750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15:restartNumberingAfterBreak="0">
    <w:nsid w:val="188303D5"/>
    <w:multiLevelType w:val="hybridMultilevel"/>
    <w:tmpl w:val="46C0C5DE"/>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E20F57"/>
    <w:multiLevelType w:val="hybridMultilevel"/>
    <w:tmpl w:val="7840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5322D"/>
    <w:multiLevelType w:val="hybridMultilevel"/>
    <w:tmpl w:val="FFFFFFFF"/>
    <w:lvl w:ilvl="0" w:tplc="2EEC764A">
      <w:start w:val="1"/>
      <w:numFmt w:val="bullet"/>
      <w:lvlText w:val=""/>
      <w:lvlJc w:val="left"/>
      <w:pPr>
        <w:ind w:left="360" w:hanging="360"/>
      </w:pPr>
      <w:rPr>
        <w:rFonts w:ascii="Wingdings" w:hAnsi="Wingdings" w:hint="default"/>
      </w:rPr>
    </w:lvl>
    <w:lvl w:ilvl="1" w:tplc="4F7CCB1E">
      <w:start w:val="1"/>
      <w:numFmt w:val="bullet"/>
      <w:lvlText w:val="o"/>
      <w:lvlJc w:val="left"/>
      <w:pPr>
        <w:ind w:left="1440" w:hanging="360"/>
      </w:pPr>
      <w:rPr>
        <w:rFonts w:ascii="Courier New" w:hAnsi="Courier New" w:hint="default"/>
      </w:rPr>
    </w:lvl>
    <w:lvl w:ilvl="2" w:tplc="D6484620">
      <w:start w:val="1"/>
      <w:numFmt w:val="bullet"/>
      <w:lvlText w:val=""/>
      <w:lvlJc w:val="left"/>
      <w:pPr>
        <w:ind w:left="2160" w:hanging="360"/>
      </w:pPr>
      <w:rPr>
        <w:rFonts w:ascii="Wingdings" w:hAnsi="Wingdings" w:hint="default"/>
      </w:rPr>
    </w:lvl>
    <w:lvl w:ilvl="3" w:tplc="98CA28DE">
      <w:start w:val="1"/>
      <w:numFmt w:val="bullet"/>
      <w:lvlText w:val=""/>
      <w:lvlJc w:val="left"/>
      <w:pPr>
        <w:ind w:left="2880" w:hanging="360"/>
      </w:pPr>
      <w:rPr>
        <w:rFonts w:ascii="Symbol" w:hAnsi="Symbol" w:hint="default"/>
      </w:rPr>
    </w:lvl>
    <w:lvl w:ilvl="4" w:tplc="33EAF878">
      <w:start w:val="1"/>
      <w:numFmt w:val="bullet"/>
      <w:lvlText w:val="o"/>
      <w:lvlJc w:val="left"/>
      <w:pPr>
        <w:ind w:left="3600" w:hanging="360"/>
      </w:pPr>
      <w:rPr>
        <w:rFonts w:ascii="Courier New" w:hAnsi="Courier New" w:hint="default"/>
      </w:rPr>
    </w:lvl>
    <w:lvl w:ilvl="5" w:tplc="A7642CB6">
      <w:start w:val="1"/>
      <w:numFmt w:val="bullet"/>
      <w:lvlText w:val=""/>
      <w:lvlJc w:val="left"/>
      <w:pPr>
        <w:ind w:left="4320" w:hanging="360"/>
      </w:pPr>
      <w:rPr>
        <w:rFonts w:ascii="Wingdings" w:hAnsi="Wingdings" w:hint="default"/>
      </w:rPr>
    </w:lvl>
    <w:lvl w:ilvl="6" w:tplc="C276AEEC">
      <w:start w:val="1"/>
      <w:numFmt w:val="bullet"/>
      <w:lvlText w:val=""/>
      <w:lvlJc w:val="left"/>
      <w:pPr>
        <w:ind w:left="5040" w:hanging="360"/>
      </w:pPr>
      <w:rPr>
        <w:rFonts w:ascii="Symbol" w:hAnsi="Symbol" w:hint="default"/>
      </w:rPr>
    </w:lvl>
    <w:lvl w:ilvl="7" w:tplc="07A6D236">
      <w:start w:val="1"/>
      <w:numFmt w:val="bullet"/>
      <w:lvlText w:val="o"/>
      <w:lvlJc w:val="left"/>
      <w:pPr>
        <w:ind w:left="5760" w:hanging="360"/>
      </w:pPr>
      <w:rPr>
        <w:rFonts w:ascii="Courier New" w:hAnsi="Courier New" w:hint="default"/>
      </w:rPr>
    </w:lvl>
    <w:lvl w:ilvl="8" w:tplc="FC98D9EE">
      <w:start w:val="1"/>
      <w:numFmt w:val="bullet"/>
      <w:lvlText w:val=""/>
      <w:lvlJc w:val="left"/>
      <w:pPr>
        <w:ind w:left="6480" w:hanging="360"/>
      </w:pPr>
      <w:rPr>
        <w:rFonts w:ascii="Wingdings" w:hAnsi="Wingdings" w:hint="default"/>
      </w:rPr>
    </w:lvl>
  </w:abstractNum>
  <w:abstractNum w:abstractNumId="8" w15:restartNumberingAfterBreak="0">
    <w:nsid w:val="1D493E13"/>
    <w:multiLevelType w:val="hybridMultilevel"/>
    <w:tmpl w:val="5AA4B3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5B84FE0"/>
    <w:multiLevelType w:val="hybridMultilevel"/>
    <w:tmpl w:val="26B08278"/>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D01675"/>
    <w:multiLevelType w:val="multilevel"/>
    <w:tmpl w:val="767CEE8C"/>
    <w:lvl w:ilvl="0">
      <w:start w:val="1"/>
      <w:numFmt w:val="decimal"/>
      <w:lvlText w:val="%1.0"/>
      <w:lvlJc w:val="left"/>
      <w:pPr>
        <w:ind w:left="560" w:hanging="560"/>
      </w:pPr>
      <w:rPr>
        <w:rFonts w:hint="default"/>
      </w:rPr>
    </w:lvl>
    <w:lvl w:ilvl="1">
      <w:start w:val="1"/>
      <w:numFmt w:val="decimal"/>
      <w:lvlText w:val="%1.%2"/>
      <w:lvlJc w:val="left"/>
      <w:pPr>
        <w:ind w:left="1280" w:hanging="5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C156BBC"/>
    <w:multiLevelType w:val="hybridMultilevel"/>
    <w:tmpl w:val="BCDCB39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2E6F107A"/>
    <w:multiLevelType w:val="multilevel"/>
    <w:tmpl w:val="A9FE0FDC"/>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74D44CA"/>
    <w:multiLevelType w:val="multilevel"/>
    <w:tmpl w:val="958EF31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388D4125"/>
    <w:multiLevelType w:val="multilevel"/>
    <w:tmpl w:val="EEC2299C"/>
    <w:lvl w:ilvl="0">
      <w:start w:val="4"/>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92A4BF9"/>
    <w:multiLevelType w:val="multilevel"/>
    <w:tmpl w:val="A5C0543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BEB6CF5"/>
    <w:multiLevelType w:val="hybridMultilevel"/>
    <w:tmpl w:val="9FBC678A"/>
    <w:lvl w:ilvl="0" w:tplc="D04EEABC">
      <w:start w:val="1"/>
      <w:numFmt w:val="bullet"/>
      <w:lvlText w:val=""/>
      <w:lvlJc w:val="left"/>
      <w:pPr>
        <w:ind w:left="720" w:hanging="360"/>
      </w:pPr>
      <w:rPr>
        <w:rFonts w:ascii="Wingdings" w:hAnsi="Wingdings" w:hint="default"/>
        <w:color w:val="E309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27278A"/>
    <w:multiLevelType w:val="hybridMultilevel"/>
    <w:tmpl w:val="3AAEB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F974A6"/>
    <w:multiLevelType w:val="hybridMultilevel"/>
    <w:tmpl w:val="C4B29B8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91C7A1A"/>
    <w:multiLevelType w:val="multilevel"/>
    <w:tmpl w:val="3356CE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53AC3F05"/>
    <w:multiLevelType w:val="multilevel"/>
    <w:tmpl w:val="4A82ADC2"/>
    <w:lvl w:ilvl="0">
      <w:start w:val="3"/>
      <w:numFmt w:val="decimal"/>
      <w:lvlText w:val="%1.0"/>
      <w:lvlJc w:val="left"/>
      <w:pPr>
        <w:ind w:left="720" w:hanging="720"/>
      </w:pPr>
      <w:rPr>
        <w:rFonts w:hint="default"/>
      </w:rPr>
    </w:lvl>
    <w:lvl w:ilv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15:restartNumberingAfterBreak="0">
    <w:nsid w:val="54923BA8"/>
    <w:multiLevelType w:val="hybridMultilevel"/>
    <w:tmpl w:val="659ED7A6"/>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8255A69"/>
    <w:multiLevelType w:val="multilevel"/>
    <w:tmpl w:val="5AC83C38"/>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5F946B6C"/>
    <w:multiLevelType w:val="multilevel"/>
    <w:tmpl w:val="DB943FC8"/>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5FE352C1"/>
    <w:multiLevelType w:val="hybridMultilevel"/>
    <w:tmpl w:val="25DE28E2"/>
    <w:lvl w:ilvl="0" w:tplc="5DD641EA">
      <w:start w:val="1"/>
      <w:numFmt w:val="decimal"/>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34756CE"/>
    <w:multiLevelType w:val="multilevel"/>
    <w:tmpl w:val="CC9AAF0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15:restartNumberingAfterBreak="0">
    <w:nsid w:val="637B2556"/>
    <w:multiLevelType w:val="hybridMultilevel"/>
    <w:tmpl w:val="7AB866D6"/>
    <w:lvl w:ilvl="0" w:tplc="BEA4178E">
      <w:start w:val="1"/>
      <w:numFmt w:val="bullet"/>
      <w:lvlText w:val=""/>
      <w:lvlJc w:val="left"/>
      <w:pPr>
        <w:ind w:left="3032" w:hanging="360"/>
      </w:pPr>
      <w:rPr>
        <w:rFonts w:ascii="Wingdings" w:hAnsi="Wingdings" w:hint="default"/>
        <w:color w:val="E30918"/>
      </w:rPr>
    </w:lvl>
    <w:lvl w:ilvl="1" w:tplc="0C090003" w:tentative="1">
      <w:start w:val="1"/>
      <w:numFmt w:val="bullet"/>
      <w:lvlText w:val="o"/>
      <w:lvlJc w:val="left"/>
      <w:pPr>
        <w:ind w:left="3752" w:hanging="360"/>
      </w:pPr>
      <w:rPr>
        <w:rFonts w:ascii="Courier New" w:hAnsi="Courier New" w:cs="Courier New" w:hint="default"/>
      </w:rPr>
    </w:lvl>
    <w:lvl w:ilvl="2" w:tplc="0C090005" w:tentative="1">
      <w:start w:val="1"/>
      <w:numFmt w:val="bullet"/>
      <w:lvlText w:val=""/>
      <w:lvlJc w:val="left"/>
      <w:pPr>
        <w:ind w:left="4472" w:hanging="360"/>
      </w:pPr>
      <w:rPr>
        <w:rFonts w:ascii="Wingdings" w:hAnsi="Wingdings" w:hint="default"/>
      </w:rPr>
    </w:lvl>
    <w:lvl w:ilvl="3" w:tplc="0C090001" w:tentative="1">
      <w:start w:val="1"/>
      <w:numFmt w:val="bullet"/>
      <w:lvlText w:val=""/>
      <w:lvlJc w:val="left"/>
      <w:pPr>
        <w:ind w:left="5192" w:hanging="360"/>
      </w:pPr>
      <w:rPr>
        <w:rFonts w:ascii="Symbol" w:hAnsi="Symbol" w:hint="default"/>
      </w:rPr>
    </w:lvl>
    <w:lvl w:ilvl="4" w:tplc="0C090003" w:tentative="1">
      <w:start w:val="1"/>
      <w:numFmt w:val="bullet"/>
      <w:lvlText w:val="o"/>
      <w:lvlJc w:val="left"/>
      <w:pPr>
        <w:ind w:left="5912" w:hanging="360"/>
      </w:pPr>
      <w:rPr>
        <w:rFonts w:ascii="Courier New" w:hAnsi="Courier New" w:cs="Courier New" w:hint="default"/>
      </w:rPr>
    </w:lvl>
    <w:lvl w:ilvl="5" w:tplc="0C090005" w:tentative="1">
      <w:start w:val="1"/>
      <w:numFmt w:val="bullet"/>
      <w:lvlText w:val=""/>
      <w:lvlJc w:val="left"/>
      <w:pPr>
        <w:ind w:left="6632" w:hanging="360"/>
      </w:pPr>
      <w:rPr>
        <w:rFonts w:ascii="Wingdings" w:hAnsi="Wingdings" w:hint="default"/>
      </w:rPr>
    </w:lvl>
    <w:lvl w:ilvl="6" w:tplc="0C090001" w:tentative="1">
      <w:start w:val="1"/>
      <w:numFmt w:val="bullet"/>
      <w:lvlText w:val=""/>
      <w:lvlJc w:val="left"/>
      <w:pPr>
        <w:ind w:left="7352" w:hanging="360"/>
      </w:pPr>
      <w:rPr>
        <w:rFonts w:ascii="Symbol" w:hAnsi="Symbol" w:hint="default"/>
      </w:rPr>
    </w:lvl>
    <w:lvl w:ilvl="7" w:tplc="0C090003" w:tentative="1">
      <w:start w:val="1"/>
      <w:numFmt w:val="bullet"/>
      <w:lvlText w:val="o"/>
      <w:lvlJc w:val="left"/>
      <w:pPr>
        <w:ind w:left="8072" w:hanging="360"/>
      </w:pPr>
      <w:rPr>
        <w:rFonts w:ascii="Courier New" w:hAnsi="Courier New" w:cs="Courier New" w:hint="default"/>
      </w:rPr>
    </w:lvl>
    <w:lvl w:ilvl="8" w:tplc="0C090005" w:tentative="1">
      <w:start w:val="1"/>
      <w:numFmt w:val="bullet"/>
      <w:lvlText w:val=""/>
      <w:lvlJc w:val="left"/>
      <w:pPr>
        <w:ind w:left="8792" w:hanging="360"/>
      </w:pPr>
      <w:rPr>
        <w:rFonts w:ascii="Wingdings" w:hAnsi="Wingdings" w:hint="default"/>
      </w:rPr>
    </w:lvl>
  </w:abstractNum>
  <w:abstractNum w:abstractNumId="29" w15:restartNumberingAfterBreak="0">
    <w:nsid w:val="67DA64C6"/>
    <w:multiLevelType w:val="hybridMultilevel"/>
    <w:tmpl w:val="BD2241B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68740699"/>
    <w:multiLevelType w:val="hybridMultilevel"/>
    <w:tmpl w:val="2142322C"/>
    <w:lvl w:ilvl="0" w:tplc="2FD6763A">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9570C01"/>
    <w:multiLevelType w:val="hybridMultilevel"/>
    <w:tmpl w:val="F7E6BED8"/>
    <w:lvl w:ilvl="0" w:tplc="F9247452">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CFF3F48"/>
    <w:multiLevelType w:val="hybridMultilevel"/>
    <w:tmpl w:val="F89E7110"/>
    <w:lvl w:ilvl="0" w:tplc="D04EEABC">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396ECB"/>
    <w:multiLevelType w:val="hybridMultilevel"/>
    <w:tmpl w:val="3F8C46AA"/>
    <w:lvl w:ilvl="0" w:tplc="0C090001">
      <w:start w:val="1"/>
      <w:numFmt w:val="bullet"/>
      <w:lvlText w:val=""/>
      <w:lvlJc w:val="left"/>
      <w:pPr>
        <w:ind w:left="360" w:hanging="360"/>
      </w:pPr>
      <w:rPr>
        <w:rFonts w:ascii="Symbol" w:hAnsi="Symbol" w:hint="default"/>
        <w:color w:val="E30918"/>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775C6417"/>
    <w:multiLevelType w:val="hybridMultilevel"/>
    <w:tmpl w:val="86A4BD96"/>
    <w:lvl w:ilvl="0" w:tplc="6212A2CA">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61084E"/>
    <w:multiLevelType w:val="hybridMultilevel"/>
    <w:tmpl w:val="9AAAE066"/>
    <w:lvl w:ilvl="0" w:tplc="BEA4178E">
      <w:start w:val="1"/>
      <w:numFmt w:val="bullet"/>
      <w:lvlText w:val=""/>
      <w:lvlJc w:val="left"/>
      <w:pPr>
        <w:ind w:left="1440" w:hanging="360"/>
      </w:pPr>
      <w:rPr>
        <w:rFonts w:ascii="Wingdings" w:hAnsi="Wingdings" w:hint="default"/>
        <w:color w:val="E309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AB56EE7"/>
    <w:multiLevelType w:val="hybridMultilevel"/>
    <w:tmpl w:val="FFFFFFFF"/>
    <w:lvl w:ilvl="0" w:tplc="3CF6287A">
      <w:start w:val="1"/>
      <w:numFmt w:val="bullet"/>
      <w:lvlText w:val=""/>
      <w:lvlJc w:val="left"/>
      <w:pPr>
        <w:ind w:left="360" w:hanging="360"/>
      </w:pPr>
      <w:rPr>
        <w:rFonts w:ascii="Wingdings" w:hAnsi="Wingdings" w:hint="default"/>
      </w:rPr>
    </w:lvl>
    <w:lvl w:ilvl="1" w:tplc="313425C4">
      <w:start w:val="1"/>
      <w:numFmt w:val="bullet"/>
      <w:lvlText w:val="o"/>
      <w:lvlJc w:val="left"/>
      <w:pPr>
        <w:ind w:left="1440" w:hanging="360"/>
      </w:pPr>
      <w:rPr>
        <w:rFonts w:ascii="Courier New" w:hAnsi="Courier New" w:hint="default"/>
      </w:rPr>
    </w:lvl>
    <w:lvl w:ilvl="2" w:tplc="2506DDF8">
      <w:start w:val="1"/>
      <w:numFmt w:val="bullet"/>
      <w:lvlText w:val=""/>
      <w:lvlJc w:val="left"/>
      <w:pPr>
        <w:ind w:left="2160" w:hanging="360"/>
      </w:pPr>
      <w:rPr>
        <w:rFonts w:ascii="Wingdings" w:hAnsi="Wingdings" w:hint="default"/>
      </w:rPr>
    </w:lvl>
    <w:lvl w:ilvl="3" w:tplc="2F309D8E">
      <w:start w:val="1"/>
      <w:numFmt w:val="bullet"/>
      <w:lvlText w:val=""/>
      <w:lvlJc w:val="left"/>
      <w:pPr>
        <w:ind w:left="2880" w:hanging="360"/>
      </w:pPr>
      <w:rPr>
        <w:rFonts w:ascii="Symbol" w:hAnsi="Symbol" w:hint="default"/>
      </w:rPr>
    </w:lvl>
    <w:lvl w:ilvl="4" w:tplc="DA7C622A">
      <w:start w:val="1"/>
      <w:numFmt w:val="bullet"/>
      <w:lvlText w:val="o"/>
      <w:lvlJc w:val="left"/>
      <w:pPr>
        <w:ind w:left="3600" w:hanging="360"/>
      </w:pPr>
      <w:rPr>
        <w:rFonts w:ascii="Courier New" w:hAnsi="Courier New" w:hint="default"/>
      </w:rPr>
    </w:lvl>
    <w:lvl w:ilvl="5" w:tplc="3D16F6A6">
      <w:start w:val="1"/>
      <w:numFmt w:val="bullet"/>
      <w:lvlText w:val=""/>
      <w:lvlJc w:val="left"/>
      <w:pPr>
        <w:ind w:left="4320" w:hanging="360"/>
      </w:pPr>
      <w:rPr>
        <w:rFonts w:ascii="Wingdings" w:hAnsi="Wingdings" w:hint="default"/>
      </w:rPr>
    </w:lvl>
    <w:lvl w:ilvl="6" w:tplc="EAA6768C">
      <w:start w:val="1"/>
      <w:numFmt w:val="bullet"/>
      <w:lvlText w:val=""/>
      <w:lvlJc w:val="left"/>
      <w:pPr>
        <w:ind w:left="5040" w:hanging="360"/>
      </w:pPr>
      <w:rPr>
        <w:rFonts w:ascii="Symbol" w:hAnsi="Symbol" w:hint="default"/>
      </w:rPr>
    </w:lvl>
    <w:lvl w:ilvl="7" w:tplc="5FFEF350">
      <w:start w:val="1"/>
      <w:numFmt w:val="bullet"/>
      <w:lvlText w:val="o"/>
      <w:lvlJc w:val="left"/>
      <w:pPr>
        <w:ind w:left="5760" w:hanging="360"/>
      </w:pPr>
      <w:rPr>
        <w:rFonts w:ascii="Courier New" w:hAnsi="Courier New" w:hint="default"/>
      </w:rPr>
    </w:lvl>
    <w:lvl w:ilvl="8" w:tplc="D212AEB8">
      <w:start w:val="1"/>
      <w:numFmt w:val="bullet"/>
      <w:lvlText w:val=""/>
      <w:lvlJc w:val="left"/>
      <w:pPr>
        <w:ind w:left="6480" w:hanging="360"/>
      </w:pPr>
      <w:rPr>
        <w:rFonts w:ascii="Wingdings" w:hAnsi="Wingdings" w:hint="default"/>
      </w:rPr>
    </w:lvl>
  </w:abstractNum>
  <w:abstractNum w:abstractNumId="37"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33111897">
    <w:abstractNumId w:val="6"/>
  </w:num>
  <w:num w:numId="2" w16cid:durableId="1479223523">
    <w:abstractNumId w:val="3"/>
  </w:num>
  <w:num w:numId="3" w16cid:durableId="1824659336">
    <w:abstractNumId w:val="18"/>
  </w:num>
  <w:num w:numId="4" w16cid:durableId="1503663299">
    <w:abstractNumId w:val="37"/>
  </w:num>
  <w:num w:numId="5" w16cid:durableId="386955439">
    <w:abstractNumId w:val="23"/>
  </w:num>
  <w:num w:numId="6" w16cid:durableId="1517426889">
    <w:abstractNumId w:val="21"/>
  </w:num>
  <w:num w:numId="7" w16cid:durableId="1086222638">
    <w:abstractNumId w:val="26"/>
  </w:num>
  <w:num w:numId="8" w16cid:durableId="85881173">
    <w:abstractNumId w:val="5"/>
  </w:num>
  <w:num w:numId="9" w16cid:durableId="1102382637">
    <w:abstractNumId w:val="10"/>
  </w:num>
  <w:num w:numId="10" w16cid:durableId="1313215091">
    <w:abstractNumId w:val="30"/>
  </w:num>
  <w:num w:numId="11" w16cid:durableId="557668200">
    <w:abstractNumId w:val="15"/>
  </w:num>
  <w:num w:numId="12" w16cid:durableId="23096537">
    <w:abstractNumId w:val="27"/>
  </w:num>
  <w:num w:numId="13" w16cid:durableId="426924152">
    <w:abstractNumId w:val="4"/>
  </w:num>
  <w:num w:numId="14" w16cid:durableId="713501535">
    <w:abstractNumId w:val="28"/>
  </w:num>
  <w:num w:numId="15" w16cid:durableId="726563054">
    <w:abstractNumId w:val="2"/>
  </w:num>
  <w:num w:numId="16" w16cid:durableId="65345594">
    <w:abstractNumId w:val="11"/>
  </w:num>
  <w:num w:numId="17" w16cid:durableId="2108891915">
    <w:abstractNumId w:val="0"/>
  </w:num>
  <w:num w:numId="18" w16cid:durableId="1462653809">
    <w:abstractNumId w:val="22"/>
  </w:num>
  <w:num w:numId="19" w16cid:durableId="311108794">
    <w:abstractNumId w:val="24"/>
  </w:num>
  <w:num w:numId="20" w16cid:durableId="851604860">
    <w:abstractNumId w:val="16"/>
  </w:num>
  <w:num w:numId="21" w16cid:durableId="297149702">
    <w:abstractNumId w:val="14"/>
  </w:num>
  <w:num w:numId="22" w16cid:durableId="359547776">
    <w:abstractNumId w:val="13"/>
  </w:num>
  <w:num w:numId="23" w16cid:durableId="1515341946">
    <w:abstractNumId w:val="25"/>
  </w:num>
  <w:num w:numId="24" w16cid:durableId="451442314">
    <w:abstractNumId w:val="34"/>
  </w:num>
  <w:num w:numId="25" w16cid:durableId="888957339">
    <w:abstractNumId w:val="19"/>
  </w:num>
  <w:num w:numId="26" w16cid:durableId="1520268296">
    <w:abstractNumId w:val="8"/>
  </w:num>
  <w:num w:numId="27" w16cid:durableId="182786067">
    <w:abstractNumId w:val="12"/>
  </w:num>
  <w:num w:numId="28" w16cid:durableId="170490383">
    <w:abstractNumId w:val="29"/>
  </w:num>
  <w:num w:numId="29" w16cid:durableId="760220854">
    <w:abstractNumId w:val="9"/>
  </w:num>
  <w:num w:numId="30" w16cid:durableId="125046472">
    <w:abstractNumId w:val="31"/>
  </w:num>
  <w:num w:numId="31" w16cid:durableId="385879044">
    <w:abstractNumId w:val="35"/>
  </w:num>
  <w:num w:numId="32" w16cid:durableId="2072537707">
    <w:abstractNumId w:val="32"/>
  </w:num>
  <w:num w:numId="33" w16cid:durableId="604312249">
    <w:abstractNumId w:val="17"/>
  </w:num>
  <w:num w:numId="34" w16cid:durableId="502665093">
    <w:abstractNumId w:val="36"/>
  </w:num>
  <w:num w:numId="35" w16cid:durableId="515316863">
    <w:abstractNumId w:val="7"/>
  </w:num>
  <w:num w:numId="36" w16cid:durableId="1616862188">
    <w:abstractNumId w:val="20"/>
  </w:num>
  <w:num w:numId="37" w16cid:durableId="1911959854">
    <w:abstractNumId w:val="1"/>
  </w:num>
  <w:num w:numId="38" w16cid:durableId="100743822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32B"/>
    <w:rsid w:val="00001814"/>
    <w:rsid w:val="0001254D"/>
    <w:rsid w:val="000209B9"/>
    <w:rsid w:val="000214B8"/>
    <w:rsid w:val="00023997"/>
    <w:rsid w:val="000357A5"/>
    <w:rsid w:val="000372F6"/>
    <w:rsid w:val="00037E6F"/>
    <w:rsid w:val="000408E3"/>
    <w:rsid w:val="00040BB8"/>
    <w:rsid w:val="00041B5B"/>
    <w:rsid w:val="00042E2C"/>
    <w:rsid w:val="00045D5F"/>
    <w:rsid w:val="00050910"/>
    <w:rsid w:val="00051573"/>
    <w:rsid w:val="00052E7B"/>
    <w:rsid w:val="00053A5F"/>
    <w:rsid w:val="000576DF"/>
    <w:rsid w:val="000674C0"/>
    <w:rsid w:val="00071436"/>
    <w:rsid w:val="00081FC0"/>
    <w:rsid w:val="00091C95"/>
    <w:rsid w:val="000943A9"/>
    <w:rsid w:val="000A63B9"/>
    <w:rsid w:val="000B3767"/>
    <w:rsid w:val="000B7D0C"/>
    <w:rsid w:val="000D5843"/>
    <w:rsid w:val="000D7BE8"/>
    <w:rsid w:val="000E2A8A"/>
    <w:rsid w:val="000E46E9"/>
    <w:rsid w:val="000E4CBE"/>
    <w:rsid w:val="000E5D52"/>
    <w:rsid w:val="000E5D83"/>
    <w:rsid w:val="000F0714"/>
    <w:rsid w:val="000F0B20"/>
    <w:rsid w:val="00102763"/>
    <w:rsid w:val="00102D19"/>
    <w:rsid w:val="001040E4"/>
    <w:rsid w:val="00105063"/>
    <w:rsid w:val="0010768E"/>
    <w:rsid w:val="001111D3"/>
    <w:rsid w:val="00122CF0"/>
    <w:rsid w:val="001254E2"/>
    <w:rsid w:val="0013141E"/>
    <w:rsid w:val="001352E3"/>
    <w:rsid w:val="00140E32"/>
    <w:rsid w:val="00141711"/>
    <w:rsid w:val="0014349F"/>
    <w:rsid w:val="00147A35"/>
    <w:rsid w:val="00147B11"/>
    <w:rsid w:val="00152D7D"/>
    <w:rsid w:val="001537D5"/>
    <w:rsid w:val="00160555"/>
    <w:rsid w:val="00162972"/>
    <w:rsid w:val="0016436D"/>
    <w:rsid w:val="001735D3"/>
    <w:rsid w:val="0017412E"/>
    <w:rsid w:val="0017577B"/>
    <w:rsid w:val="00180673"/>
    <w:rsid w:val="00180A28"/>
    <w:rsid w:val="00181BF5"/>
    <w:rsid w:val="00187666"/>
    <w:rsid w:val="00192ACD"/>
    <w:rsid w:val="0019448C"/>
    <w:rsid w:val="001957E9"/>
    <w:rsid w:val="001A0DF5"/>
    <w:rsid w:val="001A138A"/>
    <w:rsid w:val="001A1ABF"/>
    <w:rsid w:val="001A1FEC"/>
    <w:rsid w:val="001C0F5E"/>
    <w:rsid w:val="001D0C8A"/>
    <w:rsid w:val="001D0DB6"/>
    <w:rsid w:val="001D2660"/>
    <w:rsid w:val="001E6438"/>
    <w:rsid w:val="002015FA"/>
    <w:rsid w:val="002043F8"/>
    <w:rsid w:val="00217AF5"/>
    <w:rsid w:val="002241DB"/>
    <w:rsid w:val="00224B0B"/>
    <w:rsid w:val="00231E7F"/>
    <w:rsid w:val="00246CB4"/>
    <w:rsid w:val="002553D8"/>
    <w:rsid w:val="00257E43"/>
    <w:rsid w:val="002622BC"/>
    <w:rsid w:val="0027526D"/>
    <w:rsid w:val="00277091"/>
    <w:rsid w:val="00292052"/>
    <w:rsid w:val="002A1DE8"/>
    <w:rsid w:val="002A78A0"/>
    <w:rsid w:val="002B02ED"/>
    <w:rsid w:val="002B100C"/>
    <w:rsid w:val="002B5AE6"/>
    <w:rsid w:val="002C4450"/>
    <w:rsid w:val="002D64A4"/>
    <w:rsid w:val="002D7FF0"/>
    <w:rsid w:val="002E1C61"/>
    <w:rsid w:val="002E4FA8"/>
    <w:rsid w:val="002F13EA"/>
    <w:rsid w:val="002F3ABE"/>
    <w:rsid w:val="002F5132"/>
    <w:rsid w:val="002F52A9"/>
    <w:rsid w:val="003045F8"/>
    <w:rsid w:val="00310A96"/>
    <w:rsid w:val="00322FF9"/>
    <w:rsid w:val="00332215"/>
    <w:rsid w:val="00332EC1"/>
    <w:rsid w:val="00333B53"/>
    <w:rsid w:val="003504C4"/>
    <w:rsid w:val="00350CB0"/>
    <w:rsid w:val="00350DE3"/>
    <w:rsid w:val="00352033"/>
    <w:rsid w:val="00363A85"/>
    <w:rsid w:val="003664F0"/>
    <w:rsid w:val="00370E3F"/>
    <w:rsid w:val="00371526"/>
    <w:rsid w:val="00371E20"/>
    <w:rsid w:val="003757C4"/>
    <w:rsid w:val="0037658D"/>
    <w:rsid w:val="00376FB2"/>
    <w:rsid w:val="00382F39"/>
    <w:rsid w:val="003873FF"/>
    <w:rsid w:val="003B0C9A"/>
    <w:rsid w:val="003B1D32"/>
    <w:rsid w:val="003C20B4"/>
    <w:rsid w:val="003C4CA3"/>
    <w:rsid w:val="003D0FE4"/>
    <w:rsid w:val="003D418D"/>
    <w:rsid w:val="003D51F2"/>
    <w:rsid w:val="003D5267"/>
    <w:rsid w:val="003D5B12"/>
    <w:rsid w:val="003D7091"/>
    <w:rsid w:val="003E0B6D"/>
    <w:rsid w:val="003E1E69"/>
    <w:rsid w:val="003E514B"/>
    <w:rsid w:val="003F2781"/>
    <w:rsid w:val="004127D7"/>
    <w:rsid w:val="00413A8A"/>
    <w:rsid w:val="004144E6"/>
    <w:rsid w:val="00414B79"/>
    <w:rsid w:val="00423383"/>
    <w:rsid w:val="00441014"/>
    <w:rsid w:val="004415B7"/>
    <w:rsid w:val="004430BB"/>
    <w:rsid w:val="00452F4C"/>
    <w:rsid w:val="00457151"/>
    <w:rsid w:val="00461D00"/>
    <w:rsid w:val="00463053"/>
    <w:rsid w:val="00464423"/>
    <w:rsid w:val="00470DC3"/>
    <w:rsid w:val="004723ED"/>
    <w:rsid w:val="00473800"/>
    <w:rsid w:val="004A6E71"/>
    <w:rsid w:val="004B25E1"/>
    <w:rsid w:val="004B38E1"/>
    <w:rsid w:val="004B50A9"/>
    <w:rsid w:val="004C49E3"/>
    <w:rsid w:val="004D0EE6"/>
    <w:rsid w:val="004D2BE0"/>
    <w:rsid w:val="004D7998"/>
    <w:rsid w:val="004F3E9A"/>
    <w:rsid w:val="00500023"/>
    <w:rsid w:val="0050415F"/>
    <w:rsid w:val="005104A1"/>
    <w:rsid w:val="00511137"/>
    <w:rsid w:val="00512FC0"/>
    <w:rsid w:val="00525C75"/>
    <w:rsid w:val="00541F5A"/>
    <w:rsid w:val="0054556E"/>
    <w:rsid w:val="00545FF8"/>
    <w:rsid w:val="00547ADF"/>
    <w:rsid w:val="00553B87"/>
    <w:rsid w:val="0055651E"/>
    <w:rsid w:val="00557E43"/>
    <w:rsid w:val="00560079"/>
    <w:rsid w:val="00564685"/>
    <w:rsid w:val="005649EC"/>
    <w:rsid w:val="005703AB"/>
    <w:rsid w:val="005738ED"/>
    <w:rsid w:val="00573A3D"/>
    <w:rsid w:val="005758D8"/>
    <w:rsid w:val="00577FA9"/>
    <w:rsid w:val="005859FB"/>
    <w:rsid w:val="00590C60"/>
    <w:rsid w:val="005913D1"/>
    <w:rsid w:val="005A03C1"/>
    <w:rsid w:val="005A09EF"/>
    <w:rsid w:val="005A612B"/>
    <w:rsid w:val="005B5914"/>
    <w:rsid w:val="005B5C34"/>
    <w:rsid w:val="005C15C5"/>
    <w:rsid w:val="005C3DBA"/>
    <w:rsid w:val="005E2BCC"/>
    <w:rsid w:val="005E4006"/>
    <w:rsid w:val="005F230C"/>
    <w:rsid w:val="00611E7C"/>
    <w:rsid w:val="00620C28"/>
    <w:rsid w:val="006464C6"/>
    <w:rsid w:val="00647006"/>
    <w:rsid w:val="00650C39"/>
    <w:rsid w:val="00650D19"/>
    <w:rsid w:val="00650F00"/>
    <w:rsid w:val="0065542A"/>
    <w:rsid w:val="006616B3"/>
    <w:rsid w:val="006626D7"/>
    <w:rsid w:val="00667F87"/>
    <w:rsid w:val="006724AD"/>
    <w:rsid w:val="00674AC7"/>
    <w:rsid w:val="00676E5C"/>
    <w:rsid w:val="00683E5F"/>
    <w:rsid w:val="00686AED"/>
    <w:rsid w:val="00696054"/>
    <w:rsid w:val="006A4F70"/>
    <w:rsid w:val="006B5D3A"/>
    <w:rsid w:val="006C15EC"/>
    <w:rsid w:val="006C182A"/>
    <w:rsid w:val="006C2418"/>
    <w:rsid w:val="006D1A97"/>
    <w:rsid w:val="00701F3E"/>
    <w:rsid w:val="00702795"/>
    <w:rsid w:val="00704A2C"/>
    <w:rsid w:val="00707E82"/>
    <w:rsid w:val="0071121B"/>
    <w:rsid w:val="007136DB"/>
    <w:rsid w:val="0071388E"/>
    <w:rsid w:val="00713DB5"/>
    <w:rsid w:val="007176E3"/>
    <w:rsid w:val="0072491E"/>
    <w:rsid w:val="00742899"/>
    <w:rsid w:val="0075207E"/>
    <w:rsid w:val="007527C8"/>
    <w:rsid w:val="0075505C"/>
    <w:rsid w:val="0075730D"/>
    <w:rsid w:val="00761065"/>
    <w:rsid w:val="0076122F"/>
    <w:rsid w:val="007706AB"/>
    <w:rsid w:val="00771F35"/>
    <w:rsid w:val="00773B30"/>
    <w:rsid w:val="0077631B"/>
    <w:rsid w:val="00776C5D"/>
    <w:rsid w:val="007837D8"/>
    <w:rsid w:val="00784315"/>
    <w:rsid w:val="007866BC"/>
    <w:rsid w:val="0078767D"/>
    <w:rsid w:val="007879B4"/>
    <w:rsid w:val="0079386C"/>
    <w:rsid w:val="00797551"/>
    <w:rsid w:val="007A3046"/>
    <w:rsid w:val="007A578C"/>
    <w:rsid w:val="007B23FB"/>
    <w:rsid w:val="007B685A"/>
    <w:rsid w:val="007C00D0"/>
    <w:rsid w:val="007C744D"/>
    <w:rsid w:val="007D2C38"/>
    <w:rsid w:val="007D2F1C"/>
    <w:rsid w:val="007D7FDC"/>
    <w:rsid w:val="007E0009"/>
    <w:rsid w:val="007E30A7"/>
    <w:rsid w:val="007E7482"/>
    <w:rsid w:val="007F1C81"/>
    <w:rsid w:val="00807345"/>
    <w:rsid w:val="008075B2"/>
    <w:rsid w:val="00813D87"/>
    <w:rsid w:val="008205DE"/>
    <w:rsid w:val="00823301"/>
    <w:rsid w:val="00825110"/>
    <w:rsid w:val="008267C5"/>
    <w:rsid w:val="00830E02"/>
    <w:rsid w:val="00831703"/>
    <w:rsid w:val="00834839"/>
    <w:rsid w:val="00843997"/>
    <w:rsid w:val="0084695A"/>
    <w:rsid w:val="008542C4"/>
    <w:rsid w:val="00854ED8"/>
    <w:rsid w:val="0086273D"/>
    <w:rsid w:val="00863385"/>
    <w:rsid w:val="00871013"/>
    <w:rsid w:val="008A450B"/>
    <w:rsid w:val="008B48A8"/>
    <w:rsid w:val="008B625E"/>
    <w:rsid w:val="008C56C6"/>
    <w:rsid w:val="008D14C7"/>
    <w:rsid w:val="008E4C9F"/>
    <w:rsid w:val="008E5D69"/>
    <w:rsid w:val="008E7228"/>
    <w:rsid w:val="008F1A34"/>
    <w:rsid w:val="008F42AC"/>
    <w:rsid w:val="008F5D03"/>
    <w:rsid w:val="00902125"/>
    <w:rsid w:val="00911012"/>
    <w:rsid w:val="0091111B"/>
    <w:rsid w:val="00911B41"/>
    <w:rsid w:val="0091205A"/>
    <w:rsid w:val="00912993"/>
    <w:rsid w:val="0091BE8A"/>
    <w:rsid w:val="009252DB"/>
    <w:rsid w:val="0092637C"/>
    <w:rsid w:val="00926581"/>
    <w:rsid w:val="00933CFF"/>
    <w:rsid w:val="00933D23"/>
    <w:rsid w:val="009459B4"/>
    <w:rsid w:val="00945B70"/>
    <w:rsid w:val="00946B2D"/>
    <w:rsid w:val="00954F24"/>
    <w:rsid w:val="00960E56"/>
    <w:rsid w:val="0096474B"/>
    <w:rsid w:val="0097437D"/>
    <w:rsid w:val="00974E55"/>
    <w:rsid w:val="00980F8E"/>
    <w:rsid w:val="00983C8A"/>
    <w:rsid w:val="0098690D"/>
    <w:rsid w:val="0098747B"/>
    <w:rsid w:val="00990C3D"/>
    <w:rsid w:val="0099187B"/>
    <w:rsid w:val="0099689E"/>
    <w:rsid w:val="00997D62"/>
    <w:rsid w:val="009B3179"/>
    <w:rsid w:val="009B7685"/>
    <w:rsid w:val="009C3D6A"/>
    <w:rsid w:val="009E2F2F"/>
    <w:rsid w:val="009F0F22"/>
    <w:rsid w:val="009F15CB"/>
    <w:rsid w:val="009F313A"/>
    <w:rsid w:val="009F3EC1"/>
    <w:rsid w:val="009F6603"/>
    <w:rsid w:val="009F66F7"/>
    <w:rsid w:val="00A04082"/>
    <w:rsid w:val="00A127BD"/>
    <w:rsid w:val="00A1311D"/>
    <w:rsid w:val="00A24E55"/>
    <w:rsid w:val="00A25AA1"/>
    <w:rsid w:val="00A3361A"/>
    <w:rsid w:val="00A40D57"/>
    <w:rsid w:val="00A50C42"/>
    <w:rsid w:val="00A50ED4"/>
    <w:rsid w:val="00A60321"/>
    <w:rsid w:val="00A63331"/>
    <w:rsid w:val="00A64338"/>
    <w:rsid w:val="00A64775"/>
    <w:rsid w:val="00A65908"/>
    <w:rsid w:val="00A73376"/>
    <w:rsid w:val="00A7785F"/>
    <w:rsid w:val="00A84CEC"/>
    <w:rsid w:val="00A8677D"/>
    <w:rsid w:val="00A90311"/>
    <w:rsid w:val="00A95F56"/>
    <w:rsid w:val="00A961AC"/>
    <w:rsid w:val="00AA227D"/>
    <w:rsid w:val="00AA4460"/>
    <w:rsid w:val="00AB30DD"/>
    <w:rsid w:val="00AB3551"/>
    <w:rsid w:val="00AB5659"/>
    <w:rsid w:val="00AB65AF"/>
    <w:rsid w:val="00AB79FC"/>
    <w:rsid w:val="00AC25B5"/>
    <w:rsid w:val="00AD12FC"/>
    <w:rsid w:val="00AE4EA8"/>
    <w:rsid w:val="00AF3B1E"/>
    <w:rsid w:val="00AF4034"/>
    <w:rsid w:val="00AF5BF6"/>
    <w:rsid w:val="00B03A41"/>
    <w:rsid w:val="00B04BAA"/>
    <w:rsid w:val="00B12E6A"/>
    <w:rsid w:val="00B17881"/>
    <w:rsid w:val="00B25419"/>
    <w:rsid w:val="00B25A19"/>
    <w:rsid w:val="00B268D5"/>
    <w:rsid w:val="00B306C2"/>
    <w:rsid w:val="00B34AA7"/>
    <w:rsid w:val="00B4330B"/>
    <w:rsid w:val="00B43C60"/>
    <w:rsid w:val="00B53615"/>
    <w:rsid w:val="00B5706D"/>
    <w:rsid w:val="00B61927"/>
    <w:rsid w:val="00B67268"/>
    <w:rsid w:val="00B847D5"/>
    <w:rsid w:val="00B90033"/>
    <w:rsid w:val="00B90EAD"/>
    <w:rsid w:val="00B954C5"/>
    <w:rsid w:val="00BA4A87"/>
    <w:rsid w:val="00BA5B5E"/>
    <w:rsid w:val="00BA729F"/>
    <w:rsid w:val="00BA7F01"/>
    <w:rsid w:val="00BB332B"/>
    <w:rsid w:val="00BB407A"/>
    <w:rsid w:val="00BB66B5"/>
    <w:rsid w:val="00BC3ED3"/>
    <w:rsid w:val="00BC55CF"/>
    <w:rsid w:val="00BD083F"/>
    <w:rsid w:val="00BE560C"/>
    <w:rsid w:val="00BF01F5"/>
    <w:rsid w:val="00BF0C02"/>
    <w:rsid w:val="00BF4828"/>
    <w:rsid w:val="00BF4C05"/>
    <w:rsid w:val="00C13A2B"/>
    <w:rsid w:val="00C16500"/>
    <w:rsid w:val="00C233C9"/>
    <w:rsid w:val="00C311BE"/>
    <w:rsid w:val="00C31ECA"/>
    <w:rsid w:val="00C33CC5"/>
    <w:rsid w:val="00C40554"/>
    <w:rsid w:val="00C43588"/>
    <w:rsid w:val="00C44A1B"/>
    <w:rsid w:val="00C5755D"/>
    <w:rsid w:val="00C61357"/>
    <w:rsid w:val="00C64897"/>
    <w:rsid w:val="00C655EF"/>
    <w:rsid w:val="00C74FCB"/>
    <w:rsid w:val="00C80F2E"/>
    <w:rsid w:val="00C83160"/>
    <w:rsid w:val="00C846D1"/>
    <w:rsid w:val="00C87FBA"/>
    <w:rsid w:val="00C91165"/>
    <w:rsid w:val="00C96814"/>
    <w:rsid w:val="00CA74F9"/>
    <w:rsid w:val="00CB102C"/>
    <w:rsid w:val="00CB5A81"/>
    <w:rsid w:val="00CC43B2"/>
    <w:rsid w:val="00CC64DB"/>
    <w:rsid w:val="00CC69B4"/>
    <w:rsid w:val="00CD4DCE"/>
    <w:rsid w:val="00CD6D22"/>
    <w:rsid w:val="00CE0A50"/>
    <w:rsid w:val="00CE4484"/>
    <w:rsid w:val="00CF2EBA"/>
    <w:rsid w:val="00D20DE3"/>
    <w:rsid w:val="00D31975"/>
    <w:rsid w:val="00D33E0C"/>
    <w:rsid w:val="00D35A2C"/>
    <w:rsid w:val="00D44766"/>
    <w:rsid w:val="00D5114B"/>
    <w:rsid w:val="00D62F61"/>
    <w:rsid w:val="00D66192"/>
    <w:rsid w:val="00D6694E"/>
    <w:rsid w:val="00D66ECF"/>
    <w:rsid w:val="00D67F1F"/>
    <w:rsid w:val="00D725A0"/>
    <w:rsid w:val="00D855AA"/>
    <w:rsid w:val="00D86597"/>
    <w:rsid w:val="00D86C91"/>
    <w:rsid w:val="00D87683"/>
    <w:rsid w:val="00D87A3F"/>
    <w:rsid w:val="00D94F19"/>
    <w:rsid w:val="00D95767"/>
    <w:rsid w:val="00DA348D"/>
    <w:rsid w:val="00DA3C93"/>
    <w:rsid w:val="00DB348D"/>
    <w:rsid w:val="00DB46CC"/>
    <w:rsid w:val="00DB5C51"/>
    <w:rsid w:val="00DC4E2D"/>
    <w:rsid w:val="00DD7190"/>
    <w:rsid w:val="00DD72B2"/>
    <w:rsid w:val="00DE207C"/>
    <w:rsid w:val="00DE745A"/>
    <w:rsid w:val="00DF173D"/>
    <w:rsid w:val="00DF2436"/>
    <w:rsid w:val="00DF64FA"/>
    <w:rsid w:val="00E00AD2"/>
    <w:rsid w:val="00E02A2F"/>
    <w:rsid w:val="00E036DA"/>
    <w:rsid w:val="00E149BA"/>
    <w:rsid w:val="00E14ADF"/>
    <w:rsid w:val="00E166AD"/>
    <w:rsid w:val="00E17726"/>
    <w:rsid w:val="00E21235"/>
    <w:rsid w:val="00E225C6"/>
    <w:rsid w:val="00E30128"/>
    <w:rsid w:val="00E334E3"/>
    <w:rsid w:val="00E40567"/>
    <w:rsid w:val="00E406BB"/>
    <w:rsid w:val="00E46F8C"/>
    <w:rsid w:val="00E56258"/>
    <w:rsid w:val="00E5631A"/>
    <w:rsid w:val="00E61154"/>
    <w:rsid w:val="00E760AF"/>
    <w:rsid w:val="00E84FFA"/>
    <w:rsid w:val="00E86FBC"/>
    <w:rsid w:val="00EA00C0"/>
    <w:rsid w:val="00EA268C"/>
    <w:rsid w:val="00EA6390"/>
    <w:rsid w:val="00EA6454"/>
    <w:rsid w:val="00EB67EB"/>
    <w:rsid w:val="00EB789F"/>
    <w:rsid w:val="00EC0BCC"/>
    <w:rsid w:val="00EC76B1"/>
    <w:rsid w:val="00ED12B6"/>
    <w:rsid w:val="00EE02E1"/>
    <w:rsid w:val="00EE421A"/>
    <w:rsid w:val="00EE646E"/>
    <w:rsid w:val="00EF083E"/>
    <w:rsid w:val="00EF0FC1"/>
    <w:rsid w:val="00EF2D1C"/>
    <w:rsid w:val="00EF4F3F"/>
    <w:rsid w:val="00F014A2"/>
    <w:rsid w:val="00F02DBB"/>
    <w:rsid w:val="00F035C0"/>
    <w:rsid w:val="00F057EB"/>
    <w:rsid w:val="00F06B1A"/>
    <w:rsid w:val="00F13E06"/>
    <w:rsid w:val="00F146F8"/>
    <w:rsid w:val="00F3151F"/>
    <w:rsid w:val="00F41226"/>
    <w:rsid w:val="00F45E9C"/>
    <w:rsid w:val="00F53069"/>
    <w:rsid w:val="00F5679E"/>
    <w:rsid w:val="00F60482"/>
    <w:rsid w:val="00F6584B"/>
    <w:rsid w:val="00F65E11"/>
    <w:rsid w:val="00F673C0"/>
    <w:rsid w:val="00F801FF"/>
    <w:rsid w:val="00F814A4"/>
    <w:rsid w:val="00F92F84"/>
    <w:rsid w:val="00F97A5A"/>
    <w:rsid w:val="00FA1219"/>
    <w:rsid w:val="00FA64E1"/>
    <w:rsid w:val="00FB0914"/>
    <w:rsid w:val="00FB353A"/>
    <w:rsid w:val="00FB60AE"/>
    <w:rsid w:val="00FB6309"/>
    <w:rsid w:val="00FB7F8C"/>
    <w:rsid w:val="00FC11A6"/>
    <w:rsid w:val="00FC25DD"/>
    <w:rsid w:val="00FC4968"/>
    <w:rsid w:val="00FC4EBB"/>
    <w:rsid w:val="00FC5552"/>
    <w:rsid w:val="00FD2141"/>
    <w:rsid w:val="00FD4F36"/>
    <w:rsid w:val="00FD5A49"/>
    <w:rsid w:val="00FE0943"/>
    <w:rsid w:val="00FE28CF"/>
    <w:rsid w:val="00FE505D"/>
    <w:rsid w:val="00FE72AA"/>
    <w:rsid w:val="00FF5957"/>
    <w:rsid w:val="02BFB83F"/>
    <w:rsid w:val="0A94FE97"/>
    <w:rsid w:val="0C62F19B"/>
    <w:rsid w:val="0CFB7F70"/>
    <w:rsid w:val="0FD51C02"/>
    <w:rsid w:val="1276A17D"/>
    <w:rsid w:val="13CEACE6"/>
    <w:rsid w:val="1D420030"/>
    <w:rsid w:val="21F4FE7B"/>
    <w:rsid w:val="25DB665E"/>
    <w:rsid w:val="292A1419"/>
    <w:rsid w:val="2D6EA02B"/>
    <w:rsid w:val="36BD799D"/>
    <w:rsid w:val="3749F25C"/>
    <w:rsid w:val="38A53159"/>
    <w:rsid w:val="3CB228E5"/>
    <w:rsid w:val="3F5B30CE"/>
    <w:rsid w:val="4054B4A3"/>
    <w:rsid w:val="4C7B034B"/>
    <w:rsid w:val="597FD450"/>
    <w:rsid w:val="5A24C32E"/>
    <w:rsid w:val="5C0164D8"/>
    <w:rsid w:val="5DF5C999"/>
    <w:rsid w:val="5F1D42DC"/>
    <w:rsid w:val="61021116"/>
    <w:rsid w:val="61153832"/>
    <w:rsid w:val="61A826E2"/>
    <w:rsid w:val="6F154BE3"/>
    <w:rsid w:val="7B59A255"/>
    <w:rsid w:val="7D45A92B"/>
    <w:rsid w:val="7F4990F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ACE73AB0-E028-471C-A7D8-5C43B0C3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C64DB"/>
    <w:pPr>
      <w:spacing w:after="200" w:line="276" w:lineRule="auto"/>
    </w:pPr>
    <w:rPr>
      <w:rFonts w:ascii="Foundry Sterling Book" w:hAnsi="Foundry Sterling Book"/>
      <w:sz w:val="20"/>
      <w:szCs w:val="22"/>
      <w:lang w:eastAsia="en-AU"/>
    </w:rPr>
  </w:style>
  <w:style w:type="paragraph" w:styleId="Heading1">
    <w:name w:val="heading 1"/>
    <w:basedOn w:val="Normal"/>
    <w:next w:val="Normal"/>
    <w:link w:val="Heading1Char"/>
    <w:uiPriority w:val="9"/>
    <w:qFormat/>
    <w:rsid w:val="00B4330B"/>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Normal"/>
    <w:next w:val="Normal"/>
    <w:link w:val="Heading3Char"/>
    <w:uiPriority w:val="9"/>
    <w:unhideWhenUsed/>
    <w:qFormat/>
    <w:rsid w:val="0099689E"/>
    <w:pPr>
      <w:keepNext/>
      <w:keepLines/>
      <w:spacing w:before="200" w:after="120"/>
      <w:outlineLvl w:val="2"/>
    </w:pPr>
    <w:rPr>
      <w:rFonts w:eastAsiaTheme="majorEastAsia" w:cstheme="majorBidi"/>
      <w:color w:val="E30918"/>
      <w:sz w:val="24"/>
    </w:rPr>
  </w:style>
  <w:style w:type="paragraph" w:styleId="Heading4">
    <w:name w:val="heading 4"/>
    <w:basedOn w:val="Normal"/>
    <w:next w:val="Normal"/>
    <w:link w:val="Heading4Char"/>
    <w:uiPriority w:val="9"/>
    <w:unhideWhenUsed/>
    <w:qFormat/>
    <w:rsid w:val="00042E2C"/>
    <w:pPr>
      <w:keepNext/>
      <w:keepLines/>
      <w:spacing w:before="200" w:after="120"/>
      <w:ind w:left="426"/>
      <w:outlineLvl w:val="3"/>
    </w:pPr>
    <w:rPr>
      <w:rFonts w:eastAsiaTheme="majorEastAsia" w:cstheme="majorBidi"/>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3"/>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Copernicus Medium" w:hAnsi="Copernicus Medium"/>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B4330B"/>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99689E"/>
    <w:rPr>
      <w:rFonts w:ascii="Foundry Sterling Book" w:eastAsiaTheme="majorEastAsia" w:hAnsi="Foundry Sterling Book" w:cstheme="majorBidi"/>
      <w:color w:val="E30918"/>
      <w:szCs w:val="22"/>
      <w:lang w:eastAsia="en-AU"/>
    </w:rPr>
  </w:style>
  <w:style w:type="character" w:customStyle="1" w:styleId="Heading4Char">
    <w:name w:val="Heading 4 Char"/>
    <w:link w:val="Heading4"/>
    <w:uiPriority w:val="9"/>
    <w:rsid w:val="00042E2C"/>
    <w:rPr>
      <w:rFonts w:ascii="Foundry Sterling Book" w:eastAsiaTheme="majorEastAsia" w:hAnsi="Foundry Sterling Book" w:cstheme="majorBidi"/>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4"/>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Revision">
    <w:name w:val="Revision"/>
    <w:hidden/>
    <w:uiPriority w:val="99"/>
    <w:semiHidden/>
    <w:rsid w:val="00933CFF"/>
    <w:rPr>
      <w:rFonts w:ascii="Foundry Sterling Book" w:hAnsi="Foundry Sterling Book"/>
      <w:sz w:val="20"/>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332221139">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292175301">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Details/F2015L01639" TargetMode="External"/><Relationship Id="rId18" Type="http://schemas.openxmlformats.org/officeDocument/2006/relationships/hyperlink" Target="https://sharepointpubstor.blob.core.windows.net/policylibrary-prod/Griffith%20Global%20Mobility%20Policy.pdf" TargetMode="External"/><Relationship Id="rId26" Type="http://schemas.openxmlformats.org/officeDocument/2006/relationships/hyperlink" Target="https://sharepointpubstor.blob.core.windows.net/policylibrary-prod/English%20Language%20Proficiency%20Schedule.pdf" TargetMode="External"/><Relationship Id="rId3" Type="http://schemas.openxmlformats.org/officeDocument/2006/relationships/customXml" Target="../customXml/item3.xml"/><Relationship Id="rId21" Type="http://schemas.openxmlformats.org/officeDocument/2006/relationships/hyperlink" Target="https://sharepointpubstor.blob.core.windows.net/policylibrary-prod/Academic%20Progress%20Procedure.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egislation.gov.au/Details/C2019C00331" TargetMode="External"/><Relationship Id="rId17" Type="http://schemas.openxmlformats.org/officeDocument/2006/relationships/hyperlink" Target="https://sharepointpubstor.blob.core.windows.net/policylibrary-prod/Enrolment%20Policy.pdf" TargetMode="External"/><Relationship Id="rId25" Type="http://schemas.openxmlformats.org/officeDocument/2006/relationships/hyperlink" Target="https://sharepointpubstor.blob.core.windows.net/policylibrary-prod/Student%20Review%20and%20Appeals%20Procedures.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harepointpubstor.blob.core.windows.net/policylibrary-prod/Credit%20and%20Recognition%20of%20Prior%20Learning%20Policy.pdf" TargetMode="External"/><Relationship Id="rId20" Type="http://schemas.openxmlformats.org/officeDocument/2006/relationships/hyperlink" Target="https://sharepointpubstor.blob.core.windows.net/policylibrary-prod/Student%20Review%20and%20Appeals%20Policy.pdf" TargetMode="External"/><Relationship Id="rId29" Type="http://schemas.openxmlformats.org/officeDocument/2006/relationships/hyperlink" Target="https://sharepointpubstor.blob.core.windows.net/policylibrary-prod/Enrolment%20Dates%20Protoco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qld.gov.au/view/html/inforce/current/act-1998-003" TargetMode="External"/><Relationship Id="rId24" Type="http://schemas.openxmlformats.org/officeDocument/2006/relationships/hyperlink" Target="https://sharepointpubstor.blob.core.windows.net/policylibrary-prod/Fees%20and%20Charges%20Procedure.pdf"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sharepointpubstor.blob.core.windows.net/policylibrary-prod/Conflict%20of%20Interest%20Policy.pdf" TargetMode="External"/><Relationship Id="rId23" Type="http://schemas.openxmlformats.org/officeDocument/2006/relationships/hyperlink" Target="https://sharepointpubstor.blob.core.windows.net/policylibrary-prod/Enrolment%20Procedure.pdf" TargetMode="External"/><Relationship Id="rId28" Type="http://schemas.openxmlformats.org/officeDocument/2006/relationships/hyperlink" Target="https://sharepointpubstor.blob.core.windows.net/policylibrary-prod/First%20Peoples%20Pathways%20Schedule.pdf" TargetMode="External"/><Relationship Id="rId10" Type="http://schemas.openxmlformats.org/officeDocument/2006/relationships/endnotes" Target="endnotes.xml"/><Relationship Id="rId19" Type="http://schemas.openxmlformats.org/officeDocument/2006/relationships/hyperlink" Target="https://sharepointpubstor.blob.core.windows.net/policylibrary-prod/Program%20and%20Course%20Policy.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C2022C00066" TargetMode="External"/><Relationship Id="rId22" Type="http://schemas.openxmlformats.org/officeDocument/2006/relationships/hyperlink" Target="https://sharepointpubstor.blob.core.windows.net/policylibrary-prod/Admission%20Procedure.pdf" TargetMode="External"/><Relationship Id="rId27" Type="http://schemas.openxmlformats.org/officeDocument/2006/relationships/hyperlink" Target="https://sharepointpubstor.blob.core.windows.net/policylibrary-prod/International%20-%20Academic%20Entry%20Requirements%20by%20Country%20Schedule.pdf" TargetMode="External"/><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On xmlns="2f261a70-825f-4a37-b7b5-f6ecc2f4c5fa">2023-11-27T03:51:52+00:00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is the Griffith University template for policies. This template should be used in conjunction with the Policy Governance Policy and the Policy Governance Procedure.</policysummary>
    <PolicyCategoryPath xmlns="2f261a70-825f-4a37-b7b5-f6ecc2f4c5fa" xsi:nil="true"/>
    <PolicyCategory0 xmlns="2f261a70-825f-4a37-b7b5-f6ecc2f4c5fa" xsi:nil="true"/>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558</Value>
      <Value>521</Value>
      <Value>77</Value>
      <Value>551</Value>
      <Value>88</Value>
      <Value>69</Value>
    </TaxCatchAll>
    <PolicyCategoryParent xmlns="2f261a70-825f-4a37-b7b5-f6ecc2f4c5fa" xsi:nil="true"/>
    <LastPublished xmlns="2f261a70-825f-4a37-b7b5-f6ecc2f4c5fa">2024-02-26T14:00:00+00:00</LastPublished>
    <doccomments xmlns="2f261a70-825f-4a37-b7b5-f6ecc2f4c5fa">27/11/2023 - Academic Committee 05/2023 (16 Nov) meeting approved the Admission Policy (2023/0000412) under the Admission Policy Transformation for implementation effective from Trimester 1, 2024. 
27/02/2024 - Standing COO Approval for Administrative updates - update hyperlink from old policy (Academic Standing, Progress and Exclusion Policy) to new procedure (Academic Progress Procedure) effective T1 2024.</doccomments>
    <datedeclared xmlns="2f261a70-825f-4a37-b7b5-f6ecc2f4c5fa">2023-11-15T14:00:00+00:00</datedeclared>
    <PrivatePolicy xmlns="2f261a70-825f-4a37-b7b5-f6ecc2f4c5fa">false</PrivatePolicy>
    <policyadvisor xmlns="2f261a70-825f-4a37-b7b5-f6ecc2f4c5fa">
      <UserInfo>
        <DisplayName>Carolyn Gardiner</DisplayName>
        <AccountId>224</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Student Services</TermName>
          <TermId xmlns="http://schemas.microsoft.com/office/infopath/2007/PartnerControls">576e5606-d62b-43c0-bc2b-5712cb88ba23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2028</TermName>
          <TermId xmlns="http://schemas.microsoft.com/office/infopath/2007/PartnerControls">3482dbca-7716-46bb-b113-935721929a44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Academic Committee</TermName>
          <TermId xmlns="http://schemas.microsoft.com/office/infopath/2007/PartnerControls">7e8af15c-aa65-4b9b-bab9-4850413bd480</TermId>
        </TermInfo>
      </Terms>
    </c4c72b675d9b4d35a824d1eba5c21e27>
    <extlink xmlns="2f261a70-825f-4a37-b7b5-f6ecc2f4c5fa">
      <Url xsi:nil="true"/>
      <Description xsi:nil="true"/>
    </ext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20A3DA-D80C-40E1-95C6-0BC4BF8A3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2E44BA-52AB-46CB-ADAF-05B454F6BDF3}">
  <ds:schemaRefs>
    <ds:schemaRef ds:uri="http://schemas.openxmlformats.org/officeDocument/2006/bibliography"/>
  </ds:schemaRefs>
</ds:datastoreItem>
</file>

<file path=customXml/itemProps3.xml><?xml version="1.0" encoding="utf-8"?>
<ds:datastoreItem xmlns:ds="http://schemas.openxmlformats.org/officeDocument/2006/customXml" ds:itemID="{196F7AD6-2D24-452C-BA2D-4C1DD94A6C30}">
  <ds:schemaRefs>
    <ds:schemaRef ds:uri="http://purl.org/dc/elements/1.1/"/>
    <ds:schemaRef ds:uri="http://purl.org/dc/terms/"/>
    <ds:schemaRef ds:uri="http://schemas.microsoft.com/office/infopath/2007/PartnerControls"/>
    <ds:schemaRef ds:uri="2f261a70-825f-4a37-b7b5-f6ecc2f4c5fa"/>
    <ds:schemaRef ds:uri="http://purl.org/dc/dcmitype/"/>
    <ds:schemaRef ds:uri="b40c662e-0380-4817-843d-2c7e10d40c39"/>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3666913-9EF4-471A-BDC3-F97A9EA429B2}">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2</TotalTime>
  <Pages>4</Pages>
  <Words>1274</Words>
  <Characters>7262</Characters>
  <Application>Microsoft Office Word</Application>
  <DocSecurity>0</DocSecurity>
  <Lines>60</Lines>
  <Paragraphs>17</Paragraphs>
  <ScaleCrop>false</ScaleCrop>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Policy</dc:title>
  <dc:subject/>
  <dc:creator>Rebecca Voisey</dc:creator>
  <cp:keywords/>
  <dc:description/>
  <cp:lastModifiedBy>Donna Kalaentzis</cp:lastModifiedBy>
  <cp:revision>22</cp:revision>
  <cp:lastPrinted>2023-08-02T16:17:00Z</cp:lastPrinted>
  <dcterms:created xsi:type="dcterms:W3CDTF">2023-10-27T19:31:00Z</dcterms:created>
  <dcterms:modified xsi:type="dcterms:W3CDTF">2024-04-08T01:19:00Z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f74d1c3e-3a50-4b68-9e41-f452e9996bb8</vt:lpwstr>
  </property>
  <property fmtid="{D5CDD505-2E9C-101B-9397-08002B2CF9AE}" pid="4" name="resourcetype">
    <vt:lpwstr>850</vt:lpwstr>
  </property>
  <property fmtid="{D5CDD505-2E9C-101B-9397-08002B2CF9AE}" pid="5" name="policysummary">
    <vt:lpwstr>This is the Griffith University template for policies. This template should be used in conjunction with the Policy Governance Policy and the Policy Governance Procedure.</vt:lpwstr>
  </property>
  <property fmtid="{D5CDD505-2E9C-101B-9397-08002B2CF9AE}" pid="6" name="Order">
    <vt:r8>1400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policysection">
    <vt:lpwstr/>
  </property>
  <property fmtid="{D5CDD505-2E9C-101B-9397-08002B2CF9AE}" pid="11" name="appauthority">
    <vt:lpwstr>88;#Academic Committee|7e8af15c-aa65-4b9b-bab9-4850413bd480</vt:lpwstr>
  </property>
  <property fmtid="{D5CDD505-2E9C-101B-9397-08002B2CF9AE}" pid="12" name="policycategory">
    <vt:lpwstr>69;#Policy|9279309a-7669-47c5-bf96-cc165d8b3ede</vt:lpwstr>
  </property>
  <property fmtid="{D5CDD505-2E9C-101B-9397-08002B2CF9AE}" pid="13" name="officearea">
    <vt:lpwstr>551;#Student Life|10f28419-8eea-4122-9bbc-3c3d69c6fcc4</vt:lpwstr>
  </property>
  <property fmtid="{D5CDD505-2E9C-101B-9397-08002B2CF9AE}" pid="14" name="Managed_Testing_Field">
    <vt:lpwstr/>
  </property>
  <property fmtid="{D5CDD505-2E9C-101B-9397-08002B2CF9AE}" pid="15" name="policy-category">
    <vt:lpwstr>521;#Student Services|576e5606-d62b-43c0-bc2b-5712cb88ba23</vt:lpwstr>
  </property>
  <property fmtid="{D5CDD505-2E9C-101B-9397-08002B2CF9AE}" pid="16" name="glossaryterms">
    <vt:lpwstr/>
  </property>
  <property fmtid="{D5CDD505-2E9C-101B-9397-08002B2CF9AE}" pid="17" name="policyreview">
    <vt:lpwstr>558;#2028|3482dbca-7716-46bb-b113-935721929a44</vt:lpwstr>
  </property>
  <property fmtid="{D5CDD505-2E9C-101B-9397-08002B2CF9AE}" pid="18" name="policyaudience">
    <vt:lpwstr>77;#Staff|45ee306d-49ae-43fa-a3ef-02f70754fd2d</vt:lpwstr>
  </property>
</Properties>
</file>