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D848" w14:textId="77777777" w:rsidR="008F0B86" w:rsidRDefault="00D62E15" w:rsidP="00A144B2">
      <w:pPr>
        <w:pStyle w:val="Heading1"/>
        <w:spacing w:before="0" w:after="240"/>
        <w:contextualSpacing/>
        <w:rPr>
          <w:rFonts w:ascii="Arial" w:hAnsi="Arial" w:cs="Arial"/>
          <w:sz w:val="52"/>
          <w:szCs w:val="32"/>
        </w:rPr>
      </w:pPr>
      <w:r w:rsidRPr="00A55886">
        <w:rPr>
          <w:rFonts w:ascii="Arial" w:hAnsi="Arial" w:cs="Arial"/>
          <w:sz w:val="52"/>
          <w:szCs w:val="32"/>
        </w:rPr>
        <w:t>Acquiring and Transferring</w:t>
      </w:r>
    </w:p>
    <w:p w14:paraId="7FFAB932" w14:textId="23EB4DE6" w:rsidR="00ED6047" w:rsidRPr="00A55886" w:rsidRDefault="00D62E15" w:rsidP="00A144B2">
      <w:pPr>
        <w:pStyle w:val="Heading1"/>
        <w:spacing w:before="0" w:after="240"/>
        <w:rPr>
          <w:rFonts w:ascii="Arial" w:hAnsi="Arial" w:cs="Arial"/>
          <w:sz w:val="52"/>
          <w:szCs w:val="32"/>
        </w:rPr>
      </w:pPr>
      <w:r w:rsidRPr="00A55886">
        <w:rPr>
          <w:rFonts w:ascii="Arial" w:hAnsi="Arial" w:cs="Arial"/>
          <w:sz w:val="52"/>
          <w:szCs w:val="32"/>
        </w:rPr>
        <w:t>in Chemicals</w:t>
      </w:r>
    </w:p>
    <w:p w14:paraId="4B56D564" w14:textId="33010313" w:rsidR="00A144B2" w:rsidRPr="008F0B86" w:rsidRDefault="00BF1660" w:rsidP="00E166E0">
      <w:pPr>
        <w:pStyle w:val="Heading2"/>
        <w:spacing w:before="0" w:after="0" w:line="240" w:lineRule="auto"/>
        <w:rPr>
          <w:rStyle w:val="Hyperlink"/>
          <w:rFonts w:ascii="Griffith Sans Text" w:hAnsi="Griffith Sans Text"/>
          <w:b w:val="0"/>
          <w:bCs w:val="0"/>
          <w:sz w:val="24"/>
          <w:szCs w:val="24"/>
        </w:rPr>
      </w:pPr>
      <w:hyperlink w:anchor="_1.0_Purpose" w:history="1">
        <w:r w:rsidR="00A144B2" w:rsidRPr="008F0B86">
          <w:rPr>
            <w:rStyle w:val="Hyperlink"/>
            <w:rFonts w:ascii="Griffith Sans Text" w:hAnsi="Griffith Sans Text"/>
            <w:b w:val="0"/>
            <w:bCs w:val="0"/>
            <w:sz w:val="24"/>
            <w:szCs w:val="24"/>
          </w:rPr>
          <w:t>1.0 Purpose</w:t>
        </w:r>
      </w:hyperlink>
    </w:p>
    <w:p w14:paraId="1240B968" w14:textId="4A74855E" w:rsidR="00732202" w:rsidRPr="008F0B86" w:rsidRDefault="00BF1660" w:rsidP="00E166E0">
      <w:pPr>
        <w:pStyle w:val="Heading2"/>
        <w:spacing w:before="0" w:after="0" w:line="240" w:lineRule="auto"/>
        <w:rPr>
          <w:rStyle w:val="Hyperlink"/>
          <w:rFonts w:ascii="Griffith Sans Text" w:hAnsi="Griffith Sans Text"/>
          <w:b w:val="0"/>
          <w:bCs w:val="0"/>
          <w:sz w:val="24"/>
          <w:szCs w:val="24"/>
        </w:rPr>
      </w:pPr>
      <w:hyperlink w:anchor="_2.0_Scope" w:history="1">
        <w:r w:rsidR="00732202" w:rsidRPr="008F0B86">
          <w:rPr>
            <w:rStyle w:val="Hyperlink"/>
            <w:rFonts w:ascii="Griffith Sans Text" w:hAnsi="Griffith Sans Text"/>
            <w:b w:val="0"/>
            <w:bCs w:val="0"/>
            <w:sz w:val="24"/>
            <w:szCs w:val="24"/>
          </w:rPr>
          <w:t>2.0 Scope</w:t>
        </w:r>
      </w:hyperlink>
    </w:p>
    <w:p w14:paraId="636BA11E" w14:textId="040CCB8A" w:rsidR="00732202" w:rsidRPr="008F0B86" w:rsidRDefault="00FF586B" w:rsidP="00E166E0">
      <w:pPr>
        <w:pStyle w:val="Heading2"/>
        <w:spacing w:before="0" w:after="0" w:line="240" w:lineRule="auto"/>
        <w:rPr>
          <w:rStyle w:val="Hyperlink"/>
          <w:rFonts w:ascii="Griffith Sans Text" w:hAnsi="Griffith Sans Text"/>
          <w:b w:val="0"/>
          <w:bCs w:val="0"/>
          <w:sz w:val="24"/>
          <w:szCs w:val="24"/>
        </w:rPr>
      </w:pPr>
      <w:r w:rsidRPr="008F0B86">
        <w:rPr>
          <w:rStyle w:val="Hyperlink"/>
          <w:rFonts w:ascii="Griffith Sans Text" w:hAnsi="Griffith Sans Text"/>
          <w:b w:val="0"/>
          <w:bCs w:val="0"/>
          <w:sz w:val="24"/>
          <w:szCs w:val="24"/>
        </w:rPr>
        <w:fldChar w:fldCharType="begin"/>
      </w:r>
      <w:r w:rsidR="0065502D" w:rsidRPr="008F0B86">
        <w:rPr>
          <w:rStyle w:val="Hyperlink"/>
          <w:rFonts w:ascii="Griffith Sans Text" w:hAnsi="Griffith Sans Text"/>
          <w:b w:val="0"/>
          <w:bCs w:val="0"/>
          <w:sz w:val="24"/>
          <w:szCs w:val="24"/>
        </w:rPr>
        <w:instrText>HYPERLINK  \l "_3.0_Policy_statement"</w:instrText>
      </w:r>
      <w:r w:rsidRPr="008F0B86">
        <w:rPr>
          <w:rStyle w:val="Hyperlink"/>
          <w:rFonts w:ascii="Griffith Sans Text" w:hAnsi="Griffith Sans Text"/>
          <w:b w:val="0"/>
          <w:bCs w:val="0"/>
          <w:sz w:val="24"/>
          <w:szCs w:val="24"/>
        </w:rPr>
      </w:r>
      <w:r w:rsidRPr="008F0B86">
        <w:rPr>
          <w:rStyle w:val="Hyperlink"/>
          <w:rFonts w:ascii="Griffith Sans Text" w:hAnsi="Griffith Sans Text"/>
          <w:b w:val="0"/>
          <w:bCs w:val="0"/>
          <w:sz w:val="24"/>
          <w:szCs w:val="24"/>
        </w:rPr>
        <w:fldChar w:fldCharType="separate"/>
      </w:r>
      <w:r w:rsidR="00732202" w:rsidRPr="008F0B86">
        <w:rPr>
          <w:rStyle w:val="Hyperlink"/>
          <w:rFonts w:ascii="Griffith Sans Text" w:hAnsi="Griffith Sans Text"/>
          <w:b w:val="0"/>
          <w:bCs w:val="0"/>
          <w:sz w:val="24"/>
          <w:szCs w:val="24"/>
        </w:rPr>
        <w:t>3.0 P</w:t>
      </w:r>
      <w:r w:rsidR="005632E8" w:rsidRPr="008F0B86">
        <w:rPr>
          <w:rStyle w:val="Hyperlink"/>
          <w:rFonts w:ascii="Griffith Sans Text" w:hAnsi="Griffith Sans Text"/>
          <w:b w:val="0"/>
          <w:bCs w:val="0"/>
          <w:sz w:val="24"/>
          <w:szCs w:val="24"/>
        </w:rPr>
        <w:t>rocedure</w:t>
      </w:r>
      <w:r w:rsidR="00C76573" w:rsidRPr="008F0B86">
        <w:rPr>
          <w:rStyle w:val="Hyperlink"/>
          <w:rFonts w:ascii="Griffith Sans Text" w:hAnsi="Griffith Sans Text"/>
          <w:b w:val="0"/>
          <w:bCs w:val="0"/>
          <w:sz w:val="24"/>
          <w:szCs w:val="24"/>
        </w:rPr>
        <w:t xml:space="preserve"> </w:t>
      </w:r>
    </w:p>
    <w:p w14:paraId="2655DE31" w14:textId="482A2683" w:rsidR="00C76573" w:rsidRPr="008F0B86" w:rsidRDefault="00FF586B" w:rsidP="0065502D">
      <w:pPr>
        <w:pStyle w:val="Heading2"/>
        <w:spacing w:before="0" w:after="0" w:line="240" w:lineRule="auto"/>
        <w:ind w:left="284"/>
        <w:rPr>
          <w:rStyle w:val="Hyperlink"/>
          <w:rFonts w:ascii="Griffith Sans Text" w:hAnsi="Griffith Sans Text"/>
          <w:b w:val="0"/>
          <w:bCs w:val="0"/>
          <w:sz w:val="24"/>
          <w:szCs w:val="24"/>
        </w:rPr>
      </w:pPr>
      <w:r w:rsidRPr="008F0B86">
        <w:rPr>
          <w:rStyle w:val="Hyperlink"/>
          <w:rFonts w:ascii="Griffith Sans Text" w:hAnsi="Griffith Sans Text"/>
          <w:b w:val="0"/>
          <w:bCs w:val="0"/>
          <w:sz w:val="24"/>
          <w:szCs w:val="24"/>
        </w:rPr>
        <w:fldChar w:fldCharType="end"/>
      </w:r>
      <w:hyperlink w:anchor="_3.1_Identifying_Chemicals" w:history="1">
        <w:r w:rsidR="00C76573" w:rsidRPr="008F0B86">
          <w:rPr>
            <w:rStyle w:val="Hyperlink"/>
            <w:rFonts w:ascii="Griffith Sans Text" w:hAnsi="Griffith Sans Text"/>
            <w:b w:val="0"/>
            <w:bCs w:val="0"/>
            <w:sz w:val="24"/>
            <w:szCs w:val="24"/>
          </w:rPr>
          <w:t xml:space="preserve">3.1 </w:t>
        </w:r>
        <w:r w:rsidR="004472ED" w:rsidRPr="008F0B86">
          <w:rPr>
            <w:rStyle w:val="Hyperlink"/>
            <w:rFonts w:ascii="Griffith Sans Text" w:hAnsi="Griffith Sans Text"/>
            <w:b w:val="0"/>
            <w:bCs w:val="0"/>
            <w:sz w:val="24"/>
            <w:szCs w:val="24"/>
          </w:rPr>
          <w:t>Identifying Chemicals</w:t>
        </w:r>
      </w:hyperlink>
      <w:r w:rsidR="00904689" w:rsidRPr="008F0B86">
        <w:rPr>
          <w:rStyle w:val="Hyperlink"/>
          <w:rFonts w:ascii="Griffith Sans Text" w:hAnsi="Griffith Sans Text"/>
          <w:b w:val="0"/>
          <w:bCs w:val="0"/>
          <w:sz w:val="24"/>
          <w:szCs w:val="24"/>
        </w:rPr>
        <w:t xml:space="preserve"> | </w:t>
      </w:r>
      <w:hyperlink w:anchor="_3.2_Selecting_a" w:history="1">
        <w:r w:rsidR="004472ED" w:rsidRPr="008F0B86">
          <w:rPr>
            <w:rStyle w:val="Hyperlink"/>
            <w:rFonts w:ascii="Griffith Sans Text" w:hAnsi="Griffith Sans Text"/>
            <w:b w:val="0"/>
            <w:bCs w:val="0"/>
            <w:sz w:val="24"/>
            <w:szCs w:val="24"/>
          </w:rPr>
          <w:t>3.2 Selecting a Sustainable Chemical Vendor</w:t>
        </w:r>
      </w:hyperlink>
      <w:r w:rsidR="004472ED" w:rsidRPr="008F0B86">
        <w:rPr>
          <w:rStyle w:val="Hyperlink"/>
          <w:rFonts w:ascii="Griffith Sans Text" w:hAnsi="Griffith Sans Text"/>
          <w:b w:val="0"/>
          <w:bCs w:val="0"/>
          <w:sz w:val="24"/>
          <w:szCs w:val="24"/>
        </w:rPr>
        <w:t xml:space="preserve"> | </w:t>
      </w:r>
      <w:hyperlink w:anchor="_3.3_Acquiring_Chemicals" w:history="1">
        <w:r w:rsidR="004472ED" w:rsidRPr="008F0B86">
          <w:rPr>
            <w:rStyle w:val="Hyperlink"/>
            <w:rFonts w:ascii="Griffith Sans Text" w:hAnsi="Griffith Sans Text"/>
            <w:b w:val="0"/>
            <w:bCs w:val="0"/>
            <w:sz w:val="24"/>
            <w:szCs w:val="24"/>
          </w:rPr>
          <w:t>3.3 Acquiring Chemicals</w:t>
        </w:r>
      </w:hyperlink>
      <w:r w:rsidR="004472ED" w:rsidRPr="008F0B86">
        <w:rPr>
          <w:rStyle w:val="Hyperlink"/>
          <w:rFonts w:ascii="Griffith Sans Text" w:hAnsi="Griffith Sans Text"/>
          <w:b w:val="0"/>
          <w:bCs w:val="0"/>
          <w:sz w:val="24"/>
          <w:szCs w:val="24"/>
        </w:rPr>
        <w:t xml:space="preserve"> | </w:t>
      </w:r>
      <w:hyperlink w:anchor="_3.4_Importing_Chemicals" w:history="1">
        <w:r w:rsidR="004472ED" w:rsidRPr="008F0B86">
          <w:rPr>
            <w:rStyle w:val="Hyperlink"/>
            <w:rFonts w:ascii="Griffith Sans Text" w:hAnsi="Griffith Sans Text"/>
            <w:b w:val="0"/>
            <w:bCs w:val="0"/>
            <w:sz w:val="24"/>
            <w:szCs w:val="24"/>
          </w:rPr>
          <w:t>3.4 Importing Chemicals</w:t>
        </w:r>
      </w:hyperlink>
      <w:r w:rsidR="004472ED" w:rsidRPr="008F0B86">
        <w:rPr>
          <w:rStyle w:val="Hyperlink"/>
          <w:rFonts w:ascii="Griffith Sans Text" w:hAnsi="Griffith Sans Text"/>
          <w:b w:val="0"/>
          <w:bCs w:val="0"/>
          <w:sz w:val="24"/>
          <w:szCs w:val="24"/>
        </w:rPr>
        <w:t xml:space="preserve"> | </w:t>
      </w:r>
      <w:hyperlink w:anchor="_3.5_Receiving_Chemicals" w:history="1">
        <w:r w:rsidR="004472ED" w:rsidRPr="008F0B86">
          <w:rPr>
            <w:rStyle w:val="Hyperlink"/>
            <w:rFonts w:ascii="Griffith Sans Text" w:hAnsi="Griffith Sans Text"/>
            <w:b w:val="0"/>
            <w:bCs w:val="0"/>
            <w:sz w:val="24"/>
            <w:szCs w:val="24"/>
          </w:rPr>
          <w:t>3.5 Receiving Chemicals</w:t>
        </w:r>
      </w:hyperlink>
      <w:r w:rsidR="004472ED" w:rsidRPr="008F0B86">
        <w:rPr>
          <w:rStyle w:val="Hyperlink"/>
          <w:rFonts w:ascii="Griffith Sans Text" w:hAnsi="Griffith Sans Text"/>
          <w:b w:val="0"/>
          <w:bCs w:val="0"/>
          <w:sz w:val="24"/>
          <w:szCs w:val="24"/>
        </w:rPr>
        <w:t xml:space="preserve"> </w:t>
      </w:r>
    </w:p>
    <w:p w14:paraId="574A747E" w14:textId="5B26E8C5" w:rsidR="00A144B2" w:rsidRPr="008F0B86" w:rsidRDefault="00FF586B" w:rsidP="00E166E0">
      <w:pPr>
        <w:pStyle w:val="Heading2"/>
        <w:spacing w:before="0" w:after="0" w:line="240" w:lineRule="auto"/>
        <w:rPr>
          <w:rStyle w:val="Hyperlink"/>
          <w:rFonts w:ascii="Griffith Sans Text" w:hAnsi="Griffith Sans Text"/>
          <w:b w:val="0"/>
          <w:bCs w:val="0"/>
          <w:sz w:val="24"/>
          <w:szCs w:val="24"/>
        </w:rPr>
      </w:pPr>
      <w:r w:rsidRPr="008F0B86">
        <w:rPr>
          <w:rStyle w:val="Hyperlink"/>
          <w:rFonts w:ascii="Griffith Sans Text" w:hAnsi="Griffith Sans Text"/>
          <w:b w:val="0"/>
          <w:bCs w:val="0"/>
          <w:sz w:val="24"/>
          <w:szCs w:val="24"/>
        </w:rPr>
        <w:fldChar w:fldCharType="begin"/>
      </w:r>
      <w:r w:rsidR="0065502D" w:rsidRPr="008F0B86">
        <w:rPr>
          <w:rStyle w:val="Hyperlink"/>
          <w:rFonts w:ascii="Griffith Sans Text" w:hAnsi="Griffith Sans Text"/>
          <w:b w:val="0"/>
          <w:bCs w:val="0"/>
          <w:sz w:val="24"/>
          <w:szCs w:val="24"/>
        </w:rPr>
        <w:instrText>HYPERLINK  \l "_4.0_Roles,_responsibilities"</w:instrText>
      </w:r>
      <w:r w:rsidRPr="008F0B86">
        <w:rPr>
          <w:rStyle w:val="Hyperlink"/>
          <w:rFonts w:ascii="Griffith Sans Text" w:hAnsi="Griffith Sans Text"/>
          <w:b w:val="0"/>
          <w:bCs w:val="0"/>
          <w:sz w:val="24"/>
          <w:szCs w:val="24"/>
        </w:rPr>
      </w:r>
      <w:r w:rsidRPr="008F0B86">
        <w:rPr>
          <w:rStyle w:val="Hyperlink"/>
          <w:rFonts w:ascii="Griffith Sans Text" w:hAnsi="Griffith Sans Text"/>
          <w:b w:val="0"/>
          <w:bCs w:val="0"/>
          <w:sz w:val="24"/>
          <w:szCs w:val="24"/>
        </w:rPr>
        <w:fldChar w:fldCharType="separate"/>
      </w:r>
      <w:r w:rsidR="007418A5" w:rsidRPr="008F0B86">
        <w:rPr>
          <w:rStyle w:val="Hyperlink"/>
          <w:rFonts w:ascii="Griffith Sans Text" w:hAnsi="Griffith Sans Text"/>
          <w:b w:val="0"/>
          <w:bCs w:val="0"/>
          <w:sz w:val="24"/>
          <w:szCs w:val="24"/>
        </w:rPr>
        <w:t>4</w:t>
      </w:r>
      <w:r w:rsidR="00732202" w:rsidRPr="008F0B86">
        <w:rPr>
          <w:rStyle w:val="Hyperlink"/>
          <w:rFonts w:ascii="Griffith Sans Text" w:hAnsi="Griffith Sans Text"/>
          <w:b w:val="0"/>
          <w:bCs w:val="0"/>
          <w:sz w:val="24"/>
          <w:szCs w:val="24"/>
        </w:rPr>
        <w:t>.0 Definitions</w:t>
      </w:r>
    </w:p>
    <w:p w14:paraId="55C75591" w14:textId="5E684B7A" w:rsidR="00FC349F" w:rsidRPr="008F0B86" w:rsidRDefault="00FF586B" w:rsidP="00E166E0">
      <w:pPr>
        <w:pStyle w:val="Heading2"/>
        <w:spacing w:before="0" w:after="0" w:line="240" w:lineRule="auto"/>
        <w:rPr>
          <w:rStyle w:val="Hyperlink"/>
          <w:rFonts w:ascii="Griffith Sans Text" w:hAnsi="Griffith Sans Text"/>
          <w:b w:val="0"/>
          <w:bCs w:val="0"/>
          <w:sz w:val="24"/>
          <w:szCs w:val="24"/>
        </w:rPr>
      </w:pPr>
      <w:r w:rsidRPr="008F0B86">
        <w:rPr>
          <w:rStyle w:val="Hyperlink"/>
          <w:rFonts w:ascii="Griffith Sans Text" w:hAnsi="Griffith Sans Text"/>
          <w:b w:val="0"/>
          <w:bCs w:val="0"/>
          <w:sz w:val="24"/>
          <w:szCs w:val="24"/>
        </w:rPr>
        <w:fldChar w:fldCharType="end"/>
      </w:r>
      <w:r w:rsidR="0065502D" w:rsidRPr="008F0B86">
        <w:rPr>
          <w:rStyle w:val="Hyperlink"/>
          <w:rFonts w:ascii="Griffith Sans Text" w:hAnsi="Griffith Sans Text"/>
          <w:b w:val="0"/>
          <w:bCs w:val="0"/>
          <w:sz w:val="24"/>
          <w:szCs w:val="24"/>
        </w:rPr>
        <w:fldChar w:fldCharType="begin"/>
      </w:r>
      <w:r w:rsidR="0065502D" w:rsidRPr="008F0B86">
        <w:rPr>
          <w:rStyle w:val="Hyperlink"/>
          <w:rFonts w:ascii="Griffith Sans Text" w:hAnsi="Griffith Sans Text"/>
          <w:b w:val="0"/>
          <w:bCs w:val="0"/>
          <w:sz w:val="24"/>
          <w:szCs w:val="24"/>
        </w:rPr>
        <w:instrText>HYPERLINK  \l "_6.0_Information"</w:instrText>
      </w:r>
      <w:r w:rsidR="0065502D" w:rsidRPr="008F0B86">
        <w:rPr>
          <w:rStyle w:val="Hyperlink"/>
          <w:rFonts w:ascii="Griffith Sans Text" w:hAnsi="Griffith Sans Text"/>
          <w:b w:val="0"/>
          <w:bCs w:val="0"/>
          <w:sz w:val="24"/>
          <w:szCs w:val="24"/>
        </w:rPr>
      </w:r>
      <w:r w:rsidR="0065502D" w:rsidRPr="008F0B86">
        <w:rPr>
          <w:rStyle w:val="Hyperlink"/>
          <w:rFonts w:ascii="Griffith Sans Text" w:hAnsi="Griffith Sans Text"/>
          <w:b w:val="0"/>
          <w:bCs w:val="0"/>
          <w:sz w:val="24"/>
          <w:szCs w:val="24"/>
        </w:rPr>
        <w:fldChar w:fldCharType="separate"/>
      </w:r>
      <w:r w:rsidR="007418A5" w:rsidRPr="008F0B86">
        <w:rPr>
          <w:rStyle w:val="Hyperlink"/>
          <w:rFonts w:ascii="Griffith Sans Text" w:hAnsi="Griffith Sans Text"/>
          <w:b w:val="0"/>
          <w:bCs w:val="0"/>
          <w:sz w:val="24"/>
          <w:szCs w:val="24"/>
        </w:rPr>
        <w:t>5</w:t>
      </w:r>
      <w:r w:rsidR="00FC349F" w:rsidRPr="008F0B86">
        <w:rPr>
          <w:rStyle w:val="Hyperlink"/>
          <w:rFonts w:ascii="Griffith Sans Text" w:hAnsi="Griffith Sans Text"/>
          <w:b w:val="0"/>
          <w:bCs w:val="0"/>
          <w:sz w:val="24"/>
          <w:szCs w:val="24"/>
        </w:rPr>
        <w:t>.0</w:t>
      </w:r>
      <w:r w:rsidR="00274580" w:rsidRPr="008F0B86">
        <w:rPr>
          <w:rStyle w:val="Hyperlink"/>
          <w:rFonts w:ascii="Griffith Sans Text" w:hAnsi="Griffith Sans Text"/>
          <w:b w:val="0"/>
          <w:bCs w:val="0"/>
          <w:sz w:val="24"/>
          <w:szCs w:val="24"/>
        </w:rPr>
        <w:t xml:space="preserve"> Information</w:t>
      </w:r>
    </w:p>
    <w:p w14:paraId="3005F60D" w14:textId="6D0134BD" w:rsidR="00D434E9" w:rsidRPr="008F0B86" w:rsidRDefault="0065502D" w:rsidP="00E166E0">
      <w:pPr>
        <w:pStyle w:val="Heading2"/>
        <w:spacing w:before="0" w:after="0" w:line="240" w:lineRule="auto"/>
        <w:rPr>
          <w:rStyle w:val="Hyperlink"/>
          <w:rFonts w:ascii="Griffith Sans Text" w:hAnsi="Griffith Sans Text"/>
          <w:b w:val="0"/>
          <w:bCs w:val="0"/>
          <w:sz w:val="24"/>
          <w:szCs w:val="24"/>
        </w:rPr>
      </w:pPr>
      <w:r w:rsidRPr="008F0B86">
        <w:rPr>
          <w:rStyle w:val="Hyperlink"/>
          <w:rFonts w:ascii="Griffith Sans Text" w:hAnsi="Griffith Sans Text"/>
          <w:b w:val="0"/>
          <w:bCs w:val="0"/>
          <w:sz w:val="24"/>
          <w:szCs w:val="24"/>
        </w:rPr>
        <w:fldChar w:fldCharType="end"/>
      </w:r>
      <w:hyperlink w:anchor="_7.0_Related_Policy" w:history="1">
        <w:r w:rsidR="007418A5" w:rsidRPr="008F0B86">
          <w:rPr>
            <w:rStyle w:val="Hyperlink"/>
            <w:rFonts w:ascii="Griffith Sans Text" w:hAnsi="Griffith Sans Text"/>
            <w:b w:val="0"/>
            <w:bCs w:val="0"/>
            <w:sz w:val="24"/>
            <w:szCs w:val="24"/>
          </w:rPr>
          <w:t>6</w:t>
        </w:r>
        <w:r w:rsidR="00274580" w:rsidRPr="008F0B86">
          <w:rPr>
            <w:rStyle w:val="Hyperlink"/>
            <w:rFonts w:ascii="Griffith Sans Text" w:hAnsi="Griffith Sans Text"/>
            <w:b w:val="0"/>
            <w:bCs w:val="0"/>
            <w:sz w:val="24"/>
            <w:szCs w:val="24"/>
          </w:rPr>
          <w:t xml:space="preserve">.0 Related </w:t>
        </w:r>
        <w:r w:rsidR="00456A0E" w:rsidRPr="008F0B86">
          <w:rPr>
            <w:rStyle w:val="Hyperlink"/>
            <w:rFonts w:ascii="Griffith Sans Text" w:hAnsi="Griffith Sans Text"/>
            <w:b w:val="0"/>
            <w:bCs w:val="0"/>
            <w:sz w:val="24"/>
            <w:szCs w:val="24"/>
          </w:rPr>
          <w:t>policy documents and supporting documents</w:t>
        </w:r>
      </w:hyperlink>
      <w:r w:rsidR="00613014" w:rsidRPr="008F0B86">
        <w:rPr>
          <w:rStyle w:val="Hyperlink"/>
          <w:rFonts w:ascii="Griffith Sans Text" w:hAnsi="Griffith Sans Text"/>
          <w:b w:val="0"/>
          <w:bCs w:val="0"/>
          <w:sz w:val="24"/>
          <w:szCs w:val="24"/>
        </w:rPr>
        <w:t xml:space="preserve"> </w:t>
      </w:r>
    </w:p>
    <w:p w14:paraId="2DF7559D" w14:textId="403D7944" w:rsidR="00A144B2" w:rsidRPr="00A55886" w:rsidRDefault="00A144B2" w:rsidP="00CA6AC5">
      <w:pPr>
        <w:pStyle w:val="Heading2"/>
        <w:rPr>
          <w:rFonts w:ascii="Arial" w:hAnsi="Arial" w:cs="Arial"/>
        </w:rPr>
      </w:pPr>
      <w:bookmarkStart w:id="0" w:name="_1.0_Purpose"/>
      <w:bookmarkEnd w:id="0"/>
      <w:r w:rsidRPr="00A55886">
        <w:rPr>
          <w:rFonts w:ascii="Arial" w:hAnsi="Arial" w:cs="Arial"/>
        </w:rPr>
        <w:t>1.0 Purpose</w:t>
      </w:r>
    </w:p>
    <w:p w14:paraId="5841146F" w14:textId="5D64BF9B" w:rsidR="00820F73" w:rsidRPr="00A55886" w:rsidRDefault="00D62E15" w:rsidP="004922AF">
      <w:pPr>
        <w:spacing w:before="120" w:after="120" w:line="240" w:lineRule="auto"/>
        <w:rPr>
          <w:rFonts w:ascii="Arial" w:hAnsi="Arial" w:cs="Arial"/>
          <w:sz w:val="22"/>
        </w:rPr>
      </w:pPr>
      <w:r w:rsidRPr="00A55886">
        <w:rPr>
          <w:rFonts w:ascii="Arial" w:hAnsi="Arial" w:cs="Arial"/>
          <w:sz w:val="22"/>
        </w:rPr>
        <w:t>This procedure outlines the requirements for acquiring chemicals at Griffith University. The procedure aims to minimise risks to personnel and property and ensure continuing legislative compliance.</w:t>
      </w:r>
    </w:p>
    <w:p w14:paraId="7F0EA822" w14:textId="07CBBBFC" w:rsidR="00A144B2" w:rsidRPr="00A55886" w:rsidRDefault="00A144B2" w:rsidP="00CA6AC5">
      <w:pPr>
        <w:pStyle w:val="Heading2"/>
        <w:rPr>
          <w:rFonts w:ascii="Arial" w:hAnsi="Arial" w:cs="Arial"/>
        </w:rPr>
      </w:pPr>
      <w:bookmarkStart w:id="1" w:name="_2.0_Scope"/>
      <w:bookmarkEnd w:id="1"/>
      <w:r w:rsidRPr="00A55886">
        <w:rPr>
          <w:rFonts w:ascii="Arial" w:hAnsi="Arial" w:cs="Arial"/>
        </w:rPr>
        <w:t>2.0 Scope</w:t>
      </w:r>
    </w:p>
    <w:p w14:paraId="32381DE0" w14:textId="55A886E0" w:rsidR="00A144B2" w:rsidRPr="00A55886" w:rsidRDefault="00D62E15" w:rsidP="004922AF">
      <w:pPr>
        <w:spacing w:before="120" w:after="120" w:line="240" w:lineRule="auto"/>
        <w:rPr>
          <w:rFonts w:ascii="Arial" w:eastAsia="Calibri" w:hAnsi="Arial" w:cs="Arial"/>
          <w:sz w:val="22"/>
        </w:rPr>
      </w:pPr>
      <w:r w:rsidRPr="00A55886">
        <w:rPr>
          <w:rFonts w:ascii="Arial" w:hAnsi="Arial" w:cs="Arial"/>
          <w:sz w:val="22"/>
        </w:rPr>
        <w:t>This procedure applies to all staff, students, contractors and other relevant persons engaged by Griffith University that procure, import, receive and transport chemicals as part of their work, research or study. It encompasses all aspects of chemicals management, except for managing asbestos, biological or radioactive materials (refer to specific procedures for these hazards).</w:t>
      </w:r>
    </w:p>
    <w:p w14:paraId="738A9BC3" w14:textId="48FE5F59" w:rsidR="00A144B2" w:rsidRPr="00A55886" w:rsidRDefault="00A144B2" w:rsidP="00CA6AC5">
      <w:pPr>
        <w:pStyle w:val="Heading2"/>
        <w:rPr>
          <w:rFonts w:ascii="Arial" w:hAnsi="Arial" w:cs="Arial"/>
        </w:rPr>
      </w:pPr>
      <w:bookmarkStart w:id="2" w:name="_3.0_Policy_statement"/>
      <w:bookmarkStart w:id="3" w:name="_3.0_Procedure"/>
      <w:bookmarkEnd w:id="2"/>
      <w:bookmarkEnd w:id="3"/>
      <w:r w:rsidRPr="00A55886">
        <w:rPr>
          <w:rFonts w:ascii="Arial" w:hAnsi="Arial" w:cs="Arial"/>
        </w:rPr>
        <w:t xml:space="preserve">3.0 </w:t>
      </w:r>
      <w:r w:rsidR="007418A5" w:rsidRPr="00A55886">
        <w:rPr>
          <w:rFonts w:ascii="Arial" w:hAnsi="Arial" w:cs="Arial"/>
        </w:rPr>
        <w:t>Procedure</w:t>
      </w:r>
    </w:p>
    <w:p w14:paraId="6354BCF2" w14:textId="1FC729C3" w:rsidR="00D62E15" w:rsidRPr="00A55886" w:rsidRDefault="00D62E15" w:rsidP="00D62E15">
      <w:pPr>
        <w:pStyle w:val="Heading3"/>
        <w:ind w:left="567"/>
        <w:rPr>
          <w:rFonts w:ascii="Arial" w:hAnsi="Arial" w:cs="Arial"/>
        </w:rPr>
      </w:pPr>
      <w:bookmarkStart w:id="4" w:name="_3.1_Identifying_Chemicals"/>
      <w:bookmarkEnd w:id="4"/>
      <w:r w:rsidRPr="00A55886">
        <w:rPr>
          <w:rFonts w:ascii="Arial" w:hAnsi="Arial" w:cs="Arial"/>
        </w:rPr>
        <w:t>3.1 Identifying Chemicals</w:t>
      </w:r>
    </w:p>
    <w:p w14:paraId="074311B8" w14:textId="36F139E4" w:rsidR="00D62E15" w:rsidRPr="00A55886" w:rsidRDefault="00D62E15" w:rsidP="00D62E15">
      <w:pPr>
        <w:pStyle w:val="Heading5"/>
        <w:spacing w:before="120" w:line="240" w:lineRule="auto"/>
        <w:ind w:left="851"/>
        <w:rPr>
          <w:rFonts w:ascii="Arial" w:hAnsi="Arial" w:cs="Arial"/>
          <w:sz w:val="22"/>
          <w:szCs w:val="24"/>
        </w:rPr>
      </w:pPr>
      <w:r w:rsidRPr="00A55886">
        <w:rPr>
          <w:rFonts w:ascii="Arial" w:hAnsi="Arial" w:cs="Arial"/>
          <w:sz w:val="22"/>
          <w:szCs w:val="24"/>
        </w:rPr>
        <w:t>3.1.1 Identifying the Chemical Classification and Categorisation</w:t>
      </w:r>
    </w:p>
    <w:p w14:paraId="0B763003" w14:textId="4D4F1D69" w:rsidR="00D62E15" w:rsidRPr="00A57232" w:rsidRDefault="00D62E15" w:rsidP="00D62E15">
      <w:pPr>
        <w:spacing w:before="120" w:after="120" w:line="240" w:lineRule="auto"/>
        <w:ind w:left="698" w:firstLine="153"/>
        <w:rPr>
          <w:rFonts w:ascii="Arial" w:hAnsi="Arial" w:cs="Arial"/>
          <w:i/>
          <w:iCs/>
          <w:color w:val="E5071F"/>
          <w:sz w:val="22"/>
        </w:rPr>
      </w:pPr>
      <w:r w:rsidRPr="00A57232">
        <w:rPr>
          <w:rFonts w:ascii="Arial" w:hAnsi="Arial" w:cs="Arial"/>
          <w:i/>
          <w:iCs/>
          <w:color w:val="E5071F"/>
          <w:sz w:val="22"/>
        </w:rPr>
        <w:t>Accountability: Chemical Custodians</w:t>
      </w:r>
    </w:p>
    <w:p w14:paraId="781C3CA0" w14:textId="77777777" w:rsidR="00D62E15" w:rsidRPr="00A55886" w:rsidRDefault="00D62E15" w:rsidP="00A57232">
      <w:pPr>
        <w:spacing w:before="120" w:after="120" w:line="240" w:lineRule="auto"/>
        <w:ind w:left="851"/>
        <w:rPr>
          <w:rFonts w:ascii="Arial" w:hAnsi="Arial" w:cs="Arial"/>
          <w:sz w:val="22"/>
        </w:rPr>
      </w:pPr>
      <w:r w:rsidRPr="00A55886">
        <w:rPr>
          <w:rFonts w:ascii="Arial" w:hAnsi="Arial" w:cs="Arial"/>
          <w:sz w:val="22"/>
        </w:rPr>
        <w:t xml:space="preserve">Refer to the Safety Data Sheet (SDS) to identify the classification and category applicable of the chemical to be used. The classifications and categories will detail the hazards associated with the chemical and the recommended controls to minimise any risk to humans or the environment. </w:t>
      </w:r>
    </w:p>
    <w:p w14:paraId="6E4EACED" w14:textId="77777777" w:rsidR="00D62E15" w:rsidRPr="00A55886" w:rsidRDefault="00D62E15" w:rsidP="00A57232">
      <w:pPr>
        <w:spacing w:before="120" w:after="120" w:line="240" w:lineRule="auto"/>
        <w:ind w:left="851"/>
        <w:rPr>
          <w:rFonts w:ascii="Arial" w:hAnsi="Arial" w:cs="Arial"/>
          <w:sz w:val="22"/>
        </w:rPr>
      </w:pPr>
      <w:r w:rsidRPr="00A55886">
        <w:rPr>
          <w:rFonts w:ascii="Arial" w:hAnsi="Arial" w:cs="Arial"/>
          <w:sz w:val="22"/>
        </w:rPr>
        <w:t>The categories covered within this procedure and the source documents for the classification are listed below:</w:t>
      </w:r>
    </w:p>
    <w:p w14:paraId="5B4CE207" w14:textId="295DD789" w:rsidR="00D62E15" w:rsidRPr="00A55886" w:rsidRDefault="00D62E15" w:rsidP="00A57232">
      <w:pPr>
        <w:pStyle w:val="NormalWhite"/>
        <w:numPr>
          <w:ilvl w:val="0"/>
          <w:numId w:val="30"/>
        </w:numPr>
        <w:spacing w:before="120" w:after="120"/>
        <w:ind w:left="1208" w:hanging="357"/>
        <w:jc w:val="left"/>
        <w:rPr>
          <w:rFonts w:cs="Arial"/>
          <w:color w:val="auto"/>
          <w:sz w:val="22"/>
        </w:rPr>
      </w:pPr>
      <w:r w:rsidRPr="00A55886">
        <w:rPr>
          <w:rFonts w:cs="Arial"/>
          <w:color w:val="auto"/>
          <w:sz w:val="22"/>
        </w:rPr>
        <w:t>Hazardous chemicals: Defined in the current edition of the Globally Harmonized System (GHS) and Schedule 6 of the Work Health and Safety Regulations 2011 (Qld)</w:t>
      </w:r>
    </w:p>
    <w:p w14:paraId="2F880FF8" w14:textId="10225C65" w:rsidR="00D62E15" w:rsidRPr="00A55886" w:rsidRDefault="00D62E15" w:rsidP="00A57232">
      <w:pPr>
        <w:pStyle w:val="NormalWhite"/>
        <w:numPr>
          <w:ilvl w:val="0"/>
          <w:numId w:val="30"/>
        </w:numPr>
        <w:spacing w:before="120" w:after="120"/>
        <w:ind w:left="1208" w:hanging="357"/>
        <w:jc w:val="left"/>
        <w:rPr>
          <w:rFonts w:cs="Arial"/>
          <w:color w:val="auto"/>
          <w:sz w:val="22"/>
        </w:rPr>
      </w:pPr>
      <w:r w:rsidRPr="00A55886">
        <w:rPr>
          <w:rFonts w:cs="Arial"/>
          <w:color w:val="auto"/>
          <w:sz w:val="22"/>
        </w:rPr>
        <w:t>Dangerous goods: Defined in Schedule 11 of the Work Health and Safety (WHS) Regulation and the Australian Dangerous Goods (ADG) Code</w:t>
      </w:r>
    </w:p>
    <w:p w14:paraId="11D96660" w14:textId="113F35F5" w:rsidR="00D62E15" w:rsidRPr="00A55886" w:rsidRDefault="00D62E15" w:rsidP="00A57232">
      <w:pPr>
        <w:pStyle w:val="NormalWhite"/>
        <w:numPr>
          <w:ilvl w:val="0"/>
          <w:numId w:val="30"/>
        </w:numPr>
        <w:spacing w:before="120" w:after="120"/>
        <w:ind w:left="1208" w:hanging="357"/>
        <w:jc w:val="left"/>
        <w:rPr>
          <w:rFonts w:cs="Arial"/>
          <w:color w:val="auto"/>
          <w:sz w:val="22"/>
        </w:rPr>
      </w:pPr>
      <w:r w:rsidRPr="00A55886">
        <w:rPr>
          <w:rFonts w:cs="Arial"/>
          <w:color w:val="auto"/>
          <w:sz w:val="22"/>
        </w:rPr>
        <w:t>Scheduled medicines and poisons: Defined in the Therapeutic Goods (Poisons Standard—July 2023) Instrument 2023 (Cwlth)</w:t>
      </w:r>
    </w:p>
    <w:p w14:paraId="5C393D13" w14:textId="4105B260" w:rsidR="00D62E15" w:rsidRPr="00A55886" w:rsidRDefault="00D62E15" w:rsidP="00A57232">
      <w:pPr>
        <w:pStyle w:val="NormalWhite"/>
        <w:numPr>
          <w:ilvl w:val="1"/>
          <w:numId w:val="30"/>
        </w:numPr>
        <w:spacing w:before="120" w:after="120"/>
        <w:jc w:val="left"/>
        <w:rPr>
          <w:rFonts w:cs="Arial"/>
          <w:color w:val="auto"/>
          <w:sz w:val="22"/>
        </w:rPr>
      </w:pPr>
      <w:r w:rsidRPr="00A55886">
        <w:rPr>
          <w:rFonts w:cs="Arial"/>
          <w:color w:val="auto"/>
          <w:sz w:val="22"/>
        </w:rPr>
        <w:t>Medicines: Regulated under the Medicines and Poisons Act 2019 (Qld)</w:t>
      </w:r>
    </w:p>
    <w:p w14:paraId="1AE8F7B1" w14:textId="1298D376" w:rsidR="00D62E15" w:rsidRPr="00A55886" w:rsidRDefault="00D62E15" w:rsidP="00A57232">
      <w:pPr>
        <w:pStyle w:val="NormalWhite"/>
        <w:numPr>
          <w:ilvl w:val="1"/>
          <w:numId w:val="30"/>
        </w:numPr>
        <w:spacing w:before="120" w:after="120"/>
        <w:jc w:val="left"/>
        <w:rPr>
          <w:rFonts w:cs="Arial"/>
          <w:color w:val="auto"/>
          <w:sz w:val="22"/>
        </w:rPr>
      </w:pPr>
      <w:r w:rsidRPr="00A55886">
        <w:rPr>
          <w:rFonts w:cs="Arial"/>
          <w:color w:val="auto"/>
          <w:sz w:val="22"/>
        </w:rPr>
        <w:t>Poisons: Regulated under the Medicines &amp; Poisons (Poisons &amp; Prohibited Substances) Regulation 2021 (Qld)</w:t>
      </w:r>
    </w:p>
    <w:p w14:paraId="76730974" w14:textId="0BF50D64" w:rsidR="00D62E15" w:rsidRPr="00A55886" w:rsidRDefault="00D62E15" w:rsidP="00A57232">
      <w:pPr>
        <w:pStyle w:val="NormalWhite"/>
        <w:numPr>
          <w:ilvl w:val="0"/>
          <w:numId w:val="30"/>
        </w:numPr>
        <w:spacing w:before="120" w:after="120"/>
        <w:ind w:left="1208" w:hanging="357"/>
        <w:jc w:val="left"/>
        <w:rPr>
          <w:rFonts w:cs="Arial"/>
          <w:color w:val="auto"/>
          <w:sz w:val="22"/>
        </w:rPr>
      </w:pPr>
      <w:r w:rsidRPr="00A55886">
        <w:rPr>
          <w:rFonts w:cs="Arial"/>
          <w:color w:val="auto"/>
          <w:sz w:val="22"/>
        </w:rPr>
        <w:lastRenderedPageBreak/>
        <w:t>Prohibited and restricted carcinogens: Defined in Schedule 10 of the WHS Regulation</w:t>
      </w:r>
    </w:p>
    <w:p w14:paraId="363EA446" w14:textId="530F7FA8" w:rsidR="00D62E15" w:rsidRPr="00A55886" w:rsidRDefault="00D62E15" w:rsidP="00A57232">
      <w:pPr>
        <w:pStyle w:val="NormalWhite"/>
        <w:numPr>
          <w:ilvl w:val="0"/>
          <w:numId w:val="30"/>
        </w:numPr>
        <w:spacing w:before="120" w:after="120"/>
        <w:ind w:left="1208" w:hanging="357"/>
        <w:jc w:val="left"/>
        <w:rPr>
          <w:rFonts w:cs="Arial"/>
          <w:color w:val="auto"/>
          <w:sz w:val="22"/>
        </w:rPr>
      </w:pPr>
      <w:r w:rsidRPr="00A55886">
        <w:rPr>
          <w:rFonts w:cs="Arial"/>
          <w:color w:val="auto"/>
          <w:sz w:val="22"/>
        </w:rPr>
        <w:t>Chemicals of security concern: Defined in the National Code of Practice for Chemicals of Security Concern 2016 (Cwlth)</w:t>
      </w:r>
    </w:p>
    <w:p w14:paraId="1C30D218" w14:textId="14A13111" w:rsidR="00D62E15" w:rsidRPr="00A55886" w:rsidRDefault="00D62E15" w:rsidP="00A57232">
      <w:pPr>
        <w:pStyle w:val="NormalWhite"/>
        <w:numPr>
          <w:ilvl w:val="0"/>
          <w:numId w:val="30"/>
        </w:numPr>
        <w:spacing w:before="120" w:after="120"/>
        <w:ind w:left="1208" w:hanging="357"/>
        <w:jc w:val="left"/>
        <w:rPr>
          <w:rFonts w:cs="Arial"/>
          <w:color w:val="auto"/>
          <w:sz w:val="22"/>
        </w:rPr>
      </w:pPr>
      <w:r w:rsidRPr="00A55886">
        <w:rPr>
          <w:rFonts w:cs="Arial"/>
          <w:color w:val="auto"/>
          <w:sz w:val="22"/>
        </w:rPr>
        <w:t>Chemicals requiring health monitoring: Defined in Schedule 14 of the WHS Regulation</w:t>
      </w:r>
    </w:p>
    <w:p w14:paraId="17F8B332" w14:textId="06E41546" w:rsidR="00D62E15" w:rsidRPr="00A55886" w:rsidRDefault="00D62E15" w:rsidP="00A57232">
      <w:pPr>
        <w:pStyle w:val="NormalWhite"/>
        <w:numPr>
          <w:ilvl w:val="0"/>
          <w:numId w:val="30"/>
        </w:numPr>
        <w:spacing w:before="120" w:after="120"/>
        <w:ind w:left="1208" w:hanging="357"/>
        <w:jc w:val="left"/>
        <w:rPr>
          <w:rFonts w:cs="Arial"/>
          <w:color w:val="auto"/>
          <w:sz w:val="22"/>
        </w:rPr>
      </w:pPr>
      <w:r w:rsidRPr="00A55886">
        <w:rPr>
          <w:rFonts w:cs="Arial"/>
          <w:color w:val="auto"/>
          <w:sz w:val="22"/>
        </w:rPr>
        <w:t>Placard and Manifest Quantities: Defined in Schedule 11 of the WHS Regulation</w:t>
      </w:r>
    </w:p>
    <w:p w14:paraId="3AFF3BCA" w14:textId="3E385DDA" w:rsidR="00D62E15" w:rsidRPr="00A55886" w:rsidRDefault="00D62E15" w:rsidP="00A57232">
      <w:pPr>
        <w:pStyle w:val="NormalWhite"/>
        <w:numPr>
          <w:ilvl w:val="0"/>
          <w:numId w:val="30"/>
        </w:numPr>
        <w:spacing w:before="120" w:after="120"/>
        <w:ind w:left="1208" w:hanging="357"/>
        <w:jc w:val="left"/>
        <w:rPr>
          <w:rFonts w:cs="Arial"/>
          <w:color w:val="auto"/>
          <w:sz w:val="22"/>
        </w:rPr>
      </w:pPr>
      <w:r w:rsidRPr="00A55886">
        <w:rPr>
          <w:rFonts w:cs="Arial"/>
          <w:color w:val="auto"/>
          <w:sz w:val="22"/>
        </w:rPr>
        <w:t>Hazardous cryogens and cryogenic or refrigerated liquids: Those classified as hazardous in GHS and/or the ADG Code</w:t>
      </w:r>
    </w:p>
    <w:p w14:paraId="56840BF8" w14:textId="7A75C517" w:rsidR="00D62E15" w:rsidRPr="00A55886" w:rsidRDefault="00D62E15" w:rsidP="00A57232">
      <w:pPr>
        <w:pStyle w:val="NormalWhite"/>
        <w:numPr>
          <w:ilvl w:val="0"/>
          <w:numId w:val="30"/>
        </w:numPr>
        <w:spacing w:before="120" w:after="120"/>
        <w:ind w:left="1208" w:hanging="357"/>
        <w:jc w:val="left"/>
        <w:rPr>
          <w:rFonts w:cs="Arial"/>
          <w:color w:val="auto"/>
          <w:sz w:val="22"/>
        </w:rPr>
      </w:pPr>
      <w:r w:rsidRPr="00A55886">
        <w:rPr>
          <w:rFonts w:cs="Arial"/>
          <w:color w:val="auto"/>
          <w:sz w:val="22"/>
        </w:rPr>
        <w:t>Nanomaterials: as defined by the Australian Industrial Chemical Introduction Scheme (AICIS/previously NICNAS).</w:t>
      </w:r>
    </w:p>
    <w:p w14:paraId="03B0E25C" w14:textId="25CF42F0" w:rsidR="00D62E15" w:rsidRPr="00A55886" w:rsidRDefault="00D62E15" w:rsidP="00D62E15">
      <w:pPr>
        <w:pStyle w:val="Heading5"/>
        <w:spacing w:before="120" w:line="240" w:lineRule="auto"/>
        <w:ind w:left="851"/>
        <w:rPr>
          <w:rFonts w:ascii="Arial" w:hAnsi="Arial" w:cs="Arial"/>
          <w:sz w:val="22"/>
          <w:szCs w:val="24"/>
        </w:rPr>
      </w:pPr>
      <w:r w:rsidRPr="00A55886">
        <w:rPr>
          <w:rFonts w:ascii="Arial" w:hAnsi="Arial" w:cs="Arial"/>
          <w:sz w:val="22"/>
          <w:szCs w:val="24"/>
        </w:rPr>
        <w:t>3.1.2 Safety Data Sheets (SDS)</w:t>
      </w:r>
    </w:p>
    <w:p w14:paraId="142DF7B4" w14:textId="77777777" w:rsidR="00D62E15" w:rsidRPr="00A57232" w:rsidRDefault="00D62E15" w:rsidP="00D62E15">
      <w:pPr>
        <w:spacing w:before="120" w:after="120" w:line="240" w:lineRule="auto"/>
        <w:ind w:left="698" w:firstLine="153"/>
        <w:rPr>
          <w:rFonts w:ascii="Arial" w:hAnsi="Arial" w:cs="Arial"/>
          <w:i/>
          <w:iCs/>
          <w:color w:val="E5071F"/>
          <w:sz w:val="22"/>
        </w:rPr>
      </w:pPr>
      <w:r w:rsidRPr="00A57232">
        <w:rPr>
          <w:rFonts w:ascii="Arial" w:hAnsi="Arial" w:cs="Arial"/>
          <w:i/>
          <w:iCs/>
          <w:color w:val="E5071F"/>
          <w:sz w:val="22"/>
        </w:rPr>
        <w:t>Accountability: Chemical Custodians</w:t>
      </w:r>
    </w:p>
    <w:p w14:paraId="3F953992" w14:textId="77777777" w:rsidR="00D62E15" w:rsidRPr="00A55886" w:rsidRDefault="00D62E15" w:rsidP="00A57232">
      <w:pPr>
        <w:spacing w:before="120" w:after="120" w:line="240" w:lineRule="auto"/>
        <w:ind w:left="851"/>
        <w:rPr>
          <w:rFonts w:ascii="Arial" w:hAnsi="Arial" w:cs="Arial"/>
          <w:sz w:val="22"/>
        </w:rPr>
      </w:pPr>
      <w:r w:rsidRPr="00A55886">
        <w:rPr>
          <w:rFonts w:ascii="Arial" w:hAnsi="Arial" w:cs="Arial"/>
          <w:sz w:val="22"/>
        </w:rPr>
        <w:t xml:space="preserve">Obtain a copy of the SDS before acquiring a chemical and ensure the SDS is readily accessible to all personnel involved in the chemical process or those exposed to the chemical. SDSs may be obtained and stored in the Chemwatch Manifest function. </w:t>
      </w:r>
    </w:p>
    <w:p w14:paraId="5ACE5AAC" w14:textId="77777777" w:rsidR="00D62E15" w:rsidRPr="00A55886" w:rsidRDefault="00D62E15" w:rsidP="00A57232">
      <w:pPr>
        <w:spacing w:before="120" w:after="120" w:line="240" w:lineRule="auto"/>
        <w:ind w:left="851"/>
        <w:rPr>
          <w:rFonts w:ascii="Arial" w:hAnsi="Arial" w:cs="Arial"/>
          <w:sz w:val="22"/>
        </w:rPr>
      </w:pPr>
      <w:r w:rsidRPr="00A55886">
        <w:rPr>
          <w:rFonts w:ascii="Arial" w:hAnsi="Arial" w:cs="Arial"/>
          <w:sz w:val="22"/>
        </w:rPr>
        <w:t>Verify that the SDS complies with the requirements of Schedule 7 of the WHS Regulation.</w:t>
      </w:r>
    </w:p>
    <w:p w14:paraId="39796103" w14:textId="77777777" w:rsidR="00D62E15" w:rsidRPr="00A55886" w:rsidRDefault="00D62E15" w:rsidP="00A57232">
      <w:pPr>
        <w:spacing w:before="120" w:after="120" w:line="240" w:lineRule="auto"/>
        <w:ind w:left="851"/>
        <w:rPr>
          <w:rFonts w:ascii="Arial" w:hAnsi="Arial" w:cs="Arial"/>
          <w:sz w:val="22"/>
        </w:rPr>
      </w:pPr>
      <w:r w:rsidRPr="00A55886">
        <w:rPr>
          <w:rFonts w:ascii="Arial" w:hAnsi="Arial" w:cs="Arial"/>
          <w:sz w:val="22"/>
        </w:rPr>
        <w:t>An overseas SDS is acceptable if:</w:t>
      </w:r>
    </w:p>
    <w:p w14:paraId="008B727B" w14:textId="6CB18AE8" w:rsidR="00D62E15" w:rsidRPr="00A55886" w:rsidRDefault="00A57232" w:rsidP="00A57232">
      <w:pPr>
        <w:pStyle w:val="NormalWhite"/>
        <w:numPr>
          <w:ilvl w:val="0"/>
          <w:numId w:val="30"/>
        </w:numPr>
        <w:spacing w:before="120" w:after="120"/>
        <w:ind w:left="1208" w:hanging="357"/>
        <w:jc w:val="left"/>
        <w:rPr>
          <w:rFonts w:cs="Arial"/>
          <w:color w:val="auto"/>
          <w:sz w:val="22"/>
        </w:rPr>
      </w:pPr>
      <w:r>
        <w:rPr>
          <w:rFonts w:cs="Arial"/>
          <w:color w:val="auto"/>
          <w:sz w:val="22"/>
        </w:rPr>
        <w:t>a</w:t>
      </w:r>
      <w:r w:rsidR="00D62E15" w:rsidRPr="00A55886">
        <w:rPr>
          <w:rFonts w:cs="Arial"/>
          <w:color w:val="auto"/>
          <w:sz w:val="22"/>
        </w:rPr>
        <w:t xml:space="preserve"> translation of the SDS is attached to the original SDS</w:t>
      </w:r>
    </w:p>
    <w:p w14:paraId="00B3899E" w14:textId="4DEE1331" w:rsidR="00D62E15" w:rsidRPr="00A55886" w:rsidRDefault="00A57232" w:rsidP="00A57232">
      <w:pPr>
        <w:pStyle w:val="NormalWhite"/>
        <w:numPr>
          <w:ilvl w:val="0"/>
          <w:numId w:val="30"/>
        </w:numPr>
        <w:spacing w:before="120" w:after="120"/>
        <w:ind w:left="1208" w:hanging="357"/>
        <w:jc w:val="left"/>
        <w:rPr>
          <w:rFonts w:cs="Arial"/>
          <w:color w:val="auto"/>
          <w:sz w:val="22"/>
        </w:rPr>
      </w:pPr>
      <w:r>
        <w:rPr>
          <w:rFonts w:cs="Arial"/>
          <w:color w:val="auto"/>
          <w:sz w:val="22"/>
        </w:rPr>
        <w:t>t</w:t>
      </w:r>
      <w:r w:rsidR="00D62E15" w:rsidRPr="00A55886">
        <w:rPr>
          <w:rFonts w:cs="Arial"/>
          <w:color w:val="auto"/>
          <w:sz w:val="22"/>
        </w:rPr>
        <w:t>he attached information clearly states that the translation is not part of the original SDS</w:t>
      </w:r>
    </w:p>
    <w:p w14:paraId="02B316F8" w14:textId="698E5DAB" w:rsidR="00D62E15" w:rsidRPr="00A55886" w:rsidRDefault="00A57232" w:rsidP="00A57232">
      <w:pPr>
        <w:pStyle w:val="NormalWhite"/>
        <w:numPr>
          <w:ilvl w:val="0"/>
          <w:numId w:val="30"/>
        </w:numPr>
        <w:spacing w:before="120" w:after="120"/>
        <w:ind w:left="1208" w:hanging="357"/>
        <w:jc w:val="left"/>
        <w:rPr>
          <w:rFonts w:cs="Arial"/>
          <w:color w:val="auto"/>
          <w:sz w:val="22"/>
        </w:rPr>
      </w:pPr>
      <w:r>
        <w:rPr>
          <w:rFonts w:cs="Arial"/>
          <w:color w:val="auto"/>
          <w:sz w:val="22"/>
        </w:rPr>
        <w:t>t</w:t>
      </w:r>
      <w:r w:rsidR="00D62E15" w:rsidRPr="00A55886">
        <w:rPr>
          <w:rFonts w:cs="Arial"/>
          <w:color w:val="auto"/>
          <w:sz w:val="22"/>
        </w:rPr>
        <w:t>he original SDS aligns with the Schedule 7 requirements</w:t>
      </w:r>
    </w:p>
    <w:p w14:paraId="2B84D949" w14:textId="11DB8C21" w:rsidR="00D62E15" w:rsidRPr="00A55886" w:rsidRDefault="00A57232" w:rsidP="00A57232">
      <w:pPr>
        <w:pStyle w:val="NormalWhite"/>
        <w:numPr>
          <w:ilvl w:val="0"/>
          <w:numId w:val="30"/>
        </w:numPr>
        <w:spacing w:before="120" w:after="120"/>
        <w:ind w:left="1208" w:hanging="357"/>
        <w:jc w:val="left"/>
        <w:rPr>
          <w:rFonts w:cs="Arial"/>
          <w:color w:val="auto"/>
          <w:sz w:val="22"/>
        </w:rPr>
      </w:pPr>
      <w:r>
        <w:rPr>
          <w:rFonts w:cs="Arial"/>
          <w:color w:val="auto"/>
          <w:sz w:val="22"/>
        </w:rPr>
        <w:t>t</w:t>
      </w:r>
      <w:r w:rsidR="00D62E15" w:rsidRPr="00A55886">
        <w:rPr>
          <w:rFonts w:cs="Arial"/>
          <w:color w:val="auto"/>
          <w:sz w:val="22"/>
        </w:rPr>
        <w:t>here is an Australian supplier and Australian emergency contact details.</w:t>
      </w:r>
    </w:p>
    <w:p w14:paraId="22907EAA" w14:textId="77777777" w:rsidR="00D62E15" w:rsidRPr="00A55886" w:rsidRDefault="00D62E15" w:rsidP="00A57232">
      <w:pPr>
        <w:spacing w:before="120" w:after="120" w:line="240" w:lineRule="auto"/>
        <w:ind w:left="851"/>
        <w:rPr>
          <w:rFonts w:ascii="Arial" w:hAnsi="Arial" w:cs="Arial"/>
          <w:sz w:val="22"/>
        </w:rPr>
      </w:pPr>
      <w:r w:rsidRPr="00A55886">
        <w:rPr>
          <w:rFonts w:ascii="Arial" w:hAnsi="Arial" w:cs="Arial"/>
          <w:sz w:val="22"/>
        </w:rPr>
        <w:t xml:space="preserve">If an overseas manufacturer's SDS does not comply with legislative requirements, the importer is responsible for preparing an SDS that does. </w:t>
      </w:r>
    </w:p>
    <w:p w14:paraId="1C580285" w14:textId="77777777" w:rsidR="00D62E15" w:rsidRPr="00A55886" w:rsidRDefault="00D62E15" w:rsidP="00A57232">
      <w:pPr>
        <w:spacing w:before="120" w:after="120" w:line="240" w:lineRule="auto"/>
        <w:ind w:left="851"/>
        <w:rPr>
          <w:rFonts w:ascii="Arial" w:hAnsi="Arial" w:cs="Arial"/>
          <w:sz w:val="22"/>
        </w:rPr>
      </w:pPr>
      <w:r w:rsidRPr="00A55886">
        <w:rPr>
          <w:rFonts w:ascii="Arial" w:hAnsi="Arial" w:cs="Arial"/>
          <w:sz w:val="22"/>
        </w:rPr>
        <w:t xml:space="preserve">If Griffith imports a chemical directly from an international supplier, it assumes the role of importer and is responsible for ensuring the SDS meets the requirements of Schedule 7. </w:t>
      </w:r>
    </w:p>
    <w:p w14:paraId="77657C15" w14:textId="77777777" w:rsidR="00D62E15" w:rsidRPr="00A55886" w:rsidRDefault="00D62E15" w:rsidP="00A57232">
      <w:pPr>
        <w:spacing w:before="120" w:after="120" w:line="240" w:lineRule="auto"/>
        <w:ind w:left="851"/>
        <w:rPr>
          <w:rFonts w:ascii="Arial" w:hAnsi="Arial" w:cs="Arial"/>
          <w:sz w:val="22"/>
        </w:rPr>
      </w:pPr>
      <w:r w:rsidRPr="00A55886">
        <w:rPr>
          <w:rFonts w:ascii="Arial" w:hAnsi="Arial" w:cs="Arial"/>
          <w:sz w:val="22"/>
        </w:rPr>
        <w:t xml:space="preserve">If a chemical is manufactured or supplied by Griffith, it assumes the role of the manufacturer and is responsible for developing the SDS. </w:t>
      </w:r>
    </w:p>
    <w:p w14:paraId="0B5634AF" w14:textId="77777777" w:rsidR="00D62E15" w:rsidRPr="00A55886" w:rsidRDefault="00D62E15" w:rsidP="00A57232">
      <w:pPr>
        <w:spacing w:before="120" w:after="120" w:line="240" w:lineRule="auto"/>
        <w:ind w:left="851"/>
        <w:rPr>
          <w:rFonts w:ascii="Arial" w:hAnsi="Arial" w:cs="Arial"/>
          <w:sz w:val="22"/>
        </w:rPr>
      </w:pPr>
      <w:r w:rsidRPr="00A55886">
        <w:rPr>
          <w:rFonts w:ascii="Arial" w:hAnsi="Arial" w:cs="Arial"/>
          <w:sz w:val="22"/>
        </w:rPr>
        <w:t>If required to prepare the SDS, refer to the Preparation of Safety Data Sheets for Hazardous Chemicals Code of Practice 2021 (Qld).</w:t>
      </w:r>
    </w:p>
    <w:p w14:paraId="29920EF6" w14:textId="685B4619" w:rsidR="00D62E15" w:rsidRPr="00A55886" w:rsidRDefault="00D62E15" w:rsidP="00A57232">
      <w:pPr>
        <w:spacing w:before="120" w:after="120" w:line="240" w:lineRule="auto"/>
        <w:ind w:left="851"/>
        <w:rPr>
          <w:rFonts w:ascii="Arial" w:hAnsi="Arial" w:cs="Arial"/>
          <w:sz w:val="22"/>
        </w:rPr>
      </w:pPr>
      <w:r w:rsidRPr="00A55886">
        <w:rPr>
          <w:rFonts w:ascii="Arial" w:hAnsi="Arial" w:cs="Arial"/>
          <w:sz w:val="22"/>
        </w:rPr>
        <w:t xml:space="preserve">Contact </w:t>
      </w:r>
      <w:hyperlink r:id="rId10" w:history="1">
        <w:r w:rsidR="00A57232" w:rsidRPr="00636046">
          <w:rPr>
            <w:rStyle w:val="Hyperlink"/>
            <w:rFonts w:ascii="Arial" w:hAnsi="Arial" w:cs="Arial"/>
            <w:sz w:val="22"/>
          </w:rPr>
          <w:t>crs@griffith.edu.au</w:t>
        </w:r>
      </w:hyperlink>
      <w:r w:rsidR="00A57232">
        <w:rPr>
          <w:rFonts w:ascii="Arial" w:hAnsi="Arial" w:cs="Arial"/>
          <w:sz w:val="22"/>
        </w:rPr>
        <w:t xml:space="preserve"> </w:t>
      </w:r>
      <w:r w:rsidRPr="00A55886">
        <w:rPr>
          <w:rFonts w:ascii="Arial" w:hAnsi="Arial" w:cs="Arial"/>
          <w:sz w:val="22"/>
        </w:rPr>
        <w:t>for guidance on this process.</w:t>
      </w:r>
    </w:p>
    <w:p w14:paraId="45FD7327" w14:textId="6AE109DA" w:rsidR="00107C50" w:rsidRPr="00A55886" w:rsidRDefault="00107C50" w:rsidP="00107C50">
      <w:pPr>
        <w:pStyle w:val="Heading3"/>
        <w:ind w:left="567"/>
        <w:rPr>
          <w:rFonts w:ascii="Arial" w:hAnsi="Arial" w:cs="Arial"/>
        </w:rPr>
      </w:pPr>
      <w:bookmarkStart w:id="5" w:name="_3.2_Selecting_a"/>
      <w:bookmarkEnd w:id="5"/>
      <w:r w:rsidRPr="00A55886">
        <w:rPr>
          <w:rFonts w:ascii="Arial" w:hAnsi="Arial" w:cs="Arial"/>
        </w:rPr>
        <w:t>3.2 Selecting a Sustainable Chemical Vendor</w:t>
      </w:r>
    </w:p>
    <w:p w14:paraId="78E5C7B8" w14:textId="77777777" w:rsidR="00107C50" w:rsidRPr="00A57232" w:rsidRDefault="00107C50" w:rsidP="00107C50">
      <w:pPr>
        <w:spacing w:before="120" w:after="120" w:line="240" w:lineRule="auto"/>
        <w:ind w:left="567"/>
        <w:rPr>
          <w:rFonts w:ascii="Arial" w:hAnsi="Arial" w:cs="Arial"/>
          <w:i/>
          <w:iCs/>
          <w:color w:val="E5071F"/>
          <w:sz w:val="22"/>
        </w:rPr>
      </w:pPr>
      <w:r w:rsidRPr="00A57232">
        <w:rPr>
          <w:rFonts w:ascii="Arial" w:hAnsi="Arial" w:cs="Arial"/>
          <w:i/>
          <w:iCs/>
          <w:color w:val="E5071F"/>
          <w:sz w:val="22"/>
        </w:rPr>
        <w:t>Accountability: Chemical Custodians</w:t>
      </w:r>
    </w:p>
    <w:p w14:paraId="781BAD8B" w14:textId="77777777" w:rsidR="00107C50" w:rsidRPr="00A55886" w:rsidRDefault="00107C50" w:rsidP="00107C50">
      <w:pPr>
        <w:spacing w:before="120" w:after="120" w:line="240" w:lineRule="auto"/>
        <w:ind w:left="567"/>
        <w:rPr>
          <w:rFonts w:ascii="Arial" w:hAnsi="Arial" w:cs="Arial"/>
          <w:sz w:val="22"/>
        </w:rPr>
      </w:pPr>
      <w:r w:rsidRPr="00A55886">
        <w:rPr>
          <w:rFonts w:ascii="Arial" w:hAnsi="Arial" w:cs="Arial"/>
          <w:sz w:val="22"/>
        </w:rPr>
        <w:t>Consider the sustainability practices of suppliers when acquiring chemicals. Griffith has the right to prefer socially and ethically responsible vendors where the goods and services impact the environment and human health less. Sustainability issues may include:</w:t>
      </w:r>
    </w:p>
    <w:p w14:paraId="58DDA9F3" w14:textId="71DC8EC4" w:rsidR="00107C50"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e</w:t>
      </w:r>
      <w:r w:rsidR="00107C50" w:rsidRPr="00A55886">
        <w:rPr>
          <w:rFonts w:cs="Arial"/>
          <w:color w:val="auto"/>
          <w:sz w:val="22"/>
        </w:rPr>
        <w:t>nergy efficiency</w:t>
      </w:r>
    </w:p>
    <w:p w14:paraId="4ACDC43D" w14:textId="0E5105A1" w:rsidR="00107C50"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w</w:t>
      </w:r>
      <w:r w:rsidR="00107C50" w:rsidRPr="00A55886">
        <w:rPr>
          <w:rFonts w:cs="Arial"/>
          <w:color w:val="auto"/>
          <w:sz w:val="22"/>
        </w:rPr>
        <w:t>ater efficiency</w:t>
      </w:r>
    </w:p>
    <w:p w14:paraId="52EE46C1" w14:textId="6EEB8060" w:rsidR="00107C50"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lastRenderedPageBreak/>
        <w:t>p</w:t>
      </w:r>
      <w:r w:rsidR="00107C50" w:rsidRPr="00A55886">
        <w:rPr>
          <w:rFonts w:cs="Arial"/>
          <w:color w:val="auto"/>
          <w:sz w:val="22"/>
        </w:rPr>
        <w:t>ackaging</w:t>
      </w:r>
    </w:p>
    <w:p w14:paraId="1A1D37DA" w14:textId="0E111357" w:rsidR="00107C50"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r</w:t>
      </w:r>
      <w:r w:rsidR="00107C50" w:rsidRPr="00A55886">
        <w:rPr>
          <w:rFonts w:cs="Arial"/>
          <w:color w:val="auto"/>
          <w:sz w:val="22"/>
        </w:rPr>
        <w:t>ecycled content and recyclability</w:t>
      </w:r>
    </w:p>
    <w:p w14:paraId="6DF46296" w14:textId="401FAFEC" w:rsidR="00107C50"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r</w:t>
      </w:r>
      <w:r w:rsidR="00107C50" w:rsidRPr="00A55886">
        <w:rPr>
          <w:rFonts w:cs="Arial"/>
          <w:color w:val="auto"/>
          <w:sz w:val="22"/>
        </w:rPr>
        <w:t>e-usability or options for extending the life</w:t>
      </w:r>
    </w:p>
    <w:p w14:paraId="5376FDC4" w14:textId="1164580D" w:rsidR="00107C50"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e</w:t>
      </w:r>
      <w:r w:rsidR="00107C50" w:rsidRPr="00A55886">
        <w:rPr>
          <w:rFonts w:cs="Arial"/>
          <w:color w:val="auto"/>
          <w:sz w:val="22"/>
        </w:rPr>
        <w:t>missions of pollutants</w:t>
      </w:r>
    </w:p>
    <w:p w14:paraId="16F229FD" w14:textId="727F8A7B" w:rsidR="00107C50"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d</w:t>
      </w:r>
      <w:r w:rsidR="00107C50" w:rsidRPr="00A55886">
        <w:rPr>
          <w:rFonts w:cs="Arial"/>
          <w:color w:val="auto"/>
          <w:sz w:val="22"/>
        </w:rPr>
        <w:t>isposal impacts</w:t>
      </w:r>
    </w:p>
    <w:p w14:paraId="634183F5" w14:textId="71FB6B92" w:rsidR="00107C50"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e</w:t>
      </w:r>
      <w:r w:rsidR="00107C50" w:rsidRPr="00A55886">
        <w:rPr>
          <w:rFonts w:cs="Arial"/>
          <w:color w:val="auto"/>
          <w:sz w:val="22"/>
        </w:rPr>
        <w:t>co-design</w:t>
      </w:r>
    </w:p>
    <w:p w14:paraId="7113832E" w14:textId="138B5359" w:rsidR="00D62E15"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t</w:t>
      </w:r>
      <w:r w:rsidR="00107C50" w:rsidRPr="00A55886">
        <w:rPr>
          <w:rFonts w:cs="Arial"/>
          <w:color w:val="auto"/>
          <w:sz w:val="22"/>
        </w:rPr>
        <w:t>he sustainability commitment and performance of the supplier.</w:t>
      </w:r>
    </w:p>
    <w:p w14:paraId="015AD83A" w14:textId="0622A508" w:rsidR="00466E5D" w:rsidRPr="00A55886" w:rsidRDefault="00466E5D" w:rsidP="00466E5D">
      <w:pPr>
        <w:pStyle w:val="Heading3"/>
        <w:ind w:left="567"/>
        <w:rPr>
          <w:rFonts w:ascii="Arial" w:hAnsi="Arial" w:cs="Arial"/>
        </w:rPr>
      </w:pPr>
      <w:bookmarkStart w:id="6" w:name="_3.3_Acquiring_Chemicals"/>
      <w:bookmarkEnd w:id="6"/>
      <w:r w:rsidRPr="00A55886">
        <w:rPr>
          <w:rFonts w:ascii="Arial" w:hAnsi="Arial" w:cs="Arial"/>
        </w:rPr>
        <w:t>3.3 Acquiring Chemicals</w:t>
      </w:r>
    </w:p>
    <w:p w14:paraId="4EFBDB58" w14:textId="77777777" w:rsidR="00466E5D" w:rsidRPr="00A57232" w:rsidRDefault="00466E5D" w:rsidP="00466E5D">
      <w:pPr>
        <w:spacing w:before="120" w:after="120" w:line="240" w:lineRule="auto"/>
        <w:ind w:left="567"/>
        <w:rPr>
          <w:rFonts w:ascii="Arial" w:hAnsi="Arial" w:cs="Arial"/>
          <w:i/>
          <w:iCs/>
          <w:color w:val="E5071F"/>
          <w:sz w:val="22"/>
        </w:rPr>
      </w:pPr>
      <w:r w:rsidRPr="00A57232">
        <w:rPr>
          <w:rFonts w:ascii="Arial" w:hAnsi="Arial" w:cs="Arial"/>
          <w:i/>
          <w:iCs/>
          <w:color w:val="E5071F"/>
          <w:sz w:val="22"/>
        </w:rPr>
        <w:t>Accountability: Chemical Custodians</w:t>
      </w:r>
    </w:p>
    <w:p w14:paraId="2F1AA7F2" w14:textId="77777777" w:rsidR="00466E5D" w:rsidRPr="00A55886" w:rsidRDefault="00466E5D" w:rsidP="00466E5D">
      <w:pPr>
        <w:spacing w:before="120" w:after="120" w:line="240" w:lineRule="auto"/>
        <w:ind w:left="567"/>
        <w:rPr>
          <w:rFonts w:ascii="Arial" w:hAnsi="Arial" w:cs="Arial"/>
          <w:sz w:val="22"/>
        </w:rPr>
      </w:pPr>
      <w:r w:rsidRPr="00A55886">
        <w:rPr>
          <w:rFonts w:ascii="Arial" w:hAnsi="Arial" w:cs="Arial"/>
          <w:sz w:val="22"/>
        </w:rPr>
        <w:t>Where possible, purchase chemicals through the Griffith Marketplace. If this is not possible or the chemical is a donation, refer to the Special Approvers Guideline and Griffith purchasing requirements – purchases made outside of the Griffith purchasing system risk not being approved for reimbursement.</w:t>
      </w:r>
    </w:p>
    <w:p w14:paraId="2CA9B4C0" w14:textId="77777777" w:rsidR="00466E5D" w:rsidRPr="00A55886" w:rsidRDefault="00466E5D" w:rsidP="00466E5D">
      <w:pPr>
        <w:spacing w:before="120" w:after="120" w:line="240" w:lineRule="auto"/>
        <w:ind w:left="567"/>
        <w:rPr>
          <w:rFonts w:ascii="Arial" w:hAnsi="Arial" w:cs="Arial"/>
          <w:sz w:val="22"/>
        </w:rPr>
      </w:pPr>
      <w:r w:rsidRPr="00A55886">
        <w:rPr>
          <w:rFonts w:ascii="Arial" w:hAnsi="Arial" w:cs="Arial"/>
          <w:sz w:val="22"/>
        </w:rPr>
        <w:t>Before requesting approval to acquire chemicals:</w:t>
      </w:r>
    </w:p>
    <w:p w14:paraId="0587E852" w14:textId="71FA64B6" w:rsidR="00466E5D"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r</w:t>
      </w:r>
      <w:r w:rsidR="00466E5D" w:rsidRPr="00A55886">
        <w:rPr>
          <w:rFonts w:cs="Arial"/>
          <w:color w:val="auto"/>
          <w:sz w:val="22"/>
        </w:rPr>
        <w:t>eview the SDS and provide a copy to the approver</w:t>
      </w:r>
    </w:p>
    <w:p w14:paraId="49E8389A" w14:textId="4BCC0B89" w:rsidR="00466E5D"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a</w:t>
      </w:r>
      <w:r w:rsidR="00466E5D" w:rsidRPr="00A55886">
        <w:rPr>
          <w:rFonts w:cs="Arial"/>
          <w:color w:val="auto"/>
          <w:sz w:val="22"/>
        </w:rPr>
        <w:t>ttain necessary permits and licenses</w:t>
      </w:r>
    </w:p>
    <w:p w14:paraId="6CD0493B" w14:textId="1F8957C1" w:rsidR="00466E5D"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r</w:t>
      </w:r>
      <w:r w:rsidR="00466E5D" w:rsidRPr="00A55886">
        <w:rPr>
          <w:rFonts w:cs="Arial"/>
          <w:color w:val="auto"/>
          <w:sz w:val="22"/>
        </w:rPr>
        <w:t>eview the quantity of chemicals required against the maximum allowable quantities in Schedule 11, Table 11.1 of the WHS Regulation</w:t>
      </w:r>
    </w:p>
    <w:p w14:paraId="0D963BBF" w14:textId="72D35BA8" w:rsidR="00466E5D"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i</w:t>
      </w:r>
      <w:r w:rsidR="00466E5D" w:rsidRPr="00A55886">
        <w:rPr>
          <w:rFonts w:cs="Arial"/>
          <w:color w:val="auto"/>
          <w:sz w:val="22"/>
        </w:rPr>
        <w:t>f the chemicals are time sensitive, only order the minimum amount needed for use within the next 12 months</w:t>
      </w:r>
    </w:p>
    <w:p w14:paraId="577EC3A9" w14:textId="380BCF68" w:rsidR="00466E5D" w:rsidRPr="00A55886" w:rsidRDefault="00A57232" w:rsidP="00A57232">
      <w:pPr>
        <w:pStyle w:val="NormalWhite"/>
        <w:numPr>
          <w:ilvl w:val="0"/>
          <w:numId w:val="30"/>
        </w:numPr>
        <w:spacing w:before="120" w:after="120"/>
        <w:ind w:left="924" w:hanging="357"/>
        <w:jc w:val="left"/>
        <w:rPr>
          <w:rFonts w:cs="Arial"/>
          <w:color w:val="auto"/>
          <w:sz w:val="22"/>
        </w:rPr>
      </w:pPr>
      <w:r>
        <w:rPr>
          <w:rFonts w:cs="Arial"/>
          <w:color w:val="auto"/>
          <w:sz w:val="22"/>
        </w:rPr>
        <w:t>v</w:t>
      </w:r>
      <w:r w:rsidR="00466E5D" w:rsidRPr="00A55886">
        <w:rPr>
          <w:rFonts w:cs="Arial"/>
          <w:color w:val="auto"/>
          <w:sz w:val="22"/>
        </w:rPr>
        <w:t>erify that storage facilities are available and adequate for the class of chemicals and the quantity ordered.</w:t>
      </w:r>
    </w:p>
    <w:p w14:paraId="77099185" w14:textId="77777777" w:rsidR="00A57232" w:rsidRDefault="00A57232" w:rsidP="00466E5D">
      <w:pPr>
        <w:spacing w:before="120" w:after="120" w:line="240" w:lineRule="auto"/>
        <w:ind w:left="567"/>
        <w:rPr>
          <w:rFonts w:ascii="Arial" w:hAnsi="Arial" w:cs="Arial"/>
          <w:sz w:val="22"/>
        </w:rPr>
      </w:pPr>
    </w:p>
    <w:p w14:paraId="0B211B5A" w14:textId="77777777" w:rsidR="00A57232" w:rsidRDefault="00A57232" w:rsidP="00466E5D">
      <w:pPr>
        <w:spacing w:before="120" w:after="120" w:line="240" w:lineRule="auto"/>
        <w:ind w:left="567"/>
        <w:rPr>
          <w:rFonts w:ascii="Arial" w:hAnsi="Arial" w:cs="Arial"/>
          <w:sz w:val="22"/>
        </w:rPr>
      </w:pPr>
    </w:p>
    <w:p w14:paraId="28AFB7A7" w14:textId="77777777" w:rsidR="00A57232" w:rsidRDefault="00A57232" w:rsidP="00466E5D">
      <w:pPr>
        <w:spacing w:before="120" w:after="120" w:line="240" w:lineRule="auto"/>
        <w:ind w:left="567"/>
        <w:rPr>
          <w:rFonts w:ascii="Arial" w:hAnsi="Arial" w:cs="Arial"/>
          <w:sz w:val="22"/>
        </w:rPr>
      </w:pPr>
    </w:p>
    <w:p w14:paraId="4723F639" w14:textId="77777777" w:rsidR="00A57232" w:rsidRDefault="00A57232" w:rsidP="00466E5D">
      <w:pPr>
        <w:spacing w:before="120" w:after="120" w:line="240" w:lineRule="auto"/>
        <w:ind w:left="567"/>
        <w:rPr>
          <w:rFonts w:ascii="Arial" w:hAnsi="Arial" w:cs="Arial"/>
          <w:sz w:val="22"/>
        </w:rPr>
      </w:pPr>
    </w:p>
    <w:p w14:paraId="131D2991" w14:textId="77777777" w:rsidR="00A57232" w:rsidRDefault="00A57232" w:rsidP="00466E5D">
      <w:pPr>
        <w:spacing w:before="120" w:after="120" w:line="240" w:lineRule="auto"/>
        <w:ind w:left="567"/>
        <w:rPr>
          <w:rFonts w:ascii="Arial" w:hAnsi="Arial" w:cs="Arial"/>
          <w:sz w:val="22"/>
        </w:rPr>
      </w:pPr>
    </w:p>
    <w:p w14:paraId="32A595C1" w14:textId="77777777" w:rsidR="00A57232" w:rsidRDefault="00A57232" w:rsidP="00466E5D">
      <w:pPr>
        <w:spacing w:before="120" w:after="120" w:line="240" w:lineRule="auto"/>
        <w:ind w:left="567"/>
        <w:rPr>
          <w:rFonts w:ascii="Arial" w:hAnsi="Arial" w:cs="Arial"/>
          <w:sz w:val="22"/>
        </w:rPr>
      </w:pPr>
    </w:p>
    <w:p w14:paraId="5B066BA8" w14:textId="77777777" w:rsidR="00A57232" w:rsidRDefault="00A57232" w:rsidP="00466E5D">
      <w:pPr>
        <w:spacing w:before="120" w:after="120" w:line="240" w:lineRule="auto"/>
        <w:ind w:left="567"/>
        <w:rPr>
          <w:rFonts w:ascii="Arial" w:hAnsi="Arial" w:cs="Arial"/>
          <w:sz w:val="22"/>
        </w:rPr>
      </w:pPr>
    </w:p>
    <w:p w14:paraId="279DA5AB" w14:textId="77777777" w:rsidR="00A57232" w:rsidRDefault="00A57232" w:rsidP="00466E5D">
      <w:pPr>
        <w:spacing w:before="120" w:after="120" w:line="240" w:lineRule="auto"/>
        <w:ind w:left="567"/>
        <w:rPr>
          <w:rFonts w:ascii="Arial" w:hAnsi="Arial" w:cs="Arial"/>
          <w:sz w:val="22"/>
        </w:rPr>
      </w:pPr>
    </w:p>
    <w:p w14:paraId="42DC5D87" w14:textId="77777777" w:rsidR="00A57232" w:rsidRDefault="00A57232" w:rsidP="00466E5D">
      <w:pPr>
        <w:spacing w:before="120" w:after="120" w:line="240" w:lineRule="auto"/>
        <w:ind w:left="567"/>
        <w:rPr>
          <w:rFonts w:ascii="Arial" w:hAnsi="Arial" w:cs="Arial"/>
          <w:sz w:val="22"/>
        </w:rPr>
      </w:pPr>
    </w:p>
    <w:p w14:paraId="7182BCA7" w14:textId="77777777" w:rsidR="00A57232" w:rsidRDefault="00A57232" w:rsidP="00466E5D">
      <w:pPr>
        <w:spacing w:before="120" w:after="120" w:line="240" w:lineRule="auto"/>
        <w:ind w:left="567"/>
        <w:rPr>
          <w:rFonts w:ascii="Arial" w:hAnsi="Arial" w:cs="Arial"/>
          <w:sz w:val="22"/>
        </w:rPr>
      </w:pPr>
    </w:p>
    <w:p w14:paraId="00CABB03" w14:textId="77777777" w:rsidR="00A57232" w:rsidRDefault="00A57232" w:rsidP="00466E5D">
      <w:pPr>
        <w:spacing w:before="120" w:after="120" w:line="240" w:lineRule="auto"/>
        <w:ind w:left="567"/>
        <w:rPr>
          <w:rFonts w:ascii="Arial" w:hAnsi="Arial" w:cs="Arial"/>
          <w:sz w:val="22"/>
        </w:rPr>
      </w:pPr>
    </w:p>
    <w:p w14:paraId="304DE9EE" w14:textId="77777777" w:rsidR="00A57232" w:rsidRDefault="00A57232" w:rsidP="00466E5D">
      <w:pPr>
        <w:spacing w:before="120" w:after="120" w:line="240" w:lineRule="auto"/>
        <w:ind w:left="567"/>
        <w:rPr>
          <w:rFonts w:ascii="Arial" w:hAnsi="Arial" w:cs="Arial"/>
          <w:sz w:val="22"/>
        </w:rPr>
      </w:pPr>
    </w:p>
    <w:p w14:paraId="2A5E358E" w14:textId="77777777" w:rsidR="00A57232" w:rsidRDefault="00A57232" w:rsidP="00A57232">
      <w:pPr>
        <w:spacing w:before="120" w:after="120" w:line="240" w:lineRule="auto"/>
        <w:rPr>
          <w:rFonts w:ascii="Arial" w:hAnsi="Arial" w:cs="Arial"/>
          <w:sz w:val="22"/>
        </w:rPr>
      </w:pPr>
    </w:p>
    <w:p w14:paraId="7F4DBC66" w14:textId="77985768" w:rsidR="00466E5D" w:rsidRPr="00A55886" w:rsidRDefault="00466E5D" w:rsidP="00A57232">
      <w:pPr>
        <w:spacing w:before="120" w:after="120" w:line="240" w:lineRule="auto"/>
        <w:rPr>
          <w:rFonts w:ascii="Arial" w:hAnsi="Arial" w:cs="Arial"/>
          <w:sz w:val="22"/>
        </w:rPr>
      </w:pPr>
      <w:r w:rsidRPr="00A55886">
        <w:rPr>
          <w:rFonts w:ascii="Arial" w:hAnsi="Arial" w:cs="Arial"/>
          <w:sz w:val="22"/>
        </w:rPr>
        <w:lastRenderedPageBreak/>
        <w:t>Do not exceed a solid or liquid container or package quantity of:</w:t>
      </w:r>
    </w:p>
    <w:tbl>
      <w:tblPr>
        <w:tblStyle w:val="TableGrid"/>
        <w:tblW w:w="5106" w:type="pct"/>
        <w:tblLook w:val="04A0" w:firstRow="1" w:lastRow="0" w:firstColumn="1" w:lastColumn="0" w:noHBand="0" w:noVBand="1"/>
      </w:tblPr>
      <w:tblGrid>
        <w:gridCol w:w="2671"/>
        <w:gridCol w:w="2328"/>
        <w:gridCol w:w="2328"/>
        <w:gridCol w:w="3432"/>
      </w:tblGrid>
      <w:tr w:rsidR="00466E5D" w:rsidRPr="00A57232" w14:paraId="1C7D4469" w14:textId="77777777" w:rsidTr="00A57232">
        <w:trPr>
          <w:trHeight w:val="497"/>
          <w:tblHeader/>
        </w:trPr>
        <w:tc>
          <w:tcPr>
            <w:tcW w:w="1241" w:type="pct"/>
          </w:tcPr>
          <w:p w14:paraId="29B8A127" w14:textId="77777777" w:rsidR="00466E5D" w:rsidRPr="00A57232" w:rsidRDefault="00466E5D" w:rsidP="00EC05E9">
            <w:pPr>
              <w:rPr>
                <w:rFonts w:ascii="Arial" w:hAnsi="Arial" w:cs="Arial"/>
                <w:b/>
                <w:bCs/>
                <w:sz w:val="21"/>
                <w:szCs w:val="21"/>
              </w:rPr>
            </w:pPr>
            <w:r w:rsidRPr="00A57232">
              <w:rPr>
                <w:rFonts w:ascii="Arial" w:hAnsi="Arial" w:cs="Arial"/>
                <w:b/>
                <w:bCs/>
                <w:sz w:val="21"/>
                <w:szCs w:val="21"/>
              </w:rPr>
              <w:t>Substance Type / Class / Division</w:t>
            </w:r>
          </w:p>
        </w:tc>
        <w:tc>
          <w:tcPr>
            <w:tcW w:w="1082" w:type="pct"/>
          </w:tcPr>
          <w:p w14:paraId="2B0B2E2F" w14:textId="77777777" w:rsidR="00466E5D" w:rsidRPr="00A57232" w:rsidRDefault="00466E5D" w:rsidP="00EC05E9">
            <w:pPr>
              <w:rPr>
                <w:rFonts w:ascii="Arial" w:hAnsi="Arial" w:cs="Arial"/>
                <w:b/>
                <w:bCs/>
                <w:sz w:val="21"/>
                <w:szCs w:val="21"/>
              </w:rPr>
            </w:pPr>
            <w:r w:rsidRPr="00A57232">
              <w:rPr>
                <w:rFonts w:ascii="Arial" w:hAnsi="Arial" w:cs="Arial"/>
                <w:b/>
                <w:bCs/>
                <w:sz w:val="21"/>
                <w:szCs w:val="21"/>
              </w:rPr>
              <w:t>Maximum quantity allowed per 50m2</w:t>
            </w:r>
          </w:p>
        </w:tc>
        <w:tc>
          <w:tcPr>
            <w:tcW w:w="1082" w:type="pct"/>
          </w:tcPr>
          <w:p w14:paraId="66F792D2" w14:textId="77777777" w:rsidR="00466E5D" w:rsidRPr="00A57232" w:rsidRDefault="00466E5D" w:rsidP="00EC05E9">
            <w:pPr>
              <w:rPr>
                <w:rFonts w:ascii="Arial" w:hAnsi="Arial" w:cs="Arial"/>
                <w:b/>
                <w:bCs/>
                <w:sz w:val="21"/>
                <w:szCs w:val="21"/>
              </w:rPr>
            </w:pPr>
            <w:r w:rsidRPr="00A57232">
              <w:rPr>
                <w:rFonts w:ascii="Arial" w:hAnsi="Arial" w:cs="Arial"/>
                <w:b/>
                <w:bCs/>
                <w:sz w:val="21"/>
                <w:szCs w:val="21"/>
              </w:rPr>
              <w:t>Maximum pack size</w:t>
            </w:r>
          </w:p>
        </w:tc>
        <w:tc>
          <w:tcPr>
            <w:tcW w:w="1595" w:type="pct"/>
          </w:tcPr>
          <w:p w14:paraId="42C862A6" w14:textId="77777777" w:rsidR="00466E5D" w:rsidRPr="00A57232" w:rsidRDefault="00466E5D" w:rsidP="00EC05E9">
            <w:pPr>
              <w:rPr>
                <w:rFonts w:ascii="Arial" w:hAnsi="Arial" w:cs="Arial"/>
                <w:b/>
                <w:bCs/>
                <w:sz w:val="21"/>
                <w:szCs w:val="21"/>
              </w:rPr>
            </w:pPr>
            <w:r w:rsidRPr="00A57232">
              <w:rPr>
                <w:rFonts w:ascii="Arial" w:hAnsi="Arial" w:cs="Arial"/>
                <w:b/>
                <w:bCs/>
                <w:sz w:val="21"/>
                <w:szCs w:val="21"/>
              </w:rPr>
              <w:t>Storage conditions</w:t>
            </w:r>
          </w:p>
        </w:tc>
      </w:tr>
      <w:tr w:rsidR="00466E5D" w:rsidRPr="00A57232" w14:paraId="797124E7" w14:textId="77777777" w:rsidTr="00A57232">
        <w:trPr>
          <w:trHeight w:val="247"/>
          <w:tblHeader/>
        </w:trPr>
        <w:tc>
          <w:tcPr>
            <w:tcW w:w="1241" w:type="pct"/>
          </w:tcPr>
          <w:p w14:paraId="0CB63C46" w14:textId="77777777" w:rsidR="00466E5D" w:rsidRPr="00A57232" w:rsidRDefault="00466E5D" w:rsidP="00EC05E9">
            <w:pPr>
              <w:rPr>
                <w:rFonts w:ascii="Arial" w:hAnsi="Arial" w:cs="Arial"/>
                <w:sz w:val="21"/>
                <w:szCs w:val="21"/>
              </w:rPr>
            </w:pPr>
            <w:r w:rsidRPr="00A57232">
              <w:rPr>
                <w:rFonts w:ascii="Arial" w:hAnsi="Arial" w:cs="Arial"/>
                <w:sz w:val="21"/>
                <w:szCs w:val="21"/>
              </w:rPr>
              <w:t>Class 3 primary or sub-risk</w:t>
            </w:r>
          </w:p>
        </w:tc>
        <w:tc>
          <w:tcPr>
            <w:tcW w:w="1082" w:type="pct"/>
          </w:tcPr>
          <w:p w14:paraId="463311E3" w14:textId="77777777" w:rsidR="00466E5D" w:rsidRPr="00A57232" w:rsidRDefault="00466E5D" w:rsidP="00EC05E9">
            <w:pPr>
              <w:rPr>
                <w:rFonts w:ascii="Arial" w:hAnsi="Arial" w:cs="Arial"/>
                <w:sz w:val="21"/>
                <w:szCs w:val="21"/>
              </w:rPr>
            </w:pPr>
            <w:r w:rsidRPr="00A57232">
              <w:rPr>
                <w:rFonts w:ascii="Arial" w:hAnsi="Arial" w:cs="Arial"/>
                <w:sz w:val="21"/>
                <w:szCs w:val="21"/>
              </w:rPr>
              <w:t>10L or kg</w:t>
            </w:r>
          </w:p>
        </w:tc>
        <w:tc>
          <w:tcPr>
            <w:tcW w:w="1082" w:type="pct"/>
          </w:tcPr>
          <w:p w14:paraId="3041FDBE" w14:textId="77777777" w:rsidR="00466E5D" w:rsidRPr="00A57232" w:rsidRDefault="00466E5D" w:rsidP="00EC05E9">
            <w:pPr>
              <w:rPr>
                <w:rFonts w:ascii="Arial" w:hAnsi="Arial" w:cs="Arial"/>
                <w:sz w:val="21"/>
                <w:szCs w:val="21"/>
              </w:rPr>
            </w:pPr>
            <w:r w:rsidRPr="00A57232">
              <w:rPr>
                <w:rFonts w:ascii="Arial" w:hAnsi="Arial" w:cs="Arial"/>
                <w:sz w:val="21"/>
                <w:szCs w:val="21"/>
              </w:rPr>
              <w:t>*5L or kg</w:t>
            </w:r>
          </w:p>
        </w:tc>
        <w:tc>
          <w:tcPr>
            <w:tcW w:w="1595" w:type="pct"/>
            <w:vMerge w:val="restart"/>
          </w:tcPr>
          <w:p w14:paraId="6EB0386A" w14:textId="77777777" w:rsidR="00466E5D" w:rsidRPr="00A57232" w:rsidRDefault="00466E5D" w:rsidP="00EC05E9">
            <w:pPr>
              <w:rPr>
                <w:rFonts w:ascii="Arial" w:hAnsi="Arial" w:cs="Arial"/>
                <w:sz w:val="21"/>
                <w:szCs w:val="21"/>
              </w:rPr>
            </w:pPr>
            <w:r w:rsidRPr="00A57232">
              <w:rPr>
                <w:rFonts w:ascii="Arial" w:hAnsi="Arial" w:cs="Arial"/>
                <w:sz w:val="21"/>
                <w:szCs w:val="21"/>
              </w:rPr>
              <w:t>Can be stored in a labelled standard laboratory cupboard or in small amounts throughout the laboratory</w:t>
            </w:r>
          </w:p>
        </w:tc>
      </w:tr>
      <w:tr w:rsidR="00466E5D" w:rsidRPr="00A57232" w14:paraId="470F39ED" w14:textId="77777777" w:rsidTr="00A57232">
        <w:trPr>
          <w:trHeight w:val="744"/>
          <w:tblHeader/>
        </w:trPr>
        <w:tc>
          <w:tcPr>
            <w:tcW w:w="1241" w:type="pct"/>
          </w:tcPr>
          <w:p w14:paraId="04A1AF6D" w14:textId="77777777" w:rsidR="00466E5D" w:rsidRPr="00A57232" w:rsidRDefault="00466E5D" w:rsidP="00EC05E9">
            <w:pPr>
              <w:rPr>
                <w:rFonts w:ascii="Arial" w:hAnsi="Arial" w:cs="Arial"/>
                <w:sz w:val="21"/>
                <w:szCs w:val="21"/>
              </w:rPr>
            </w:pPr>
            <w:r w:rsidRPr="00A57232">
              <w:rPr>
                <w:rFonts w:ascii="Arial" w:hAnsi="Arial" w:cs="Arial"/>
                <w:sz w:val="21"/>
                <w:szCs w:val="21"/>
              </w:rPr>
              <w:t>Combustible liquids</w:t>
            </w:r>
          </w:p>
        </w:tc>
        <w:tc>
          <w:tcPr>
            <w:tcW w:w="1082" w:type="pct"/>
          </w:tcPr>
          <w:p w14:paraId="49D3A5AA" w14:textId="77777777" w:rsidR="00466E5D" w:rsidRPr="00A57232" w:rsidRDefault="00466E5D" w:rsidP="00EC05E9">
            <w:pPr>
              <w:rPr>
                <w:rFonts w:ascii="Arial" w:hAnsi="Arial" w:cs="Arial"/>
                <w:sz w:val="21"/>
                <w:szCs w:val="21"/>
              </w:rPr>
            </w:pPr>
            <w:r w:rsidRPr="00A57232">
              <w:rPr>
                <w:rFonts w:ascii="Arial" w:hAnsi="Arial" w:cs="Arial"/>
                <w:sz w:val="21"/>
                <w:szCs w:val="21"/>
              </w:rPr>
              <w:t>50L</w:t>
            </w:r>
          </w:p>
        </w:tc>
        <w:tc>
          <w:tcPr>
            <w:tcW w:w="1082" w:type="pct"/>
          </w:tcPr>
          <w:p w14:paraId="57874605" w14:textId="77777777" w:rsidR="00466E5D" w:rsidRPr="00A57232" w:rsidRDefault="00466E5D" w:rsidP="00EC05E9">
            <w:pPr>
              <w:rPr>
                <w:rFonts w:ascii="Arial" w:hAnsi="Arial" w:cs="Arial"/>
                <w:sz w:val="21"/>
                <w:szCs w:val="21"/>
              </w:rPr>
            </w:pPr>
            <w:r w:rsidRPr="00A57232">
              <w:rPr>
                <w:rFonts w:ascii="Arial" w:hAnsi="Arial" w:cs="Arial"/>
                <w:sz w:val="21"/>
                <w:szCs w:val="21"/>
              </w:rPr>
              <w:t>20L</w:t>
            </w:r>
          </w:p>
        </w:tc>
        <w:tc>
          <w:tcPr>
            <w:tcW w:w="1595" w:type="pct"/>
            <w:vMerge/>
          </w:tcPr>
          <w:p w14:paraId="7B9610CB" w14:textId="77777777" w:rsidR="00466E5D" w:rsidRPr="00A57232" w:rsidRDefault="00466E5D" w:rsidP="00EC05E9">
            <w:pPr>
              <w:rPr>
                <w:rFonts w:ascii="Arial" w:hAnsi="Arial" w:cs="Arial"/>
                <w:sz w:val="21"/>
                <w:szCs w:val="21"/>
              </w:rPr>
            </w:pPr>
          </w:p>
        </w:tc>
      </w:tr>
      <w:tr w:rsidR="00466E5D" w:rsidRPr="00A57232" w14:paraId="4B140ECE" w14:textId="77777777" w:rsidTr="00A57232">
        <w:trPr>
          <w:trHeight w:val="1013"/>
          <w:tblHeader/>
        </w:trPr>
        <w:tc>
          <w:tcPr>
            <w:tcW w:w="1241" w:type="pct"/>
          </w:tcPr>
          <w:p w14:paraId="2E2E0E71" w14:textId="77777777" w:rsidR="00466E5D" w:rsidRPr="00A57232" w:rsidRDefault="00466E5D" w:rsidP="00EC05E9">
            <w:pPr>
              <w:rPr>
                <w:rFonts w:ascii="Arial" w:hAnsi="Arial" w:cs="Arial"/>
                <w:sz w:val="21"/>
                <w:szCs w:val="21"/>
              </w:rPr>
            </w:pPr>
            <w:r w:rsidRPr="00A57232">
              <w:rPr>
                <w:rFonts w:ascii="Arial" w:hAnsi="Arial" w:cs="Arial"/>
                <w:sz w:val="21"/>
                <w:szCs w:val="21"/>
              </w:rPr>
              <w:t>Divisions 4.1, 4.2, 4.3, 5.1 or 5.2</w:t>
            </w:r>
          </w:p>
        </w:tc>
        <w:tc>
          <w:tcPr>
            <w:tcW w:w="1082" w:type="pct"/>
          </w:tcPr>
          <w:p w14:paraId="37ECDA9F" w14:textId="77777777" w:rsidR="00466E5D" w:rsidRPr="00A57232" w:rsidRDefault="00466E5D" w:rsidP="00EC05E9">
            <w:pPr>
              <w:rPr>
                <w:rFonts w:ascii="Arial" w:hAnsi="Arial" w:cs="Arial"/>
                <w:sz w:val="21"/>
                <w:szCs w:val="21"/>
              </w:rPr>
            </w:pPr>
            <w:r w:rsidRPr="00A57232">
              <w:rPr>
                <w:rFonts w:ascii="Arial" w:hAnsi="Arial" w:cs="Arial"/>
                <w:sz w:val="21"/>
                <w:szCs w:val="21"/>
              </w:rPr>
              <w:t>20L or kg</w:t>
            </w:r>
          </w:p>
          <w:p w14:paraId="148BC9E0" w14:textId="77777777" w:rsidR="00466E5D" w:rsidRPr="00A57232" w:rsidRDefault="00466E5D" w:rsidP="00EC05E9">
            <w:pPr>
              <w:rPr>
                <w:rFonts w:ascii="Arial" w:hAnsi="Arial" w:cs="Arial"/>
                <w:sz w:val="21"/>
                <w:szCs w:val="21"/>
              </w:rPr>
            </w:pPr>
            <w:r w:rsidRPr="00A57232">
              <w:rPr>
                <w:rFonts w:ascii="Arial" w:hAnsi="Arial" w:cs="Arial"/>
                <w:sz w:val="21"/>
                <w:szCs w:val="21"/>
              </w:rPr>
              <w:t>(but less than 10L or kg of any one division)</w:t>
            </w:r>
          </w:p>
        </w:tc>
        <w:tc>
          <w:tcPr>
            <w:tcW w:w="1082" w:type="pct"/>
          </w:tcPr>
          <w:p w14:paraId="51CC4E1F" w14:textId="77777777" w:rsidR="00466E5D" w:rsidRPr="00A57232" w:rsidRDefault="00466E5D" w:rsidP="00EC05E9">
            <w:pPr>
              <w:rPr>
                <w:rFonts w:ascii="Arial" w:hAnsi="Arial" w:cs="Arial"/>
                <w:sz w:val="21"/>
                <w:szCs w:val="21"/>
              </w:rPr>
            </w:pPr>
            <w:r w:rsidRPr="00A57232">
              <w:rPr>
                <w:rFonts w:ascii="Arial" w:hAnsi="Arial" w:cs="Arial"/>
                <w:sz w:val="21"/>
                <w:szCs w:val="21"/>
              </w:rPr>
              <w:t>10L or kg</w:t>
            </w:r>
          </w:p>
        </w:tc>
        <w:tc>
          <w:tcPr>
            <w:tcW w:w="1595" w:type="pct"/>
          </w:tcPr>
          <w:p w14:paraId="25DDDA7F" w14:textId="77777777" w:rsidR="00466E5D" w:rsidRPr="00A57232" w:rsidRDefault="00466E5D" w:rsidP="00EC05E9">
            <w:pPr>
              <w:rPr>
                <w:rFonts w:ascii="Arial" w:hAnsi="Arial" w:cs="Arial"/>
                <w:sz w:val="21"/>
                <w:szCs w:val="21"/>
              </w:rPr>
            </w:pPr>
            <w:r w:rsidRPr="00A57232">
              <w:rPr>
                <w:rFonts w:ascii="Arial" w:hAnsi="Arial" w:cs="Arial"/>
                <w:sz w:val="21"/>
                <w:szCs w:val="21"/>
              </w:rPr>
              <w:t>Can be stored in a labelled standard laboratory cupboard for classes 4.1, 4.3 and 5.1 in small amounts throughout the laboratory</w:t>
            </w:r>
          </w:p>
        </w:tc>
      </w:tr>
      <w:tr w:rsidR="00466E5D" w:rsidRPr="00A57232" w14:paraId="00865B39" w14:textId="77777777" w:rsidTr="00A57232">
        <w:trPr>
          <w:trHeight w:val="497"/>
          <w:tblHeader/>
        </w:trPr>
        <w:tc>
          <w:tcPr>
            <w:tcW w:w="1241" w:type="pct"/>
          </w:tcPr>
          <w:p w14:paraId="5B88D86A" w14:textId="77777777" w:rsidR="00466E5D" w:rsidRPr="00A57232" w:rsidRDefault="00466E5D" w:rsidP="00EC05E9">
            <w:pPr>
              <w:rPr>
                <w:rFonts w:ascii="Arial" w:hAnsi="Arial" w:cs="Arial"/>
                <w:sz w:val="21"/>
                <w:szCs w:val="21"/>
              </w:rPr>
            </w:pPr>
            <w:r w:rsidRPr="00A57232">
              <w:rPr>
                <w:rFonts w:ascii="Arial" w:hAnsi="Arial" w:cs="Arial"/>
                <w:sz w:val="21"/>
                <w:szCs w:val="21"/>
              </w:rPr>
              <w:t>Division 6.1</w:t>
            </w:r>
          </w:p>
        </w:tc>
        <w:tc>
          <w:tcPr>
            <w:tcW w:w="1082" w:type="pct"/>
          </w:tcPr>
          <w:p w14:paraId="2BE343B5" w14:textId="77777777" w:rsidR="00466E5D" w:rsidRPr="00A57232" w:rsidRDefault="00466E5D" w:rsidP="00EC05E9">
            <w:pPr>
              <w:rPr>
                <w:rFonts w:ascii="Arial" w:hAnsi="Arial" w:cs="Arial"/>
                <w:sz w:val="21"/>
                <w:szCs w:val="21"/>
              </w:rPr>
            </w:pPr>
            <w:r w:rsidRPr="00A57232">
              <w:rPr>
                <w:rFonts w:ascii="Arial" w:hAnsi="Arial" w:cs="Arial"/>
                <w:sz w:val="21"/>
                <w:szCs w:val="21"/>
              </w:rPr>
              <w:t>10L or kg for PGI</w:t>
            </w:r>
          </w:p>
          <w:p w14:paraId="48A9517E" w14:textId="77777777" w:rsidR="00466E5D" w:rsidRPr="00A57232" w:rsidRDefault="00466E5D" w:rsidP="00EC05E9">
            <w:pPr>
              <w:rPr>
                <w:rFonts w:ascii="Arial" w:hAnsi="Arial" w:cs="Arial"/>
                <w:sz w:val="21"/>
                <w:szCs w:val="21"/>
              </w:rPr>
            </w:pPr>
            <w:r w:rsidRPr="00A57232">
              <w:rPr>
                <w:rFonts w:ascii="Arial" w:hAnsi="Arial" w:cs="Arial"/>
                <w:sz w:val="21"/>
                <w:szCs w:val="21"/>
              </w:rPr>
              <w:t>50L or kg for other</w:t>
            </w:r>
          </w:p>
        </w:tc>
        <w:tc>
          <w:tcPr>
            <w:tcW w:w="1082" w:type="pct"/>
          </w:tcPr>
          <w:p w14:paraId="22A82757" w14:textId="77777777" w:rsidR="00466E5D" w:rsidRPr="00A57232" w:rsidRDefault="00466E5D" w:rsidP="00EC05E9">
            <w:pPr>
              <w:rPr>
                <w:rFonts w:ascii="Arial" w:hAnsi="Arial" w:cs="Arial"/>
                <w:sz w:val="21"/>
                <w:szCs w:val="21"/>
              </w:rPr>
            </w:pPr>
            <w:r w:rsidRPr="00A57232">
              <w:rPr>
                <w:rFonts w:ascii="Arial" w:hAnsi="Arial" w:cs="Arial"/>
                <w:sz w:val="21"/>
                <w:szCs w:val="21"/>
              </w:rPr>
              <w:t>10L or kg for PGI</w:t>
            </w:r>
          </w:p>
          <w:p w14:paraId="27FA02E8" w14:textId="77777777" w:rsidR="00466E5D" w:rsidRPr="00A57232" w:rsidRDefault="00466E5D" w:rsidP="00EC05E9">
            <w:pPr>
              <w:rPr>
                <w:rFonts w:ascii="Arial" w:hAnsi="Arial" w:cs="Arial"/>
                <w:sz w:val="21"/>
                <w:szCs w:val="21"/>
              </w:rPr>
            </w:pPr>
            <w:r w:rsidRPr="00A57232">
              <w:rPr>
                <w:rFonts w:ascii="Arial" w:hAnsi="Arial" w:cs="Arial"/>
                <w:sz w:val="21"/>
                <w:szCs w:val="21"/>
              </w:rPr>
              <w:t>20L or kg for other</w:t>
            </w:r>
          </w:p>
        </w:tc>
        <w:tc>
          <w:tcPr>
            <w:tcW w:w="1595" w:type="pct"/>
            <w:vMerge w:val="restart"/>
          </w:tcPr>
          <w:p w14:paraId="3D4E5101" w14:textId="77777777" w:rsidR="00466E5D" w:rsidRPr="00A57232" w:rsidRDefault="00466E5D" w:rsidP="00EC05E9">
            <w:pPr>
              <w:rPr>
                <w:rFonts w:ascii="Arial" w:hAnsi="Arial" w:cs="Arial"/>
                <w:sz w:val="21"/>
                <w:szCs w:val="21"/>
              </w:rPr>
            </w:pPr>
            <w:r w:rsidRPr="00A57232">
              <w:rPr>
                <w:rFonts w:ascii="Arial" w:hAnsi="Arial" w:cs="Arial"/>
                <w:sz w:val="21"/>
                <w:szCs w:val="21"/>
              </w:rPr>
              <w:t xml:space="preserve">Can be stored in a labelled standard laboratory cupboard or in small amounts throughout the laboratory </w:t>
            </w:r>
          </w:p>
        </w:tc>
      </w:tr>
      <w:tr w:rsidR="00466E5D" w:rsidRPr="00A57232" w14:paraId="32D9BC47" w14:textId="77777777" w:rsidTr="00A57232">
        <w:trPr>
          <w:trHeight w:val="497"/>
          <w:tblHeader/>
        </w:trPr>
        <w:tc>
          <w:tcPr>
            <w:tcW w:w="1241" w:type="pct"/>
          </w:tcPr>
          <w:p w14:paraId="3D66549A" w14:textId="77777777" w:rsidR="00466E5D" w:rsidRPr="00A57232" w:rsidRDefault="00466E5D" w:rsidP="00EC05E9">
            <w:pPr>
              <w:rPr>
                <w:rFonts w:ascii="Arial" w:hAnsi="Arial" w:cs="Arial"/>
                <w:sz w:val="21"/>
                <w:szCs w:val="21"/>
              </w:rPr>
            </w:pPr>
            <w:r w:rsidRPr="00A57232">
              <w:rPr>
                <w:rFonts w:ascii="Arial" w:hAnsi="Arial" w:cs="Arial"/>
                <w:sz w:val="21"/>
                <w:szCs w:val="21"/>
              </w:rPr>
              <w:t>Class 8</w:t>
            </w:r>
          </w:p>
        </w:tc>
        <w:tc>
          <w:tcPr>
            <w:tcW w:w="1082" w:type="pct"/>
          </w:tcPr>
          <w:p w14:paraId="19C868F2" w14:textId="77777777" w:rsidR="00466E5D" w:rsidRPr="00A57232" w:rsidRDefault="00466E5D" w:rsidP="00EC05E9">
            <w:pPr>
              <w:rPr>
                <w:rFonts w:ascii="Arial" w:hAnsi="Arial" w:cs="Arial"/>
                <w:sz w:val="21"/>
                <w:szCs w:val="21"/>
              </w:rPr>
            </w:pPr>
            <w:r w:rsidRPr="00A57232">
              <w:rPr>
                <w:rFonts w:ascii="Arial" w:hAnsi="Arial" w:cs="Arial"/>
                <w:sz w:val="21"/>
                <w:szCs w:val="21"/>
              </w:rPr>
              <w:t>20L for liquids</w:t>
            </w:r>
          </w:p>
          <w:p w14:paraId="386ED86B" w14:textId="77777777" w:rsidR="00466E5D" w:rsidRPr="00A57232" w:rsidRDefault="00466E5D" w:rsidP="00EC05E9">
            <w:pPr>
              <w:rPr>
                <w:rFonts w:ascii="Arial" w:hAnsi="Arial" w:cs="Arial"/>
                <w:sz w:val="21"/>
                <w:szCs w:val="21"/>
              </w:rPr>
            </w:pPr>
            <w:r w:rsidRPr="00A57232">
              <w:rPr>
                <w:rFonts w:ascii="Arial" w:hAnsi="Arial" w:cs="Arial"/>
                <w:sz w:val="21"/>
                <w:szCs w:val="21"/>
              </w:rPr>
              <w:t>50kg for solids</w:t>
            </w:r>
          </w:p>
        </w:tc>
        <w:tc>
          <w:tcPr>
            <w:tcW w:w="1082" w:type="pct"/>
          </w:tcPr>
          <w:p w14:paraId="0F7145CF" w14:textId="77777777" w:rsidR="00466E5D" w:rsidRPr="00A57232" w:rsidRDefault="00466E5D" w:rsidP="00EC05E9">
            <w:pPr>
              <w:rPr>
                <w:rFonts w:ascii="Arial" w:hAnsi="Arial" w:cs="Arial"/>
                <w:sz w:val="21"/>
                <w:szCs w:val="21"/>
              </w:rPr>
            </w:pPr>
            <w:r w:rsidRPr="00A57232">
              <w:rPr>
                <w:rFonts w:ascii="Arial" w:hAnsi="Arial" w:cs="Arial"/>
                <w:sz w:val="21"/>
                <w:szCs w:val="21"/>
              </w:rPr>
              <w:t>20L or kg</w:t>
            </w:r>
          </w:p>
        </w:tc>
        <w:tc>
          <w:tcPr>
            <w:tcW w:w="1595" w:type="pct"/>
            <w:vMerge/>
          </w:tcPr>
          <w:p w14:paraId="078FCDE0" w14:textId="77777777" w:rsidR="00466E5D" w:rsidRPr="00A57232" w:rsidRDefault="00466E5D" w:rsidP="00EC05E9">
            <w:pPr>
              <w:rPr>
                <w:rFonts w:ascii="Arial" w:hAnsi="Arial" w:cs="Arial"/>
                <w:sz w:val="21"/>
                <w:szCs w:val="21"/>
              </w:rPr>
            </w:pPr>
          </w:p>
        </w:tc>
      </w:tr>
      <w:tr w:rsidR="00466E5D" w:rsidRPr="00A57232" w14:paraId="6619D6E7" w14:textId="77777777" w:rsidTr="00A57232">
        <w:trPr>
          <w:trHeight w:val="497"/>
          <w:tblHeader/>
        </w:trPr>
        <w:tc>
          <w:tcPr>
            <w:tcW w:w="1241" w:type="pct"/>
          </w:tcPr>
          <w:p w14:paraId="6618C895" w14:textId="77777777" w:rsidR="00466E5D" w:rsidRPr="00A57232" w:rsidRDefault="00466E5D" w:rsidP="00EC05E9">
            <w:pPr>
              <w:rPr>
                <w:rFonts w:ascii="Arial" w:hAnsi="Arial" w:cs="Arial"/>
                <w:sz w:val="21"/>
                <w:szCs w:val="21"/>
              </w:rPr>
            </w:pPr>
            <w:r w:rsidRPr="00A57232">
              <w:rPr>
                <w:rFonts w:ascii="Arial" w:hAnsi="Arial" w:cs="Arial"/>
                <w:sz w:val="21"/>
                <w:szCs w:val="21"/>
              </w:rPr>
              <w:t>Class 9 and aerosols</w:t>
            </w:r>
          </w:p>
        </w:tc>
        <w:tc>
          <w:tcPr>
            <w:tcW w:w="1082" w:type="pct"/>
          </w:tcPr>
          <w:p w14:paraId="5FD3DF55" w14:textId="77777777" w:rsidR="00466E5D" w:rsidRPr="00A57232" w:rsidRDefault="00466E5D" w:rsidP="00EC05E9">
            <w:pPr>
              <w:rPr>
                <w:rFonts w:ascii="Arial" w:hAnsi="Arial" w:cs="Arial"/>
                <w:sz w:val="21"/>
                <w:szCs w:val="21"/>
              </w:rPr>
            </w:pPr>
            <w:r w:rsidRPr="00A57232">
              <w:rPr>
                <w:rFonts w:ascii="Arial" w:hAnsi="Arial" w:cs="Arial"/>
                <w:sz w:val="21"/>
                <w:szCs w:val="21"/>
              </w:rPr>
              <w:t>50L for liquids</w:t>
            </w:r>
          </w:p>
          <w:p w14:paraId="5E2BAC99" w14:textId="77777777" w:rsidR="00466E5D" w:rsidRPr="00A57232" w:rsidRDefault="00466E5D" w:rsidP="00EC05E9">
            <w:pPr>
              <w:rPr>
                <w:rFonts w:ascii="Arial" w:hAnsi="Arial" w:cs="Arial"/>
                <w:sz w:val="21"/>
                <w:szCs w:val="21"/>
              </w:rPr>
            </w:pPr>
            <w:r w:rsidRPr="00A57232">
              <w:rPr>
                <w:rFonts w:ascii="Arial" w:hAnsi="Arial" w:cs="Arial"/>
                <w:sz w:val="21"/>
                <w:szCs w:val="21"/>
              </w:rPr>
              <w:t>100kg for solids</w:t>
            </w:r>
          </w:p>
        </w:tc>
        <w:tc>
          <w:tcPr>
            <w:tcW w:w="1082" w:type="pct"/>
          </w:tcPr>
          <w:p w14:paraId="4C8958ED" w14:textId="77777777" w:rsidR="00466E5D" w:rsidRPr="00A57232" w:rsidRDefault="00466E5D" w:rsidP="00EC05E9">
            <w:pPr>
              <w:rPr>
                <w:rFonts w:ascii="Arial" w:hAnsi="Arial" w:cs="Arial"/>
                <w:sz w:val="21"/>
                <w:szCs w:val="21"/>
              </w:rPr>
            </w:pPr>
            <w:r w:rsidRPr="00A57232">
              <w:rPr>
                <w:rFonts w:ascii="Arial" w:hAnsi="Arial" w:cs="Arial"/>
                <w:sz w:val="21"/>
                <w:szCs w:val="21"/>
              </w:rPr>
              <w:t>5L for liquids</w:t>
            </w:r>
          </w:p>
          <w:p w14:paraId="4C2552CA" w14:textId="77777777" w:rsidR="00466E5D" w:rsidRPr="00A57232" w:rsidRDefault="00466E5D" w:rsidP="00EC05E9">
            <w:pPr>
              <w:rPr>
                <w:rFonts w:ascii="Arial" w:hAnsi="Arial" w:cs="Arial"/>
                <w:sz w:val="21"/>
                <w:szCs w:val="21"/>
              </w:rPr>
            </w:pPr>
            <w:r w:rsidRPr="00A57232">
              <w:rPr>
                <w:rFonts w:ascii="Arial" w:hAnsi="Arial" w:cs="Arial"/>
                <w:sz w:val="21"/>
                <w:szCs w:val="21"/>
              </w:rPr>
              <w:t>20kg for solids</w:t>
            </w:r>
          </w:p>
        </w:tc>
        <w:tc>
          <w:tcPr>
            <w:tcW w:w="1595" w:type="pct"/>
            <w:vMerge/>
          </w:tcPr>
          <w:p w14:paraId="4EE5EF4A" w14:textId="77777777" w:rsidR="00466E5D" w:rsidRPr="00A57232" w:rsidRDefault="00466E5D" w:rsidP="00EC05E9">
            <w:pPr>
              <w:rPr>
                <w:rFonts w:ascii="Arial" w:hAnsi="Arial" w:cs="Arial"/>
                <w:sz w:val="21"/>
                <w:szCs w:val="21"/>
              </w:rPr>
            </w:pPr>
          </w:p>
        </w:tc>
      </w:tr>
      <w:tr w:rsidR="00466E5D" w:rsidRPr="00A57232" w14:paraId="35F2EB53" w14:textId="77777777" w:rsidTr="00A57232">
        <w:trPr>
          <w:trHeight w:val="497"/>
          <w:tblHeader/>
        </w:trPr>
        <w:tc>
          <w:tcPr>
            <w:tcW w:w="1241" w:type="pct"/>
          </w:tcPr>
          <w:p w14:paraId="085640C6" w14:textId="77777777" w:rsidR="00466E5D" w:rsidRPr="00A57232" w:rsidRDefault="00466E5D" w:rsidP="00EC05E9">
            <w:pPr>
              <w:rPr>
                <w:rFonts w:ascii="Arial" w:hAnsi="Arial" w:cs="Arial"/>
                <w:sz w:val="21"/>
                <w:szCs w:val="21"/>
              </w:rPr>
            </w:pPr>
            <w:r w:rsidRPr="00A57232">
              <w:rPr>
                <w:rFonts w:ascii="Arial" w:hAnsi="Arial" w:cs="Arial"/>
                <w:sz w:val="21"/>
                <w:szCs w:val="21"/>
              </w:rPr>
              <w:t>Maximum aggregate quantity</w:t>
            </w:r>
          </w:p>
        </w:tc>
        <w:tc>
          <w:tcPr>
            <w:tcW w:w="1082" w:type="pct"/>
          </w:tcPr>
          <w:p w14:paraId="6FFFB223" w14:textId="77777777" w:rsidR="00466E5D" w:rsidRPr="00A57232" w:rsidRDefault="00466E5D" w:rsidP="00EC05E9">
            <w:pPr>
              <w:rPr>
                <w:rFonts w:ascii="Arial" w:hAnsi="Arial" w:cs="Arial"/>
                <w:sz w:val="21"/>
                <w:szCs w:val="21"/>
              </w:rPr>
            </w:pPr>
            <w:r w:rsidRPr="00A57232">
              <w:rPr>
                <w:rFonts w:ascii="Arial" w:hAnsi="Arial" w:cs="Arial"/>
                <w:sz w:val="21"/>
                <w:szCs w:val="21"/>
              </w:rPr>
              <w:t>200 L or kg</w:t>
            </w:r>
          </w:p>
        </w:tc>
        <w:tc>
          <w:tcPr>
            <w:tcW w:w="1082" w:type="pct"/>
          </w:tcPr>
          <w:p w14:paraId="3F61CA1F" w14:textId="77777777" w:rsidR="00466E5D" w:rsidRPr="00A57232" w:rsidRDefault="00466E5D" w:rsidP="00EC05E9">
            <w:pPr>
              <w:rPr>
                <w:rFonts w:ascii="Arial" w:hAnsi="Arial" w:cs="Arial"/>
                <w:sz w:val="21"/>
                <w:szCs w:val="21"/>
              </w:rPr>
            </w:pPr>
            <w:r w:rsidRPr="00A57232">
              <w:rPr>
                <w:rFonts w:ascii="Arial" w:hAnsi="Arial" w:cs="Arial"/>
                <w:sz w:val="21"/>
                <w:szCs w:val="21"/>
              </w:rPr>
              <w:t>-</w:t>
            </w:r>
          </w:p>
        </w:tc>
        <w:tc>
          <w:tcPr>
            <w:tcW w:w="1595" w:type="pct"/>
          </w:tcPr>
          <w:p w14:paraId="2593E633" w14:textId="77777777" w:rsidR="00466E5D" w:rsidRPr="00A57232" w:rsidRDefault="00466E5D" w:rsidP="00EC05E9">
            <w:pPr>
              <w:rPr>
                <w:rFonts w:ascii="Arial" w:hAnsi="Arial" w:cs="Arial"/>
                <w:sz w:val="21"/>
                <w:szCs w:val="21"/>
              </w:rPr>
            </w:pPr>
            <w:r w:rsidRPr="00A57232">
              <w:rPr>
                <w:rFonts w:ascii="Arial" w:hAnsi="Arial" w:cs="Arial"/>
                <w:sz w:val="21"/>
                <w:szCs w:val="21"/>
              </w:rPr>
              <w:t>-</w:t>
            </w:r>
          </w:p>
        </w:tc>
      </w:tr>
      <w:tr w:rsidR="00466E5D" w:rsidRPr="00A57232" w14:paraId="5A2E2E49" w14:textId="77777777" w:rsidTr="00A57232">
        <w:trPr>
          <w:trHeight w:val="1013"/>
          <w:tblHeader/>
        </w:trPr>
        <w:tc>
          <w:tcPr>
            <w:tcW w:w="1241" w:type="pct"/>
          </w:tcPr>
          <w:p w14:paraId="433A9CDA" w14:textId="77777777" w:rsidR="00466E5D" w:rsidRPr="00A57232" w:rsidRDefault="00466E5D" w:rsidP="00EC05E9">
            <w:pPr>
              <w:rPr>
                <w:rFonts w:ascii="Arial" w:hAnsi="Arial" w:cs="Arial"/>
                <w:sz w:val="21"/>
                <w:szCs w:val="21"/>
              </w:rPr>
            </w:pPr>
            <w:r w:rsidRPr="00A57232">
              <w:rPr>
                <w:rFonts w:ascii="Arial" w:hAnsi="Arial" w:cs="Arial"/>
                <w:sz w:val="21"/>
                <w:szCs w:val="21"/>
              </w:rPr>
              <w:t>Other chemicals</w:t>
            </w:r>
          </w:p>
        </w:tc>
        <w:tc>
          <w:tcPr>
            <w:tcW w:w="1082" w:type="pct"/>
          </w:tcPr>
          <w:p w14:paraId="3AA03EE6" w14:textId="77777777" w:rsidR="00466E5D" w:rsidRPr="00A57232" w:rsidRDefault="00466E5D" w:rsidP="00EC05E9">
            <w:pPr>
              <w:rPr>
                <w:rFonts w:ascii="Arial" w:hAnsi="Arial" w:cs="Arial"/>
                <w:sz w:val="21"/>
                <w:szCs w:val="21"/>
              </w:rPr>
            </w:pPr>
            <w:r w:rsidRPr="00A57232">
              <w:rPr>
                <w:rFonts w:ascii="Arial" w:hAnsi="Arial" w:cs="Arial"/>
                <w:sz w:val="21"/>
                <w:szCs w:val="21"/>
              </w:rPr>
              <w:t>-</w:t>
            </w:r>
          </w:p>
        </w:tc>
        <w:tc>
          <w:tcPr>
            <w:tcW w:w="1082" w:type="pct"/>
          </w:tcPr>
          <w:p w14:paraId="3099C004" w14:textId="77777777" w:rsidR="00466E5D" w:rsidRPr="00A57232" w:rsidRDefault="00466E5D" w:rsidP="00EC05E9">
            <w:pPr>
              <w:rPr>
                <w:rFonts w:ascii="Arial" w:hAnsi="Arial" w:cs="Arial"/>
                <w:sz w:val="21"/>
                <w:szCs w:val="21"/>
              </w:rPr>
            </w:pPr>
            <w:r w:rsidRPr="00A57232">
              <w:rPr>
                <w:rFonts w:ascii="Arial" w:hAnsi="Arial" w:cs="Arial"/>
                <w:sz w:val="21"/>
                <w:szCs w:val="21"/>
              </w:rPr>
              <w:t>-</w:t>
            </w:r>
          </w:p>
        </w:tc>
        <w:tc>
          <w:tcPr>
            <w:tcW w:w="1595" w:type="pct"/>
          </w:tcPr>
          <w:p w14:paraId="156837B7" w14:textId="77777777" w:rsidR="00466E5D" w:rsidRPr="00A57232" w:rsidRDefault="00466E5D" w:rsidP="00EC05E9">
            <w:pPr>
              <w:rPr>
                <w:rFonts w:ascii="Arial" w:hAnsi="Arial" w:cs="Arial"/>
                <w:sz w:val="21"/>
                <w:szCs w:val="21"/>
              </w:rPr>
            </w:pPr>
            <w:r w:rsidRPr="00A57232">
              <w:rPr>
                <w:rFonts w:ascii="Arial" w:hAnsi="Arial" w:cs="Arial"/>
                <w:sz w:val="21"/>
                <w:szCs w:val="21"/>
              </w:rPr>
              <w:t>Can be stored in a labelled standard laboratory cupboard or in small amounts throughout the laboratory</w:t>
            </w:r>
          </w:p>
        </w:tc>
      </w:tr>
      <w:tr w:rsidR="00466E5D" w:rsidRPr="00A57232" w14:paraId="36B05007" w14:textId="77777777" w:rsidTr="00A57232">
        <w:trPr>
          <w:trHeight w:val="475"/>
          <w:tblHeader/>
        </w:trPr>
        <w:tc>
          <w:tcPr>
            <w:tcW w:w="5000" w:type="pct"/>
            <w:gridSpan w:val="4"/>
          </w:tcPr>
          <w:p w14:paraId="38B2994F" w14:textId="77777777" w:rsidR="00466E5D" w:rsidRPr="00A57232" w:rsidRDefault="00466E5D" w:rsidP="00EC05E9">
            <w:pPr>
              <w:rPr>
                <w:rFonts w:ascii="Arial" w:hAnsi="Arial" w:cs="Arial"/>
                <w:sz w:val="21"/>
                <w:szCs w:val="21"/>
              </w:rPr>
            </w:pPr>
            <w:r w:rsidRPr="00A57232">
              <w:rPr>
                <w:rFonts w:ascii="Arial" w:hAnsi="Arial" w:cs="Arial"/>
                <w:sz w:val="21"/>
                <w:szCs w:val="21"/>
              </w:rPr>
              <w:t xml:space="preserve">*Do not keep flammable liquids of PGI, in containers larger than 2.5L in minor storage unless they are essential for daily operations and a risk assessment is in place. </w:t>
            </w:r>
          </w:p>
        </w:tc>
      </w:tr>
    </w:tbl>
    <w:p w14:paraId="3556E65B" w14:textId="77777777" w:rsidR="00835E36" w:rsidRPr="00A55886" w:rsidRDefault="00835E36" w:rsidP="00835E36">
      <w:pPr>
        <w:spacing w:before="120" w:after="120" w:line="240" w:lineRule="auto"/>
        <w:ind w:left="567"/>
        <w:rPr>
          <w:rFonts w:ascii="Arial" w:hAnsi="Arial" w:cs="Arial"/>
          <w:sz w:val="22"/>
        </w:rPr>
      </w:pPr>
      <w:r w:rsidRPr="00A55886">
        <w:rPr>
          <w:rFonts w:ascii="Arial" w:hAnsi="Arial" w:cs="Arial"/>
          <w:sz w:val="22"/>
        </w:rPr>
        <w:t>Exemptions apply for bulk gas and liquid deliveries to approved storage locations.</w:t>
      </w:r>
    </w:p>
    <w:p w14:paraId="52FFA9AE" w14:textId="3BA5A6B8" w:rsidR="00D62E15" w:rsidRPr="00A55886" w:rsidRDefault="00835E36" w:rsidP="00835E36">
      <w:pPr>
        <w:spacing w:before="120" w:after="120" w:line="240" w:lineRule="auto"/>
        <w:ind w:left="567"/>
        <w:rPr>
          <w:rFonts w:ascii="Arial" w:hAnsi="Arial" w:cs="Arial"/>
          <w:sz w:val="22"/>
        </w:rPr>
      </w:pPr>
      <w:r w:rsidRPr="00A55886">
        <w:rPr>
          <w:rFonts w:ascii="Arial" w:hAnsi="Arial" w:cs="Arial"/>
          <w:sz w:val="22"/>
        </w:rPr>
        <w:t xml:space="preserve">Restricted and Prohibited Substances and most Scheduled Substances require a licence from the Regulator. Before acquiring one of these substances, contact </w:t>
      </w:r>
      <w:hyperlink r:id="rId11" w:history="1">
        <w:r w:rsidR="00A57232" w:rsidRPr="00636046">
          <w:rPr>
            <w:rStyle w:val="Hyperlink"/>
            <w:rFonts w:ascii="Arial" w:hAnsi="Arial" w:cs="Arial"/>
            <w:sz w:val="22"/>
          </w:rPr>
          <w:t>crs@griffith.edu.au</w:t>
        </w:r>
      </w:hyperlink>
      <w:r w:rsidR="00A57232">
        <w:rPr>
          <w:rFonts w:ascii="Arial" w:hAnsi="Arial" w:cs="Arial"/>
          <w:sz w:val="22"/>
        </w:rPr>
        <w:t xml:space="preserve"> </w:t>
      </w:r>
      <w:r w:rsidRPr="00A55886">
        <w:rPr>
          <w:rFonts w:ascii="Arial" w:hAnsi="Arial" w:cs="Arial"/>
          <w:sz w:val="22"/>
        </w:rPr>
        <w:t>for guidance on the type of application needed.</w:t>
      </w:r>
    </w:p>
    <w:p w14:paraId="3D85F57B" w14:textId="6CB684E3" w:rsidR="00BD4BCD" w:rsidRPr="00A55886" w:rsidRDefault="00BD4BCD" w:rsidP="00BD4BCD">
      <w:pPr>
        <w:pStyle w:val="Heading5"/>
        <w:spacing w:before="120" w:line="240" w:lineRule="auto"/>
        <w:ind w:left="851"/>
        <w:rPr>
          <w:rFonts w:ascii="Arial" w:hAnsi="Arial" w:cs="Arial"/>
          <w:sz w:val="22"/>
          <w:szCs w:val="24"/>
        </w:rPr>
      </w:pPr>
      <w:r w:rsidRPr="00A55886">
        <w:rPr>
          <w:rFonts w:ascii="Arial" w:hAnsi="Arial" w:cs="Arial"/>
          <w:sz w:val="22"/>
          <w:szCs w:val="24"/>
        </w:rPr>
        <w:t>3.3.1 Chemicals of Security Concern</w:t>
      </w:r>
    </w:p>
    <w:p w14:paraId="608AD0A9" w14:textId="77777777" w:rsidR="00BD4BCD" w:rsidRPr="00A57232" w:rsidRDefault="00BD4BCD" w:rsidP="00BD4BCD">
      <w:pPr>
        <w:spacing w:before="120" w:after="120" w:line="240" w:lineRule="auto"/>
        <w:ind w:left="698" w:firstLine="153"/>
        <w:rPr>
          <w:rFonts w:ascii="Arial" w:hAnsi="Arial" w:cs="Arial"/>
          <w:i/>
          <w:iCs/>
          <w:color w:val="E5071F"/>
          <w:sz w:val="22"/>
        </w:rPr>
      </w:pPr>
      <w:r w:rsidRPr="00A57232">
        <w:rPr>
          <w:rFonts w:ascii="Arial" w:hAnsi="Arial" w:cs="Arial"/>
          <w:i/>
          <w:iCs/>
          <w:color w:val="E5071F"/>
          <w:sz w:val="22"/>
        </w:rPr>
        <w:t>Accountability: Chemical Custodians</w:t>
      </w:r>
    </w:p>
    <w:p w14:paraId="07CC00F7" w14:textId="6DD64900" w:rsidR="00BD4BCD" w:rsidRPr="00A55886" w:rsidRDefault="00BD4BCD" w:rsidP="00BD4BCD">
      <w:pPr>
        <w:spacing w:before="120" w:after="120" w:line="240" w:lineRule="auto"/>
        <w:ind w:left="851"/>
        <w:rPr>
          <w:rFonts w:ascii="Arial" w:hAnsi="Arial" w:cs="Arial"/>
          <w:sz w:val="22"/>
        </w:rPr>
      </w:pPr>
      <w:r w:rsidRPr="00A55886">
        <w:rPr>
          <w:rFonts w:ascii="Arial" w:hAnsi="Arial" w:cs="Arial"/>
          <w:sz w:val="22"/>
        </w:rPr>
        <w:t xml:space="preserve">The </w:t>
      </w:r>
      <w:r w:rsidRPr="00A55886">
        <w:rPr>
          <w:rFonts w:ascii="Arial" w:hAnsi="Arial" w:cs="Arial"/>
          <w:i/>
          <w:iCs/>
          <w:sz w:val="22"/>
        </w:rPr>
        <w:t>National Code of Practice for Chemicals of Security Concern</w:t>
      </w:r>
      <w:r w:rsidRPr="00A55886">
        <w:rPr>
          <w:rFonts w:ascii="Arial" w:hAnsi="Arial" w:cs="Arial"/>
          <w:sz w:val="22"/>
        </w:rPr>
        <w:t xml:space="preserve"> (Cwlth) prescribes strict requirements for managing these chemicals. Before placing an order for chemicals of security concern, verify that storage facilities that comply with the Code of Practice are available.</w:t>
      </w:r>
    </w:p>
    <w:p w14:paraId="7556F6C3" w14:textId="17D00E2B" w:rsidR="002131F8" w:rsidRPr="00A55886" w:rsidRDefault="002131F8" w:rsidP="002131F8">
      <w:pPr>
        <w:pStyle w:val="Heading5"/>
        <w:spacing w:before="120" w:line="240" w:lineRule="auto"/>
        <w:ind w:left="851"/>
        <w:rPr>
          <w:rFonts w:ascii="Arial" w:hAnsi="Arial" w:cs="Arial"/>
          <w:sz w:val="22"/>
          <w:szCs w:val="24"/>
        </w:rPr>
      </w:pPr>
      <w:r w:rsidRPr="00A55886">
        <w:rPr>
          <w:rFonts w:ascii="Arial" w:hAnsi="Arial" w:cs="Arial"/>
          <w:sz w:val="22"/>
          <w:szCs w:val="24"/>
        </w:rPr>
        <w:t>3.3.2 Dangerous Goods</w:t>
      </w:r>
    </w:p>
    <w:p w14:paraId="0A7B59FF" w14:textId="77777777" w:rsidR="002131F8" w:rsidRPr="00C50976" w:rsidRDefault="002131F8" w:rsidP="002131F8">
      <w:pPr>
        <w:spacing w:before="120" w:after="120" w:line="240" w:lineRule="auto"/>
        <w:ind w:left="698" w:firstLine="153"/>
        <w:rPr>
          <w:rFonts w:ascii="Arial" w:hAnsi="Arial" w:cs="Arial"/>
          <w:i/>
          <w:iCs/>
          <w:color w:val="E5071F"/>
          <w:sz w:val="22"/>
        </w:rPr>
      </w:pPr>
      <w:r w:rsidRPr="00C50976">
        <w:rPr>
          <w:rFonts w:ascii="Arial" w:hAnsi="Arial" w:cs="Arial"/>
          <w:i/>
          <w:iCs/>
          <w:color w:val="E5071F"/>
          <w:sz w:val="22"/>
        </w:rPr>
        <w:t>Accountability: Chemical Custodians</w:t>
      </w:r>
    </w:p>
    <w:p w14:paraId="4E252020" w14:textId="77777777" w:rsidR="002131F8" w:rsidRPr="00A55886" w:rsidRDefault="002131F8" w:rsidP="002131F8">
      <w:pPr>
        <w:spacing w:before="120" w:after="120" w:line="240" w:lineRule="auto"/>
        <w:ind w:left="851"/>
        <w:rPr>
          <w:rFonts w:ascii="Arial" w:hAnsi="Arial" w:cs="Arial"/>
          <w:sz w:val="22"/>
        </w:rPr>
      </w:pPr>
      <w:r w:rsidRPr="00A55886">
        <w:rPr>
          <w:rFonts w:ascii="Arial" w:hAnsi="Arial" w:cs="Arial"/>
          <w:sz w:val="22"/>
        </w:rPr>
        <w:t xml:space="preserve">Griffith maintains a licence to keep dangerous goods. </w:t>
      </w:r>
    </w:p>
    <w:p w14:paraId="014E59EC" w14:textId="77777777" w:rsidR="002131F8" w:rsidRPr="00A55886" w:rsidRDefault="002131F8" w:rsidP="002131F8">
      <w:pPr>
        <w:spacing w:before="120" w:after="120" w:line="240" w:lineRule="auto"/>
        <w:ind w:left="851"/>
        <w:rPr>
          <w:rFonts w:ascii="Arial" w:hAnsi="Arial" w:cs="Arial"/>
          <w:sz w:val="22"/>
        </w:rPr>
      </w:pPr>
      <w:r w:rsidRPr="00A55886">
        <w:rPr>
          <w:rFonts w:ascii="Arial" w:hAnsi="Arial" w:cs="Arial"/>
          <w:sz w:val="22"/>
        </w:rPr>
        <w:t>Do not acquire Class 3, 6 and 8 dangerous goods in quantities and conditions above what is specified by Griffith’s licence.</w:t>
      </w:r>
    </w:p>
    <w:p w14:paraId="0DB328C8" w14:textId="3C0DC283" w:rsidR="00835E36" w:rsidRDefault="002131F8" w:rsidP="002131F8">
      <w:pPr>
        <w:spacing w:before="120" w:after="120" w:line="240" w:lineRule="auto"/>
        <w:ind w:left="851"/>
        <w:rPr>
          <w:rFonts w:ascii="Arial" w:hAnsi="Arial" w:cs="Arial"/>
          <w:sz w:val="22"/>
        </w:rPr>
      </w:pPr>
      <w:r w:rsidRPr="00A55886">
        <w:rPr>
          <w:rFonts w:ascii="Arial" w:hAnsi="Arial" w:cs="Arial"/>
          <w:sz w:val="22"/>
        </w:rPr>
        <w:t xml:space="preserve">If additional quantities are required, contact </w:t>
      </w:r>
      <w:hyperlink r:id="rId12" w:history="1">
        <w:r w:rsidR="00A57232" w:rsidRPr="00636046">
          <w:rPr>
            <w:rStyle w:val="Hyperlink"/>
            <w:rFonts w:ascii="Arial" w:hAnsi="Arial" w:cs="Arial"/>
            <w:sz w:val="22"/>
          </w:rPr>
          <w:t>crs@griffith.edu.au</w:t>
        </w:r>
      </w:hyperlink>
      <w:r w:rsidR="00A57232">
        <w:rPr>
          <w:rFonts w:ascii="Arial" w:hAnsi="Arial" w:cs="Arial"/>
          <w:sz w:val="22"/>
        </w:rPr>
        <w:t xml:space="preserve"> </w:t>
      </w:r>
      <w:r w:rsidRPr="00A55886">
        <w:rPr>
          <w:rFonts w:ascii="Arial" w:hAnsi="Arial" w:cs="Arial"/>
          <w:sz w:val="22"/>
        </w:rPr>
        <w:t>to verify if additional licences or conditions can be applied for.</w:t>
      </w:r>
    </w:p>
    <w:p w14:paraId="03527DFF" w14:textId="77777777" w:rsidR="00C50976" w:rsidRDefault="00C50976" w:rsidP="002131F8">
      <w:pPr>
        <w:spacing w:before="120" w:after="120" w:line="240" w:lineRule="auto"/>
        <w:ind w:left="851"/>
        <w:rPr>
          <w:rFonts w:ascii="Arial" w:hAnsi="Arial" w:cs="Arial"/>
          <w:sz w:val="22"/>
        </w:rPr>
      </w:pPr>
    </w:p>
    <w:p w14:paraId="5036D2C3" w14:textId="77777777" w:rsidR="00C50976" w:rsidRPr="00A55886" w:rsidRDefault="00C50976" w:rsidP="002131F8">
      <w:pPr>
        <w:spacing w:before="120" w:after="120" w:line="240" w:lineRule="auto"/>
        <w:ind w:left="851"/>
        <w:rPr>
          <w:rFonts w:ascii="Arial" w:hAnsi="Arial" w:cs="Arial"/>
          <w:sz w:val="22"/>
        </w:rPr>
      </w:pPr>
    </w:p>
    <w:p w14:paraId="36FE862B" w14:textId="0526B913" w:rsidR="002131F8" w:rsidRPr="00A55886" w:rsidRDefault="002131F8" w:rsidP="002131F8">
      <w:pPr>
        <w:pStyle w:val="Heading5"/>
        <w:spacing w:before="120" w:line="240" w:lineRule="auto"/>
        <w:ind w:left="851"/>
        <w:rPr>
          <w:rFonts w:ascii="Arial" w:hAnsi="Arial" w:cs="Arial"/>
          <w:sz w:val="22"/>
          <w:szCs w:val="24"/>
        </w:rPr>
      </w:pPr>
      <w:r w:rsidRPr="00A55886">
        <w:rPr>
          <w:rFonts w:ascii="Arial" w:hAnsi="Arial" w:cs="Arial"/>
          <w:sz w:val="22"/>
          <w:szCs w:val="24"/>
        </w:rPr>
        <w:lastRenderedPageBreak/>
        <w:t>3.3.3 Prohibited and Restricted Carcinogens</w:t>
      </w:r>
    </w:p>
    <w:p w14:paraId="3F36FD4D" w14:textId="77777777" w:rsidR="002131F8" w:rsidRPr="00C50976" w:rsidRDefault="002131F8" w:rsidP="002131F8">
      <w:pPr>
        <w:spacing w:before="120" w:after="120" w:line="240" w:lineRule="auto"/>
        <w:ind w:left="698" w:firstLine="153"/>
        <w:rPr>
          <w:rFonts w:ascii="Arial" w:hAnsi="Arial" w:cs="Arial"/>
          <w:i/>
          <w:iCs/>
          <w:color w:val="E5071F"/>
          <w:sz w:val="22"/>
        </w:rPr>
      </w:pPr>
      <w:r w:rsidRPr="00C50976">
        <w:rPr>
          <w:rFonts w:ascii="Arial" w:hAnsi="Arial" w:cs="Arial"/>
          <w:i/>
          <w:iCs/>
          <w:color w:val="E5071F"/>
          <w:sz w:val="22"/>
        </w:rPr>
        <w:t>Accountability: Chemical Custodians</w:t>
      </w:r>
    </w:p>
    <w:p w14:paraId="35B9F5AE" w14:textId="6B0C1995" w:rsidR="002131F8" w:rsidRPr="00A55886" w:rsidRDefault="002131F8" w:rsidP="002131F8">
      <w:pPr>
        <w:spacing w:before="120" w:after="120" w:line="240" w:lineRule="auto"/>
        <w:ind w:left="851"/>
        <w:rPr>
          <w:rFonts w:ascii="Arial" w:hAnsi="Arial" w:cs="Arial"/>
          <w:sz w:val="22"/>
        </w:rPr>
      </w:pPr>
      <w:r w:rsidRPr="00A55886">
        <w:rPr>
          <w:rFonts w:ascii="Arial" w:hAnsi="Arial" w:cs="Arial"/>
          <w:sz w:val="22"/>
        </w:rPr>
        <w:t xml:space="preserve">Before acquiring Prohibited and Restricted Carcinogens, contact </w:t>
      </w:r>
      <w:hyperlink r:id="rId13" w:history="1">
        <w:r w:rsidR="00C50976" w:rsidRPr="00636046">
          <w:rPr>
            <w:rStyle w:val="Hyperlink"/>
            <w:rFonts w:ascii="Arial" w:hAnsi="Arial" w:cs="Arial"/>
            <w:sz w:val="22"/>
          </w:rPr>
          <w:t>crs@girffith.edu</w:t>
        </w:r>
      </w:hyperlink>
      <w:r w:rsidR="00C50976">
        <w:rPr>
          <w:rFonts w:ascii="Arial" w:hAnsi="Arial" w:cs="Arial"/>
          <w:sz w:val="22"/>
        </w:rPr>
        <w:t xml:space="preserve"> </w:t>
      </w:r>
      <w:r w:rsidRPr="00A55886">
        <w:rPr>
          <w:rFonts w:ascii="Arial" w:hAnsi="Arial" w:cs="Arial"/>
          <w:sz w:val="22"/>
        </w:rPr>
        <w:t xml:space="preserve">to verify if a permit is already acquired or a new application is required. </w:t>
      </w:r>
    </w:p>
    <w:p w14:paraId="3A12DA1F" w14:textId="0213D70B" w:rsidR="002131F8" w:rsidRPr="00A55886" w:rsidRDefault="002131F8" w:rsidP="002131F8">
      <w:pPr>
        <w:spacing w:before="120" w:after="120" w:line="240" w:lineRule="auto"/>
        <w:ind w:left="851"/>
        <w:rPr>
          <w:rFonts w:ascii="Arial" w:hAnsi="Arial" w:cs="Arial"/>
          <w:sz w:val="22"/>
        </w:rPr>
      </w:pPr>
      <w:r w:rsidRPr="00A55886">
        <w:rPr>
          <w:rFonts w:ascii="Arial" w:hAnsi="Arial" w:cs="Arial"/>
          <w:sz w:val="22"/>
        </w:rPr>
        <w:t xml:space="preserve">Complete a Prohibited or Restricted Carcinogen Worker Registration Form and forward it to </w:t>
      </w:r>
      <w:hyperlink r:id="rId14" w:history="1">
        <w:r w:rsidR="00A57232" w:rsidRPr="00636046">
          <w:rPr>
            <w:rStyle w:val="Hyperlink"/>
            <w:rFonts w:ascii="Arial" w:hAnsi="Arial" w:cs="Arial"/>
            <w:sz w:val="22"/>
          </w:rPr>
          <w:t>crs@griffith.edu.au</w:t>
        </w:r>
      </w:hyperlink>
      <w:r w:rsidR="00A57232">
        <w:rPr>
          <w:rFonts w:ascii="Arial" w:hAnsi="Arial" w:cs="Arial"/>
          <w:sz w:val="22"/>
        </w:rPr>
        <w:t xml:space="preserve"> </w:t>
      </w:r>
    </w:p>
    <w:p w14:paraId="6862CDF3" w14:textId="33B130C0" w:rsidR="002131F8" w:rsidRPr="00A55886" w:rsidRDefault="002131F8" w:rsidP="002131F8">
      <w:pPr>
        <w:spacing w:before="120" w:after="120" w:line="240" w:lineRule="auto"/>
        <w:ind w:left="851"/>
        <w:rPr>
          <w:rFonts w:ascii="Arial" w:hAnsi="Arial" w:cs="Arial"/>
          <w:sz w:val="22"/>
        </w:rPr>
      </w:pPr>
      <w:r w:rsidRPr="00A55886">
        <w:rPr>
          <w:rFonts w:ascii="Arial" w:hAnsi="Arial" w:cs="Arial"/>
          <w:sz w:val="22"/>
        </w:rPr>
        <w:t xml:space="preserve">Create a ‘Carcinogen Dealings’ application in the Gsafe Activity Register. Contact </w:t>
      </w:r>
      <w:hyperlink r:id="rId15" w:history="1">
        <w:r w:rsidR="00A57232" w:rsidRPr="00636046">
          <w:rPr>
            <w:rStyle w:val="Hyperlink"/>
            <w:rFonts w:ascii="Arial" w:hAnsi="Arial" w:cs="Arial"/>
            <w:sz w:val="22"/>
          </w:rPr>
          <w:t>crs@griffith.edu.au</w:t>
        </w:r>
      </w:hyperlink>
      <w:r w:rsidR="00A57232">
        <w:rPr>
          <w:rFonts w:ascii="Arial" w:hAnsi="Arial" w:cs="Arial"/>
          <w:sz w:val="22"/>
        </w:rPr>
        <w:t xml:space="preserve"> </w:t>
      </w:r>
      <w:r w:rsidRPr="00A55886">
        <w:rPr>
          <w:rFonts w:ascii="Arial" w:hAnsi="Arial" w:cs="Arial"/>
          <w:sz w:val="22"/>
        </w:rPr>
        <w:t>if any assistance is required.</w:t>
      </w:r>
    </w:p>
    <w:p w14:paraId="56771529" w14:textId="6C6255F8" w:rsidR="002131F8" w:rsidRPr="00A55886" w:rsidRDefault="002131F8" w:rsidP="002131F8">
      <w:pPr>
        <w:pStyle w:val="Heading5"/>
        <w:spacing w:before="120" w:line="240" w:lineRule="auto"/>
        <w:ind w:left="851"/>
        <w:rPr>
          <w:rFonts w:ascii="Arial" w:hAnsi="Arial" w:cs="Arial"/>
          <w:sz w:val="22"/>
          <w:szCs w:val="24"/>
        </w:rPr>
      </w:pPr>
      <w:r w:rsidRPr="00A55886">
        <w:rPr>
          <w:rFonts w:ascii="Arial" w:hAnsi="Arial" w:cs="Arial"/>
          <w:sz w:val="22"/>
          <w:szCs w:val="24"/>
        </w:rPr>
        <w:t>3.3.4 Scheduled Substances</w:t>
      </w:r>
    </w:p>
    <w:p w14:paraId="611EAA35" w14:textId="77777777" w:rsidR="002131F8" w:rsidRPr="00C50976" w:rsidRDefault="002131F8" w:rsidP="002131F8">
      <w:pPr>
        <w:spacing w:before="120" w:after="120" w:line="240" w:lineRule="auto"/>
        <w:ind w:left="698" w:firstLine="153"/>
        <w:rPr>
          <w:rFonts w:ascii="Arial" w:hAnsi="Arial" w:cs="Arial"/>
          <w:i/>
          <w:iCs/>
          <w:color w:val="E5071F"/>
          <w:sz w:val="22"/>
        </w:rPr>
      </w:pPr>
      <w:r w:rsidRPr="00C50976">
        <w:rPr>
          <w:rFonts w:ascii="Arial" w:hAnsi="Arial" w:cs="Arial"/>
          <w:i/>
          <w:iCs/>
          <w:color w:val="E5071F"/>
          <w:sz w:val="22"/>
        </w:rPr>
        <w:t>Accountability: Chemical Custodians</w:t>
      </w:r>
    </w:p>
    <w:p w14:paraId="7CAD99FE" w14:textId="472BF2E1" w:rsidR="002131F8" w:rsidRPr="00A55886" w:rsidRDefault="002131F8" w:rsidP="002131F8">
      <w:pPr>
        <w:spacing w:before="120" w:after="120" w:line="240" w:lineRule="auto"/>
        <w:ind w:left="851"/>
        <w:rPr>
          <w:rFonts w:ascii="Arial" w:hAnsi="Arial" w:cs="Arial"/>
          <w:sz w:val="22"/>
        </w:rPr>
      </w:pPr>
      <w:r w:rsidRPr="00A55886">
        <w:rPr>
          <w:rFonts w:ascii="Arial" w:hAnsi="Arial" w:cs="Arial"/>
          <w:sz w:val="22"/>
        </w:rPr>
        <w:t xml:space="preserve">Before acquiring scheduled substances, contact </w:t>
      </w:r>
      <w:hyperlink r:id="rId16" w:history="1">
        <w:r w:rsidR="00A57232" w:rsidRPr="00636046">
          <w:rPr>
            <w:rStyle w:val="Hyperlink"/>
            <w:rFonts w:ascii="Arial" w:hAnsi="Arial" w:cs="Arial"/>
            <w:sz w:val="22"/>
          </w:rPr>
          <w:t>crs@griffith.edu.au</w:t>
        </w:r>
      </w:hyperlink>
      <w:r w:rsidR="00A57232">
        <w:rPr>
          <w:rFonts w:ascii="Arial" w:hAnsi="Arial" w:cs="Arial"/>
          <w:sz w:val="22"/>
        </w:rPr>
        <w:t xml:space="preserve"> </w:t>
      </w:r>
      <w:r w:rsidRPr="00A55886">
        <w:rPr>
          <w:rFonts w:ascii="Arial" w:hAnsi="Arial" w:cs="Arial"/>
          <w:sz w:val="22"/>
        </w:rPr>
        <w:t>to seek guidance on:</w:t>
      </w:r>
    </w:p>
    <w:p w14:paraId="2AF9991D" w14:textId="3CE4462E" w:rsidR="002131F8" w:rsidRPr="00A55886" w:rsidRDefault="00C50976" w:rsidP="00C50976">
      <w:pPr>
        <w:pStyle w:val="NormalWhite"/>
        <w:numPr>
          <w:ilvl w:val="0"/>
          <w:numId w:val="30"/>
        </w:numPr>
        <w:spacing w:before="120" w:after="120"/>
        <w:ind w:left="1208" w:hanging="357"/>
        <w:jc w:val="left"/>
        <w:rPr>
          <w:rFonts w:cs="Arial"/>
          <w:color w:val="auto"/>
          <w:sz w:val="22"/>
        </w:rPr>
      </w:pPr>
      <w:r>
        <w:rPr>
          <w:rFonts w:cs="Arial"/>
          <w:color w:val="auto"/>
          <w:sz w:val="22"/>
        </w:rPr>
        <w:t>w</w:t>
      </w:r>
      <w:r w:rsidR="002131F8" w:rsidRPr="00A55886">
        <w:rPr>
          <w:rFonts w:cs="Arial"/>
          <w:color w:val="auto"/>
          <w:sz w:val="22"/>
        </w:rPr>
        <w:t>hether Queensland Health requires special authorisation or approval</w:t>
      </w:r>
    </w:p>
    <w:p w14:paraId="4473C07B" w14:textId="69D90F46" w:rsidR="002131F8" w:rsidRPr="00A55886" w:rsidRDefault="0000765D" w:rsidP="00C50976">
      <w:pPr>
        <w:pStyle w:val="NormalWhite"/>
        <w:numPr>
          <w:ilvl w:val="0"/>
          <w:numId w:val="30"/>
        </w:numPr>
        <w:spacing w:before="120" w:after="120"/>
        <w:ind w:left="1208" w:hanging="357"/>
        <w:jc w:val="left"/>
        <w:rPr>
          <w:rFonts w:cs="Arial"/>
          <w:color w:val="auto"/>
          <w:sz w:val="22"/>
        </w:rPr>
      </w:pPr>
      <w:r>
        <w:rPr>
          <w:rFonts w:cs="Arial"/>
          <w:color w:val="auto"/>
          <w:sz w:val="22"/>
        </w:rPr>
        <w:t xml:space="preserve">if </w:t>
      </w:r>
      <w:r w:rsidR="00C50976">
        <w:rPr>
          <w:rFonts w:cs="Arial"/>
          <w:color w:val="auto"/>
          <w:sz w:val="22"/>
        </w:rPr>
        <w:t>t</w:t>
      </w:r>
      <w:r w:rsidR="002131F8" w:rsidRPr="00A55886">
        <w:rPr>
          <w:rFonts w:cs="Arial"/>
          <w:color w:val="auto"/>
          <w:sz w:val="22"/>
        </w:rPr>
        <w:t>he chemical aligns with the general approval already granted to Griffith</w:t>
      </w:r>
    </w:p>
    <w:p w14:paraId="27AC0B72" w14:textId="5E9DB40F" w:rsidR="002131F8" w:rsidRPr="00A55886" w:rsidRDefault="00C50976" w:rsidP="00C50976">
      <w:pPr>
        <w:pStyle w:val="NormalWhite"/>
        <w:numPr>
          <w:ilvl w:val="0"/>
          <w:numId w:val="30"/>
        </w:numPr>
        <w:spacing w:before="120" w:after="120"/>
        <w:ind w:left="1208" w:hanging="357"/>
        <w:jc w:val="left"/>
        <w:rPr>
          <w:rFonts w:cs="Arial"/>
          <w:color w:val="auto"/>
          <w:sz w:val="22"/>
        </w:rPr>
      </w:pPr>
      <w:r>
        <w:rPr>
          <w:rFonts w:cs="Arial"/>
          <w:color w:val="auto"/>
          <w:sz w:val="22"/>
        </w:rPr>
        <w:t>a</w:t>
      </w:r>
      <w:r w:rsidR="002131F8" w:rsidRPr="00A55886">
        <w:rPr>
          <w:rFonts w:cs="Arial"/>
          <w:color w:val="auto"/>
          <w:sz w:val="22"/>
        </w:rPr>
        <w:t xml:space="preserve">pplying for authorisation under Griffith's Substance Management Plan (SMP). </w:t>
      </w:r>
    </w:p>
    <w:p w14:paraId="0E3FE950" w14:textId="792CB821" w:rsidR="002131F8" w:rsidRPr="00A55886" w:rsidRDefault="002131F8" w:rsidP="002131F8">
      <w:pPr>
        <w:spacing w:before="120" w:after="120" w:line="240" w:lineRule="auto"/>
        <w:ind w:left="851"/>
        <w:rPr>
          <w:rFonts w:ascii="Arial" w:hAnsi="Arial" w:cs="Arial"/>
          <w:sz w:val="22"/>
        </w:rPr>
      </w:pPr>
      <w:r w:rsidRPr="00A55886">
        <w:rPr>
          <w:rFonts w:ascii="Arial" w:hAnsi="Arial" w:cs="Arial"/>
          <w:sz w:val="22"/>
        </w:rPr>
        <w:t xml:space="preserve">Create a ‘Scheduled Substance Dealings’ application in the Gsafe Activity Register when applying for Schedule 4, Restricted S7, S8 or S9 substances. Contact </w:t>
      </w:r>
      <w:hyperlink r:id="rId17" w:history="1">
        <w:r w:rsidR="00A57232" w:rsidRPr="00636046">
          <w:rPr>
            <w:rStyle w:val="Hyperlink"/>
            <w:rFonts w:ascii="Arial" w:hAnsi="Arial" w:cs="Arial"/>
            <w:sz w:val="22"/>
          </w:rPr>
          <w:t>crs@griffith.edu.au</w:t>
        </w:r>
      </w:hyperlink>
      <w:r w:rsidR="00A57232">
        <w:rPr>
          <w:rFonts w:ascii="Arial" w:hAnsi="Arial" w:cs="Arial"/>
          <w:sz w:val="22"/>
        </w:rPr>
        <w:t xml:space="preserve"> </w:t>
      </w:r>
      <w:r w:rsidRPr="00A55886">
        <w:rPr>
          <w:rFonts w:ascii="Arial" w:hAnsi="Arial" w:cs="Arial"/>
          <w:sz w:val="22"/>
        </w:rPr>
        <w:t>if any assistance is required.</w:t>
      </w:r>
    </w:p>
    <w:p w14:paraId="44E64DD2" w14:textId="77777777" w:rsidR="002131F8" w:rsidRPr="00A55886" w:rsidRDefault="002131F8" w:rsidP="002131F8">
      <w:pPr>
        <w:spacing w:before="120" w:after="120" w:line="240" w:lineRule="auto"/>
        <w:ind w:left="851"/>
        <w:rPr>
          <w:rFonts w:ascii="Arial" w:hAnsi="Arial" w:cs="Arial"/>
          <w:sz w:val="22"/>
        </w:rPr>
      </w:pPr>
      <w:r w:rsidRPr="00A55886">
        <w:rPr>
          <w:rFonts w:ascii="Arial" w:hAnsi="Arial" w:cs="Arial"/>
          <w:sz w:val="22"/>
        </w:rPr>
        <w:t>Review the Griffith University Substance Management Plan to ensure any activities associated with the scheduled substance complies with regulatory requirements.</w:t>
      </w:r>
    </w:p>
    <w:p w14:paraId="28B84819" w14:textId="7C1D416F" w:rsidR="00A55886" w:rsidRDefault="002131F8" w:rsidP="002131F8">
      <w:pPr>
        <w:spacing w:before="120" w:after="120" w:line="240" w:lineRule="auto"/>
        <w:ind w:left="851"/>
        <w:rPr>
          <w:rFonts w:ascii="Arial" w:hAnsi="Arial" w:cs="Arial"/>
          <w:sz w:val="22"/>
        </w:rPr>
      </w:pPr>
      <w:r w:rsidRPr="00A55886">
        <w:rPr>
          <w:rFonts w:ascii="Arial" w:hAnsi="Arial" w:cs="Arial"/>
          <w:sz w:val="22"/>
        </w:rPr>
        <w:t xml:space="preserve">Where applicable provide a copy of any individual permits to </w:t>
      </w:r>
      <w:hyperlink r:id="rId18" w:history="1">
        <w:r w:rsidR="00A57232" w:rsidRPr="00636046">
          <w:rPr>
            <w:rStyle w:val="Hyperlink"/>
            <w:rFonts w:ascii="Arial" w:hAnsi="Arial" w:cs="Arial"/>
            <w:sz w:val="22"/>
          </w:rPr>
          <w:t>crs@griffith.edu.au</w:t>
        </w:r>
      </w:hyperlink>
      <w:r w:rsidR="00A57232">
        <w:rPr>
          <w:rFonts w:ascii="Arial" w:hAnsi="Arial" w:cs="Arial"/>
          <w:sz w:val="22"/>
        </w:rPr>
        <w:t xml:space="preserve"> </w:t>
      </w:r>
      <w:r w:rsidRPr="00A55886">
        <w:rPr>
          <w:rFonts w:ascii="Arial" w:hAnsi="Arial" w:cs="Arial"/>
          <w:sz w:val="22"/>
        </w:rPr>
        <w:t>to maintain Griffith records.</w:t>
      </w:r>
    </w:p>
    <w:p w14:paraId="5A30EB81" w14:textId="660B3696" w:rsidR="00A55886" w:rsidRPr="00A55886" w:rsidRDefault="00A55886" w:rsidP="00A55886">
      <w:pPr>
        <w:pStyle w:val="Heading5"/>
        <w:spacing w:before="120" w:line="240" w:lineRule="auto"/>
        <w:ind w:left="851"/>
        <w:rPr>
          <w:rFonts w:ascii="Arial" w:hAnsi="Arial" w:cs="Arial"/>
          <w:sz w:val="22"/>
          <w:szCs w:val="24"/>
        </w:rPr>
      </w:pPr>
      <w:r w:rsidRPr="00A55886">
        <w:rPr>
          <w:rFonts w:ascii="Arial" w:hAnsi="Arial" w:cs="Arial"/>
          <w:sz w:val="22"/>
          <w:szCs w:val="24"/>
        </w:rPr>
        <w:t>3.3.</w:t>
      </w:r>
      <w:r>
        <w:rPr>
          <w:rFonts w:ascii="Arial" w:hAnsi="Arial" w:cs="Arial"/>
          <w:sz w:val="22"/>
          <w:szCs w:val="24"/>
        </w:rPr>
        <w:t>5</w:t>
      </w:r>
      <w:r w:rsidRPr="00A55886">
        <w:rPr>
          <w:rFonts w:ascii="Arial" w:hAnsi="Arial" w:cs="Arial"/>
          <w:sz w:val="22"/>
          <w:szCs w:val="24"/>
        </w:rPr>
        <w:t xml:space="preserve"> </w:t>
      </w:r>
      <w:r>
        <w:rPr>
          <w:rFonts w:ascii="Arial" w:hAnsi="Arial" w:cs="Arial"/>
          <w:sz w:val="22"/>
          <w:szCs w:val="24"/>
        </w:rPr>
        <w:t>Nanomaterials</w:t>
      </w:r>
    </w:p>
    <w:p w14:paraId="67629DE8" w14:textId="77777777" w:rsidR="00A55886" w:rsidRPr="00706626" w:rsidRDefault="00A55886" w:rsidP="00A55886">
      <w:pPr>
        <w:spacing w:before="120" w:after="120" w:line="240" w:lineRule="auto"/>
        <w:ind w:left="698" w:firstLine="153"/>
        <w:rPr>
          <w:rFonts w:ascii="Arial" w:hAnsi="Arial" w:cs="Arial"/>
          <w:i/>
          <w:iCs/>
          <w:color w:val="E5071F"/>
          <w:sz w:val="22"/>
        </w:rPr>
      </w:pPr>
      <w:r w:rsidRPr="00706626">
        <w:rPr>
          <w:rFonts w:ascii="Arial" w:hAnsi="Arial" w:cs="Arial"/>
          <w:i/>
          <w:iCs/>
          <w:color w:val="E5071F"/>
          <w:sz w:val="22"/>
        </w:rPr>
        <w:t>Accountability: Chemical Custodians</w:t>
      </w:r>
    </w:p>
    <w:p w14:paraId="2F18E908" w14:textId="664F3AC7" w:rsidR="00A55886" w:rsidRPr="00A55886" w:rsidRDefault="00A55886" w:rsidP="002131F8">
      <w:pPr>
        <w:spacing w:before="120" w:after="120" w:line="240" w:lineRule="auto"/>
        <w:ind w:left="851"/>
        <w:rPr>
          <w:rFonts w:ascii="Arial" w:hAnsi="Arial" w:cs="Arial"/>
          <w:sz w:val="22"/>
        </w:rPr>
      </w:pPr>
      <w:r w:rsidRPr="00A55886">
        <w:rPr>
          <w:rFonts w:ascii="Arial" w:hAnsi="Arial" w:cs="Arial"/>
          <w:sz w:val="22"/>
        </w:rPr>
        <w:t xml:space="preserve">Before acquiring or fabricating nanomaterials, create a ‘Nanomaterial Dealings’ application in the Gsafe Activity Register to seek approval following the Special Approvers Guideline. Contact </w:t>
      </w:r>
      <w:hyperlink r:id="rId19" w:history="1">
        <w:r w:rsidR="00A57232" w:rsidRPr="00636046">
          <w:rPr>
            <w:rStyle w:val="Hyperlink"/>
            <w:rFonts w:ascii="Arial" w:hAnsi="Arial" w:cs="Arial"/>
            <w:sz w:val="22"/>
          </w:rPr>
          <w:t>crs@griffith.edu.au</w:t>
        </w:r>
      </w:hyperlink>
      <w:r w:rsidR="00A57232">
        <w:rPr>
          <w:rFonts w:ascii="Arial" w:hAnsi="Arial" w:cs="Arial"/>
          <w:sz w:val="22"/>
        </w:rPr>
        <w:t xml:space="preserve"> </w:t>
      </w:r>
      <w:r w:rsidRPr="00A55886">
        <w:rPr>
          <w:rFonts w:ascii="Arial" w:hAnsi="Arial" w:cs="Arial"/>
          <w:sz w:val="22"/>
        </w:rPr>
        <w:t>if any assistance is required.</w:t>
      </w:r>
    </w:p>
    <w:p w14:paraId="7FEA76B5" w14:textId="207792A2" w:rsidR="00553583" w:rsidRPr="00A55886" w:rsidRDefault="00553583" w:rsidP="00553583">
      <w:pPr>
        <w:pStyle w:val="Heading3"/>
        <w:ind w:left="567"/>
        <w:rPr>
          <w:rFonts w:ascii="Arial" w:hAnsi="Arial" w:cs="Arial"/>
        </w:rPr>
      </w:pPr>
      <w:bookmarkStart w:id="7" w:name="_3.4_Importing_Chemicals"/>
      <w:bookmarkEnd w:id="7"/>
      <w:r w:rsidRPr="00A55886">
        <w:rPr>
          <w:rFonts w:ascii="Arial" w:hAnsi="Arial" w:cs="Arial"/>
        </w:rPr>
        <w:t>3.</w:t>
      </w:r>
      <w:r>
        <w:rPr>
          <w:rFonts w:ascii="Arial" w:hAnsi="Arial" w:cs="Arial"/>
        </w:rPr>
        <w:t>4</w:t>
      </w:r>
      <w:r w:rsidRPr="00A55886">
        <w:rPr>
          <w:rFonts w:ascii="Arial" w:hAnsi="Arial" w:cs="Arial"/>
        </w:rPr>
        <w:t xml:space="preserve"> </w:t>
      </w:r>
      <w:r>
        <w:rPr>
          <w:rFonts w:ascii="Arial" w:hAnsi="Arial" w:cs="Arial"/>
        </w:rPr>
        <w:t>Importing</w:t>
      </w:r>
      <w:r w:rsidRPr="00A55886">
        <w:rPr>
          <w:rFonts w:ascii="Arial" w:hAnsi="Arial" w:cs="Arial"/>
        </w:rPr>
        <w:t xml:space="preserve"> Chemicals</w:t>
      </w:r>
    </w:p>
    <w:p w14:paraId="2A8BB6F1" w14:textId="77777777" w:rsidR="00553583" w:rsidRPr="00706626" w:rsidRDefault="00553583" w:rsidP="00553583">
      <w:pPr>
        <w:spacing w:before="120" w:after="120" w:line="240" w:lineRule="auto"/>
        <w:ind w:left="567"/>
        <w:rPr>
          <w:rFonts w:ascii="Arial" w:hAnsi="Arial" w:cs="Arial"/>
          <w:i/>
          <w:iCs/>
          <w:color w:val="E5071F"/>
          <w:sz w:val="22"/>
        </w:rPr>
      </w:pPr>
      <w:r w:rsidRPr="00706626">
        <w:rPr>
          <w:rFonts w:ascii="Arial" w:hAnsi="Arial" w:cs="Arial"/>
          <w:i/>
          <w:iCs/>
          <w:color w:val="E5071F"/>
          <w:sz w:val="22"/>
        </w:rPr>
        <w:t>Accountability: Chemical Custodians</w:t>
      </w:r>
    </w:p>
    <w:p w14:paraId="735DE51E" w14:textId="77777777" w:rsidR="00553583" w:rsidRPr="00553583" w:rsidRDefault="00553583" w:rsidP="00553583">
      <w:pPr>
        <w:spacing w:before="120" w:after="120" w:line="240" w:lineRule="auto"/>
        <w:ind w:left="567"/>
        <w:rPr>
          <w:rFonts w:ascii="Arial" w:hAnsi="Arial" w:cs="Arial"/>
          <w:sz w:val="22"/>
        </w:rPr>
      </w:pPr>
      <w:r w:rsidRPr="00553583">
        <w:rPr>
          <w:rFonts w:ascii="Arial" w:hAnsi="Arial" w:cs="Arial"/>
          <w:sz w:val="22"/>
        </w:rPr>
        <w:t>When importing chemicals from an international supplier, verify that:</w:t>
      </w:r>
    </w:p>
    <w:p w14:paraId="742BB20C" w14:textId="6010C688" w:rsidR="00553583" w:rsidRPr="00553583" w:rsidRDefault="00706626" w:rsidP="00706626">
      <w:pPr>
        <w:pStyle w:val="NormalWhite"/>
        <w:numPr>
          <w:ilvl w:val="0"/>
          <w:numId w:val="30"/>
        </w:numPr>
        <w:spacing w:before="120" w:after="120"/>
        <w:ind w:left="924" w:hanging="357"/>
        <w:jc w:val="left"/>
        <w:rPr>
          <w:rFonts w:cs="Arial"/>
          <w:color w:val="auto"/>
          <w:sz w:val="22"/>
        </w:rPr>
      </w:pPr>
      <w:r>
        <w:rPr>
          <w:rFonts w:cs="Arial"/>
          <w:color w:val="auto"/>
          <w:sz w:val="22"/>
        </w:rPr>
        <w:t>t</w:t>
      </w:r>
      <w:r w:rsidR="00553583" w:rsidRPr="00553583">
        <w:rPr>
          <w:rFonts w:cs="Arial"/>
          <w:color w:val="auto"/>
          <w:sz w:val="22"/>
        </w:rPr>
        <w:t>he transport packaging meets the requirements of Schedule 9, Part 2 of the WHS Regulation</w:t>
      </w:r>
    </w:p>
    <w:p w14:paraId="4B5A63D4" w14:textId="6FF913E6" w:rsidR="00553583" w:rsidRPr="00553583" w:rsidRDefault="00706626" w:rsidP="00706626">
      <w:pPr>
        <w:pStyle w:val="NormalWhite"/>
        <w:numPr>
          <w:ilvl w:val="0"/>
          <w:numId w:val="30"/>
        </w:numPr>
        <w:spacing w:before="120" w:after="120"/>
        <w:ind w:left="924" w:hanging="357"/>
        <w:jc w:val="left"/>
        <w:rPr>
          <w:rFonts w:cs="Arial"/>
          <w:color w:val="auto"/>
          <w:sz w:val="22"/>
        </w:rPr>
      </w:pPr>
      <w:r>
        <w:rPr>
          <w:rFonts w:cs="Arial"/>
          <w:color w:val="auto"/>
          <w:sz w:val="22"/>
        </w:rPr>
        <w:t>t</w:t>
      </w:r>
      <w:r w:rsidR="00553583" w:rsidRPr="00553583">
        <w:rPr>
          <w:rFonts w:cs="Arial"/>
          <w:color w:val="auto"/>
          <w:sz w:val="22"/>
        </w:rPr>
        <w:t>he container's labelling meets the requirements of Schedule 9. Part 3 of the WHS Regulation.</w:t>
      </w:r>
    </w:p>
    <w:p w14:paraId="65B4A464" w14:textId="77777777" w:rsidR="00553583" w:rsidRPr="00553583" w:rsidRDefault="00553583" w:rsidP="00553583">
      <w:pPr>
        <w:spacing w:before="120" w:after="120" w:line="240" w:lineRule="auto"/>
        <w:ind w:left="567"/>
        <w:rPr>
          <w:rFonts w:ascii="Arial" w:hAnsi="Arial" w:cs="Arial"/>
          <w:sz w:val="22"/>
        </w:rPr>
      </w:pPr>
      <w:r w:rsidRPr="00553583">
        <w:rPr>
          <w:rFonts w:ascii="Arial" w:hAnsi="Arial" w:cs="Arial"/>
          <w:sz w:val="22"/>
        </w:rPr>
        <w:t>Check with the Australian Industrial Chemicals Introduction Scheme (AICIS) to determine if they are required to obtain a permit.</w:t>
      </w:r>
    </w:p>
    <w:p w14:paraId="2DE3DA2B" w14:textId="6AE6A99A" w:rsidR="00107C50" w:rsidRDefault="00553583" w:rsidP="00553583">
      <w:pPr>
        <w:spacing w:before="120" w:after="120" w:line="240" w:lineRule="auto"/>
        <w:ind w:left="567"/>
        <w:rPr>
          <w:rFonts w:ascii="Arial" w:hAnsi="Arial" w:cs="Arial"/>
          <w:sz w:val="22"/>
        </w:rPr>
      </w:pPr>
      <w:r w:rsidRPr="00553583">
        <w:rPr>
          <w:rFonts w:ascii="Arial" w:hAnsi="Arial" w:cs="Arial"/>
          <w:sz w:val="22"/>
        </w:rPr>
        <w:t xml:space="preserve">Contact </w:t>
      </w:r>
      <w:hyperlink r:id="rId20" w:history="1">
        <w:r w:rsidR="00A57232" w:rsidRPr="00636046">
          <w:rPr>
            <w:rStyle w:val="Hyperlink"/>
            <w:rFonts w:ascii="Arial" w:hAnsi="Arial" w:cs="Arial"/>
            <w:sz w:val="22"/>
          </w:rPr>
          <w:t>crs@griffith.edu.au</w:t>
        </w:r>
      </w:hyperlink>
      <w:r w:rsidR="00A57232">
        <w:rPr>
          <w:rFonts w:ascii="Arial" w:hAnsi="Arial" w:cs="Arial"/>
          <w:sz w:val="22"/>
        </w:rPr>
        <w:t xml:space="preserve"> </w:t>
      </w:r>
      <w:r w:rsidRPr="00553583">
        <w:rPr>
          <w:rFonts w:ascii="Arial" w:hAnsi="Arial" w:cs="Arial"/>
          <w:sz w:val="22"/>
        </w:rPr>
        <w:t>for any queries or assistance with this process.</w:t>
      </w:r>
    </w:p>
    <w:p w14:paraId="6AA9D09E" w14:textId="77777777" w:rsidR="00706626" w:rsidRDefault="00706626" w:rsidP="00553583">
      <w:pPr>
        <w:spacing w:before="120" w:after="120" w:line="240" w:lineRule="auto"/>
        <w:ind w:left="567"/>
        <w:rPr>
          <w:rFonts w:ascii="Arial" w:hAnsi="Arial" w:cs="Arial"/>
          <w:sz w:val="22"/>
        </w:rPr>
      </w:pPr>
    </w:p>
    <w:p w14:paraId="03CD0B15" w14:textId="77777777" w:rsidR="00DD004C" w:rsidRPr="00A55886" w:rsidRDefault="00DD004C" w:rsidP="00553583">
      <w:pPr>
        <w:spacing w:before="120" w:after="120" w:line="240" w:lineRule="auto"/>
        <w:ind w:left="567"/>
        <w:rPr>
          <w:rFonts w:ascii="Arial" w:hAnsi="Arial" w:cs="Arial"/>
          <w:sz w:val="22"/>
        </w:rPr>
      </w:pPr>
    </w:p>
    <w:p w14:paraId="0E72B9CF" w14:textId="2152580A" w:rsidR="00553583" w:rsidRPr="00A55886" w:rsidRDefault="00553583" w:rsidP="00553583">
      <w:pPr>
        <w:pStyle w:val="Heading3"/>
        <w:ind w:left="567"/>
        <w:rPr>
          <w:rFonts w:ascii="Arial" w:hAnsi="Arial" w:cs="Arial"/>
        </w:rPr>
      </w:pPr>
      <w:bookmarkStart w:id="8" w:name="_3.5_Receiving_Chemicals"/>
      <w:bookmarkEnd w:id="8"/>
      <w:r w:rsidRPr="00A55886">
        <w:rPr>
          <w:rFonts w:ascii="Arial" w:hAnsi="Arial" w:cs="Arial"/>
        </w:rPr>
        <w:lastRenderedPageBreak/>
        <w:t>3.</w:t>
      </w:r>
      <w:r>
        <w:rPr>
          <w:rFonts w:ascii="Arial" w:hAnsi="Arial" w:cs="Arial"/>
        </w:rPr>
        <w:t>5</w:t>
      </w:r>
      <w:r w:rsidRPr="00A55886">
        <w:rPr>
          <w:rFonts w:ascii="Arial" w:hAnsi="Arial" w:cs="Arial"/>
        </w:rPr>
        <w:t xml:space="preserve"> </w:t>
      </w:r>
      <w:r>
        <w:rPr>
          <w:rFonts w:ascii="Arial" w:hAnsi="Arial" w:cs="Arial"/>
        </w:rPr>
        <w:t>Receiving</w:t>
      </w:r>
      <w:r w:rsidRPr="00A55886">
        <w:rPr>
          <w:rFonts w:ascii="Arial" w:hAnsi="Arial" w:cs="Arial"/>
        </w:rPr>
        <w:t xml:space="preserve"> Chemicals</w:t>
      </w:r>
    </w:p>
    <w:p w14:paraId="29928A04" w14:textId="77777777" w:rsidR="00553583" w:rsidRPr="00706626" w:rsidRDefault="00553583" w:rsidP="00553583">
      <w:pPr>
        <w:spacing w:before="120" w:after="120" w:line="240" w:lineRule="auto"/>
        <w:ind w:left="567"/>
        <w:rPr>
          <w:rFonts w:ascii="Arial" w:hAnsi="Arial" w:cs="Arial"/>
          <w:i/>
          <w:iCs/>
          <w:color w:val="E5071F"/>
          <w:sz w:val="22"/>
        </w:rPr>
      </w:pPr>
      <w:r w:rsidRPr="00706626">
        <w:rPr>
          <w:rFonts w:ascii="Arial" w:hAnsi="Arial" w:cs="Arial"/>
          <w:i/>
          <w:iCs/>
          <w:color w:val="E5071F"/>
          <w:sz w:val="22"/>
        </w:rPr>
        <w:t>Accountability: Chemical Custodians</w:t>
      </w:r>
    </w:p>
    <w:p w14:paraId="5EA07C28" w14:textId="77777777" w:rsidR="00553583" w:rsidRPr="00553583" w:rsidRDefault="00553583" w:rsidP="00553583">
      <w:pPr>
        <w:spacing w:before="120" w:after="120" w:line="240" w:lineRule="auto"/>
        <w:ind w:left="567"/>
        <w:rPr>
          <w:rFonts w:ascii="Arial" w:hAnsi="Arial" w:cs="Arial"/>
          <w:sz w:val="22"/>
        </w:rPr>
      </w:pPr>
      <w:r w:rsidRPr="00553583">
        <w:rPr>
          <w:rFonts w:ascii="Arial" w:hAnsi="Arial" w:cs="Arial"/>
          <w:sz w:val="22"/>
        </w:rPr>
        <w:t>When receiving chemicals into storage:</w:t>
      </w:r>
    </w:p>
    <w:p w14:paraId="4DC7F527" w14:textId="67FF2C1D" w:rsidR="00553583" w:rsidRPr="00553583" w:rsidRDefault="00DD004C" w:rsidP="00706626">
      <w:pPr>
        <w:pStyle w:val="NormalWhite"/>
        <w:numPr>
          <w:ilvl w:val="0"/>
          <w:numId w:val="30"/>
        </w:numPr>
        <w:spacing w:before="120" w:after="120"/>
        <w:ind w:left="924" w:hanging="357"/>
        <w:jc w:val="left"/>
        <w:rPr>
          <w:rFonts w:cs="Arial"/>
          <w:color w:val="auto"/>
          <w:sz w:val="22"/>
        </w:rPr>
      </w:pPr>
      <w:r>
        <w:rPr>
          <w:rFonts w:cs="Arial"/>
          <w:color w:val="auto"/>
          <w:sz w:val="22"/>
        </w:rPr>
        <w:t>o</w:t>
      </w:r>
      <w:r w:rsidR="00553583" w:rsidRPr="00553583">
        <w:rPr>
          <w:rFonts w:cs="Arial"/>
          <w:color w:val="auto"/>
          <w:sz w:val="22"/>
        </w:rPr>
        <w:t xml:space="preserve">nly accept new stock that is manufactured, </w:t>
      </w:r>
      <w:proofErr w:type="gramStart"/>
      <w:r w:rsidR="00553583" w:rsidRPr="00553583">
        <w:rPr>
          <w:rFonts w:cs="Arial"/>
          <w:color w:val="auto"/>
          <w:sz w:val="22"/>
        </w:rPr>
        <w:t>classified</w:t>
      </w:r>
      <w:proofErr w:type="gramEnd"/>
      <w:r w:rsidR="00553583" w:rsidRPr="00553583">
        <w:rPr>
          <w:rFonts w:cs="Arial"/>
          <w:color w:val="auto"/>
          <w:sz w:val="22"/>
        </w:rPr>
        <w:t xml:space="preserve"> and labelled under GHS 7 if they are manufactured or imported after 1st January 2023</w:t>
      </w:r>
    </w:p>
    <w:p w14:paraId="0B14C538" w14:textId="7BB1DE55" w:rsidR="00553583" w:rsidRPr="00553583" w:rsidRDefault="00DD004C" w:rsidP="00DD004C">
      <w:pPr>
        <w:pStyle w:val="NormalWhite"/>
        <w:numPr>
          <w:ilvl w:val="0"/>
          <w:numId w:val="30"/>
        </w:numPr>
        <w:spacing w:before="120" w:after="120"/>
        <w:ind w:left="924" w:hanging="357"/>
        <w:jc w:val="left"/>
        <w:rPr>
          <w:rFonts w:cs="Arial"/>
          <w:color w:val="auto"/>
          <w:sz w:val="22"/>
        </w:rPr>
      </w:pPr>
      <w:r>
        <w:rPr>
          <w:rFonts w:cs="Arial"/>
          <w:color w:val="auto"/>
          <w:sz w:val="22"/>
        </w:rPr>
        <w:t>u</w:t>
      </w:r>
      <w:r w:rsidR="00553583" w:rsidRPr="00553583">
        <w:rPr>
          <w:rFonts w:cs="Arial"/>
          <w:color w:val="auto"/>
          <w:sz w:val="22"/>
        </w:rPr>
        <w:t xml:space="preserve">se appropriate manual handling equipment to transfer heavy, </w:t>
      </w:r>
      <w:proofErr w:type="gramStart"/>
      <w:r w:rsidR="00553583" w:rsidRPr="00553583">
        <w:rPr>
          <w:rFonts w:cs="Arial"/>
          <w:color w:val="auto"/>
          <w:sz w:val="22"/>
        </w:rPr>
        <w:t>bulky</w:t>
      </w:r>
      <w:proofErr w:type="gramEnd"/>
      <w:r w:rsidR="00553583" w:rsidRPr="00553583">
        <w:rPr>
          <w:rFonts w:cs="Arial"/>
          <w:color w:val="auto"/>
          <w:sz w:val="22"/>
        </w:rPr>
        <w:t xml:space="preserve"> or awkward containers from the delivery point</w:t>
      </w:r>
    </w:p>
    <w:p w14:paraId="36DEA5F9" w14:textId="57162D99" w:rsidR="00553583" w:rsidRPr="00553583" w:rsidRDefault="00DD004C" w:rsidP="00706626">
      <w:pPr>
        <w:pStyle w:val="NormalWhite"/>
        <w:numPr>
          <w:ilvl w:val="0"/>
          <w:numId w:val="30"/>
        </w:numPr>
        <w:spacing w:before="120" w:after="120"/>
        <w:ind w:left="924" w:hanging="357"/>
        <w:jc w:val="left"/>
        <w:rPr>
          <w:rFonts w:cs="Arial"/>
          <w:color w:val="auto"/>
          <w:sz w:val="22"/>
        </w:rPr>
      </w:pPr>
      <w:r>
        <w:rPr>
          <w:rFonts w:cs="Arial"/>
          <w:color w:val="auto"/>
          <w:sz w:val="22"/>
        </w:rPr>
        <w:t>s</w:t>
      </w:r>
      <w:r w:rsidR="00553583" w:rsidRPr="00553583">
        <w:rPr>
          <w:rFonts w:cs="Arial"/>
          <w:color w:val="auto"/>
          <w:sz w:val="22"/>
        </w:rPr>
        <w:t xml:space="preserve">ecure containers to prevent unauthorised access, accidental </w:t>
      </w:r>
      <w:proofErr w:type="gramStart"/>
      <w:r w:rsidR="00553583" w:rsidRPr="00553583">
        <w:rPr>
          <w:rFonts w:cs="Arial"/>
          <w:color w:val="auto"/>
          <w:sz w:val="22"/>
        </w:rPr>
        <w:t>breakage</w:t>
      </w:r>
      <w:proofErr w:type="gramEnd"/>
      <w:r w:rsidR="00553583" w:rsidRPr="00553583">
        <w:rPr>
          <w:rFonts w:cs="Arial"/>
          <w:color w:val="auto"/>
          <w:sz w:val="22"/>
        </w:rPr>
        <w:t xml:space="preserve"> and spills. </w:t>
      </w:r>
    </w:p>
    <w:p w14:paraId="32FB7679" w14:textId="169216E1" w:rsidR="00107C50" w:rsidRPr="00A55886" w:rsidRDefault="00553583" w:rsidP="00553583">
      <w:pPr>
        <w:spacing w:before="120" w:after="120" w:line="240" w:lineRule="auto"/>
        <w:ind w:left="567"/>
        <w:rPr>
          <w:rFonts w:ascii="Arial" w:hAnsi="Arial" w:cs="Arial"/>
          <w:sz w:val="22"/>
        </w:rPr>
      </w:pPr>
      <w:r w:rsidRPr="00553583">
        <w:rPr>
          <w:rFonts w:ascii="Arial" w:hAnsi="Arial" w:cs="Arial"/>
          <w:sz w:val="22"/>
        </w:rPr>
        <w:t>Update the Chemical Register for the area as soon as practicable after receiving the chemicals. Griffith uses the Chemwatch Gold FFX Manifest function for this purpose.</w:t>
      </w:r>
    </w:p>
    <w:p w14:paraId="4A541AF5" w14:textId="4A0F1564" w:rsidR="002D5CC9" w:rsidRPr="00A55886" w:rsidRDefault="002D5CC9" w:rsidP="002D5CC9">
      <w:pPr>
        <w:pStyle w:val="Heading5"/>
        <w:spacing w:before="120" w:line="240" w:lineRule="auto"/>
        <w:ind w:left="851"/>
        <w:rPr>
          <w:rFonts w:ascii="Arial" w:hAnsi="Arial" w:cs="Arial"/>
          <w:sz w:val="22"/>
          <w:szCs w:val="24"/>
        </w:rPr>
      </w:pPr>
      <w:r w:rsidRPr="00A55886">
        <w:rPr>
          <w:rFonts w:ascii="Arial" w:hAnsi="Arial" w:cs="Arial"/>
          <w:sz w:val="22"/>
          <w:szCs w:val="24"/>
        </w:rPr>
        <w:t>3.</w:t>
      </w:r>
      <w:r>
        <w:rPr>
          <w:rFonts w:ascii="Arial" w:hAnsi="Arial" w:cs="Arial"/>
          <w:sz w:val="22"/>
          <w:szCs w:val="24"/>
        </w:rPr>
        <w:t>5</w:t>
      </w:r>
      <w:r w:rsidRPr="00A55886">
        <w:rPr>
          <w:rFonts w:ascii="Arial" w:hAnsi="Arial" w:cs="Arial"/>
          <w:sz w:val="22"/>
          <w:szCs w:val="24"/>
        </w:rPr>
        <w:t>.</w:t>
      </w:r>
      <w:r>
        <w:rPr>
          <w:rFonts w:ascii="Arial" w:hAnsi="Arial" w:cs="Arial"/>
          <w:sz w:val="22"/>
          <w:szCs w:val="24"/>
        </w:rPr>
        <w:t>1</w:t>
      </w:r>
      <w:r w:rsidRPr="00A55886">
        <w:rPr>
          <w:rFonts w:ascii="Arial" w:hAnsi="Arial" w:cs="Arial"/>
          <w:sz w:val="22"/>
          <w:szCs w:val="24"/>
        </w:rPr>
        <w:t xml:space="preserve"> </w:t>
      </w:r>
      <w:r>
        <w:rPr>
          <w:rFonts w:ascii="Arial" w:hAnsi="Arial" w:cs="Arial"/>
          <w:sz w:val="22"/>
          <w:szCs w:val="24"/>
        </w:rPr>
        <w:t>Chemicals of Security Concern</w:t>
      </w:r>
    </w:p>
    <w:p w14:paraId="0B3DC7EC" w14:textId="77777777" w:rsidR="002D5CC9" w:rsidRPr="00DD004C" w:rsidRDefault="002D5CC9" w:rsidP="002D5CC9">
      <w:pPr>
        <w:spacing w:before="120" w:after="120" w:line="240" w:lineRule="auto"/>
        <w:ind w:left="698" w:firstLine="153"/>
        <w:rPr>
          <w:rFonts w:ascii="Arial" w:hAnsi="Arial" w:cs="Arial"/>
          <w:i/>
          <w:iCs/>
          <w:color w:val="E5071F"/>
          <w:sz w:val="22"/>
        </w:rPr>
      </w:pPr>
      <w:r w:rsidRPr="00DD004C">
        <w:rPr>
          <w:rFonts w:ascii="Arial" w:hAnsi="Arial" w:cs="Arial"/>
          <w:i/>
          <w:iCs/>
          <w:color w:val="E5071F"/>
          <w:sz w:val="22"/>
        </w:rPr>
        <w:t>Accountability: Chemical Custodians</w:t>
      </w:r>
    </w:p>
    <w:p w14:paraId="02CD059A" w14:textId="77777777" w:rsidR="002D5CC9" w:rsidRPr="002D5CC9" w:rsidRDefault="002D5CC9" w:rsidP="002D5CC9">
      <w:pPr>
        <w:spacing w:before="120" w:after="120" w:line="240" w:lineRule="auto"/>
        <w:ind w:left="851"/>
        <w:rPr>
          <w:rFonts w:ascii="Arial" w:hAnsi="Arial" w:cs="Arial"/>
          <w:sz w:val="22"/>
        </w:rPr>
      </w:pPr>
      <w:r w:rsidRPr="002D5CC9">
        <w:rPr>
          <w:rFonts w:ascii="Arial" w:hAnsi="Arial" w:cs="Arial"/>
          <w:sz w:val="22"/>
        </w:rPr>
        <w:t>When arranging for the delivery of chemicals of security concern:</w:t>
      </w:r>
    </w:p>
    <w:p w14:paraId="0E5C9354" w14:textId="5F62D474" w:rsidR="002D5CC9" w:rsidRPr="002D5CC9" w:rsidRDefault="00DD004C" w:rsidP="00DD004C">
      <w:pPr>
        <w:pStyle w:val="NormalWhite"/>
        <w:numPr>
          <w:ilvl w:val="0"/>
          <w:numId w:val="30"/>
        </w:numPr>
        <w:spacing w:before="120" w:after="120"/>
        <w:ind w:left="1208" w:hanging="357"/>
        <w:jc w:val="left"/>
        <w:rPr>
          <w:rFonts w:cs="Arial"/>
          <w:color w:val="auto"/>
          <w:sz w:val="22"/>
        </w:rPr>
      </w:pPr>
      <w:r>
        <w:rPr>
          <w:rFonts w:cs="Arial"/>
          <w:color w:val="auto"/>
          <w:sz w:val="22"/>
        </w:rPr>
        <w:t>n</w:t>
      </w:r>
      <w:r w:rsidR="002D5CC9" w:rsidRPr="002D5CC9">
        <w:rPr>
          <w:rFonts w:cs="Arial"/>
          <w:color w:val="auto"/>
          <w:sz w:val="22"/>
        </w:rPr>
        <w:t xml:space="preserve">otify </w:t>
      </w:r>
      <w:hyperlink r:id="rId21" w:history="1">
        <w:r w:rsidR="00A57232" w:rsidRPr="00636046">
          <w:rPr>
            <w:rStyle w:val="Hyperlink"/>
            <w:rFonts w:cs="Arial"/>
            <w:sz w:val="22"/>
          </w:rPr>
          <w:t>crs@griffith.edu.au</w:t>
        </w:r>
      </w:hyperlink>
      <w:r w:rsidR="00A57232">
        <w:rPr>
          <w:rFonts w:cs="Arial"/>
          <w:color w:val="auto"/>
          <w:sz w:val="22"/>
        </w:rPr>
        <w:t xml:space="preserve"> </w:t>
      </w:r>
      <w:r w:rsidR="002D5CC9" w:rsidRPr="002D5CC9">
        <w:rPr>
          <w:rFonts w:cs="Arial"/>
          <w:color w:val="auto"/>
          <w:sz w:val="22"/>
        </w:rPr>
        <w:t>that the inventory is due to arrive</w:t>
      </w:r>
    </w:p>
    <w:p w14:paraId="108CC1B5" w14:textId="5C0C9C7F" w:rsidR="002D5CC9" w:rsidRPr="002D5CC9" w:rsidRDefault="00DD004C" w:rsidP="00DD004C">
      <w:pPr>
        <w:pStyle w:val="NormalWhite"/>
        <w:numPr>
          <w:ilvl w:val="0"/>
          <w:numId w:val="30"/>
        </w:numPr>
        <w:spacing w:before="120" w:after="120"/>
        <w:ind w:left="1208" w:hanging="357"/>
        <w:jc w:val="left"/>
        <w:rPr>
          <w:rFonts w:cs="Arial"/>
          <w:color w:val="auto"/>
          <w:sz w:val="22"/>
        </w:rPr>
      </w:pPr>
      <w:r>
        <w:rPr>
          <w:rFonts w:cs="Arial"/>
          <w:color w:val="auto"/>
          <w:sz w:val="22"/>
        </w:rPr>
        <w:t>v</w:t>
      </w:r>
      <w:r w:rsidR="002D5CC9" w:rsidRPr="002D5CC9">
        <w:rPr>
          <w:rFonts w:cs="Arial"/>
          <w:color w:val="auto"/>
          <w:sz w:val="22"/>
        </w:rPr>
        <w:t xml:space="preserve">erify that the receivables process prevents access by unauthorised personnel </w:t>
      </w:r>
    </w:p>
    <w:p w14:paraId="02EFEC1D" w14:textId="0EF10ABD" w:rsidR="002D5CC9" w:rsidRPr="002D5CC9" w:rsidRDefault="00DD004C" w:rsidP="00DD004C">
      <w:pPr>
        <w:pStyle w:val="NormalWhite"/>
        <w:numPr>
          <w:ilvl w:val="0"/>
          <w:numId w:val="30"/>
        </w:numPr>
        <w:spacing w:before="120" w:after="120"/>
        <w:ind w:left="1208" w:hanging="357"/>
        <w:jc w:val="left"/>
        <w:rPr>
          <w:rFonts w:cs="Arial"/>
          <w:color w:val="auto"/>
          <w:sz w:val="22"/>
        </w:rPr>
      </w:pPr>
      <w:r>
        <w:rPr>
          <w:rFonts w:cs="Arial"/>
          <w:color w:val="auto"/>
          <w:sz w:val="22"/>
        </w:rPr>
        <w:t>s</w:t>
      </w:r>
      <w:r w:rsidR="002D5CC9" w:rsidRPr="002D5CC9">
        <w:rPr>
          <w:rFonts w:cs="Arial"/>
          <w:color w:val="auto"/>
          <w:sz w:val="22"/>
        </w:rPr>
        <w:t>elect a delivery point that is a supervised chemical delivery point (Griffith has several locations, including the Science Store)</w:t>
      </w:r>
    </w:p>
    <w:p w14:paraId="4941C038" w14:textId="63AEE12F" w:rsidR="002D5CC9" w:rsidRPr="002D5CC9" w:rsidRDefault="00DD004C" w:rsidP="00DD004C">
      <w:pPr>
        <w:pStyle w:val="NormalWhite"/>
        <w:numPr>
          <w:ilvl w:val="0"/>
          <w:numId w:val="30"/>
        </w:numPr>
        <w:spacing w:before="120" w:after="120"/>
        <w:ind w:left="1208" w:hanging="357"/>
        <w:jc w:val="left"/>
        <w:rPr>
          <w:rFonts w:cs="Arial"/>
          <w:color w:val="auto"/>
          <w:sz w:val="22"/>
        </w:rPr>
      </w:pPr>
      <w:r>
        <w:rPr>
          <w:rFonts w:cs="Arial"/>
          <w:color w:val="auto"/>
          <w:sz w:val="22"/>
        </w:rPr>
        <w:t>i</w:t>
      </w:r>
      <w:r w:rsidR="002D5CC9" w:rsidRPr="002D5CC9">
        <w:rPr>
          <w:rFonts w:cs="Arial"/>
          <w:color w:val="auto"/>
          <w:sz w:val="22"/>
        </w:rPr>
        <w:t>f using a location without a supervised delivery point, implement alternative arrangements to ensure the security of the materials</w:t>
      </w:r>
    </w:p>
    <w:p w14:paraId="7A77FA36" w14:textId="5FB1419E" w:rsidR="002D5CC9" w:rsidRPr="002D5CC9" w:rsidRDefault="00DD004C" w:rsidP="00DD004C">
      <w:pPr>
        <w:pStyle w:val="NormalWhite"/>
        <w:numPr>
          <w:ilvl w:val="0"/>
          <w:numId w:val="30"/>
        </w:numPr>
        <w:spacing w:before="120" w:after="120"/>
        <w:ind w:left="1208" w:hanging="357"/>
        <w:jc w:val="left"/>
        <w:rPr>
          <w:rFonts w:cs="Arial"/>
          <w:color w:val="auto"/>
          <w:sz w:val="22"/>
        </w:rPr>
      </w:pPr>
      <w:r>
        <w:rPr>
          <w:rFonts w:cs="Arial"/>
          <w:color w:val="auto"/>
          <w:sz w:val="22"/>
        </w:rPr>
        <w:t>m</w:t>
      </w:r>
      <w:r w:rsidR="002D5CC9" w:rsidRPr="002D5CC9">
        <w:rPr>
          <w:rFonts w:cs="Arial"/>
          <w:color w:val="auto"/>
          <w:sz w:val="22"/>
        </w:rPr>
        <w:t>aintain a chain of custody and update Chemical Registers used for temporary storage until the chemical of security concern reaches the intended destination</w:t>
      </w:r>
    </w:p>
    <w:p w14:paraId="44AF8AA1" w14:textId="63C4505A" w:rsidR="00107C50" w:rsidRPr="00A55886" w:rsidRDefault="00DD004C" w:rsidP="00DD004C">
      <w:pPr>
        <w:pStyle w:val="NormalWhite"/>
        <w:numPr>
          <w:ilvl w:val="0"/>
          <w:numId w:val="30"/>
        </w:numPr>
        <w:spacing w:before="120" w:after="120"/>
        <w:ind w:left="1208" w:hanging="357"/>
        <w:jc w:val="left"/>
        <w:rPr>
          <w:rFonts w:cs="Arial"/>
          <w:color w:val="auto"/>
          <w:sz w:val="22"/>
        </w:rPr>
      </w:pPr>
      <w:r>
        <w:rPr>
          <w:rFonts w:cs="Arial"/>
          <w:color w:val="auto"/>
          <w:sz w:val="22"/>
        </w:rPr>
        <w:t>v</w:t>
      </w:r>
      <w:r w:rsidR="002D5CC9" w:rsidRPr="002D5CC9">
        <w:rPr>
          <w:rFonts w:cs="Arial"/>
          <w:color w:val="auto"/>
          <w:sz w:val="22"/>
        </w:rPr>
        <w:t>erify the quantity of product received against the quantity ordered.</w:t>
      </w:r>
    </w:p>
    <w:p w14:paraId="0530822C" w14:textId="342F76D9" w:rsidR="009A6D7C" w:rsidRPr="00A55886" w:rsidRDefault="009A6D7C" w:rsidP="009A6D7C">
      <w:pPr>
        <w:pStyle w:val="Heading5"/>
        <w:spacing w:before="120" w:line="240" w:lineRule="auto"/>
        <w:ind w:left="851"/>
        <w:rPr>
          <w:rFonts w:ascii="Arial" w:hAnsi="Arial" w:cs="Arial"/>
          <w:sz w:val="22"/>
          <w:szCs w:val="24"/>
        </w:rPr>
      </w:pPr>
      <w:r w:rsidRPr="00A55886">
        <w:rPr>
          <w:rFonts w:ascii="Arial" w:hAnsi="Arial" w:cs="Arial"/>
          <w:sz w:val="22"/>
          <w:szCs w:val="24"/>
        </w:rPr>
        <w:t>3.</w:t>
      </w:r>
      <w:r>
        <w:rPr>
          <w:rFonts w:ascii="Arial" w:hAnsi="Arial" w:cs="Arial"/>
          <w:sz w:val="22"/>
          <w:szCs w:val="24"/>
        </w:rPr>
        <w:t>5</w:t>
      </w:r>
      <w:r w:rsidRPr="00A55886">
        <w:rPr>
          <w:rFonts w:ascii="Arial" w:hAnsi="Arial" w:cs="Arial"/>
          <w:sz w:val="22"/>
          <w:szCs w:val="24"/>
        </w:rPr>
        <w:t>.</w:t>
      </w:r>
      <w:r>
        <w:rPr>
          <w:rFonts w:ascii="Arial" w:hAnsi="Arial" w:cs="Arial"/>
          <w:sz w:val="22"/>
          <w:szCs w:val="24"/>
        </w:rPr>
        <w:t>2</w:t>
      </w:r>
      <w:r w:rsidRPr="00A55886">
        <w:rPr>
          <w:rFonts w:ascii="Arial" w:hAnsi="Arial" w:cs="Arial"/>
          <w:sz w:val="22"/>
          <w:szCs w:val="24"/>
        </w:rPr>
        <w:t xml:space="preserve"> </w:t>
      </w:r>
      <w:r>
        <w:rPr>
          <w:rFonts w:ascii="Arial" w:hAnsi="Arial" w:cs="Arial"/>
          <w:sz w:val="22"/>
          <w:szCs w:val="24"/>
        </w:rPr>
        <w:t>Time-Sensitive Chemicals</w:t>
      </w:r>
    </w:p>
    <w:p w14:paraId="44677F1D" w14:textId="77777777" w:rsidR="009A6D7C" w:rsidRPr="00DD004C" w:rsidRDefault="009A6D7C" w:rsidP="009A6D7C">
      <w:pPr>
        <w:spacing w:before="120" w:after="120" w:line="240" w:lineRule="auto"/>
        <w:ind w:left="698" w:firstLine="153"/>
        <w:rPr>
          <w:rFonts w:ascii="Arial" w:hAnsi="Arial" w:cs="Arial"/>
          <w:i/>
          <w:iCs/>
          <w:color w:val="E5071F"/>
          <w:sz w:val="22"/>
        </w:rPr>
      </w:pPr>
      <w:r w:rsidRPr="00DD004C">
        <w:rPr>
          <w:rFonts w:ascii="Arial" w:hAnsi="Arial" w:cs="Arial"/>
          <w:i/>
          <w:iCs/>
          <w:color w:val="E5071F"/>
          <w:sz w:val="22"/>
        </w:rPr>
        <w:t>Accountability: Chemical Custodians</w:t>
      </w:r>
    </w:p>
    <w:p w14:paraId="7045A09A" w14:textId="5B4D00B2" w:rsidR="00107C50" w:rsidRPr="00A55886" w:rsidRDefault="009A6D7C" w:rsidP="009A6D7C">
      <w:pPr>
        <w:spacing w:before="120" w:after="120" w:line="240" w:lineRule="auto"/>
        <w:ind w:left="851"/>
        <w:rPr>
          <w:rFonts w:ascii="Arial" w:hAnsi="Arial" w:cs="Arial"/>
          <w:sz w:val="22"/>
        </w:rPr>
      </w:pPr>
      <w:r w:rsidRPr="009A6D7C">
        <w:rPr>
          <w:rFonts w:ascii="Arial" w:hAnsi="Arial" w:cs="Arial"/>
          <w:sz w:val="22"/>
        </w:rPr>
        <w:t>Mark all time-sensitive chemicals immediately with an expiration date upon receipt.</w:t>
      </w:r>
    </w:p>
    <w:p w14:paraId="5EB8F927" w14:textId="418EF0AB" w:rsidR="00A144B2" w:rsidRPr="00A55886" w:rsidRDefault="007418A5" w:rsidP="00CA6AC5">
      <w:pPr>
        <w:pStyle w:val="Heading2"/>
        <w:rPr>
          <w:rFonts w:ascii="Arial" w:hAnsi="Arial" w:cs="Arial"/>
        </w:rPr>
      </w:pPr>
      <w:bookmarkStart w:id="9" w:name="_4.0_Roles,_responsibilities"/>
      <w:bookmarkStart w:id="10" w:name="_5.0_Definitions"/>
      <w:bookmarkStart w:id="11" w:name="_4.0_Definitions"/>
      <w:bookmarkEnd w:id="9"/>
      <w:bookmarkEnd w:id="10"/>
      <w:bookmarkEnd w:id="11"/>
      <w:r w:rsidRPr="00A55886">
        <w:rPr>
          <w:rFonts w:ascii="Arial" w:hAnsi="Arial" w:cs="Arial"/>
        </w:rPr>
        <w:t>4</w:t>
      </w:r>
      <w:r w:rsidR="00A144B2" w:rsidRPr="00A55886">
        <w:rPr>
          <w:rFonts w:ascii="Arial" w:hAnsi="Arial" w:cs="Arial"/>
        </w:rPr>
        <w:t>.0 Definitions</w:t>
      </w:r>
    </w:p>
    <w:p w14:paraId="753278D9" w14:textId="77777777" w:rsidR="009A6D7C" w:rsidRPr="009A6D7C" w:rsidRDefault="009A6D7C" w:rsidP="009A6D7C">
      <w:pPr>
        <w:spacing w:before="120" w:after="120" w:line="240" w:lineRule="auto"/>
        <w:rPr>
          <w:rFonts w:ascii="Arial" w:hAnsi="Arial" w:cs="Arial"/>
          <w:sz w:val="22"/>
        </w:rPr>
      </w:pPr>
      <w:r w:rsidRPr="009A6D7C">
        <w:rPr>
          <w:rFonts w:ascii="Arial" w:hAnsi="Arial" w:cs="Arial"/>
          <w:b/>
          <w:bCs/>
          <w:sz w:val="22"/>
        </w:rPr>
        <w:t>ADG Code</w:t>
      </w:r>
      <w:r w:rsidRPr="009A6D7C">
        <w:rPr>
          <w:rFonts w:ascii="Arial" w:hAnsi="Arial" w:cs="Arial"/>
          <w:sz w:val="22"/>
        </w:rPr>
        <w:t xml:space="preserve"> is the </w:t>
      </w:r>
      <w:r w:rsidRPr="009A6D7C">
        <w:rPr>
          <w:rFonts w:ascii="Arial" w:hAnsi="Arial" w:cs="Arial"/>
          <w:i/>
          <w:iCs/>
          <w:sz w:val="22"/>
        </w:rPr>
        <w:t>Australian Code for the Transport of Dangerous Goods by Road and Rail</w:t>
      </w:r>
      <w:r w:rsidRPr="009A6D7C">
        <w:rPr>
          <w:rFonts w:ascii="Arial" w:hAnsi="Arial" w:cs="Arial"/>
          <w:sz w:val="22"/>
        </w:rPr>
        <w:t>, in its current form, approved by the Australian Transport Council. The ADG Code is accessible at the National Transport Commission website.</w:t>
      </w:r>
    </w:p>
    <w:p w14:paraId="2C530429" w14:textId="77777777" w:rsidR="009A6D7C" w:rsidRPr="009A6D7C" w:rsidRDefault="009A6D7C" w:rsidP="009A6D7C">
      <w:pPr>
        <w:spacing w:before="120" w:after="120" w:line="240" w:lineRule="auto"/>
        <w:rPr>
          <w:rFonts w:ascii="Arial" w:hAnsi="Arial" w:cs="Arial"/>
          <w:sz w:val="22"/>
        </w:rPr>
      </w:pPr>
      <w:r w:rsidRPr="009A6D7C">
        <w:rPr>
          <w:rFonts w:ascii="Arial" w:hAnsi="Arial" w:cs="Arial"/>
          <w:b/>
          <w:bCs/>
          <w:sz w:val="22"/>
        </w:rPr>
        <w:t>Chemicals</w:t>
      </w:r>
      <w:r w:rsidRPr="009A6D7C">
        <w:rPr>
          <w:rFonts w:ascii="Arial" w:hAnsi="Arial" w:cs="Arial"/>
          <w:sz w:val="22"/>
        </w:rPr>
        <w:t xml:space="preserve"> are any substance that has a defined composition.</w:t>
      </w:r>
    </w:p>
    <w:p w14:paraId="52EE8A1C" w14:textId="77777777" w:rsidR="009A6D7C" w:rsidRPr="009A6D7C" w:rsidRDefault="009A6D7C" w:rsidP="009A6D7C">
      <w:pPr>
        <w:spacing w:before="120" w:after="120" w:line="240" w:lineRule="auto"/>
        <w:rPr>
          <w:rFonts w:ascii="Arial" w:hAnsi="Arial" w:cs="Arial"/>
          <w:b/>
          <w:bCs/>
          <w:sz w:val="22"/>
        </w:rPr>
      </w:pPr>
      <w:r w:rsidRPr="009A6D7C">
        <w:rPr>
          <w:rFonts w:ascii="Arial" w:hAnsi="Arial" w:cs="Arial"/>
          <w:b/>
          <w:bCs/>
          <w:sz w:val="22"/>
        </w:rPr>
        <w:t xml:space="preserve">Chemical Custodians </w:t>
      </w:r>
      <w:r w:rsidRPr="009A6D7C">
        <w:rPr>
          <w:rFonts w:ascii="Arial" w:hAnsi="Arial" w:cs="Arial"/>
          <w:sz w:val="22"/>
        </w:rPr>
        <w:t xml:space="preserve">are personnel with operational control over chemicals at Griffith. This includes users of the chemicals, chief investigators and their supervisor.  </w:t>
      </w:r>
    </w:p>
    <w:p w14:paraId="24353B5A" w14:textId="77777777" w:rsidR="009A6D7C" w:rsidRPr="009A6D7C" w:rsidRDefault="009A6D7C" w:rsidP="009A6D7C">
      <w:pPr>
        <w:spacing w:before="120" w:after="120" w:line="240" w:lineRule="auto"/>
        <w:rPr>
          <w:rFonts w:ascii="Arial" w:hAnsi="Arial" w:cs="Arial"/>
          <w:sz w:val="22"/>
        </w:rPr>
      </w:pPr>
      <w:r w:rsidRPr="009A6D7C">
        <w:rPr>
          <w:rFonts w:ascii="Arial" w:hAnsi="Arial" w:cs="Arial"/>
          <w:b/>
          <w:bCs/>
          <w:sz w:val="22"/>
        </w:rPr>
        <w:t xml:space="preserve">Chemical Register </w:t>
      </w:r>
      <w:r w:rsidRPr="009A6D7C">
        <w:rPr>
          <w:rFonts w:ascii="Arial" w:hAnsi="Arial" w:cs="Arial"/>
          <w:sz w:val="22"/>
        </w:rPr>
        <w:t xml:space="preserve">is a ‘hazardous chemical register’ as defined by the WHS Regulation, and at Griffith is using the ‘manifest’ function in Chemwatch.  </w:t>
      </w:r>
    </w:p>
    <w:p w14:paraId="2932A3BE" w14:textId="77777777" w:rsidR="009A6D7C" w:rsidRDefault="009A6D7C" w:rsidP="009A6D7C">
      <w:pPr>
        <w:spacing w:before="120" w:after="120" w:line="240" w:lineRule="auto"/>
        <w:rPr>
          <w:rFonts w:ascii="Arial" w:hAnsi="Arial" w:cs="Arial"/>
          <w:sz w:val="22"/>
        </w:rPr>
      </w:pPr>
      <w:r w:rsidRPr="009A6D7C">
        <w:rPr>
          <w:rFonts w:ascii="Arial" w:hAnsi="Arial" w:cs="Arial"/>
          <w:b/>
          <w:bCs/>
          <w:sz w:val="22"/>
        </w:rPr>
        <w:t xml:space="preserve">GHS </w:t>
      </w:r>
      <w:r w:rsidRPr="009A6D7C">
        <w:rPr>
          <w:rFonts w:ascii="Arial" w:hAnsi="Arial" w:cs="Arial"/>
          <w:sz w:val="22"/>
        </w:rPr>
        <w:t>refers to the ‘Globally Harmonized System of Classification and Labelling of Chemicals’, in its current form and published by the United Nations.</w:t>
      </w:r>
    </w:p>
    <w:p w14:paraId="7ECD8BEA" w14:textId="77777777" w:rsidR="00DD004C" w:rsidRPr="009A6D7C" w:rsidRDefault="00DD004C" w:rsidP="00DD004C">
      <w:pPr>
        <w:spacing w:before="120" w:after="120" w:line="240" w:lineRule="auto"/>
        <w:rPr>
          <w:rFonts w:ascii="Arial" w:hAnsi="Arial" w:cs="Arial"/>
          <w:b/>
          <w:bCs/>
          <w:sz w:val="22"/>
        </w:rPr>
      </w:pPr>
      <w:r w:rsidRPr="009A6D7C">
        <w:rPr>
          <w:rFonts w:ascii="Arial" w:hAnsi="Arial" w:cs="Arial"/>
          <w:b/>
          <w:bCs/>
          <w:sz w:val="22"/>
        </w:rPr>
        <w:lastRenderedPageBreak/>
        <w:t xml:space="preserve">Hazardous Chemical </w:t>
      </w:r>
      <w:r w:rsidRPr="009A6D7C">
        <w:rPr>
          <w:rFonts w:ascii="Arial" w:hAnsi="Arial" w:cs="Arial"/>
          <w:sz w:val="22"/>
        </w:rPr>
        <w:t>means a substance, mixture or article that satisfies the criteria for a hazard class in the GHS (including a classification referred to in Schedule 6 of the WHS Regulation).</w:t>
      </w:r>
    </w:p>
    <w:p w14:paraId="16C084C5" w14:textId="77777777" w:rsidR="009A6D7C" w:rsidRPr="009A6D7C" w:rsidRDefault="009A6D7C" w:rsidP="009A6D7C">
      <w:pPr>
        <w:spacing w:before="120" w:after="120" w:line="240" w:lineRule="auto"/>
        <w:rPr>
          <w:rFonts w:ascii="Arial" w:hAnsi="Arial" w:cs="Arial"/>
          <w:sz w:val="22"/>
        </w:rPr>
      </w:pPr>
      <w:r w:rsidRPr="009A6D7C">
        <w:rPr>
          <w:rFonts w:ascii="Arial" w:hAnsi="Arial" w:cs="Arial"/>
          <w:b/>
          <w:bCs/>
          <w:sz w:val="22"/>
        </w:rPr>
        <w:t xml:space="preserve">Label </w:t>
      </w:r>
      <w:r w:rsidRPr="009A6D7C">
        <w:rPr>
          <w:rFonts w:ascii="Arial" w:hAnsi="Arial" w:cs="Arial"/>
          <w:sz w:val="22"/>
        </w:rPr>
        <w:t>means written, printed or graphical information elements concerning a hazardous chemical that is affixed to, printed on, or attached to the container of a hazardous chemical.</w:t>
      </w:r>
    </w:p>
    <w:p w14:paraId="72B23DC0" w14:textId="77777777" w:rsidR="009A6D7C" w:rsidRPr="009A6D7C" w:rsidRDefault="009A6D7C" w:rsidP="009A6D7C">
      <w:pPr>
        <w:spacing w:before="120" w:after="120" w:line="240" w:lineRule="auto"/>
        <w:rPr>
          <w:rFonts w:ascii="Arial" w:hAnsi="Arial" w:cs="Arial"/>
          <w:b/>
          <w:bCs/>
          <w:sz w:val="22"/>
        </w:rPr>
      </w:pPr>
      <w:r w:rsidRPr="009A6D7C">
        <w:rPr>
          <w:rFonts w:ascii="Arial" w:hAnsi="Arial" w:cs="Arial"/>
          <w:b/>
          <w:bCs/>
          <w:sz w:val="22"/>
        </w:rPr>
        <w:t xml:space="preserve">Nanomaterials </w:t>
      </w:r>
      <w:r w:rsidRPr="009A6D7C">
        <w:rPr>
          <w:rFonts w:ascii="Arial" w:hAnsi="Arial" w:cs="Arial"/>
          <w:sz w:val="22"/>
        </w:rPr>
        <w:t>refer to industrial materials intentionally produced, manufactured or engineered to have unique properties or specific composition at the nanoscale, that is a size range typically between 1 nm and 100 nm, and is either a nano-object (i.e.. that is confined in one, two, or three dimensions at the nanoscale) or is nanostructured (i.e.. having an internal or surface structure at the nanoscale).</w:t>
      </w:r>
    </w:p>
    <w:p w14:paraId="3AF7D3D4" w14:textId="21FDF429" w:rsidR="009A6D7C" w:rsidRPr="009A6D7C" w:rsidRDefault="009A6D7C" w:rsidP="009A6D7C">
      <w:pPr>
        <w:spacing w:before="120" w:after="120" w:line="240" w:lineRule="auto"/>
        <w:rPr>
          <w:rFonts w:ascii="Arial" w:hAnsi="Arial" w:cs="Arial"/>
          <w:b/>
          <w:bCs/>
          <w:sz w:val="22"/>
        </w:rPr>
      </w:pPr>
      <w:r w:rsidRPr="009A6D7C">
        <w:rPr>
          <w:rFonts w:ascii="Arial" w:hAnsi="Arial" w:cs="Arial"/>
          <w:b/>
          <w:bCs/>
          <w:sz w:val="22"/>
        </w:rPr>
        <w:t xml:space="preserve">SDS </w:t>
      </w:r>
      <w:r w:rsidRPr="009A6D7C">
        <w:rPr>
          <w:rFonts w:ascii="Arial" w:hAnsi="Arial" w:cs="Arial"/>
          <w:sz w:val="22"/>
        </w:rPr>
        <w:t xml:space="preserve">refers to a </w:t>
      </w:r>
      <w:r w:rsidR="00DD004C">
        <w:rPr>
          <w:rFonts w:ascii="Arial" w:hAnsi="Arial" w:cs="Arial"/>
          <w:sz w:val="22"/>
        </w:rPr>
        <w:t>S</w:t>
      </w:r>
      <w:r w:rsidRPr="009A6D7C">
        <w:rPr>
          <w:rFonts w:ascii="Arial" w:hAnsi="Arial" w:cs="Arial"/>
          <w:sz w:val="22"/>
        </w:rPr>
        <w:t xml:space="preserve">afety </w:t>
      </w:r>
      <w:r w:rsidR="00DD004C">
        <w:rPr>
          <w:rFonts w:ascii="Arial" w:hAnsi="Arial" w:cs="Arial"/>
          <w:sz w:val="22"/>
        </w:rPr>
        <w:t>D</w:t>
      </w:r>
      <w:r w:rsidRPr="009A6D7C">
        <w:rPr>
          <w:rFonts w:ascii="Arial" w:hAnsi="Arial" w:cs="Arial"/>
          <w:sz w:val="22"/>
        </w:rPr>
        <w:t xml:space="preserve">ata </w:t>
      </w:r>
      <w:r w:rsidR="00DD004C">
        <w:rPr>
          <w:rFonts w:ascii="Arial" w:hAnsi="Arial" w:cs="Arial"/>
          <w:sz w:val="22"/>
        </w:rPr>
        <w:t>S</w:t>
      </w:r>
      <w:r w:rsidRPr="009A6D7C">
        <w:rPr>
          <w:rFonts w:ascii="Arial" w:hAnsi="Arial" w:cs="Arial"/>
          <w:sz w:val="22"/>
        </w:rPr>
        <w:t>heet prepared under Section 330 or 331 of the WHS Regulation.</w:t>
      </w:r>
    </w:p>
    <w:p w14:paraId="45403F2B" w14:textId="50864734" w:rsidR="00B42BD2" w:rsidRPr="00A55886" w:rsidRDefault="009A6D7C" w:rsidP="009A6D7C">
      <w:pPr>
        <w:spacing w:before="120" w:after="120" w:line="240" w:lineRule="auto"/>
        <w:rPr>
          <w:rFonts w:ascii="Arial" w:hAnsi="Arial" w:cs="Arial"/>
          <w:b/>
          <w:bCs/>
          <w:sz w:val="22"/>
        </w:rPr>
      </w:pPr>
      <w:r w:rsidRPr="009A6D7C">
        <w:rPr>
          <w:rFonts w:ascii="Arial" w:hAnsi="Arial" w:cs="Arial"/>
          <w:b/>
          <w:bCs/>
          <w:sz w:val="22"/>
        </w:rPr>
        <w:t xml:space="preserve">WHS Regulation </w:t>
      </w:r>
      <w:r w:rsidRPr="009A6D7C">
        <w:rPr>
          <w:rFonts w:ascii="Arial" w:hAnsi="Arial" w:cs="Arial"/>
          <w:sz w:val="22"/>
        </w:rPr>
        <w:t xml:space="preserve">refers to the </w:t>
      </w:r>
      <w:r w:rsidRPr="009A6D7C">
        <w:rPr>
          <w:rFonts w:ascii="Arial" w:hAnsi="Arial" w:cs="Arial"/>
          <w:i/>
          <w:iCs/>
          <w:sz w:val="22"/>
        </w:rPr>
        <w:t>Work Health and Safety Regulation 2011</w:t>
      </w:r>
      <w:r w:rsidRPr="009A6D7C">
        <w:rPr>
          <w:rFonts w:ascii="Arial" w:hAnsi="Arial" w:cs="Arial"/>
          <w:sz w:val="22"/>
        </w:rPr>
        <w:t xml:space="preserve"> (Qld).</w:t>
      </w:r>
    </w:p>
    <w:p w14:paraId="6B8985C1" w14:textId="27CC9FA9" w:rsidR="00091E5E" w:rsidRPr="00A55886" w:rsidRDefault="00091E5E">
      <w:pPr>
        <w:rPr>
          <w:rFonts w:ascii="Arial" w:hAnsi="Arial" w:cs="Arial"/>
          <w:b/>
          <w:bCs/>
          <w:sz w:val="20"/>
          <w:szCs w:val="20"/>
        </w:rPr>
      </w:pPr>
      <w:r w:rsidRPr="00A55886">
        <w:rPr>
          <w:rFonts w:ascii="Arial" w:hAnsi="Arial" w:cs="Arial"/>
          <w:b/>
          <w:bCs/>
          <w:sz w:val="20"/>
          <w:szCs w:val="20"/>
        </w:rPr>
        <w:br w:type="page"/>
      </w:r>
    </w:p>
    <w:p w14:paraId="12A3BF87" w14:textId="3D3BC32C" w:rsidR="00811F90" w:rsidRPr="00A55886" w:rsidRDefault="007418A5" w:rsidP="00CA6AC5">
      <w:pPr>
        <w:pStyle w:val="Heading2"/>
        <w:rPr>
          <w:rFonts w:ascii="Arial" w:hAnsi="Arial" w:cs="Arial"/>
        </w:rPr>
      </w:pPr>
      <w:bookmarkStart w:id="12" w:name="_6.0_Information"/>
      <w:bookmarkStart w:id="13" w:name="_5.0_Information"/>
      <w:bookmarkEnd w:id="12"/>
      <w:bookmarkEnd w:id="13"/>
      <w:r w:rsidRPr="00A55886">
        <w:rPr>
          <w:rFonts w:ascii="Arial" w:hAnsi="Arial" w:cs="Arial"/>
        </w:rPr>
        <w:lastRenderedPageBreak/>
        <w:t>5</w:t>
      </w:r>
      <w:r w:rsidR="00FC349F" w:rsidRPr="00A55886">
        <w:rPr>
          <w:rFonts w:ascii="Arial" w:hAnsi="Arial" w:cs="Arial"/>
        </w:rPr>
        <w:t xml:space="preserve">.0 </w:t>
      </w:r>
      <w:r w:rsidR="00786706" w:rsidRPr="00A55886">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A55886" w14:paraId="56F88C37" w14:textId="77777777" w:rsidTr="006721EA">
        <w:tc>
          <w:tcPr>
            <w:tcW w:w="2943" w:type="dxa"/>
          </w:tcPr>
          <w:p w14:paraId="043C5737" w14:textId="2C6464CE" w:rsidR="00786706" w:rsidRPr="00A55886" w:rsidRDefault="00786706" w:rsidP="004922AF">
            <w:pPr>
              <w:spacing w:before="120" w:after="120"/>
              <w:rPr>
                <w:rFonts w:ascii="Arial" w:hAnsi="Arial" w:cs="Arial"/>
                <w:sz w:val="22"/>
                <w:szCs w:val="28"/>
              </w:rPr>
            </w:pPr>
            <w:r w:rsidRPr="00A55886">
              <w:rPr>
                <w:rFonts w:ascii="Arial" w:hAnsi="Arial" w:cs="Arial"/>
                <w:sz w:val="22"/>
                <w:szCs w:val="28"/>
              </w:rPr>
              <w:t>Title</w:t>
            </w:r>
          </w:p>
        </w:tc>
        <w:tc>
          <w:tcPr>
            <w:tcW w:w="7147" w:type="dxa"/>
          </w:tcPr>
          <w:p w14:paraId="19EA923A" w14:textId="2CA51510" w:rsidR="00786706" w:rsidRPr="00A55886" w:rsidRDefault="00832C6A" w:rsidP="004922AF">
            <w:pPr>
              <w:spacing w:before="120" w:after="120"/>
              <w:rPr>
                <w:rFonts w:ascii="Arial" w:hAnsi="Arial" w:cs="Arial"/>
                <w:sz w:val="22"/>
                <w:szCs w:val="28"/>
                <w:lang w:val="en-GB"/>
              </w:rPr>
            </w:pPr>
            <w:r>
              <w:rPr>
                <w:rFonts w:ascii="Arial" w:hAnsi="Arial" w:cs="Arial"/>
                <w:sz w:val="22"/>
                <w:szCs w:val="28"/>
              </w:rPr>
              <w:t>Acquiring and Transferring in Chemicals Procedure</w:t>
            </w:r>
          </w:p>
        </w:tc>
      </w:tr>
      <w:tr w:rsidR="00786706" w:rsidRPr="00A55886" w14:paraId="66D4D4A1" w14:textId="77777777" w:rsidTr="006721EA">
        <w:tc>
          <w:tcPr>
            <w:tcW w:w="2943" w:type="dxa"/>
          </w:tcPr>
          <w:p w14:paraId="18280F52" w14:textId="5ED479A2" w:rsidR="00786706" w:rsidRPr="00A55886" w:rsidRDefault="00786706" w:rsidP="004922AF">
            <w:pPr>
              <w:spacing w:before="120" w:after="120"/>
              <w:rPr>
                <w:rFonts w:ascii="Arial" w:hAnsi="Arial" w:cs="Arial"/>
                <w:sz w:val="22"/>
                <w:szCs w:val="28"/>
              </w:rPr>
            </w:pPr>
            <w:r w:rsidRPr="00A55886">
              <w:rPr>
                <w:rFonts w:ascii="Arial" w:hAnsi="Arial" w:cs="Arial"/>
                <w:sz w:val="22"/>
                <w:szCs w:val="28"/>
              </w:rPr>
              <w:t>Document number</w:t>
            </w:r>
          </w:p>
        </w:tc>
        <w:tc>
          <w:tcPr>
            <w:tcW w:w="7147" w:type="dxa"/>
          </w:tcPr>
          <w:p w14:paraId="53E0817F" w14:textId="7D3E60F1" w:rsidR="00786706" w:rsidRPr="00A55886" w:rsidRDefault="00832C6A" w:rsidP="004922AF">
            <w:pPr>
              <w:spacing w:before="120" w:after="120"/>
              <w:rPr>
                <w:rFonts w:ascii="Arial" w:hAnsi="Arial" w:cs="Arial"/>
                <w:sz w:val="22"/>
                <w:szCs w:val="28"/>
                <w:lang w:val="en-GB"/>
              </w:rPr>
            </w:pPr>
            <w:r w:rsidRPr="00832C6A">
              <w:rPr>
                <w:rFonts w:ascii="Arial" w:hAnsi="Arial" w:cs="Arial"/>
                <w:sz w:val="22"/>
                <w:szCs w:val="28"/>
              </w:rPr>
              <w:t>2023/0001045</w:t>
            </w:r>
          </w:p>
        </w:tc>
      </w:tr>
      <w:tr w:rsidR="00786706" w:rsidRPr="00A55886" w14:paraId="66BCD115" w14:textId="77777777" w:rsidTr="006721EA">
        <w:tc>
          <w:tcPr>
            <w:tcW w:w="2943" w:type="dxa"/>
          </w:tcPr>
          <w:p w14:paraId="0DEE091F" w14:textId="5E2B7B69" w:rsidR="00786706" w:rsidRPr="00A55886" w:rsidRDefault="00786706" w:rsidP="004922AF">
            <w:pPr>
              <w:spacing w:before="120" w:after="120"/>
              <w:rPr>
                <w:rFonts w:ascii="Arial" w:hAnsi="Arial" w:cs="Arial"/>
                <w:sz w:val="22"/>
                <w:szCs w:val="28"/>
              </w:rPr>
            </w:pPr>
            <w:r w:rsidRPr="00A55886">
              <w:rPr>
                <w:rFonts w:ascii="Arial" w:hAnsi="Arial" w:cs="Arial"/>
                <w:sz w:val="22"/>
                <w:szCs w:val="28"/>
              </w:rPr>
              <w:t>Purpose</w:t>
            </w:r>
          </w:p>
        </w:tc>
        <w:tc>
          <w:tcPr>
            <w:tcW w:w="7147" w:type="dxa"/>
          </w:tcPr>
          <w:p w14:paraId="7FE09B90" w14:textId="672A61E8" w:rsidR="00786706" w:rsidRPr="00A55886" w:rsidRDefault="00832C6A" w:rsidP="004922AF">
            <w:pPr>
              <w:spacing w:before="120" w:after="120"/>
              <w:rPr>
                <w:rFonts w:ascii="Arial" w:hAnsi="Arial" w:cs="Arial"/>
                <w:sz w:val="22"/>
                <w:szCs w:val="28"/>
                <w:lang w:val="en-GB"/>
              </w:rPr>
            </w:pPr>
            <w:r w:rsidRPr="00832C6A">
              <w:rPr>
                <w:rFonts w:ascii="Arial" w:hAnsi="Arial" w:cs="Arial"/>
                <w:sz w:val="22"/>
                <w:szCs w:val="28"/>
              </w:rPr>
              <w:t>This procedure outlines the requirements acquiring chemicals at Griffith University. The procedure aims to minimise risks to personnel and property and ensure continuing legislative compliance.</w:t>
            </w:r>
          </w:p>
        </w:tc>
      </w:tr>
      <w:tr w:rsidR="00786706" w:rsidRPr="00A55886" w14:paraId="625A2530" w14:textId="77777777" w:rsidTr="006721EA">
        <w:tc>
          <w:tcPr>
            <w:tcW w:w="2943" w:type="dxa"/>
          </w:tcPr>
          <w:p w14:paraId="74ADF083" w14:textId="20B8679F" w:rsidR="00786706" w:rsidRPr="00A55886" w:rsidRDefault="00786706" w:rsidP="004922AF">
            <w:pPr>
              <w:spacing w:before="120" w:after="120"/>
              <w:rPr>
                <w:rFonts w:ascii="Arial" w:hAnsi="Arial" w:cs="Arial"/>
                <w:sz w:val="22"/>
                <w:szCs w:val="28"/>
              </w:rPr>
            </w:pPr>
            <w:r w:rsidRPr="00A55886">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36EB77F8" w:rsidR="00786706" w:rsidRPr="00A55886" w:rsidRDefault="00832C6A" w:rsidP="004922AF">
                <w:pPr>
                  <w:spacing w:before="120" w:after="120"/>
                  <w:rPr>
                    <w:rFonts w:ascii="Arial" w:hAnsi="Arial" w:cs="Arial"/>
                    <w:sz w:val="22"/>
                    <w:szCs w:val="28"/>
                  </w:rPr>
                </w:pPr>
                <w:r>
                  <w:rPr>
                    <w:rFonts w:ascii="Arial" w:hAnsi="Arial" w:cs="Arial"/>
                    <w:sz w:val="22"/>
                    <w:szCs w:val="28"/>
                  </w:rPr>
                  <w:t>Staff</w:t>
                </w:r>
              </w:p>
            </w:sdtContent>
          </w:sdt>
        </w:tc>
      </w:tr>
      <w:tr w:rsidR="00786706" w:rsidRPr="00A55886" w14:paraId="132A1D0D" w14:textId="77777777" w:rsidTr="006721EA">
        <w:tc>
          <w:tcPr>
            <w:tcW w:w="2943" w:type="dxa"/>
          </w:tcPr>
          <w:p w14:paraId="375184E5" w14:textId="4F1FD2B3" w:rsidR="00786706" w:rsidRPr="00A55886" w:rsidRDefault="00786706" w:rsidP="004922AF">
            <w:pPr>
              <w:spacing w:before="120" w:after="120"/>
              <w:rPr>
                <w:rFonts w:ascii="Arial" w:hAnsi="Arial" w:cs="Arial"/>
                <w:sz w:val="22"/>
                <w:szCs w:val="28"/>
              </w:rPr>
            </w:pPr>
            <w:r w:rsidRPr="00A55886">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2402911B" w:rsidR="00786706" w:rsidRPr="00A55886" w:rsidRDefault="00832C6A" w:rsidP="004922AF">
                <w:pPr>
                  <w:spacing w:before="120" w:after="120"/>
                  <w:rPr>
                    <w:rFonts w:ascii="Arial" w:hAnsi="Arial" w:cs="Arial"/>
                    <w:sz w:val="22"/>
                    <w:szCs w:val="28"/>
                  </w:rPr>
                </w:pPr>
                <w:r>
                  <w:rPr>
                    <w:rFonts w:ascii="Arial" w:hAnsi="Arial" w:cs="Arial"/>
                    <w:sz w:val="22"/>
                    <w:szCs w:val="28"/>
                  </w:rPr>
                  <w:t>Operational</w:t>
                </w:r>
              </w:p>
            </w:sdtContent>
          </w:sdt>
        </w:tc>
      </w:tr>
      <w:tr w:rsidR="00786706" w:rsidRPr="00A55886" w14:paraId="704234F9" w14:textId="77777777" w:rsidTr="006721EA">
        <w:tc>
          <w:tcPr>
            <w:tcW w:w="2943" w:type="dxa"/>
          </w:tcPr>
          <w:p w14:paraId="51A9284E" w14:textId="46B8CBB9" w:rsidR="00786706" w:rsidRPr="00A55886" w:rsidRDefault="00786706" w:rsidP="004922AF">
            <w:pPr>
              <w:spacing w:before="120" w:after="120"/>
              <w:rPr>
                <w:rFonts w:ascii="Arial" w:hAnsi="Arial" w:cs="Arial"/>
                <w:sz w:val="22"/>
                <w:szCs w:val="28"/>
              </w:rPr>
            </w:pPr>
            <w:r w:rsidRPr="00A55886">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66B71A7D" w:rsidR="007512F5" w:rsidRPr="00A55886" w:rsidRDefault="00832C6A" w:rsidP="004922A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rsidRPr="00A55886" w14:paraId="1DD394A7" w14:textId="77777777" w:rsidTr="006721EA">
        <w:tc>
          <w:tcPr>
            <w:tcW w:w="2943" w:type="dxa"/>
          </w:tcPr>
          <w:p w14:paraId="4CDE964B" w14:textId="68F552EF" w:rsidR="00A57044" w:rsidRPr="00A55886" w:rsidRDefault="0046665F" w:rsidP="004922AF">
            <w:pPr>
              <w:spacing w:before="120" w:after="120"/>
              <w:rPr>
                <w:rFonts w:ascii="Arial" w:hAnsi="Arial" w:cs="Arial"/>
                <w:sz w:val="22"/>
                <w:szCs w:val="28"/>
              </w:rPr>
            </w:pPr>
            <w:r w:rsidRPr="00A55886">
              <w:rPr>
                <w:rFonts w:ascii="Arial" w:hAnsi="Arial" w:cs="Arial"/>
                <w:sz w:val="22"/>
                <w:szCs w:val="28"/>
              </w:rPr>
              <w:t>UN Sustainable Development Goals (SDGs)</w:t>
            </w:r>
          </w:p>
        </w:tc>
        <w:tc>
          <w:tcPr>
            <w:tcW w:w="7147" w:type="dxa"/>
          </w:tcPr>
          <w:p w14:paraId="68B0A012" w14:textId="3D736296" w:rsidR="00A57044" w:rsidRPr="00A55886" w:rsidRDefault="008239FE" w:rsidP="004922AF">
            <w:pPr>
              <w:spacing w:before="120" w:after="120"/>
              <w:rPr>
                <w:rFonts w:ascii="Arial" w:hAnsi="Arial" w:cs="Arial"/>
                <w:sz w:val="22"/>
                <w:szCs w:val="28"/>
              </w:rPr>
            </w:pPr>
            <w:r w:rsidRPr="00A55886">
              <w:rPr>
                <w:rFonts w:ascii="Arial" w:hAnsi="Arial" w:cs="Arial"/>
                <w:sz w:val="22"/>
                <w:szCs w:val="28"/>
              </w:rPr>
              <w:t xml:space="preserve">This document aligns with </w:t>
            </w:r>
            <w:r w:rsidR="00B25332" w:rsidRPr="00A55886">
              <w:rPr>
                <w:rFonts w:ascii="Arial" w:hAnsi="Arial" w:cs="Arial"/>
                <w:sz w:val="22"/>
                <w:szCs w:val="28"/>
              </w:rPr>
              <w:t>Sustainable Development Goals:</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3DB37E4E" w14:textId="62D62F10" w:rsidR="00B25332" w:rsidRPr="00A55886" w:rsidRDefault="00832C6A" w:rsidP="004922AF">
                <w:pPr>
                  <w:spacing w:before="120" w:after="120"/>
                  <w:rPr>
                    <w:rFonts w:ascii="Arial" w:hAnsi="Arial" w:cs="Arial"/>
                    <w:sz w:val="22"/>
                    <w:szCs w:val="28"/>
                  </w:rPr>
                </w:pPr>
                <w:r>
                  <w:rPr>
                    <w:rFonts w:ascii="Arial" w:hAnsi="Arial" w:cs="Arial"/>
                    <w:sz w:val="22"/>
                    <w:szCs w:val="28"/>
                  </w:rPr>
                  <w:t>3: Good Health and Well-Being</w:t>
                </w:r>
              </w:p>
            </w:sdtContent>
          </w:sdt>
          <w:sdt>
            <w:sdtPr>
              <w:rPr>
                <w:rFonts w:ascii="Arial" w:hAnsi="Arial" w:cs="Arial"/>
                <w:sz w:val="22"/>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4F84C896" w:rsidR="00067836" w:rsidRPr="00A55886" w:rsidRDefault="00832C6A" w:rsidP="004922AF">
                <w:pPr>
                  <w:spacing w:before="120" w:after="120"/>
                  <w:rPr>
                    <w:rFonts w:ascii="Arial" w:hAnsi="Arial" w:cs="Arial"/>
                    <w:sz w:val="22"/>
                    <w:szCs w:val="28"/>
                  </w:rPr>
                </w:pPr>
                <w:r>
                  <w:rPr>
                    <w:rFonts w:ascii="Arial" w:hAnsi="Arial" w:cs="Arial"/>
                    <w:sz w:val="22"/>
                    <w:szCs w:val="28"/>
                  </w:rPr>
                  <w:t>12: Responsible Consumption and Production</w:t>
                </w:r>
              </w:p>
            </w:sdtContent>
          </w:sdt>
        </w:tc>
      </w:tr>
      <w:tr w:rsidR="00786706" w:rsidRPr="00A55886" w14:paraId="72503509" w14:textId="77777777" w:rsidTr="006721EA">
        <w:tc>
          <w:tcPr>
            <w:tcW w:w="2943" w:type="dxa"/>
          </w:tcPr>
          <w:p w14:paraId="7967AC55" w14:textId="476A8E6E" w:rsidR="00786706" w:rsidRPr="00A55886" w:rsidRDefault="00786706" w:rsidP="004922AF">
            <w:pPr>
              <w:spacing w:before="120" w:after="120"/>
              <w:rPr>
                <w:rFonts w:ascii="Arial" w:hAnsi="Arial" w:cs="Arial"/>
                <w:sz w:val="22"/>
                <w:szCs w:val="28"/>
              </w:rPr>
            </w:pPr>
            <w:r w:rsidRPr="00A55886">
              <w:rPr>
                <w:rFonts w:ascii="Arial" w:hAnsi="Arial" w:cs="Arial"/>
                <w:sz w:val="22"/>
                <w:szCs w:val="28"/>
              </w:rPr>
              <w:t>Approval date</w:t>
            </w:r>
          </w:p>
        </w:tc>
        <w:tc>
          <w:tcPr>
            <w:tcW w:w="7147" w:type="dxa"/>
          </w:tcPr>
          <w:p w14:paraId="194B217B" w14:textId="1FDDAB85" w:rsidR="00786706" w:rsidRPr="00A55886" w:rsidRDefault="008316B8" w:rsidP="004922AF">
            <w:pPr>
              <w:spacing w:before="120" w:after="120"/>
              <w:rPr>
                <w:rFonts w:ascii="Arial" w:hAnsi="Arial" w:cs="Arial"/>
                <w:sz w:val="22"/>
                <w:szCs w:val="28"/>
              </w:rPr>
            </w:pPr>
            <w:r>
              <w:rPr>
                <w:rFonts w:ascii="Arial" w:hAnsi="Arial" w:cs="Arial"/>
                <w:sz w:val="22"/>
                <w:szCs w:val="28"/>
              </w:rPr>
              <w:t>18 December 2023</w:t>
            </w:r>
          </w:p>
        </w:tc>
      </w:tr>
      <w:tr w:rsidR="00786706" w:rsidRPr="00A55886" w14:paraId="2AB5E63B" w14:textId="77777777" w:rsidTr="006721EA">
        <w:tc>
          <w:tcPr>
            <w:tcW w:w="2943" w:type="dxa"/>
          </w:tcPr>
          <w:p w14:paraId="64F617D1" w14:textId="7CF14029" w:rsidR="00786706" w:rsidRPr="00A55886" w:rsidRDefault="00786706" w:rsidP="004922AF">
            <w:pPr>
              <w:spacing w:before="120" w:after="120"/>
              <w:rPr>
                <w:rFonts w:ascii="Arial" w:hAnsi="Arial" w:cs="Arial"/>
                <w:sz w:val="22"/>
                <w:szCs w:val="28"/>
              </w:rPr>
            </w:pPr>
            <w:r w:rsidRPr="00A55886">
              <w:rPr>
                <w:rFonts w:ascii="Arial" w:hAnsi="Arial" w:cs="Arial"/>
                <w:sz w:val="22"/>
                <w:szCs w:val="28"/>
              </w:rPr>
              <w:t>Effective date</w:t>
            </w:r>
          </w:p>
        </w:tc>
        <w:tc>
          <w:tcPr>
            <w:tcW w:w="7147" w:type="dxa"/>
          </w:tcPr>
          <w:p w14:paraId="4FFCA795" w14:textId="7167C0BA" w:rsidR="00786706" w:rsidRPr="00A55886" w:rsidRDefault="008316B8" w:rsidP="004922AF">
            <w:pPr>
              <w:spacing w:before="120" w:after="120"/>
              <w:rPr>
                <w:rFonts w:ascii="Arial" w:hAnsi="Arial" w:cs="Arial"/>
                <w:sz w:val="22"/>
                <w:szCs w:val="28"/>
              </w:rPr>
            </w:pPr>
            <w:r>
              <w:rPr>
                <w:rFonts w:ascii="Arial" w:hAnsi="Arial" w:cs="Arial"/>
                <w:sz w:val="22"/>
                <w:szCs w:val="28"/>
              </w:rPr>
              <w:t>18 December 2023</w:t>
            </w:r>
          </w:p>
        </w:tc>
      </w:tr>
      <w:tr w:rsidR="00786706" w:rsidRPr="00A55886" w14:paraId="6F3FFE23" w14:textId="77777777" w:rsidTr="006721EA">
        <w:tc>
          <w:tcPr>
            <w:tcW w:w="2943" w:type="dxa"/>
          </w:tcPr>
          <w:p w14:paraId="6FF0BF57" w14:textId="3ECF3A96" w:rsidR="00786706" w:rsidRPr="00A55886" w:rsidRDefault="00786706" w:rsidP="004922AF">
            <w:pPr>
              <w:spacing w:before="120" w:after="120"/>
              <w:rPr>
                <w:rFonts w:ascii="Arial" w:hAnsi="Arial" w:cs="Arial"/>
                <w:sz w:val="22"/>
                <w:szCs w:val="28"/>
              </w:rPr>
            </w:pPr>
            <w:r w:rsidRPr="00A55886">
              <w:rPr>
                <w:rFonts w:ascii="Arial" w:hAnsi="Arial" w:cs="Arial"/>
                <w:sz w:val="22"/>
                <w:szCs w:val="28"/>
              </w:rPr>
              <w:t>Review date</w:t>
            </w:r>
          </w:p>
        </w:tc>
        <w:tc>
          <w:tcPr>
            <w:tcW w:w="7147" w:type="dxa"/>
          </w:tcPr>
          <w:p w14:paraId="01E953C9" w14:textId="31FF44A0" w:rsidR="00786706" w:rsidRPr="00A55886" w:rsidRDefault="008316B8" w:rsidP="004922AF">
            <w:pPr>
              <w:spacing w:before="120" w:after="120"/>
              <w:rPr>
                <w:rFonts w:ascii="Arial" w:hAnsi="Arial" w:cs="Arial"/>
                <w:sz w:val="22"/>
                <w:szCs w:val="28"/>
              </w:rPr>
            </w:pPr>
            <w:r>
              <w:rPr>
                <w:rFonts w:ascii="Arial" w:hAnsi="Arial" w:cs="Arial"/>
                <w:sz w:val="22"/>
                <w:szCs w:val="28"/>
              </w:rPr>
              <w:t>18 December 2028</w:t>
            </w:r>
          </w:p>
        </w:tc>
      </w:tr>
      <w:tr w:rsidR="00786706" w:rsidRPr="00A55886" w14:paraId="3BDD3607" w14:textId="77777777" w:rsidTr="006721EA">
        <w:tc>
          <w:tcPr>
            <w:tcW w:w="2943" w:type="dxa"/>
          </w:tcPr>
          <w:p w14:paraId="12FCF114" w14:textId="4AD0B255" w:rsidR="00786706" w:rsidRPr="00A55886" w:rsidRDefault="00786706" w:rsidP="004922AF">
            <w:pPr>
              <w:spacing w:before="120" w:after="120"/>
              <w:rPr>
                <w:rFonts w:ascii="Arial" w:hAnsi="Arial" w:cs="Arial"/>
                <w:sz w:val="22"/>
                <w:szCs w:val="28"/>
              </w:rPr>
            </w:pPr>
            <w:r w:rsidRPr="00A55886">
              <w:rPr>
                <w:rFonts w:ascii="Arial" w:hAnsi="Arial" w:cs="Arial"/>
                <w:sz w:val="22"/>
                <w:szCs w:val="28"/>
              </w:rPr>
              <w:t>Policy advisor</w:t>
            </w:r>
          </w:p>
        </w:tc>
        <w:tc>
          <w:tcPr>
            <w:tcW w:w="7147" w:type="dxa"/>
          </w:tcPr>
          <w:p w14:paraId="0CB94D75" w14:textId="27A4FC8D" w:rsidR="00786706" w:rsidRPr="00A55886" w:rsidRDefault="00832C6A" w:rsidP="004922AF">
            <w:pPr>
              <w:spacing w:before="120" w:after="120"/>
              <w:rPr>
                <w:rFonts w:ascii="Arial" w:hAnsi="Arial" w:cs="Arial"/>
                <w:sz w:val="22"/>
                <w:szCs w:val="28"/>
              </w:rPr>
            </w:pPr>
            <w:r>
              <w:rPr>
                <w:rFonts w:ascii="Arial" w:hAnsi="Arial" w:cs="Arial"/>
                <w:sz w:val="22"/>
                <w:szCs w:val="28"/>
              </w:rPr>
              <w:t>Associate Director, H&amp;S Standards and Assurance</w:t>
            </w:r>
          </w:p>
        </w:tc>
      </w:tr>
      <w:tr w:rsidR="00786706" w:rsidRPr="00A55886" w14:paraId="49179DFF" w14:textId="77777777" w:rsidTr="006721EA">
        <w:tc>
          <w:tcPr>
            <w:tcW w:w="2943" w:type="dxa"/>
          </w:tcPr>
          <w:p w14:paraId="1B0442C2" w14:textId="61E06347" w:rsidR="00786706" w:rsidRPr="00A55886" w:rsidRDefault="00786706" w:rsidP="004922AF">
            <w:pPr>
              <w:spacing w:before="120" w:after="120"/>
              <w:rPr>
                <w:rFonts w:ascii="Arial" w:hAnsi="Arial" w:cs="Arial"/>
                <w:sz w:val="22"/>
                <w:szCs w:val="28"/>
              </w:rPr>
            </w:pPr>
            <w:r w:rsidRPr="00A55886">
              <w:rPr>
                <w:rFonts w:ascii="Arial" w:hAnsi="Arial" w:cs="Arial"/>
                <w:sz w:val="22"/>
                <w:szCs w:val="28"/>
              </w:rPr>
              <w:t>Approving authority</w:t>
            </w:r>
          </w:p>
        </w:tc>
        <w:tc>
          <w:tcPr>
            <w:tcW w:w="7147" w:type="dxa"/>
          </w:tcPr>
          <w:p w14:paraId="0D81D6BC" w14:textId="0F157D3D" w:rsidR="00786706" w:rsidRPr="00A55886" w:rsidRDefault="00832C6A" w:rsidP="004922AF">
            <w:pPr>
              <w:spacing w:before="120" w:after="120"/>
              <w:rPr>
                <w:rFonts w:ascii="Arial" w:hAnsi="Arial" w:cs="Arial"/>
                <w:sz w:val="22"/>
                <w:szCs w:val="28"/>
              </w:rPr>
            </w:pPr>
            <w:r>
              <w:rPr>
                <w:rFonts w:ascii="Arial" w:hAnsi="Arial" w:cs="Arial"/>
                <w:sz w:val="22"/>
                <w:szCs w:val="28"/>
              </w:rPr>
              <w:t>Director, Health and Safety</w:t>
            </w:r>
          </w:p>
        </w:tc>
      </w:tr>
    </w:tbl>
    <w:p w14:paraId="07DD10BA" w14:textId="0FA127FA" w:rsidR="00811F90" w:rsidRDefault="00811F90">
      <w:pPr>
        <w:rPr>
          <w:rFonts w:ascii="Arial" w:hAnsi="Arial" w:cs="Arial"/>
          <w:sz w:val="20"/>
          <w:szCs w:val="20"/>
        </w:rPr>
      </w:pPr>
    </w:p>
    <w:p w14:paraId="2A07D4E8" w14:textId="77777777" w:rsidR="00832C6A" w:rsidRDefault="00832C6A">
      <w:pPr>
        <w:rPr>
          <w:rFonts w:ascii="Arial" w:hAnsi="Arial" w:cs="Arial"/>
          <w:sz w:val="20"/>
          <w:szCs w:val="20"/>
        </w:rPr>
      </w:pPr>
    </w:p>
    <w:p w14:paraId="28E1567B" w14:textId="77777777" w:rsidR="00832C6A" w:rsidRPr="00A55886" w:rsidRDefault="00832C6A">
      <w:pPr>
        <w:rPr>
          <w:rFonts w:ascii="Arial" w:hAnsi="Arial" w:cs="Arial"/>
          <w:sz w:val="20"/>
          <w:szCs w:val="20"/>
        </w:rPr>
      </w:pPr>
    </w:p>
    <w:p w14:paraId="605F990D" w14:textId="015915AF" w:rsidR="00C22059" w:rsidRPr="00A55886" w:rsidRDefault="007418A5" w:rsidP="00CA6AC5">
      <w:pPr>
        <w:pStyle w:val="Heading2"/>
        <w:rPr>
          <w:rFonts w:ascii="Arial" w:hAnsi="Arial" w:cs="Arial"/>
        </w:rPr>
      </w:pPr>
      <w:bookmarkStart w:id="14" w:name="_7.0_Related_Policy"/>
      <w:bookmarkStart w:id="15" w:name="_6.0_Related_Policy"/>
      <w:bookmarkEnd w:id="14"/>
      <w:bookmarkEnd w:id="15"/>
      <w:r w:rsidRPr="00A55886">
        <w:rPr>
          <w:rFonts w:ascii="Arial" w:hAnsi="Arial" w:cs="Arial"/>
        </w:rPr>
        <w:lastRenderedPageBreak/>
        <w:t>6</w:t>
      </w:r>
      <w:r w:rsidR="00FC349F" w:rsidRPr="00A55886">
        <w:rPr>
          <w:rFonts w:ascii="Arial" w:hAnsi="Arial" w:cs="Arial"/>
        </w:rPr>
        <w:t xml:space="preserve">.0 </w:t>
      </w:r>
      <w:r w:rsidR="008605D5" w:rsidRPr="00A55886">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A55886" w14:paraId="1BED611B" w14:textId="77777777" w:rsidTr="006721EA">
        <w:tc>
          <w:tcPr>
            <w:tcW w:w="2943" w:type="dxa"/>
          </w:tcPr>
          <w:p w14:paraId="30FE0F19" w14:textId="2232CC87" w:rsidR="00746A0E" w:rsidRPr="00A55886" w:rsidRDefault="00746A0E" w:rsidP="004922AF">
            <w:pPr>
              <w:spacing w:before="120" w:after="120"/>
              <w:rPr>
                <w:rFonts w:ascii="Arial" w:hAnsi="Arial" w:cs="Arial"/>
                <w:sz w:val="22"/>
              </w:rPr>
            </w:pPr>
            <w:r w:rsidRPr="00A55886">
              <w:rPr>
                <w:rFonts w:ascii="Arial" w:hAnsi="Arial" w:cs="Arial"/>
                <w:sz w:val="22"/>
              </w:rPr>
              <w:t>Legislation</w:t>
            </w:r>
          </w:p>
        </w:tc>
        <w:tc>
          <w:tcPr>
            <w:tcW w:w="7147" w:type="dxa"/>
          </w:tcPr>
          <w:p w14:paraId="67B7261B" w14:textId="5A7E10E0" w:rsidR="00832C6A" w:rsidRPr="00832C6A" w:rsidRDefault="008316B8" w:rsidP="00832C6A">
            <w:pPr>
              <w:spacing w:before="120" w:after="120"/>
              <w:rPr>
                <w:rFonts w:ascii="Arial" w:hAnsi="Arial" w:cs="Arial"/>
                <w:sz w:val="22"/>
              </w:rPr>
            </w:pPr>
            <w:hyperlink r:id="rId22" w:history="1">
              <w:r w:rsidR="00832C6A" w:rsidRPr="008316B8">
                <w:rPr>
                  <w:rStyle w:val="Hyperlink"/>
                  <w:rFonts w:ascii="Arial" w:hAnsi="Arial" w:cs="Arial"/>
                  <w:sz w:val="22"/>
                </w:rPr>
                <w:t>Work Health and Safety Act 2011 (Qld)</w:t>
              </w:r>
            </w:hyperlink>
          </w:p>
          <w:p w14:paraId="783DC76D" w14:textId="15938F8B" w:rsidR="00832C6A" w:rsidRPr="00832C6A" w:rsidRDefault="006F7007" w:rsidP="00832C6A">
            <w:pPr>
              <w:spacing w:before="120" w:after="120"/>
              <w:rPr>
                <w:rFonts w:ascii="Arial" w:hAnsi="Arial" w:cs="Arial"/>
                <w:sz w:val="22"/>
              </w:rPr>
            </w:pPr>
            <w:hyperlink r:id="rId23" w:history="1">
              <w:r w:rsidR="00832C6A" w:rsidRPr="006F7007">
                <w:rPr>
                  <w:rStyle w:val="Hyperlink"/>
                  <w:rFonts w:ascii="Arial" w:hAnsi="Arial" w:cs="Arial"/>
                  <w:sz w:val="22"/>
                </w:rPr>
                <w:t>Work Health and Safety Regulation 2011 (Qld)</w:t>
              </w:r>
            </w:hyperlink>
          </w:p>
          <w:p w14:paraId="751896D5" w14:textId="393490AE" w:rsidR="00832C6A" w:rsidRPr="00832C6A" w:rsidRDefault="006F7007" w:rsidP="00832C6A">
            <w:pPr>
              <w:spacing w:before="120" w:after="120"/>
              <w:rPr>
                <w:rFonts w:ascii="Arial" w:hAnsi="Arial" w:cs="Arial"/>
                <w:sz w:val="22"/>
              </w:rPr>
            </w:pPr>
            <w:hyperlink r:id="rId24" w:history="1">
              <w:r w:rsidR="00832C6A" w:rsidRPr="006F7007">
                <w:rPr>
                  <w:rStyle w:val="Hyperlink"/>
                  <w:rFonts w:ascii="Arial" w:hAnsi="Arial" w:cs="Arial"/>
                  <w:sz w:val="22"/>
                </w:rPr>
                <w:t>Australian Dangerous Goods (ADG) Code</w:t>
              </w:r>
            </w:hyperlink>
          </w:p>
          <w:p w14:paraId="4B5F5B7F" w14:textId="30178403" w:rsidR="00832C6A" w:rsidRPr="00832C6A" w:rsidRDefault="006F7007" w:rsidP="00832C6A">
            <w:pPr>
              <w:spacing w:before="120" w:after="120"/>
              <w:rPr>
                <w:rFonts w:ascii="Arial" w:hAnsi="Arial" w:cs="Arial"/>
                <w:sz w:val="22"/>
              </w:rPr>
            </w:pPr>
            <w:hyperlink r:id="rId25" w:history="1">
              <w:r w:rsidR="00832C6A" w:rsidRPr="006F7007">
                <w:rPr>
                  <w:rStyle w:val="Hyperlink"/>
                  <w:rFonts w:ascii="Arial" w:hAnsi="Arial" w:cs="Arial"/>
                  <w:sz w:val="22"/>
                </w:rPr>
                <w:t>Medicines and Poisons Act 2019 (Qld)</w:t>
              </w:r>
            </w:hyperlink>
          </w:p>
          <w:p w14:paraId="2445E331" w14:textId="1BD682A6" w:rsidR="00832C6A" w:rsidRPr="00832C6A" w:rsidRDefault="006F7007" w:rsidP="00832C6A">
            <w:pPr>
              <w:spacing w:before="120" w:after="120"/>
              <w:rPr>
                <w:rFonts w:ascii="Arial" w:hAnsi="Arial" w:cs="Arial"/>
                <w:sz w:val="22"/>
              </w:rPr>
            </w:pPr>
            <w:hyperlink r:id="rId26" w:history="1">
              <w:r w:rsidR="00832C6A" w:rsidRPr="006F7007">
                <w:rPr>
                  <w:rStyle w:val="Hyperlink"/>
                  <w:rFonts w:ascii="Arial" w:hAnsi="Arial" w:cs="Arial"/>
                  <w:sz w:val="22"/>
                </w:rPr>
                <w:t>Medicines &amp; Poisons (Poisons &amp; Prohibited Substances) Regulation 2021 (Qld)</w:t>
              </w:r>
            </w:hyperlink>
          </w:p>
          <w:p w14:paraId="2829904A" w14:textId="7796ECFA" w:rsidR="00832C6A" w:rsidRPr="00832C6A" w:rsidRDefault="006F7007" w:rsidP="00832C6A">
            <w:pPr>
              <w:spacing w:before="120" w:after="120"/>
              <w:rPr>
                <w:rFonts w:ascii="Arial" w:hAnsi="Arial" w:cs="Arial"/>
                <w:sz w:val="22"/>
              </w:rPr>
            </w:pPr>
            <w:hyperlink r:id="rId27" w:history="1">
              <w:r w:rsidR="00832C6A" w:rsidRPr="006F7007">
                <w:rPr>
                  <w:rStyle w:val="Hyperlink"/>
                  <w:rFonts w:ascii="Arial" w:hAnsi="Arial" w:cs="Arial"/>
                  <w:sz w:val="22"/>
                </w:rPr>
                <w:t>Therapeutic Goods (Poisons Standard—July 2023) Instrument 2023 (Cwlth)</w:t>
              </w:r>
            </w:hyperlink>
          </w:p>
          <w:p w14:paraId="1D95EE8D" w14:textId="2CD66DA6" w:rsidR="00746A0E" w:rsidRPr="00A55886" w:rsidRDefault="006F7007" w:rsidP="00832C6A">
            <w:pPr>
              <w:spacing w:before="120" w:after="120"/>
              <w:rPr>
                <w:rFonts w:ascii="Arial" w:hAnsi="Arial" w:cs="Arial"/>
                <w:sz w:val="22"/>
                <w:lang w:val="en-GB"/>
              </w:rPr>
            </w:pPr>
            <w:hyperlink r:id="rId28" w:history="1">
              <w:r w:rsidR="00832C6A" w:rsidRPr="006F7007">
                <w:rPr>
                  <w:rStyle w:val="Hyperlink"/>
                  <w:rFonts w:ascii="Arial" w:hAnsi="Arial" w:cs="Arial"/>
                  <w:sz w:val="22"/>
                </w:rPr>
                <w:t>National Code of Practice for Chemicals of Security Concern 2016 (Cwlth)</w:t>
              </w:r>
            </w:hyperlink>
          </w:p>
        </w:tc>
      </w:tr>
      <w:tr w:rsidR="00746A0E" w:rsidRPr="00A55886" w14:paraId="13D635BA" w14:textId="77777777" w:rsidTr="006721EA">
        <w:tc>
          <w:tcPr>
            <w:tcW w:w="2943" w:type="dxa"/>
          </w:tcPr>
          <w:p w14:paraId="7CB30007" w14:textId="274434BC" w:rsidR="00746A0E" w:rsidRPr="00A55886" w:rsidRDefault="00746A0E" w:rsidP="004922AF">
            <w:pPr>
              <w:spacing w:before="120" w:after="120"/>
              <w:rPr>
                <w:rFonts w:ascii="Arial" w:hAnsi="Arial" w:cs="Arial"/>
                <w:sz w:val="22"/>
              </w:rPr>
            </w:pPr>
            <w:r w:rsidRPr="00A55886">
              <w:rPr>
                <w:rFonts w:ascii="Arial" w:hAnsi="Arial" w:cs="Arial"/>
                <w:sz w:val="22"/>
              </w:rPr>
              <w:t>Policy</w:t>
            </w:r>
          </w:p>
        </w:tc>
        <w:tc>
          <w:tcPr>
            <w:tcW w:w="7147" w:type="dxa"/>
          </w:tcPr>
          <w:p w14:paraId="7A1507B9" w14:textId="167A820A" w:rsidR="00746A0E" w:rsidRPr="00A55886" w:rsidRDefault="006F7007" w:rsidP="004922AF">
            <w:pPr>
              <w:spacing w:before="120" w:after="120"/>
              <w:rPr>
                <w:rFonts w:ascii="Arial" w:hAnsi="Arial" w:cs="Arial"/>
                <w:sz w:val="22"/>
                <w:lang w:val="en-GB"/>
              </w:rPr>
            </w:pPr>
            <w:hyperlink r:id="rId29" w:history="1">
              <w:r w:rsidR="00832C6A" w:rsidRPr="006F7007">
                <w:rPr>
                  <w:rStyle w:val="Hyperlink"/>
                  <w:rFonts w:ascii="Arial" w:hAnsi="Arial" w:cs="Arial"/>
                  <w:sz w:val="22"/>
                </w:rPr>
                <w:t>Health, Safety and Wellbeing Policy</w:t>
              </w:r>
            </w:hyperlink>
          </w:p>
        </w:tc>
      </w:tr>
      <w:tr w:rsidR="00746A0E" w:rsidRPr="00A55886" w14:paraId="55329BCC" w14:textId="77777777" w:rsidTr="006721EA">
        <w:tc>
          <w:tcPr>
            <w:tcW w:w="2943" w:type="dxa"/>
          </w:tcPr>
          <w:p w14:paraId="1BD7DB3E" w14:textId="54AA41D2" w:rsidR="00746A0E" w:rsidRPr="00A55886" w:rsidRDefault="00746A0E" w:rsidP="004922AF">
            <w:pPr>
              <w:spacing w:before="120" w:after="120"/>
              <w:rPr>
                <w:rFonts w:ascii="Arial" w:hAnsi="Arial" w:cs="Arial"/>
                <w:sz w:val="22"/>
              </w:rPr>
            </w:pPr>
            <w:r w:rsidRPr="00A55886">
              <w:rPr>
                <w:rFonts w:ascii="Arial" w:hAnsi="Arial" w:cs="Arial"/>
                <w:sz w:val="22"/>
              </w:rPr>
              <w:t>Procedures</w:t>
            </w:r>
          </w:p>
        </w:tc>
        <w:tc>
          <w:tcPr>
            <w:tcW w:w="7147" w:type="dxa"/>
          </w:tcPr>
          <w:p w14:paraId="70DBCADF" w14:textId="06307A39" w:rsidR="00832C6A" w:rsidRDefault="006F7007" w:rsidP="00832C6A">
            <w:pPr>
              <w:spacing w:before="120" w:after="120"/>
              <w:rPr>
                <w:rFonts w:ascii="Arial" w:hAnsi="Arial" w:cs="Arial"/>
                <w:sz w:val="22"/>
              </w:rPr>
            </w:pPr>
            <w:hyperlink r:id="rId30" w:history="1">
              <w:r w:rsidR="00832C6A" w:rsidRPr="006F7007">
                <w:rPr>
                  <w:rStyle w:val="Hyperlink"/>
                  <w:rFonts w:ascii="Arial" w:hAnsi="Arial" w:cs="Arial"/>
                  <w:sz w:val="22"/>
                </w:rPr>
                <w:t>Managing Chemicals Standard</w:t>
              </w:r>
            </w:hyperlink>
          </w:p>
          <w:p w14:paraId="34B2C09F" w14:textId="49C39FF1" w:rsidR="00832C6A" w:rsidRPr="00BF1660" w:rsidRDefault="00832C6A" w:rsidP="00832C6A">
            <w:pPr>
              <w:spacing w:before="120" w:after="120"/>
              <w:rPr>
                <w:rFonts w:ascii="Arial" w:hAnsi="Arial" w:cs="Arial"/>
                <w:color w:val="E5071F"/>
                <w:sz w:val="22"/>
              </w:rPr>
            </w:pPr>
            <w:r w:rsidRPr="00BF1660">
              <w:rPr>
                <w:rFonts w:ascii="Arial" w:hAnsi="Arial" w:cs="Arial"/>
                <w:color w:val="E5071F"/>
                <w:sz w:val="22"/>
              </w:rPr>
              <w:t xml:space="preserve">Risk Assessing Chemicals Procedure </w:t>
            </w:r>
          </w:p>
          <w:p w14:paraId="48946A62" w14:textId="77777777" w:rsidR="00832C6A" w:rsidRPr="00BF1660" w:rsidRDefault="00832C6A" w:rsidP="00832C6A">
            <w:pPr>
              <w:spacing w:before="120" w:after="120"/>
              <w:rPr>
                <w:rFonts w:ascii="Arial" w:hAnsi="Arial" w:cs="Arial"/>
                <w:color w:val="E5071F"/>
                <w:sz w:val="22"/>
              </w:rPr>
            </w:pPr>
            <w:r w:rsidRPr="00BF1660">
              <w:rPr>
                <w:rFonts w:ascii="Arial" w:hAnsi="Arial" w:cs="Arial"/>
                <w:color w:val="E5071F"/>
                <w:sz w:val="22"/>
              </w:rPr>
              <w:t xml:space="preserve">Maintaining a Chemical Inventory Procedure </w:t>
            </w:r>
          </w:p>
          <w:p w14:paraId="00C1FB2F" w14:textId="77777777" w:rsidR="00832C6A" w:rsidRPr="00BF1660" w:rsidRDefault="00832C6A" w:rsidP="00832C6A">
            <w:pPr>
              <w:spacing w:before="120" w:after="120"/>
              <w:rPr>
                <w:rFonts w:ascii="Arial" w:hAnsi="Arial" w:cs="Arial"/>
                <w:color w:val="E5071F"/>
                <w:sz w:val="22"/>
              </w:rPr>
            </w:pPr>
            <w:r w:rsidRPr="00BF1660">
              <w:rPr>
                <w:rFonts w:ascii="Arial" w:hAnsi="Arial" w:cs="Arial"/>
                <w:color w:val="E5071F"/>
                <w:sz w:val="22"/>
              </w:rPr>
              <w:t>Handling, Using and Disposing of Chemicals Procedure</w:t>
            </w:r>
          </w:p>
          <w:p w14:paraId="2CCDFBCA" w14:textId="77777777" w:rsidR="00832C6A" w:rsidRPr="00BF1660" w:rsidRDefault="00832C6A" w:rsidP="00832C6A">
            <w:pPr>
              <w:spacing w:before="120" w:after="120"/>
              <w:rPr>
                <w:rFonts w:ascii="Arial" w:hAnsi="Arial" w:cs="Arial"/>
                <w:color w:val="E5071F"/>
                <w:sz w:val="22"/>
              </w:rPr>
            </w:pPr>
            <w:r w:rsidRPr="00BF1660">
              <w:rPr>
                <w:rFonts w:ascii="Arial" w:hAnsi="Arial" w:cs="Arial"/>
                <w:color w:val="E5071F"/>
                <w:sz w:val="22"/>
              </w:rPr>
              <w:t>Transporting Chemicals Procedure</w:t>
            </w:r>
          </w:p>
          <w:p w14:paraId="75413352" w14:textId="77777777" w:rsidR="00832C6A" w:rsidRPr="00BF1660" w:rsidRDefault="00832C6A" w:rsidP="00832C6A">
            <w:pPr>
              <w:spacing w:before="120" w:after="120"/>
              <w:rPr>
                <w:rFonts w:ascii="Arial" w:hAnsi="Arial" w:cs="Arial"/>
                <w:color w:val="E5071F"/>
                <w:sz w:val="22"/>
              </w:rPr>
            </w:pPr>
            <w:r w:rsidRPr="00BF1660">
              <w:rPr>
                <w:rFonts w:ascii="Arial" w:hAnsi="Arial" w:cs="Arial"/>
                <w:color w:val="E5071F"/>
                <w:sz w:val="22"/>
              </w:rPr>
              <w:t>Managing Regulated Chemicals Procedure</w:t>
            </w:r>
          </w:p>
          <w:p w14:paraId="615ACC4F" w14:textId="52006E50" w:rsidR="00832C6A" w:rsidRPr="00832C6A" w:rsidRDefault="006F7007" w:rsidP="00832C6A">
            <w:pPr>
              <w:spacing w:before="120" w:after="120"/>
              <w:rPr>
                <w:rFonts w:ascii="Arial" w:hAnsi="Arial" w:cs="Arial"/>
                <w:sz w:val="22"/>
              </w:rPr>
            </w:pPr>
            <w:hyperlink r:id="rId31" w:history="1">
              <w:r w:rsidR="00832C6A" w:rsidRPr="006F7007">
                <w:rPr>
                  <w:rStyle w:val="Hyperlink"/>
                  <w:rFonts w:ascii="Arial" w:hAnsi="Arial" w:cs="Arial"/>
                  <w:sz w:val="22"/>
                </w:rPr>
                <w:t>Special Approvers Guideline</w:t>
              </w:r>
            </w:hyperlink>
          </w:p>
          <w:p w14:paraId="4302959E" w14:textId="79B94734" w:rsidR="00746A0E" w:rsidRPr="00A55886" w:rsidRDefault="006F7007" w:rsidP="00832C6A">
            <w:pPr>
              <w:spacing w:before="120" w:after="120"/>
              <w:rPr>
                <w:rFonts w:ascii="Arial" w:hAnsi="Arial" w:cs="Arial"/>
                <w:sz w:val="22"/>
                <w:lang w:val="en-GB"/>
              </w:rPr>
            </w:pPr>
            <w:hyperlink r:id="rId32" w:history="1">
              <w:r w:rsidR="00832C6A" w:rsidRPr="006F7007">
                <w:rPr>
                  <w:rStyle w:val="Hyperlink"/>
                  <w:rFonts w:ascii="Arial" w:hAnsi="Arial" w:cs="Arial"/>
                  <w:sz w:val="22"/>
                </w:rPr>
                <w:t>Griffith University Substance Management Plan</w:t>
              </w:r>
            </w:hyperlink>
          </w:p>
        </w:tc>
      </w:tr>
      <w:tr w:rsidR="00746A0E" w:rsidRPr="00A55886" w14:paraId="76652B21" w14:textId="77777777" w:rsidTr="006721EA">
        <w:tc>
          <w:tcPr>
            <w:tcW w:w="2943" w:type="dxa"/>
          </w:tcPr>
          <w:p w14:paraId="118FD34E" w14:textId="481E52F8" w:rsidR="00746A0E" w:rsidRPr="00A55886" w:rsidRDefault="00746A0E" w:rsidP="004922AF">
            <w:pPr>
              <w:spacing w:before="120" w:after="120"/>
              <w:rPr>
                <w:rFonts w:ascii="Arial" w:hAnsi="Arial" w:cs="Arial"/>
                <w:sz w:val="22"/>
              </w:rPr>
            </w:pPr>
            <w:r w:rsidRPr="00A55886">
              <w:rPr>
                <w:rFonts w:ascii="Arial" w:hAnsi="Arial" w:cs="Arial"/>
                <w:sz w:val="22"/>
              </w:rPr>
              <w:t>Local Protocol</w:t>
            </w:r>
          </w:p>
        </w:tc>
        <w:tc>
          <w:tcPr>
            <w:tcW w:w="7147" w:type="dxa"/>
          </w:tcPr>
          <w:p w14:paraId="55AA03EB" w14:textId="6FBE7B0B" w:rsidR="00746A0E" w:rsidRPr="00A55886" w:rsidRDefault="00832C6A" w:rsidP="004922AF">
            <w:pPr>
              <w:spacing w:before="120" w:after="120"/>
              <w:rPr>
                <w:rFonts w:ascii="Arial" w:hAnsi="Arial" w:cs="Arial"/>
                <w:sz w:val="22"/>
              </w:rPr>
            </w:pPr>
            <w:r>
              <w:rPr>
                <w:rFonts w:ascii="Arial" w:hAnsi="Arial" w:cs="Arial"/>
                <w:sz w:val="22"/>
              </w:rPr>
              <w:t>N/A</w:t>
            </w:r>
          </w:p>
        </w:tc>
      </w:tr>
      <w:tr w:rsidR="00746A0E" w:rsidRPr="00A55886" w14:paraId="5AB64C6F" w14:textId="77777777" w:rsidTr="006721EA">
        <w:tc>
          <w:tcPr>
            <w:tcW w:w="2943" w:type="dxa"/>
          </w:tcPr>
          <w:p w14:paraId="22348C3F" w14:textId="0F6236D7" w:rsidR="00746A0E" w:rsidRPr="00A55886" w:rsidRDefault="00746A0E" w:rsidP="004922AF">
            <w:pPr>
              <w:spacing w:before="120" w:after="120"/>
              <w:rPr>
                <w:rFonts w:ascii="Arial" w:hAnsi="Arial" w:cs="Arial"/>
                <w:sz w:val="22"/>
              </w:rPr>
            </w:pPr>
            <w:r w:rsidRPr="00A55886">
              <w:rPr>
                <w:rFonts w:ascii="Arial" w:hAnsi="Arial" w:cs="Arial"/>
                <w:sz w:val="22"/>
              </w:rPr>
              <w:t>Forms</w:t>
            </w:r>
          </w:p>
        </w:tc>
        <w:tc>
          <w:tcPr>
            <w:tcW w:w="7147" w:type="dxa"/>
          </w:tcPr>
          <w:p w14:paraId="54F51F15" w14:textId="5D668BE2" w:rsidR="00746A0E" w:rsidRPr="00A55886" w:rsidRDefault="00832C6A" w:rsidP="004922AF">
            <w:pPr>
              <w:spacing w:before="120" w:after="120"/>
              <w:rPr>
                <w:rFonts w:ascii="Arial" w:hAnsi="Arial" w:cs="Arial"/>
                <w:sz w:val="22"/>
              </w:rPr>
            </w:pPr>
            <w:r>
              <w:rPr>
                <w:rFonts w:ascii="Arial" w:hAnsi="Arial" w:cs="Arial"/>
                <w:sz w:val="22"/>
              </w:rPr>
              <w:t>N/A</w:t>
            </w:r>
          </w:p>
        </w:tc>
      </w:tr>
    </w:tbl>
    <w:p w14:paraId="6BA7652E" w14:textId="26761596" w:rsidR="00A15D12" w:rsidRPr="00A55886" w:rsidRDefault="00A15D12" w:rsidP="004922AF">
      <w:pPr>
        <w:rPr>
          <w:rFonts w:ascii="Arial" w:hAnsi="Arial" w:cs="Arial"/>
          <w:sz w:val="22"/>
        </w:rPr>
      </w:pPr>
    </w:p>
    <w:p w14:paraId="298A2696" w14:textId="6B986B06" w:rsidR="00AF5791" w:rsidRPr="00A55886" w:rsidRDefault="00AF5791" w:rsidP="00C22059">
      <w:pPr>
        <w:rPr>
          <w:rFonts w:ascii="Arial" w:hAnsi="Arial" w:cs="Arial"/>
          <w:sz w:val="20"/>
          <w:szCs w:val="24"/>
        </w:rPr>
      </w:pPr>
    </w:p>
    <w:sectPr w:rsidR="00AF5791" w:rsidRPr="00A55886" w:rsidSect="00E77B43">
      <w:headerReference w:type="default" r:id="rId33"/>
      <w:footerReference w:type="even" r:id="rId34"/>
      <w:footerReference w:type="default" r:id="rId35"/>
      <w:headerReference w:type="first" r:id="rId36"/>
      <w:footerReference w:type="first" r:id="rId37"/>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0DB76273" w:rsidR="00830B58" w:rsidRDefault="00832C6A" w:rsidP="00830B58">
    <w:pPr>
      <w:spacing w:after="0" w:line="240" w:lineRule="auto"/>
      <w:jc w:val="right"/>
      <w:rPr>
        <w:rFonts w:asciiTheme="minorHAnsi" w:hAnsiTheme="minorHAnsi" w:cstheme="minorHAnsi"/>
        <w:color w:val="70787B"/>
        <w:sz w:val="15"/>
        <w:szCs w:val="15"/>
      </w:rPr>
    </w:pPr>
    <w:r w:rsidRPr="00832C6A">
      <w:rPr>
        <w:rFonts w:asciiTheme="minorHAnsi" w:hAnsiTheme="minorHAnsi" w:cstheme="minorHAnsi"/>
        <w:color w:val="70787B"/>
        <w:sz w:val="15"/>
        <w:szCs w:val="15"/>
      </w:rPr>
      <w:t>Acquiring and Transferring in Chemicals Procedure</w:t>
    </w:r>
    <w:r w:rsidR="002B29ED" w:rsidRPr="00832C6A">
      <w:rPr>
        <w:rFonts w:asciiTheme="minorHAnsi" w:hAnsiTheme="minorHAnsi" w:cstheme="minorHAnsi"/>
        <w:color w:val="70787B"/>
        <w:sz w:val="15"/>
        <w:szCs w:val="15"/>
      </w:rPr>
      <w:t xml:space="preserve"> </w:t>
    </w:r>
    <w:r w:rsidR="00830B58" w:rsidRPr="00832C6A">
      <w:rPr>
        <w:rFonts w:asciiTheme="minorHAnsi" w:hAnsiTheme="minorHAnsi" w:cstheme="minorHAnsi"/>
        <w:color w:val="70787B"/>
        <w:sz w:val="15"/>
        <w:szCs w:val="15"/>
      </w:rPr>
      <w:t>|</w:t>
    </w:r>
    <w:r w:rsidRPr="00832C6A">
      <w:rPr>
        <w:rFonts w:asciiTheme="minorHAnsi" w:hAnsiTheme="minorHAnsi" w:cstheme="minorHAnsi"/>
        <w:color w:val="70787B"/>
        <w:sz w:val="15"/>
        <w:szCs w:val="15"/>
      </w:rPr>
      <w:t>December 2023</w:t>
    </w:r>
  </w:p>
  <w:p w14:paraId="6521F9B2" w14:textId="557326EC"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832C6A">
      <w:rPr>
        <w:rFonts w:asciiTheme="minorHAnsi" w:hAnsiTheme="minorHAnsi" w:cstheme="minorHAnsi"/>
        <w:color w:val="70787B"/>
        <w:sz w:val="15"/>
        <w:szCs w:val="15"/>
      </w:rPr>
      <w:t>2023/0001045</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5F393152" w14:textId="77777777" w:rsidR="00832C6A" w:rsidRDefault="00832C6A" w:rsidP="00832C6A">
    <w:pPr>
      <w:spacing w:after="0" w:line="240" w:lineRule="auto"/>
      <w:jc w:val="right"/>
      <w:rPr>
        <w:rFonts w:asciiTheme="minorHAnsi" w:hAnsiTheme="minorHAnsi" w:cstheme="minorHAnsi"/>
        <w:color w:val="70787B"/>
        <w:sz w:val="15"/>
        <w:szCs w:val="15"/>
      </w:rPr>
    </w:pPr>
    <w:r w:rsidRPr="00832C6A">
      <w:rPr>
        <w:rFonts w:asciiTheme="minorHAnsi" w:hAnsiTheme="minorHAnsi" w:cstheme="minorHAnsi"/>
        <w:color w:val="70787B"/>
        <w:sz w:val="15"/>
        <w:szCs w:val="15"/>
      </w:rPr>
      <w:t>Acquiring and Transferring in Chemicals Procedure |December 2023</w:t>
    </w:r>
  </w:p>
  <w:p w14:paraId="69EED422" w14:textId="3A900208" w:rsidR="00E77B43" w:rsidRPr="000209B9" w:rsidRDefault="00832C6A"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2023/0001045</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C74ED2"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08F6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4"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5"/>
  </w:num>
  <w:num w:numId="3" w16cid:durableId="1304701530">
    <w:abstractNumId w:val="31"/>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2"/>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4"/>
  </w:num>
  <w:num w:numId="30" w16cid:durableId="218833091">
    <w:abstractNumId w:val="15"/>
  </w:num>
  <w:num w:numId="31" w16cid:durableId="66726597">
    <w:abstractNumId w:val="29"/>
  </w:num>
  <w:num w:numId="32" w16cid:durableId="1786579993">
    <w:abstractNumId w:val="33"/>
  </w:num>
  <w:num w:numId="33" w16cid:durableId="1071662295">
    <w:abstractNumId w:val="20"/>
  </w:num>
  <w:num w:numId="34" w16cid:durableId="944117931">
    <w:abstractNumId w:val="19"/>
  </w:num>
  <w:num w:numId="35" w16cid:durableId="754860717">
    <w:abstractNumId w:val="17"/>
  </w:num>
  <w:num w:numId="36" w16cid:durableId="1773525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765D"/>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07C50"/>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131F8"/>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D5098"/>
    <w:rsid w:val="002D5CC9"/>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344DE"/>
    <w:rsid w:val="00441285"/>
    <w:rsid w:val="004415C7"/>
    <w:rsid w:val="004472ED"/>
    <w:rsid w:val="00456A0E"/>
    <w:rsid w:val="0046665F"/>
    <w:rsid w:val="00466DD2"/>
    <w:rsid w:val="00466E5D"/>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2F80"/>
    <w:rsid w:val="00553466"/>
    <w:rsid w:val="00553583"/>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6F7007"/>
    <w:rsid w:val="0070341D"/>
    <w:rsid w:val="00706626"/>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316B8"/>
    <w:rsid w:val="00832C6A"/>
    <w:rsid w:val="00835E36"/>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0B86"/>
    <w:rsid w:val="008F2DE0"/>
    <w:rsid w:val="008F588D"/>
    <w:rsid w:val="00904689"/>
    <w:rsid w:val="0092371D"/>
    <w:rsid w:val="00941205"/>
    <w:rsid w:val="00947015"/>
    <w:rsid w:val="0095172A"/>
    <w:rsid w:val="009518A2"/>
    <w:rsid w:val="00966619"/>
    <w:rsid w:val="009933D9"/>
    <w:rsid w:val="00993A5D"/>
    <w:rsid w:val="009A4600"/>
    <w:rsid w:val="009A6D7C"/>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886"/>
    <w:rsid w:val="00A55F73"/>
    <w:rsid w:val="00A56091"/>
    <w:rsid w:val="00A5683C"/>
    <w:rsid w:val="00A57044"/>
    <w:rsid w:val="00A57232"/>
    <w:rsid w:val="00AA12A3"/>
    <w:rsid w:val="00AA188E"/>
    <w:rsid w:val="00AA391D"/>
    <w:rsid w:val="00AB00BF"/>
    <w:rsid w:val="00AC1EA9"/>
    <w:rsid w:val="00AE36C9"/>
    <w:rsid w:val="00AE4387"/>
    <w:rsid w:val="00AF5791"/>
    <w:rsid w:val="00AF719E"/>
    <w:rsid w:val="00B11F04"/>
    <w:rsid w:val="00B24AD5"/>
    <w:rsid w:val="00B25332"/>
    <w:rsid w:val="00B26F8D"/>
    <w:rsid w:val="00B42BD2"/>
    <w:rsid w:val="00B508D5"/>
    <w:rsid w:val="00B52233"/>
    <w:rsid w:val="00B82F08"/>
    <w:rsid w:val="00B9062A"/>
    <w:rsid w:val="00BB38C6"/>
    <w:rsid w:val="00BB58D7"/>
    <w:rsid w:val="00BD26DB"/>
    <w:rsid w:val="00BD4BCD"/>
    <w:rsid w:val="00BF1660"/>
    <w:rsid w:val="00BF387D"/>
    <w:rsid w:val="00C00B53"/>
    <w:rsid w:val="00C22059"/>
    <w:rsid w:val="00C2475A"/>
    <w:rsid w:val="00C31251"/>
    <w:rsid w:val="00C32760"/>
    <w:rsid w:val="00C50976"/>
    <w:rsid w:val="00C577E2"/>
    <w:rsid w:val="00C62871"/>
    <w:rsid w:val="00C76573"/>
    <w:rsid w:val="00C77710"/>
    <w:rsid w:val="00C80060"/>
    <w:rsid w:val="00CA6305"/>
    <w:rsid w:val="00CA6AC5"/>
    <w:rsid w:val="00CA75B5"/>
    <w:rsid w:val="00CD119B"/>
    <w:rsid w:val="00CF611B"/>
    <w:rsid w:val="00CF6FF3"/>
    <w:rsid w:val="00D042D8"/>
    <w:rsid w:val="00D25E65"/>
    <w:rsid w:val="00D434E9"/>
    <w:rsid w:val="00D532D6"/>
    <w:rsid w:val="00D62E15"/>
    <w:rsid w:val="00D62EC8"/>
    <w:rsid w:val="00DA2384"/>
    <w:rsid w:val="00DB0FC8"/>
    <w:rsid w:val="00DB76F9"/>
    <w:rsid w:val="00DB7E17"/>
    <w:rsid w:val="00DD004C"/>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3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s@girffith.edu" TargetMode="External"/><Relationship Id="rId18" Type="http://schemas.openxmlformats.org/officeDocument/2006/relationships/hyperlink" Target="mailto:crs@griffith.edu.au" TargetMode="External"/><Relationship Id="rId26" Type="http://schemas.openxmlformats.org/officeDocument/2006/relationships/hyperlink" Target="https://www.legislation.qld.gov.au/view/pdf/inforce/current/sl-2021-0141"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crs@griffith.edu.au"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crs@griffith.edu.au" TargetMode="External"/><Relationship Id="rId17" Type="http://schemas.openxmlformats.org/officeDocument/2006/relationships/hyperlink" Target="mailto:crs@griffith.edu.au" TargetMode="External"/><Relationship Id="rId25" Type="http://schemas.openxmlformats.org/officeDocument/2006/relationships/hyperlink" Target="https://www.legislation.qld.gov.au/view/html/inforce/current/act-2019-026"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s@griffith.edu.au" TargetMode="External"/><Relationship Id="rId20" Type="http://schemas.openxmlformats.org/officeDocument/2006/relationships/hyperlink" Target="mailto:crs@griffith.edu.au" TargetMode="External"/><Relationship Id="rId29" Type="http://schemas.openxmlformats.org/officeDocument/2006/relationships/hyperlink" Target="Health,%20Safety%20and%20Wellbeing%20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s@griffith.edu.au" TargetMode="External"/><Relationship Id="rId24" Type="http://schemas.openxmlformats.org/officeDocument/2006/relationships/hyperlink" Target="https://www.ntc.gov.au/codes-and-guidelines/australian-dangerous-goods-code" TargetMode="External"/><Relationship Id="rId32" Type="http://schemas.openxmlformats.org/officeDocument/2006/relationships/hyperlink" Target="https://www.griffith.edu.au/__data/assets/pdf_file/0032/327965/Griffith-Substance-Management-Plan-SMP_Signed.pdf"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rs@griffith.edu.au" TargetMode="External"/><Relationship Id="rId23" Type="http://schemas.openxmlformats.org/officeDocument/2006/relationships/hyperlink" Target="https://www.legislation.qld.gov.au/view/html/inforce/current/sl-2011-0240" TargetMode="External"/><Relationship Id="rId28" Type="http://schemas.openxmlformats.org/officeDocument/2006/relationships/hyperlink" Target="https://www.nationalsecurity.gov.au/chemical-security-subsite/Files/code-of-practice-chemical-security.pdf" TargetMode="External"/><Relationship Id="rId36" Type="http://schemas.openxmlformats.org/officeDocument/2006/relationships/header" Target="header2.xml"/><Relationship Id="rId10" Type="http://schemas.openxmlformats.org/officeDocument/2006/relationships/hyperlink" Target="mailto:crs@griffith.edu.au" TargetMode="External"/><Relationship Id="rId19" Type="http://schemas.openxmlformats.org/officeDocument/2006/relationships/hyperlink" Target="mailto:crs@griffith.edu.au" TargetMode="External"/><Relationship Id="rId31" Type="http://schemas.openxmlformats.org/officeDocument/2006/relationships/hyperlink" Target="https://sharepointpubstor.blob.core.windows.net/policylibrary-prod/Special%20Approver%20Guidelin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s@griffith.edu.au" TargetMode="External"/><Relationship Id="rId22" Type="http://schemas.openxmlformats.org/officeDocument/2006/relationships/hyperlink" Target="https://www.legislation.qld.gov.au/view/pdf/inforce/current/act-2011-018" TargetMode="External"/><Relationship Id="rId27" Type="http://schemas.openxmlformats.org/officeDocument/2006/relationships/hyperlink" Target="https://www.legislation.gov.au/Details/F2023L00864" TargetMode="External"/><Relationship Id="rId30" Type="http://schemas.openxmlformats.org/officeDocument/2006/relationships/hyperlink" Target="https://sharepointpubstor.blob.core.windows.net/policylibrary-prod/Managing%20Chemicals%20Standard.pdf"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2D19FA" w:rsidRDefault="008011BC" w:rsidP="008011BC">
          <w:pPr>
            <w:pStyle w:val="51D200499E654B60842EFC49E62ED95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PublishOn xmlns="2f261a70-825f-4a37-b7b5-f6ecc2f4c5fa">2023-12-21T00:26:47+00:00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procedure outlines the requirements for acquiring and transferring chemicals at Griffith University. The procedure aims to minimise risks to personnel and property and ensure continuing legislative compliance.</policysummary>
    <PolicyCategoryPath xmlns="2f261a70-825f-4a37-b7b5-f6ecc2f4c5fa">Operational</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580</Value>
      <Value>558</Value>
      <Value>572</Value>
      <Value>576</Value>
      <Value>526</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2023-12-20T14:00:00+00:00</datedeclared>
    <PrivatePolicy xmlns="2f261a70-825f-4a37-b7b5-f6ecc2f4c5fa">false</PrivatePolicy>
    <policyadvisor xmlns="2f261a70-825f-4a37-b7b5-f6ecc2f4c5fa">
      <UserInfo>
        <DisplayName>Angie Galbraith</DisplayName>
        <AccountId>351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7F6294FA-384B-4178-BD2B-1E862B052692}"/>
</file>

<file path=customXml/itemProps3.xml><?xml version="1.0" encoding="utf-8"?>
<ds:datastoreItem xmlns:ds="http://schemas.openxmlformats.org/officeDocument/2006/customXml" ds:itemID="{6601E057-6B15-4853-B8C3-1649F412ED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a251d2-143f-40fd-94ee-fad38e5b4029"/>
    <ds:schemaRef ds:uri="5b6838e7-3899-4ed1-ad9b-b330ff5ed565"/>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35</TotalTime>
  <Pages>9</Pages>
  <Words>2122</Words>
  <Characters>14600</Characters>
  <Application>Microsoft Office Word</Application>
  <DocSecurity>0</DocSecurity>
  <Lines>1622</Lines>
  <Paragraphs>643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Acquiring and Transferring in Chemicals Procedure</dc:title>
  <dc:creator>Jen Lofgren</dc:creator>
  <cp:lastModifiedBy>Charlie Partridge</cp:lastModifiedBy>
  <cp:revision>9</cp:revision>
  <dcterms:created xsi:type="dcterms:W3CDTF">2023-12-20T23:45:00Z</dcterms:created>
  <dcterms:modified xsi:type="dcterms:W3CDTF">2023-12-21T00:19:00Z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e790733b854c20bf03de33e8cea16975c69a3261cb4de0a337e3323e265773ef</vt:lpwstr>
  </property>
  <property fmtid="{D5CDD505-2E9C-101B-9397-08002B2CF9AE}" pid="16" name="policysection">
    <vt:lpwstr/>
  </property>
  <property fmtid="{D5CDD505-2E9C-101B-9397-08002B2CF9AE}" pid="17" name="appauthority">
    <vt:lpwstr>576;#Director, Health, Safety ＆ Wellbeing|2d72363b-4795-47bb-b390-b2a488ae5aa8</vt:lpwstr>
  </property>
  <property fmtid="{D5CDD505-2E9C-101B-9397-08002B2CF9AE}" pid="18" name="policycategory">
    <vt:lpwstr/>
  </property>
  <property fmtid="{D5CDD505-2E9C-101B-9397-08002B2CF9AE}" pid="19" name="officearea">
    <vt:lpwstr>580;#Health, Safety and Wellbeing|5d685f7f-ce29-4b0c-a58c-a7541a4e59dc</vt:lpwstr>
  </property>
  <property fmtid="{D5CDD505-2E9C-101B-9397-08002B2CF9AE}" pid="20" name="policy-category">
    <vt:lpwstr>526;#Operational|71ae2c77-9666-4d6a-a97b-3458c18553a0</vt:lpwstr>
  </property>
  <property fmtid="{D5CDD505-2E9C-101B-9397-08002B2CF9AE}" pid="21" name="glossaryterms">
    <vt:lpwstr/>
  </property>
  <property fmtid="{D5CDD505-2E9C-101B-9397-08002B2CF9AE}" pid="22" name="policyreview">
    <vt:lpwstr>558;#2028|3482dbca-7716-46bb-b113-935721929a44</vt:lpwstr>
  </property>
  <property fmtid="{D5CDD505-2E9C-101B-9397-08002B2CF9AE}" pid="23" name="policyaudience">
    <vt:lpwstr>572;#Staff and Student|e31810fd-0fc5-4050-aa32-a98462f8b255</vt:lpwstr>
  </property>
  <property fmtid="{D5CDD505-2E9C-101B-9397-08002B2CF9AE}" pid="24" name="Managed_Testing_Field">
    <vt:lpwstr/>
  </property>
</Properties>
</file>