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A029" w14:textId="77777777" w:rsidR="00E864AF" w:rsidRDefault="00B64035" w:rsidP="002A6AA2">
      <w:pPr>
        <w:rPr>
          <w:sz w:val="20"/>
        </w:rPr>
      </w:pPr>
      <w:r>
        <w:rPr>
          <w:noProof/>
          <w:sz w:val="20"/>
        </w:rPr>
        <mc:AlternateContent>
          <mc:Choice Requires="wps">
            <w:drawing>
              <wp:anchor distT="0" distB="0" distL="114300" distR="114300" simplePos="0" relativeHeight="251658240" behindDoc="0" locked="0" layoutInCell="1" allowOverlap="1" wp14:anchorId="448CA090" wp14:editId="448CA091">
                <wp:simplePos x="0" y="0"/>
                <wp:positionH relativeFrom="column">
                  <wp:posOffset>-371475</wp:posOffset>
                </wp:positionH>
                <wp:positionV relativeFrom="paragraph">
                  <wp:posOffset>-381000</wp:posOffset>
                </wp:positionV>
                <wp:extent cx="2244725" cy="68199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CA0A2" w14:textId="77777777" w:rsidR="00581324" w:rsidRDefault="00581324" w:rsidP="00B66CBA">
                            <w:pPr>
                              <w:ind w:left="426"/>
                            </w:pPr>
                            <w:r>
                              <w:rPr>
                                <w:noProof/>
                              </w:rPr>
                              <w:drawing>
                                <wp:inline distT="0" distB="0" distL="0" distR="0" wp14:anchorId="448CA0A3" wp14:editId="448CA0A4">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8CA090" id="_x0000_t202" coordsize="21600,21600" o:spt="202" path="m,l,21600r21600,l21600,xe">
                <v:stroke joinstyle="miter"/>
                <v:path gradientshapeok="t" o:connecttype="rect"/>
              </v:shapetype>
              <v:shape id="Text Box 1" o:spid="_x0000_s1026" type="#_x0000_t202"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filled="f" stroked="f">
                <v:textbox style="mso-fit-shape-to-text:t">
                  <w:txbxContent>
                    <w:p w14:paraId="448CA0A2" w14:textId="77777777" w:rsidR="00581324" w:rsidRDefault="00581324" w:rsidP="00B66CBA">
                      <w:pPr>
                        <w:ind w:left="426"/>
                      </w:pPr>
                      <w:r>
                        <w:rPr>
                          <w:noProof/>
                        </w:rPr>
                        <w:drawing>
                          <wp:inline distT="0" distB="0" distL="0" distR="0" wp14:anchorId="448CA0A3" wp14:editId="448CA0A4">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448CA02A" w14:textId="77777777" w:rsidR="00C0705D" w:rsidRPr="00862B37" w:rsidRDefault="00E16762" w:rsidP="002A6AA2">
      <w:pPr>
        <w:spacing w:before="360" w:after="240"/>
        <w:ind w:left="0"/>
        <w:jc w:val="left"/>
        <w:rPr>
          <w:rFonts w:cs="Arial"/>
          <w:sz w:val="32"/>
          <w:szCs w:val="32"/>
        </w:rPr>
      </w:pPr>
      <w:r w:rsidRPr="00E16762">
        <w:rPr>
          <w:rFonts w:cs="Arial"/>
          <w:color w:val="333333"/>
          <w:sz w:val="32"/>
          <w:szCs w:val="32"/>
        </w:rPr>
        <w:t>Academic Standing, Progression and Exclusion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448CA02D" w14:textId="77777777" w:rsidTr="1C9E15CC">
        <w:tc>
          <w:tcPr>
            <w:tcW w:w="2410" w:type="dxa"/>
            <w:tcBorders>
              <w:top w:val="single" w:sz="12" w:space="0" w:color="D9D9D9" w:themeColor="background1" w:themeShade="D9"/>
              <w:right w:val="single" w:sz="12" w:space="0" w:color="D9D9D9" w:themeColor="background1" w:themeShade="D9"/>
            </w:tcBorders>
          </w:tcPr>
          <w:p w14:paraId="448CA02B"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448CA02C" w14:textId="77777777" w:rsidR="00B86B55" w:rsidRPr="00423A1D" w:rsidRDefault="00B86B55" w:rsidP="002A6AA2">
            <w:pPr>
              <w:spacing w:after="0"/>
              <w:ind w:left="159"/>
              <w:rPr>
                <w:rFonts w:cs="Arial"/>
                <w:sz w:val="12"/>
                <w:szCs w:val="12"/>
              </w:rPr>
            </w:pPr>
          </w:p>
        </w:tc>
      </w:tr>
      <w:tr w:rsidR="00B86B55" w:rsidRPr="00D614DF" w14:paraId="448CA030" w14:textId="77777777" w:rsidTr="1C9E15CC">
        <w:tc>
          <w:tcPr>
            <w:tcW w:w="2410" w:type="dxa"/>
            <w:tcBorders>
              <w:right w:val="single" w:sz="12" w:space="0" w:color="D9D9D9" w:themeColor="background1" w:themeShade="D9"/>
            </w:tcBorders>
            <w:vAlign w:val="center"/>
          </w:tcPr>
          <w:p w14:paraId="448CA02E"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448CA02F" w14:textId="77777777" w:rsidR="00B86B55" w:rsidRPr="00D614DF" w:rsidRDefault="00F677E8" w:rsidP="002A6AA2">
            <w:pPr>
              <w:spacing w:before="60" w:after="60"/>
              <w:ind w:left="159"/>
              <w:rPr>
                <w:rFonts w:cs="Arial"/>
                <w:sz w:val="20"/>
              </w:rPr>
            </w:pPr>
            <w:r>
              <w:rPr>
                <w:rFonts w:cs="Arial"/>
                <w:sz w:val="20"/>
              </w:rPr>
              <w:t>Academic Committee</w:t>
            </w:r>
          </w:p>
        </w:tc>
      </w:tr>
      <w:tr w:rsidR="00B86B55" w:rsidRPr="00D614DF" w14:paraId="448CA034" w14:textId="77777777" w:rsidTr="1C9E15CC">
        <w:tc>
          <w:tcPr>
            <w:tcW w:w="2410" w:type="dxa"/>
            <w:tcBorders>
              <w:right w:val="single" w:sz="12" w:space="0" w:color="D9D9D9" w:themeColor="background1" w:themeShade="D9"/>
            </w:tcBorders>
          </w:tcPr>
          <w:p w14:paraId="448CA031"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64CADAB8" w14:textId="4617C743" w:rsidR="007A0650" w:rsidRDefault="00F1646A" w:rsidP="004250FA">
            <w:pPr>
              <w:spacing w:before="60" w:after="60"/>
              <w:ind w:left="159"/>
              <w:rPr>
                <w:rFonts w:cs="Arial"/>
                <w:sz w:val="20"/>
              </w:rPr>
            </w:pPr>
            <w:r>
              <w:rPr>
                <w:rFonts w:cs="Arial"/>
                <w:sz w:val="20"/>
              </w:rPr>
              <w:t>17 March 2022</w:t>
            </w:r>
            <w:r w:rsidR="00046784">
              <w:rPr>
                <w:rFonts w:cs="Arial"/>
                <w:sz w:val="20"/>
              </w:rPr>
              <w:t xml:space="preserve"> </w:t>
            </w:r>
            <w:r w:rsidR="00891A15">
              <w:rPr>
                <w:rFonts w:cs="Arial"/>
                <w:sz w:val="20"/>
              </w:rPr>
              <w:t>(1/2022 meeting</w:t>
            </w:r>
            <w:r w:rsidR="0082418C">
              <w:rPr>
                <w:rFonts w:cs="Arial"/>
                <w:sz w:val="20"/>
              </w:rPr>
              <w:t>)</w:t>
            </w:r>
            <w:r w:rsidR="0004163D">
              <w:rPr>
                <w:rFonts w:cs="Arial"/>
                <w:sz w:val="20"/>
              </w:rPr>
              <w:t xml:space="preserve"> (revised)</w:t>
            </w:r>
          </w:p>
          <w:p w14:paraId="448CA033" w14:textId="23A4CE8D" w:rsidR="00467384" w:rsidRPr="00D614DF" w:rsidRDefault="00467384" w:rsidP="00375050">
            <w:pPr>
              <w:spacing w:before="60" w:after="60"/>
              <w:ind w:left="159"/>
              <w:rPr>
                <w:rFonts w:cs="Arial"/>
                <w:sz w:val="20"/>
              </w:rPr>
            </w:pPr>
            <w:r>
              <w:rPr>
                <w:rFonts w:cs="Arial"/>
                <w:sz w:val="20"/>
              </w:rPr>
              <w:t xml:space="preserve">For implementation Trimester </w:t>
            </w:r>
            <w:r w:rsidR="00F1646A">
              <w:rPr>
                <w:rFonts w:cs="Arial"/>
                <w:sz w:val="20"/>
              </w:rPr>
              <w:t>1 2022</w:t>
            </w:r>
          </w:p>
        </w:tc>
      </w:tr>
      <w:tr w:rsidR="004E0903" w:rsidRPr="00D614DF" w14:paraId="448CA037" w14:textId="77777777" w:rsidTr="1C9E15CC">
        <w:tc>
          <w:tcPr>
            <w:tcW w:w="2410" w:type="dxa"/>
            <w:tcBorders>
              <w:right w:val="single" w:sz="12" w:space="0" w:color="D9D9D9" w:themeColor="background1" w:themeShade="D9"/>
            </w:tcBorders>
          </w:tcPr>
          <w:p w14:paraId="448CA035" w14:textId="77777777" w:rsidR="004E0903" w:rsidRDefault="004E0903" w:rsidP="002A6AA2">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448CA036" w14:textId="12EEF42C" w:rsidR="004E0903" w:rsidRPr="00F677E8" w:rsidRDefault="00405C7C" w:rsidP="009D4894">
            <w:pPr>
              <w:spacing w:before="60" w:after="60"/>
              <w:ind w:left="159"/>
              <w:jc w:val="left"/>
              <w:rPr>
                <w:rFonts w:cs="Arial"/>
                <w:sz w:val="20"/>
              </w:rPr>
            </w:pPr>
            <w:r>
              <w:rPr>
                <w:rFonts w:cs="Arial"/>
                <w:sz w:val="20"/>
              </w:rPr>
              <w:t xml:space="preserve">Senior </w:t>
            </w:r>
            <w:r w:rsidR="004E0903">
              <w:rPr>
                <w:rFonts w:cs="Arial"/>
                <w:sz w:val="20"/>
              </w:rPr>
              <w:t xml:space="preserve">Manager | Examinations and Timetabling | Student </w:t>
            </w:r>
            <w:r w:rsidR="000969D3">
              <w:rPr>
                <w:rFonts w:cs="Arial"/>
                <w:sz w:val="20"/>
              </w:rPr>
              <w:t>Business Services</w:t>
            </w:r>
          </w:p>
        </w:tc>
      </w:tr>
      <w:tr w:rsidR="004E0903" w:rsidRPr="00D614DF" w14:paraId="448CA03A" w14:textId="77777777" w:rsidTr="1C9E15CC">
        <w:tc>
          <w:tcPr>
            <w:tcW w:w="2410" w:type="dxa"/>
            <w:tcBorders>
              <w:bottom w:val="nil"/>
              <w:right w:val="single" w:sz="12" w:space="0" w:color="D9D9D9" w:themeColor="background1" w:themeShade="D9"/>
            </w:tcBorders>
            <w:vAlign w:val="center"/>
          </w:tcPr>
          <w:p w14:paraId="448CA038" w14:textId="77777777" w:rsidR="004E0903" w:rsidRDefault="004E0903"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448CA039" w14:textId="2304551D" w:rsidR="004E0903" w:rsidRPr="006D5CAF" w:rsidRDefault="00375050" w:rsidP="1C9E15CC">
            <w:pPr>
              <w:spacing w:after="60"/>
              <w:ind w:left="159"/>
              <w:jc w:val="left"/>
              <w:rPr>
                <w:rFonts w:cs="Arial"/>
                <w:sz w:val="20"/>
              </w:rPr>
            </w:pPr>
            <w:r w:rsidRPr="1C9E15CC">
              <w:rPr>
                <w:rFonts w:cs="Arial"/>
                <w:sz w:val="20"/>
              </w:rPr>
              <w:t>202</w:t>
            </w:r>
            <w:r w:rsidR="03EADA54" w:rsidRPr="1C9E15CC">
              <w:rPr>
                <w:rFonts w:cs="Arial"/>
                <w:sz w:val="20"/>
              </w:rPr>
              <w:t>3</w:t>
            </w:r>
          </w:p>
        </w:tc>
      </w:tr>
      <w:tr w:rsidR="00B86B55" w:rsidRPr="00D614DF" w14:paraId="448CA03D" w14:textId="77777777" w:rsidTr="1C9E15CC">
        <w:tc>
          <w:tcPr>
            <w:tcW w:w="2410" w:type="dxa"/>
            <w:tcBorders>
              <w:bottom w:val="nil"/>
              <w:right w:val="single" w:sz="12" w:space="0" w:color="D9D9D9" w:themeColor="background1" w:themeShade="D9"/>
            </w:tcBorders>
            <w:vAlign w:val="center"/>
          </w:tcPr>
          <w:p w14:paraId="448CA03B" w14:textId="77777777" w:rsidR="00B86B55" w:rsidRPr="00D614DF" w:rsidRDefault="004E0903"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448CA03C" w14:textId="6F871A6E" w:rsidR="00B86B55" w:rsidRPr="00D614DF" w:rsidRDefault="004E0903" w:rsidP="002A6AA2">
            <w:pPr>
              <w:spacing w:before="60" w:after="60"/>
              <w:ind w:left="159"/>
              <w:rPr>
                <w:rFonts w:cs="Arial"/>
                <w:sz w:val="20"/>
              </w:rPr>
            </w:pPr>
            <w:r w:rsidRPr="005C4ED0">
              <w:rPr>
                <w:rFonts w:cs="Arial"/>
                <w:sz w:val="20"/>
              </w:rPr>
              <w:t>http://policies.griffith.edu.au/pdf/Academic Standing Policy.pdf</w:t>
            </w:r>
          </w:p>
        </w:tc>
      </w:tr>
      <w:tr w:rsidR="00B86B55" w:rsidRPr="00D614DF" w14:paraId="448CA040" w14:textId="77777777" w:rsidTr="1C9E15CC">
        <w:tc>
          <w:tcPr>
            <w:tcW w:w="2410" w:type="dxa"/>
            <w:tcBorders>
              <w:bottom w:val="single" w:sz="12" w:space="0" w:color="D9D9D9" w:themeColor="background1" w:themeShade="D9"/>
              <w:right w:val="single" w:sz="12" w:space="0" w:color="D9D9D9" w:themeColor="background1" w:themeShade="D9"/>
            </w:tcBorders>
            <w:vAlign w:val="center"/>
          </w:tcPr>
          <w:p w14:paraId="448CA03E" w14:textId="5667F92A" w:rsidR="00B86B55" w:rsidRPr="00474FF5" w:rsidRDefault="00EB5E39" w:rsidP="002A6AA2">
            <w:pPr>
              <w:spacing w:before="60" w:after="60"/>
              <w:ind w:left="0"/>
              <w:rPr>
                <w:rFonts w:cs="Arial"/>
                <w:b/>
                <w:sz w:val="20"/>
              </w:rPr>
            </w:pPr>
            <w:r>
              <w:rPr>
                <w:rFonts w:cs="Arial"/>
                <w:b/>
                <w:sz w:val="20"/>
              </w:rPr>
              <w:t>Document number</w:t>
            </w:r>
          </w:p>
        </w:tc>
        <w:tc>
          <w:tcPr>
            <w:tcW w:w="7229" w:type="dxa"/>
            <w:tcBorders>
              <w:left w:val="single" w:sz="12" w:space="0" w:color="D9D9D9" w:themeColor="background1" w:themeShade="D9"/>
              <w:bottom w:val="single" w:sz="12" w:space="0" w:color="D9D9D9" w:themeColor="background1" w:themeShade="D9"/>
            </w:tcBorders>
            <w:vAlign w:val="center"/>
          </w:tcPr>
          <w:p w14:paraId="448CA03F" w14:textId="70F43456" w:rsidR="00B86B55" w:rsidRPr="00EB5E39" w:rsidRDefault="00EB5E39" w:rsidP="00EB5E39">
            <w:pPr>
              <w:spacing w:before="60" w:after="60"/>
              <w:ind w:left="159"/>
              <w:rPr>
                <w:rFonts w:cs="Arial"/>
                <w:sz w:val="20"/>
              </w:rPr>
            </w:pPr>
            <w:r w:rsidRPr="00EB5E39">
              <w:rPr>
                <w:rFonts w:cs="Arial"/>
                <w:sz w:val="20"/>
                <w:shd w:val="clear" w:color="auto" w:fill="FFFFFF"/>
              </w:rPr>
              <w:t>2022/0000815</w:t>
            </w:r>
          </w:p>
        </w:tc>
      </w:tr>
      <w:tr w:rsidR="00E31309" w:rsidRPr="00D614DF" w14:paraId="448CA043" w14:textId="77777777" w:rsidTr="1C9E15CC">
        <w:tc>
          <w:tcPr>
            <w:tcW w:w="2410" w:type="dxa"/>
            <w:tcBorders>
              <w:bottom w:val="single" w:sz="12" w:space="0" w:color="D9D9D9" w:themeColor="background1" w:themeShade="D9"/>
              <w:right w:val="single" w:sz="12" w:space="0" w:color="D9D9D9" w:themeColor="background1" w:themeShade="D9"/>
            </w:tcBorders>
          </w:tcPr>
          <w:p w14:paraId="448CA041" w14:textId="77777777" w:rsidR="00E31309" w:rsidRPr="00474FF5" w:rsidRDefault="004E0903" w:rsidP="001E5C07">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448CA042" w14:textId="77777777" w:rsidR="00E31309" w:rsidRDefault="004E0903" w:rsidP="00CF3075">
            <w:pPr>
              <w:spacing w:before="60" w:after="60"/>
              <w:ind w:left="159"/>
              <w:rPr>
                <w:rFonts w:cs="Arial"/>
                <w:sz w:val="20"/>
              </w:rPr>
            </w:pPr>
            <w:r w:rsidRPr="00F677E8">
              <w:rPr>
                <w:rFonts w:cs="Arial"/>
                <w:sz w:val="20"/>
              </w:rPr>
              <w:t xml:space="preserve">This policy specifies the academic standing statuses </w:t>
            </w:r>
            <w:r w:rsidR="009C502E">
              <w:rPr>
                <w:rFonts w:cs="Arial"/>
                <w:sz w:val="20"/>
              </w:rPr>
              <w:t xml:space="preserve">of Green, Blue, </w:t>
            </w:r>
            <w:proofErr w:type="gramStart"/>
            <w:r w:rsidR="009C502E">
              <w:rPr>
                <w:rFonts w:cs="Arial"/>
                <w:sz w:val="20"/>
              </w:rPr>
              <w:t>Amber</w:t>
            </w:r>
            <w:proofErr w:type="gramEnd"/>
            <w:r w:rsidR="009C502E">
              <w:rPr>
                <w:rFonts w:cs="Arial"/>
                <w:sz w:val="20"/>
              </w:rPr>
              <w:t xml:space="preserve"> or Red </w:t>
            </w:r>
            <w:r w:rsidRPr="00F677E8">
              <w:rPr>
                <w:rFonts w:cs="Arial"/>
                <w:sz w:val="20"/>
              </w:rPr>
              <w:t>for undergraduate and postgraduate coursework students. An academic standing status can only be attributed once a student has enrolled in at least 20 credit points of study. The policy also specifies the indicators of a student being "at risk" of losing their "good academic standing" status, the University's systematic assessment and response to that risk.</w:t>
            </w:r>
          </w:p>
        </w:tc>
      </w:tr>
      <w:tr w:rsidR="00B86B55" w:rsidRPr="00D614DF" w14:paraId="448CA046" w14:textId="77777777" w:rsidTr="1C9E15CC">
        <w:tc>
          <w:tcPr>
            <w:tcW w:w="2410" w:type="dxa"/>
            <w:tcBorders>
              <w:top w:val="single" w:sz="12" w:space="0" w:color="D9D9D9" w:themeColor="background1" w:themeShade="D9"/>
              <w:bottom w:val="single" w:sz="12" w:space="0" w:color="D9D9D9" w:themeColor="background1" w:themeShade="D9"/>
              <w:right w:val="nil"/>
            </w:tcBorders>
            <w:vAlign w:val="center"/>
          </w:tcPr>
          <w:p w14:paraId="448CA044"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448CA045" w14:textId="77777777" w:rsidR="00B86B55" w:rsidRPr="00D614DF" w:rsidRDefault="00B86B55" w:rsidP="002A6AA2">
            <w:pPr>
              <w:spacing w:before="60" w:after="60"/>
              <w:ind w:left="159"/>
              <w:rPr>
                <w:rFonts w:cs="Arial"/>
                <w:sz w:val="20"/>
              </w:rPr>
            </w:pPr>
          </w:p>
        </w:tc>
      </w:tr>
      <w:tr w:rsidR="00B86B55" w:rsidRPr="00D614DF" w14:paraId="448CA04C" w14:textId="77777777" w:rsidTr="1C9E15CC">
        <w:tc>
          <w:tcPr>
            <w:tcW w:w="9639" w:type="dxa"/>
            <w:gridSpan w:val="2"/>
            <w:tcBorders>
              <w:top w:val="single" w:sz="12" w:space="0" w:color="D9D9D9" w:themeColor="background1" w:themeShade="D9"/>
              <w:bottom w:val="nil"/>
            </w:tcBorders>
          </w:tcPr>
          <w:p w14:paraId="163BCD53" w14:textId="77777777" w:rsidR="002A5544" w:rsidRDefault="00E262C0" w:rsidP="002A5544">
            <w:pPr>
              <w:spacing w:before="60" w:after="60"/>
              <w:ind w:left="0"/>
              <w:rPr>
                <w:rStyle w:val="Hyperlink"/>
                <w:rFonts w:cs="Arial"/>
                <w:sz w:val="20"/>
              </w:rPr>
            </w:pPr>
            <w:hyperlink r:id="rId12" w:history="1">
              <w:r w:rsidR="002A5544" w:rsidRPr="005E1C64">
                <w:rPr>
                  <w:rStyle w:val="Hyperlink"/>
                  <w:rFonts w:cs="Arial"/>
                  <w:sz w:val="20"/>
                </w:rPr>
                <w:t>Student Review and Appeals Policy</w:t>
              </w:r>
            </w:hyperlink>
          </w:p>
          <w:p w14:paraId="0F40AACB" w14:textId="77777777" w:rsidR="002A5544" w:rsidRDefault="00E262C0" w:rsidP="002A5544">
            <w:pPr>
              <w:spacing w:before="60" w:after="60"/>
              <w:ind w:left="0"/>
              <w:rPr>
                <w:rFonts w:cs="Arial"/>
                <w:sz w:val="20"/>
              </w:rPr>
            </w:pPr>
            <w:hyperlink r:id="rId13" w:history="1">
              <w:r w:rsidR="002A5544" w:rsidRPr="005E1C64">
                <w:rPr>
                  <w:rStyle w:val="Hyperlink"/>
                  <w:rFonts w:cs="Arial"/>
                  <w:sz w:val="20"/>
                </w:rPr>
                <w:t>Student Review and Appeals Procedures</w:t>
              </w:r>
            </w:hyperlink>
          </w:p>
          <w:p w14:paraId="3EE4E5B8" w14:textId="514C9760" w:rsidR="002A5544" w:rsidRPr="006E294B" w:rsidRDefault="006E294B" w:rsidP="002A5544">
            <w:pPr>
              <w:spacing w:before="60" w:after="60"/>
              <w:ind w:left="0"/>
              <w:rPr>
                <w:rStyle w:val="Hyperlink"/>
                <w:rFonts w:cs="Arial"/>
                <w:sz w:val="20"/>
              </w:rPr>
            </w:pPr>
            <w:r>
              <w:rPr>
                <w:rFonts w:cs="Arial"/>
                <w:sz w:val="20"/>
              </w:rPr>
              <w:fldChar w:fldCharType="begin"/>
            </w:r>
            <w:r w:rsidR="00A809DA">
              <w:rPr>
                <w:rFonts w:cs="Arial"/>
                <w:sz w:val="20"/>
              </w:rPr>
              <w:instrText>HYPERLINK "https://www.griffith.edu.au/students/student-review-appeal/review-and-appeal-intro"</w:instrText>
            </w:r>
            <w:r>
              <w:rPr>
                <w:rFonts w:cs="Arial"/>
                <w:sz w:val="20"/>
              </w:rPr>
            </w:r>
            <w:r>
              <w:rPr>
                <w:rFonts w:cs="Arial"/>
                <w:sz w:val="20"/>
              </w:rPr>
              <w:fldChar w:fldCharType="separate"/>
            </w:r>
            <w:r w:rsidR="002A5544" w:rsidRPr="006E294B">
              <w:rPr>
                <w:rStyle w:val="Hyperlink"/>
                <w:rFonts w:cs="Arial"/>
                <w:sz w:val="20"/>
              </w:rPr>
              <w:t>Review of Decision Form</w:t>
            </w:r>
          </w:p>
          <w:p w14:paraId="448CA049" w14:textId="20FA6540" w:rsidR="00881FDC" w:rsidRPr="00F93E35" w:rsidRDefault="006E294B" w:rsidP="00881FDC">
            <w:pPr>
              <w:spacing w:before="60" w:after="60"/>
              <w:ind w:left="0"/>
              <w:jc w:val="left"/>
              <w:rPr>
                <w:rStyle w:val="Hyperlink"/>
                <w:rFonts w:cs="Arial"/>
                <w:sz w:val="20"/>
              </w:rPr>
            </w:pPr>
            <w:r>
              <w:rPr>
                <w:rFonts w:cs="Arial"/>
                <w:sz w:val="20"/>
              </w:rPr>
              <w:fldChar w:fldCharType="end"/>
            </w:r>
            <w:r w:rsidR="00FD1B8E" w:rsidRPr="00F93E35">
              <w:rPr>
                <w:color w:val="000000" w:themeColor="text1"/>
                <w:sz w:val="20"/>
              </w:rPr>
              <w:fldChar w:fldCharType="begin"/>
            </w:r>
            <w:r w:rsidR="00A809DA" w:rsidRPr="00F93E35">
              <w:rPr>
                <w:color w:val="000000" w:themeColor="text1"/>
                <w:sz w:val="20"/>
              </w:rPr>
              <w:instrText>HYPERLINK "https://www.griffith.edu.au/apply/readmission-internal-transfers/readmission"</w:instrText>
            </w:r>
            <w:r w:rsidR="00FD1B8E" w:rsidRPr="00F93E35">
              <w:rPr>
                <w:color w:val="000000" w:themeColor="text1"/>
                <w:sz w:val="20"/>
              </w:rPr>
            </w:r>
            <w:r w:rsidR="00FD1B8E" w:rsidRPr="00F93E35">
              <w:rPr>
                <w:color w:val="000000" w:themeColor="text1"/>
                <w:sz w:val="20"/>
              </w:rPr>
              <w:fldChar w:fldCharType="separate"/>
            </w:r>
            <w:r w:rsidR="00F93E35" w:rsidRPr="00F93E35">
              <w:rPr>
                <w:rStyle w:val="Hyperlink"/>
                <w:sz w:val="20"/>
              </w:rPr>
              <w:t>Request</w:t>
            </w:r>
            <w:r w:rsidR="00823AC4" w:rsidRPr="00F93E35">
              <w:rPr>
                <w:rStyle w:val="Hyperlink"/>
                <w:sz w:val="20"/>
              </w:rPr>
              <w:t xml:space="preserve"> fo</w:t>
            </w:r>
            <w:r w:rsidR="00881FDC" w:rsidRPr="00F93E35">
              <w:rPr>
                <w:rStyle w:val="Hyperlink"/>
                <w:sz w:val="20"/>
              </w:rPr>
              <w:t>r Readmission</w:t>
            </w:r>
          </w:p>
          <w:p w14:paraId="448CA04A" w14:textId="77777777" w:rsidR="00F677E8" w:rsidRPr="00F677E8" w:rsidRDefault="00FD1B8E" w:rsidP="00F677E8">
            <w:pPr>
              <w:spacing w:before="60" w:after="60"/>
              <w:ind w:left="0"/>
              <w:rPr>
                <w:rFonts w:cs="Arial"/>
                <w:sz w:val="20"/>
              </w:rPr>
            </w:pPr>
            <w:r w:rsidRPr="00F93E35">
              <w:rPr>
                <w:color w:val="000000" w:themeColor="text1"/>
                <w:sz w:val="20"/>
              </w:rPr>
              <w:fldChar w:fldCharType="end"/>
            </w:r>
            <w:hyperlink r:id="rId14" w:history="1">
              <w:r w:rsidR="00F677E8" w:rsidRPr="00FC7298">
                <w:rPr>
                  <w:rStyle w:val="Hyperlink"/>
                  <w:rFonts w:cs="Arial"/>
                  <w:sz w:val="20"/>
                </w:rPr>
                <w:t xml:space="preserve">Role </w:t>
              </w:r>
              <w:r w:rsidR="00FC7298" w:rsidRPr="00FC7298">
                <w:rPr>
                  <w:rStyle w:val="Hyperlink"/>
                  <w:rFonts w:cs="Arial"/>
                  <w:sz w:val="20"/>
                </w:rPr>
                <w:t xml:space="preserve">Statement </w:t>
              </w:r>
              <w:r w:rsidR="00F677E8" w:rsidRPr="00FC7298">
                <w:rPr>
                  <w:rStyle w:val="Hyperlink"/>
                  <w:rFonts w:cs="Arial"/>
                  <w:sz w:val="20"/>
                </w:rPr>
                <w:t xml:space="preserve">Program </w:t>
              </w:r>
              <w:r w:rsidR="00FC7298" w:rsidRPr="00FC7298">
                <w:rPr>
                  <w:rStyle w:val="Hyperlink"/>
                  <w:rFonts w:cs="Arial"/>
                  <w:sz w:val="20"/>
                </w:rPr>
                <w:t>Director</w:t>
              </w:r>
            </w:hyperlink>
          </w:p>
          <w:p w14:paraId="2B10AD7D" w14:textId="4087563F" w:rsidR="0002656D" w:rsidRPr="00A04718" w:rsidRDefault="00E262C0" w:rsidP="6C8567F5">
            <w:pPr>
              <w:spacing w:before="60" w:after="60"/>
              <w:ind w:left="0"/>
              <w:rPr>
                <w:rFonts w:cs="Arial"/>
                <w:sz w:val="20"/>
              </w:rPr>
            </w:pPr>
            <w:hyperlink r:id="rId15">
              <w:r w:rsidR="00F677E8" w:rsidRPr="6C8567F5">
                <w:rPr>
                  <w:rStyle w:val="Hyperlink"/>
                  <w:rFonts w:cs="Arial"/>
                  <w:sz w:val="20"/>
                </w:rPr>
                <w:t>Assessment Policy</w:t>
              </w:r>
            </w:hyperlink>
          </w:p>
          <w:p w14:paraId="70A6666C" w14:textId="4573093A" w:rsidR="0002656D" w:rsidRPr="00A04718" w:rsidRDefault="00E262C0" w:rsidP="6C8567F5">
            <w:pPr>
              <w:spacing w:before="60" w:after="60"/>
              <w:ind w:left="0"/>
              <w:rPr>
                <w:sz w:val="20"/>
              </w:rPr>
            </w:pPr>
            <w:hyperlink r:id="rId16">
              <w:r w:rsidR="7FD31B18" w:rsidRPr="6C8567F5">
                <w:rPr>
                  <w:rStyle w:val="Hyperlink"/>
                  <w:sz w:val="20"/>
                </w:rPr>
                <w:t>Assessment Procedure for Staff</w:t>
              </w:r>
            </w:hyperlink>
          </w:p>
          <w:p w14:paraId="448CA04B" w14:textId="172184A2" w:rsidR="0002656D" w:rsidRPr="00A04718" w:rsidRDefault="00E262C0" w:rsidP="6C8567F5">
            <w:pPr>
              <w:spacing w:before="60" w:after="60"/>
              <w:ind w:left="0"/>
              <w:rPr>
                <w:sz w:val="20"/>
              </w:rPr>
            </w:pPr>
            <w:hyperlink r:id="rId17">
              <w:r w:rsidR="589B368D" w:rsidRPr="6C8567F5">
                <w:rPr>
                  <w:rStyle w:val="Hyperlink"/>
                  <w:sz w:val="20"/>
                </w:rPr>
                <w:t>Assessment Procedure for Students</w:t>
              </w:r>
            </w:hyperlink>
          </w:p>
        </w:tc>
      </w:tr>
      <w:tr w:rsidR="00B86B55" w:rsidRPr="00474FF5" w14:paraId="448CA04E" w14:textId="77777777" w:rsidTr="1C9E15CC">
        <w:tc>
          <w:tcPr>
            <w:tcW w:w="9639" w:type="dxa"/>
            <w:gridSpan w:val="2"/>
            <w:tcBorders>
              <w:top w:val="single" w:sz="12" w:space="0" w:color="D9D9D9" w:themeColor="background1" w:themeShade="D9"/>
              <w:bottom w:val="single" w:sz="12" w:space="0" w:color="D9D9D9" w:themeColor="background1" w:themeShade="D9"/>
            </w:tcBorders>
          </w:tcPr>
          <w:p w14:paraId="448CA04D" w14:textId="70B55663" w:rsidR="00B86B55" w:rsidRPr="00474FF5" w:rsidRDefault="00F677E8" w:rsidP="00987AD9">
            <w:pPr>
              <w:spacing w:before="60" w:after="60"/>
              <w:ind w:left="0"/>
              <w:rPr>
                <w:rFonts w:cs="Arial"/>
                <w:sz w:val="20"/>
              </w:rPr>
            </w:pPr>
            <w:r w:rsidRPr="00F677E8">
              <w:rPr>
                <w:sz w:val="20"/>
              </w:rPr>
              <w:t>[</w:t>
            </w:r>
            <w:hyperlink w:anchor="definitions" w:history="1">
              <w:r w:rsidR="00A5386B" w:rsidRPr="00EA5849">
                <w:rPr>
                  <w:rStyle w:val="Hyperlink"/>
                  <w:sz w:val="20"/>
                </w:rPr>
                <w:t>Definitions</w:t>
              </w:r>
            </w:hyperlink>
            <w:r w:rsidR="00A5386B">
              <w:rPr>
                <w:sz w:val="20"/>
              </w:rPr>
              <w:t>] [</w:t>
            </w:r>
            <w:hyperlink w:anchor="introduction" w:history="1">
              <w:r w:rsidR="00F93E35">
                <w:rPr>
                  <w:rStyle w:val="Hyperlink"/>
                  <w:sz w:val="20"/>
                </w:rPr>
                <w:t>I</w:t>
              </w:r>
              <w:r w:rsidR="00EA5849">
                <w:rPr>
                  <w:rStyle w:val="Hyperlink"/>
                  <w:sz w:val="20"/>
                </w:rPr>
                <w:t>ntroduction</w:t>
              </w:r>
            </w:hyperlink>
            <w:r w:rsidRPr="00F677E8">
              <w:rPr>
                <w:sz w:val="20"/>
              </w:rPr>
              <w:t>] [</w:t>
            </w:r>
            <w:hyperlink w:anchor="studentsatrisk" w:history="1">
              <w:r w:rsidRPr="00B730E5">
                <w:rPr>
                  <w:rStyle w:val="Hyperlink"/>
                  <w:sz w:val="20"/>
                </w:rPr>
                <w:t>Students at Risk</w:t>
              </w:r>
            </w:hyperlink>
            <w:r w:rsidRPr="00F677E8">
              <w:rPr>
                <w:sz w:val="20"/>
              </w:rPr>
              <w:t>] [</w:t>
            </w:r>
            <w:hyperlink w:anchor="academicstandingofexcluded" w:history="1">
              <w:r w:rsidRPr="00B730E5">
                <w:rPr>
                  <w:rStyle w:val="Hyperlink"/>
                  <w:sz w:val="20"/>
                </w:rPr>
                <w:t>Academic Standing of Excluded</w:t>
              </w:r>
            </w:hyperlink>
            <w:r w:rsidRPr="00F677E8">
              <w:rPr>
                <w:sz w:val="20"/>
              </w:rPr>
              <w:t xml:space="preserve">] </w:t>
            </w:r>
            <w:hyperlink w:anchor="appealagainstexclusion" w:history="1">
              <w:r w:rsidRPr="00FA285A">
                <w:rPr>
                  <w:rStyle w:val="Hyperlink"/>
                  <w:sz w:val="20"/>
                </w:rPr>
                <w:t>[</w:t>
              </w:r>
              <w:r w:rsidR="00FA285A" w:rsidRPr="00FA285A">
                <w:rPr>
                  <w:rStyle w:val="Hyperlink"/>
                  <w:sz w:val="20"/>
                </w:rPr>
                <w:t xml:space="preserve">Review and </w:t>
              </w:r>
              <w:r w:rsidRPr="00FA285A">
                <w:rPr>
                  <w:rStyle w:val="Hyperlink"/>
                  <w:sz w:val="20"/>
                </w:rPr>
                <w:t>Appeal Against Exclusion</w:t>
              </w:r>
            </w:hyperlink>
            <w:r w:rsidRPr="00F677E8">
              <w:rPr>
                <w:sz w:val="20"/>
              </w:rPr>
              <w:t xml:space="preserve">] </w:t>
            </w:r>
            <w:hyperlink w:anchor="academicstandingrecord" w:history="1">
              <w:r w:rsidR="0021057A" w:rsidRPr="006B0395">
                <w:rPr>
                  <w:rStyle w:val="Hyperlink"/>
                  <w:sz w:val="20"/>
                </w:rPr>
                <w:t>[Academic Standing Record</w:t>
              </w:r>
            </w:hyperlink>
            <w:r w:rsidR="0021057A">
              <w:rPr>
                <w:sz w:val="20"/>
              </w:rPr>
              <w:t>]</w:t>
            </w:r>
            <w:r w:rsidR="0050608F">
              <w:rPr>
                <w:sz w:val="20"/>
              </w:rPr>
              <w:t xml:space="preserve"> </w:t>
            </w:r>
            <w:r w:rsidRPr="00F677E8">
              <w:rPr>
                <w:sz w:val="20"/>
              </w:rPr>
              <w:t>[</w:t>
            </w:r>
            <w:hyperlink w:anchor="readmissionfollowingexclusion" w:history="1">
              <w:r w:rsidRPr="00B730E5">
                <w:rPr>
                  <w:rStyle w:val="Hyperlink"/>
                  <w:sz w:val="20"/>
                </w:rPr>
                <w:t>Readmission Following Exclusion</w:t>
              </w:r>
            </w:hyperlink>
            <w:r w:rsidRPr="00F677E8">
              <w:rPr>
                <w:sz w:val="20"/>
              </w:rPr>
              <w:t>]</w:t>
            </w:r>
          </w:p>
        </w:tc>
      </w:tr>
    </w:tbl>
    <w:p w14:paraId="60517CDA" w14:textId="77777777" w:rsidR="00C527B2" w:rsidRPr="00C527B2" w:rsidRDefault="00C527B2" w:rsidP="00275A47">
      <w:pPr>
        <w:numPr>
          <w:ilvl w:val="0"/>
          <w:numId w:val="2"/>
        </w:numPr>
        <w:spacing w:before="100" w:beforeAutospacing="1" w:after="240"/>
        <w:rPr>
          <w:rFonts w:cs="Arial"/>
          <w:b/>
          <w:caps/>
          <w:sz w:val="24"/>
          <w:szCs w:val="24"/>
        </w:rPr>
      </w:pPr>
      <w:bookmarkStart w:id="0" w:name="definitions"/>
      <w:bookmarkEnd w:id="0"/>
      <w:r>
        <w:rPr>
          <w:b/>
          <w:caps/>
          <w:sz w:val="24"/>
          <w:szCs w:val="24"/>
        </w:rPr>
        <w:t>DEFINITIONS</w:t>
      </w:r>
    </w:p>
    <w:p w14:paraId="7206B8F6" w14:textId="7EC3D308" w:rsidR="00046784" w:rsidRDefault="00046784" w:rsidP="00A66AFE">
      <w:pPr>
        <w:ind w:hanging="27"/>
        <w:rPr>
          <w:rFonts w:cs="Arial"/>
          <w:sz w:val="20"/>
        </w:rPr>
      </w:pPr>
      <w:r>
        <w:rPr>
          <w:rFonts w:cs="Arial"/>
          <w:b/>
          <w:i/>
          <w:sz w:val="20"/>
        </w:rPr>
        <w:t>Trimesters</w:t>
      </w:r>
      <w:r w:rsidRPr="00B102D8">
        <w:rPr>
          <w:rFonts w:cs="Arial"/>
          <w:b/>
          <w:i/>
          <w:sz w:val="20"/>
        </w:rPr>
        <w:t xml:space="preserve"> </w:t>
      </w:r>
      <w:r w:rsidR="00C527B2" w:rsidRPr="00B102D8">
        <w:rPr>
          <w:rFonts w:cs="Arial"/>
          <w:b/>
          <w:i/>
          <w:sz w:val="20"/>
        </w:rPr>
        <w:t>and Teaching periods</w:t>
      </w:r>
      <w:r w:rsidR="00C527B2" w:rsidRPr="00B102D8">
        <w:rPr>
          <w:rFonts w:cs="Arial"/>
          <w:sz w:val="20"/>
        </w:rPr>
        <w:t xml:space="preserve"> - the standard academic year is comprised </w:t>
      </w:r>
      <w:proofErr w:type="gramStart"/>
      <w:r w:rsidR="00C527B2" w:rsidRPr="00B102D8">
        <w:rPr>
          <w:rFonts w:cs="Arial"/>
          <w:sz w:val="20"/>
        </w:rPr>
        <w:t xml:space="preserve">of </w:t>
      </w:r>
      <w:r w:rsidR="006326E7">
        <w:rPr>
          <w:rFonts w:cs="Arial"/>
          <w:sz w:val="20"/>
        </w:rPr>
        <w:t xml:space="preserve"> three</w:t>
      </w:r>
      <w:proofErr w:type="gramEnd"/>
      <w:r w:rsidR="00C527B2" w:rsidRPr="00B102D8">
        <w:rPr>
          <w:rFonts w:cs="Arial"/>
          <w:sz w:val="20"/>
        </w:rPr>
        <w:t xml:space="preserve"> standard</w:t>
      </w:r>
      <w:r>
        <w:rPr>
          <w:rFonts w:cs="Arial"/>
          <w:sz w:val="20"/>
        </w:rPr>
        <w:t xml:space="preserve"> trimesters</w:t>
      </w:r>
      <w:r w:rsidRPr="00913059">
        <w:rPr>
          <w:rFonts w:cs="Arial"/>
          <w:sz w:val="20"/>
        </w:rPr>
        <w:t>,</w:t>
      </w:r>
      <w:r>
        <w:rPr>
          <w:rFonts w:cs="Arial"/>
          <w:sz w:val="20"/>
        </w:rPr>
        <w:t xml:space="preserve"> Trimester 1</w:t>
      </w:r>
      <w:r w:rsidR="006326E7">
        <w:rPr>
          <w:rFonts w:cs="Arial"/>
          <w:sz w:val="20"/>
        </w:rPr>
        <w:t>, Trimester 2</w:t>
      </w:r>
      <w:r>
        <w:rPr>
          <w:rFonts w:cs="Arial"/>
          <w:sz w:val="20"/>
        </w:rPr>
        <w:t xml:space="preserve"> and Trimester </w:t>
      </w:r>
      <w:r w:rsidR="006326E7">
        <w:rPr>
          <w:rFonts w:cs="Arial"/>
          <w:sz w:val="20"/>
        </w:rPr>
        <w:t>3</w:t>
      </w:r>
      <w:r w:rsidR="00C527B2" w:rsidRPr="00B102D8">
        <w:rPr>
          <w:rFonts w:cs="Arial"/>
          <w:sz w:val="20"/>
        </w:rPr>
        <w:t>, as designated in the University’s Academic Calendar. Other</w:t>
      </w:r>
      <w:r w:rsidR="000B1AAC">
        <w:rPr>
          <w:rFonts w:cs="Arial"/>
          <w:sz w:val="20"/>
        </w:rPr>
        <w:t xml:space="preserve"> </w:t>
      </w:r>
      <w:r w:rsidR="00C527B2" w:rsidRPr="00B102D8">
        <w:rPr>
          <w:rFonts w:cs="Arial"/>
          <w:sz w:val="20"/>
        </w:rPr>
        <w:t xml:space="preserve">teaching periods may be designated </w:t>
      </w:r>
      <w:proofErr w:type="gramStart"/>
      <w:r w:rsidR="00C527B2" w:rsidRPr="00B102D8">
        <w:rPr>
          <w:rFonts w:cs="Arial"/>
          <w:sz w:val="20"/>
        </w:rPr>
        <w:t xml:space="preserve">in  </w:t>
      </w:r>
      <w:r w:rsidR="006326E7">
        <w:rPr>
          <w:rFonts w:cs="Arial"/>
          <w:sz w:val="20"/>
        </w:rPr>
        <w:t>non</w:t>
      </w:r>
      <w:proofErr w:type="gramEnd"/>
      <w:r w:rsidR="006326E7">
        <w:rPr>
          <w:rFonts w:cs="Arial"/>
          <w:sz w:val="20"/>
        </w:rPr>
        <w:t xml:space="preserve">-standard </w:t>
      </w:r>
      <w:r w:rsidR="00C527B2" w:rsidRPr="00B102D8">
        <w:rPr>
          <w:rFonts w:cs="Arial"/>
          <w:sz w:val="20"/>
        </w:rPr>
        <w:t>academic calendar</w:t>
      </w:r>
      <w:r w:rsidR="006326E7">
        <w:rPr>
          <w:rFonts w:cs="Arial"/>
          <w:sz w:val="20"/>
        </w:rPr>
        <w:t>s</w:t>
      </w:r>
      <w:r w:rsidR="00C527B2" w:rsidRPr="00B102D8">
        <w:rPr>
          <w:rFonts w:cs="Arial"/>
          <w:sz w:val="20"/>
        </w:rPr>
        <w:t xml:space="preserve"> and may be used for the offering of certain courses.  </w:t>
      </w:r>
    </w:p>
    <w:p w14:paraId="00C83E37" w14:textId="77C2EDFE" w:rsidR="00C527B2" w:rsidRDefault="00C527B2" w:rsidP="00A66AFE">
      <w:pPr>
        <w:ind w:hanging="27"/>
        <w:rPr>
          <w:rFonts w:cs="Arial"/>
          <w:sz w:val="20"/>
        </w:rPr>
      </w:pPr>
      <w:r>
        <w:rPr>
          <w:rFonts w:cs="Arial"/>
          <w:b/>
          <w:i/>
          <w:sz w:val="20"/>
        </w:rPr>
        <w:t>Academic Standing Review</w:t>
      </w:r>
      <w:r w:rsidRPr="0016012A">
        <w:rPr>
          <w:rFonts w:cs="Arial"/>
          <w:b/>
          <w:i/>
          <w:sz w:val="20"/>
        </w:rPr>
        <w:t xml:space="preserve"> periods</w:t>
      </w:r>
      <w:r>
        <w:rPr>
          <w:rFonts w:cs="Arial"/>
          <w:b/>
          <w:i/>
          <w:sz w:val="20"/>
        </w:rPr>
        <w:t xml:space="preserve"> </w:t>
      </w:r>
      <w:r w:rsidR="00B658FA">
        <w:rPr>
          <w:rFonts w:cs="Arial"/>
          <w:sz w:val="20"/>
        </w:rPr>
        <w:t>–</w:t>
      </w:r>
      <w:r w:rsidRPr="00B102D8">
        <w:rPr>
          <w:rFonts w:cs="Arial"/>
          <w:sz w:val="20"/>
        </w:rPr>
        <w:t xml:space="preserve"> </w:t>
      </w:r>
      <w:r w:rsidR="00B658FA">
        <w:rPr>
          <w:rFonts w:cs="Arial"/>
          <w:sz w:val="20"/>
        </w:rPr>
        <w:t>there are two periods per calendar year</w:t>
      </w:r>
      <w:r w:rsidR="0018201E">
        <w:rPr>
          <w:rFonts w:cs="Arial"/>
          <w:sz w:val="20"/>
        </w:rPr>
        <w:t>,</w:t>
      </w:r>
      <w:r w:rsidR="000B1AAC">
        <w:rPr>
          <w:rFonts w:cs="Arial"/>
          <w:sz w:val="20"/>
        </w:rPr>
        <w:t xml:space="preserve"> </w:t>
      </w:r>
      <w:r w:rsidR="00B658FA">
        <w:rPr>
          <w:rFonts w:cs="Arial"/>
          <w:sz w:val="20"/>
        </w:rPr>
        <w:t xml:space="preserve">Period 1 occurs in late June-July and Period 2 occurs in </w:t>
      </w:r>
      <w:r w:rsidR="00046784">
        <w:rPr>
          <w:rFonts w:cs="Arial"/>
          <w:sz w:val="20"/>
        </w:rPr>
        <w:t>November-December</w:t>
      </w:r>
      <w:r w:rsidR="00B658FA">
        <w:rPr>
          <w:rFonts w:cs="Arial"/>
          <w:sz w:val="20"/>
        </w:rPr>
        <w:t xml:space="preserve">, in which the academic standing status of students is reviewed and those with blue, </w:t>
      </w:r>
      <w:proofErr w:type="gramStart"/>
      <w:r w:rsidR="00B658FA">
        <w:rPr>
          <w:rFonts w:cs="Arial"/>
          <w:sz w:val="20"/>
        </w:rPr>
        <w:t>amber</w:t>
      </w:r>
      <w:proofErr w:type="gramEnd"/>
      <w:r w:rsidR="00B658FA">
        <w:rPr>
          <w:rFonts w:cs="Arial"/>
          <w:sz w:val="20"/>
        </w:rPr>
        <w:t xml:space="preserve"> and red statuses receive communi</w:t>
      </w:r>
      <w:r w:rsidR="0018201E">
        <w:rPr>
          <w:rFonts w:cs="Arial"/>
          <w:sz w:val="20"/>
        </w:rPr>
        <w:t>cations advising them of support services and likely consequences for their future studies.</w:t>
      </w:r>
    </w:p>
    <w:p w14:paraId="2180E3B8" w14:textId="77777777" w:rsidR="003E6FAB" w:rsidRPr="000D7B27" w:rsidRDefault="00E262C0" w:rsidP="003E6FAB">
      <w:pPr>
        <w:ind w:left="0"/>
        <w:rPr>
          <w:rFonts w:cs="Arial"/>
          <w:sz w:val="20"/>
        </w:rPr>
      </w:pPr>
      <w:r>
        <w:rPr>
          <w:rFonts w:cs="Arial"/>
          <w:sz w:val="20"/>
        </w:rPr>
        <w:pict w14:anchorId="7BB31D88">
          <v:rect id="_x0000_i1025" style="width:476.25pt;height:1pt" o:hralign="center" o:hrstd="t" o:hrnoshade="t" o:hr="t" fillcolor="#d8d8d8 [2732]" stroked="f"/>
        </w:pict>
      </w:r>
    </w:p>
    <w:p w14:paraId="448CA04F" w14:textId="312FAFD5" w:rsidR="00E20578" w:rsidRPr="00B34D13" w:rsidRDefault="00F677E8" w:rsidP="00275A47">
      <w:pPr>
        <w:numPr>
          <w:ilvl w:val="0"/>
          <w:numId w:val="2"/>
        </w:numPr>
        <w:spacing w:before="100" w:beforeAutospacing="1" w:after="240"/>
        <w:rPr>
          <w:rFonts w:cs="Arial"/>
          <w:b/>
          <w:caps/>
          <w:sz w:val="24"/>
          <w:szCs w:val="24"/>
        </w:rPr>
      </w:pPr>
      <w:bookmarkStart w:id="1" w:name="introduction"/>
      <w:bookmarkEnd w:id="1"/>
      <w:r w:rsidRPr="00F677E8">
        <w:rPr>
          <w:b/>
          <w:caps/>
          <w:sz w:val="24"/>
          <w:szCs w:val="24"/>
        </w:rPr>
        <w:t>Introduction</w:t>
      </w:r>
    </w:p>
    <w:p w14:paraId="448CA050" w14:textId="1457C5E4" w:rsidR="00F677E8" w:rsidRPr="00F677E8" w:rsidRDefault="00F677E8" w:rsidP="00F677E8">
      <w:pPr>
        <w:rPr>
          <w:rFonts w:cs="Arial"/>
          <w:sz w:val="20"/>
        </w:rPr>
      </w:pPr>
      <w:r w:rsidRPr="00F677E8">
        <w:rPr>
          <w:rFonts w:cs="Arial"/>
          <w:sz w:val="20"/>
        </w:rPr>
        <w:t xml:space="preserve">This policy applies to all students undertaking undergraduate studies or postgraduate coursework studies. It does not apply to students undertaking </w:t>
      </w:r>
      <w:r w:rsidR="003858C6">
        <w:rPr>
          <w:rFonts w:cs="Arial"/>
          <w:sz w:val="20"/>
        </w:rPr>
        <w:t xml:space="preserve">end-on Bachelor </w:t>
      </w:r>
      <w:r w:rsidR="00A25806">
        <w:rPr>
          <w:rFonts w:cs="Arial"/>
          <w:sz w:val="20"/>
        </w:rPr>
        <w:t>(</w:t>
      </w:r>
      <w:r w:rsidR="003858C6">
        <w:rPr>
          <w:rFonts w:cs="Arial"/>
          <w:sz w:val="20"/>
        </w:rPr>
        <w:t>Honours</w:t>
      </w:r>
      <w:r w:rsidR="00A25806">
        <w:rPr>
          <w:rFonts w:cs="Arial"/>
          <w:sz w:val="20"/>
        </w:rPr>
        <w:t>)</w:t>
      </w:r>
      <w:r w:rsidR="003858C6">
        <w:rPr>
          <w:rFonts w:cs="Arial"/>
          <w:sz w:val="20"/>
        </w:rPr>
        <w:t xml:space="preserve"> degree programs, </w:t>
      </w:r>
      <w:r w:rsidRPr="00F677E8">
        <w:rPr>
          <w:rFonts w:cs="Arial"/>
          <w:sz w:val="20"/>
        </w:rPr>
        <w:t>higher degree</w:t>
      </w:r>
      <w:r w:rsidR="000D7F30">
        <w:rPr>
          <w:rFonts w:cs="Arial"/>
          <w:sz w:val="20"/>
        </w:rPr>
        <w:t xml:space="preserve"> </w:t>
      </w:r>
      <w:r w:rsidR="000D7F30" w:rsidRPr="00F677E8">
        <w:rPr>
          <w:rFonts w:cs="Arial"/>
          <w:sz w:val="20"/>
        </w:rPr>
        <w:t xml:space="preserve">research </w:t>
      </w:r>
      <w:r w:rsidR="000D7F30">
        <w:rPr>
          <w:rFonts w:cs="Arial"/>
          <w:sz w:val="20"/>
        </w:rPr>
        <w:t>(HDR)</w:t>
      </w:r>
      <w:r w:rsidRPr="00F677E8">
        <w:rPr>
          <w:rFonts w:cs="Arial"/>
          <w:sz w:val="20"/>
        </w:rPr>
        <w:t xml:space="preserve"> programs or non-award studies. </w:t>
      </w:r>
    </w:p>
    <w:p w14:paraId="448CA051" w14:textId="493D62AB" w:rsidR="004C03EE" w:rsidRPr="004C03EE" w:rsidRDefault="004C03EE" w:rsidP="004C03EE">
      <w:pPr>
        <w:rPr>
          <w:rFonts w:cs="Arial"/>
          <w:sz w:val="20"/>
        </w:rPr>
      </w:pPr>
      <w:proofErr w:type="gramStart"/>
      <w:r w:rsidRPr="004C03EE">
        <w:rPr>
          <w:rFonts w:cs="Arial"/>
          <w:sz w:val="20"/>
        </w:rPr>
        <w:t>In order to</w:t>
      </w:r>
      <w:proofErr w:type="gramEnd"/>
      <w:r w:rsidRPr="004C03EE">
        <w:rPr>
          <w:rFonts w:cs="Arial"/>
          <w:sz w:val="20"/>
        </w:rPr>
        <w:t xml:space="preserve"> be deemed to be in good academic standing</w:t>
      </w:r>
      <w:r w:rsidR="00CF3075">
        <w:rPr>
          <w:rFonts w:cs="Arial"/>
          <w:sz w:val="20"/>
        </w:rPr>
        <w:t xml:space="preserve"> (Green)</w:t>
      </w:r>
      <w:r w:rsidRPr="004C03EE">
        <w:rPr>
          <w:rFonts w:cs="Arial"/>
          <w:sz w:val="20"/>
        </w:rPr>
        <w:t>, a student</w:t>
      </w:r>
      <w:r w:rsidR="000A3975">
        <w:rPr>
          <w:rFonts w:cs="Arial"/>
          <w:sz w:val="20"/>
        </w:rPr>
        <w:t xml:space="preserve"> must complete successfully </w:t>
      </w:r>
      <w:r w:rsidR="003858C6">
        <w:rPr>
          <w:rFonts w:cs="Arial"/>
          <w:sz w:val="20"/>
        </w:rPr>
        <w:t xml:space="preserve">more than </w:t>
      </w:r>
      <w:r w:rsidR="000A3975">
        <w:rPr>
          <w:rFonts w:cs="Arial"/>
          <w:sz w:val="20"/>
        </w:rPr>
        <w:t xml:space="preserve">50% </w:t>
      </w:r>
      <w:r w:rsidRPr="004C03EE">
        <w:rPr>
          <w:rFonts w:cs="Arial"/>
          <w:sz w:val="20"/>
        </w:rPr>
        <w:t xml:space="preserve">of the credit points in which they are enrolled. In </w:t>
      </w:r>
      <w:proofErr w:type="gramStart"/>
      <w:r w:rsidRPr="004C03EE">
        <w:rPr>
          <w:rFonts w:cs="Arial"/>
          <w:sz w:val="20"/>
        </w:rPr>
        <w:t>addition</w:t>
      </w:r>
      <w:proofErr w:type="gramEnd"/>
      <w:r w:rsidRPr="004C03EE">
        <w:rPr>
          <w:rFonts w:cs="Arial"/>
          <w:sz w:val="20"/>
        </w:rPr>
        <w:t xml:space="preserve"> a student must maintain a </w:t>
      </w:r>
      <w:r w:rsidR="009C48C5">
        <w:rPr>
          <w:rFonts w:cs="Arial"/>
          <w:sz w:val="20"/>
        </w:rPr>
        <w:t xml:space="preserve">cumulative career </w:t>
      </w:r>
      <w:r w:rsidRPr="004C03EE">
        <w:rPr>
          <w:rFonts w:cs="Arial"/>
          <w:sz w:val="20"/>
        </w:rPr>
        <w:t xml:space="preserve">Grade Point Average (GPA) of at least 3.5. </w:t>
      </w:r>
    </w:p>
    <w:p w14:paraId="448CA052" w14:textId="77777777" w:rsidR="00F677E8" w:rsidRPr="00F677E8" w:rsidRDefault="00F677E8" w:rsidP="00F677E8">
      <w:pPr>
        <w:rPr>
          <w:rFonts w:cs="Arial"/>
          <w:sz w:val="20"/>
        </w:rPr>
      </w:pPr>
      <w:r w:rsidRPr="00F677E8">
        <w:rPr>
          <w:rFonts w:cs="Arial"/>
          <w:sz w:val="20"/>
        </w:rPr>
        <w:lastRenderedPageBreak/>
        <w:t>The policy comes into effect once a student is enrolled in at least 20 credit points of study at undergraduate or postgraduate</w:t>
      </w:r>
      <w:r w:rsidR="000D7F30">
        <w:rPr>
          <w:rFonts w:cs="Arial"/>
          <w:sz w:val="20"/>
        </w:rPr>
        <w:t xml:space="preserve"> career</w:t>
      </w:r>
      <w:r w:rsidRPr="00F677E8">
        <w:rPr>
          <w:rFonts w:cs="Arial"/>
          <w:sz w:val="20"/>
        </w:rPr>
        <w:t xml:space="preserve"> level.</w:t>
      </w:r>
    </w:p>
    <w:p w14:paraId="448CA054" w14:textId="63889859" w:rsidR="00F677E8" w:rsidRPr="00F677E8" w:rsidRDefault="00F677E8" w:rsidP="00F677E8">
      <w:pPr>
        <w:rPr>
          <w:rFonts w:cs="Arial"/>
          <w:sz w:val="20"/>
        </w:rPr>
      </w:pPr>
      <w:proofErr w:type="gramStart"/>
      <w:r w:rsidRPr="00F677E8">
        <w:rPr>
          <w:rFonts w:cs="Arial"/>
          <w:sz w:val="20"/>
        </w:rPr>
        <w:t>For the purpose of</w:t>
      </w:r>
      <w:proofErr w:type="gramEnd"/>
      <w:r w:rsidRPr="00F677E8">
        <w:rPr>
          <w:rFonts w:cs="Arial"/>
          <w:sz w:val="20"/>
        </w:rPr>
        <w:t xml:space="preserve"> determining academic standing, the Grade Point Average is cumulative across all study in all </w:t>
      </w:r>
      <w:r w:rsidR="00046784">
        <w:rPr>
          <w:rFonts w:cs="Arial"/>
          <w:sz w:val="20"/>
        </w:rPr>
        <w:t xml:space="preserve">trimesters </w:t>
      </w:r>
      <w:r w:rsidR="009163B2">
        <w:rPr>
          <w:rFonts w:cs="Arial"/>
          <w:sz w:val="20"/>
        </w:rPr>
        <w:t>and teaching periods</w:t>
      </w:r>
      <w:r w:rsidRPr="00F677E8">
        <w:rPr>
          <w:rFonts w:cs="Arial"/>
          <w:sz w:val="20"/>
        </w:rPr>
        <w:t xml:space="preserve"> at the one academic</w:t>
      </w:r>
      <w:r w:rsidR="009C48C5">
        <w:rPr>
          <w:rFonts w:cs="Arial"/>
          <w:sz w:val="20"/>
        </w:rPr>
        <w:t xml:space="preserve"> career</w:t>
      </w:r>
      <w:r w:rsidRPr="00F677E8">
        <w:rPr>
          <w:rFonts w:cs="Arial"/>
          <w:sz w:val="20"/>
        </w:rPr>
        <w:t xml:space="preserve"> level (undergraduate or postgraduate). </w:t>
      </w:r>
      <w:r w:rsidRPr="00600539">
        <w:rPr>
          <w:rFonts w:cs="Arial"/>
          <w:sz w:val="20"/>
        </w:rPr>
        <w:t>When a student completes a program and graduates, the</w:t>
      </w:r>
      <w:r w:rsidRPr="00A25806">
        <w:rPr>
          <w:rFonts w:cs="Arial"/>
          <w:sz w:val="20"/>
        </w:rPr>
        <w:t xml:space="preserve"> cumulative</w:t>
      </w:r>
      <w:r w:rsidR="009C48C5" w:rsidRPr="00A25806">
        <w:rPr>
          <w:rFonts w:cs="Arial"/>
          <w:sz w:val="20"/>
        </w:rPr>
        <w:t xml:space="preserve"> career</w:t>
      </w:r>
      <w:r w:rsidRPr="00A25806">
        <w:rPr>
          <w:rFonts w:cs="Arial"/>
          <w:sz w:val="20"/>
        </w:rPr>
        <w:t xml:space="preserve"> GPA for subsequent study is calculated </w:t>
      </w:r>
      <w:proofErr w:type="gramStart"/>
      <w:r w:rsidRPr="00A25806">
        <w:rPr>
          <w:rFonts w:cs="Arial"/>
          <w:sz w:val="20"/>
        </w:rPr>
        <w:t>on the basis of</w:t>
      </w:r>
      <w:proofErr w:type="gramEnd"/>
      <w:r w:rsidRPr="00A25806">
        <w:rPr>
          <w:rFonts w:cs="Arial"/>
          <w:sz w:val="20"/>
        </w:rPr>
        <w:t xml:space="preserve"> the study taken subsequent to graduation.</w:t>
      </w:r>
      <w:r w:rsidR="00600539" w:rsidRPr="00F677E8" w:rsidDel="00B17C62">
        <w:rPr>
          <w:rFonts w:cs="Arial"/>
          <w:sz w:val="20"/>
        </w:rPr>
        <w:t xml:space="preserve"> </w:t>
      </w:r>
      <w:r w:rsidRPr="00F677E8">
        <w:rPr>
          <w:rFonts w:cs="Arial"/>
          <w:sz w:val="20"/>
        </w:rPr>
        <w:t xml:space="preserve">The University recognises that </w:t>
      </w:r>
      <w:proofErr w:type="gramStart"/>
      <w:r w:rsidRPr="00F677E8">
        <w:rPr>
          <w:rFonts w:cs="Arial"/>
          <w:sz w:val="20"/>
        </w:rPr>
        <w:t>during the course of</w:t>
      </w:r>
      <w:proofErr w:type="gramEnd"/>
      <w:r w:rsidRPr="00F677E8">
        <w:rPr>
          <w:rFonts w:cs="Arial"/>
          <w:sz w:val="20"/>
        </w:rPr>
        <w:t xml:space="preserve"> their study students' academic performance may fluctuate due to a range of factors, placing the student 'at risk' of losing their good academic standing</w:t>
      </w:r>
      <w:r w:rsidR="00037248">
        <w:rPr>
          <w:rFonts w:cs="Arial"/>
          <w:sz w:val="20"/>
        </w:rPr>
        <w:t xml:space="preserve"> (Green)</w:t>
      </w:r>
      <w:r w:rsidRPr="00F677E8">
        <w:rPr>
          <w:rFonts w:cs="Arial"/>
          <w:sz w:val="20"/>
        </w:rPr>
        <w:t xml:space="preserve">. A student is deemed to be 'at risk' of </w:t>
      </w:r>
      <w:proofErr w:type="gramStart"/>
      <w:r w:rsidRPr="00F677E8">
        <w:rPr>
          <w:rFonts w:cs="Arial"/>
          <w:sz w:val="20"/>
        </w:rPr>
        <w:t>this,</w:t>
      </w:r>
      <w:r w:rsidR="000B1AAC">
        <w:rPr>
          <w:rFonts w:cs="Arial"/>
          <w:sz w:val="20"/>
        </w:rPr>
        <w:t xml:space="preserve"> </w:t>
      </w:r>
      <w:r w:rsidRPr="00F677E8">
        <w:rPr>
          <w:rFonts w:cs="Arial"/>
          <w:sz w:val="20"/>
        </w:rPr>
        <w:t>if</w:t>
      </w:r>
      <w:proofErr w:type="gramEnd"/>
      <w:r w:rsidRPr="00F677E8">
        <w:rPr>
          <w:rFonts w:cs="Arial"/>
          <w:sz w:val="20"/>
        </w:rPr>
        <w:t xml:space="preserve"> they:</w:t>
      </w:r>
    </w:p>
    <w:p w14:paraId="448CA055" w14:textId="77777777" w:rsidR="00F677E8" w:rsidRPr="00F677E8" w:rsidRDefault="00F677E8" w:rsidP="00275A47">
      <w:pPr>
        <w:pStyle w:val="ListParagraph"/>
        <w:numPr>
          <w:ilvl w:val="0"/>
          <w:numId w:val="4"/>
        </w:numPr>
        <w:rPr>
          <w:rFonts w:cs="Arial"/>
          <w:sz w:val="20"/>
        </w:rPr>
      </w:pPr>
      <w:r w:rsidRPr="00F677E8">
        <w:rPr>
          <w:rFonts w:cs="Arial"/>
          <w:sz w:val="20"/>
        </w:rPr>
        <w:t xml:space="preserve">fail to complete assessment </w:t>
      </w:r>
      <w:proofErr w:type="gramStart"/>
      <w:r w:rsidRPr="00F677E8">
        <w:rPr>
          <w:rFonts w:cs="Arial"/>
          <w:sz w:val="20"/>
        </w:rPr>
        <w:t>items</w:t>
      </w:r>
      <w:proofErr w:type="gramEnd"/>
    </w:p>
    <w:p w14:paraId="448CA056" w14:textId="77777777" w:rsidR="00F677E8" w:rsidRPr="00F677E8" w:rsidRDefault="00F677E8" w:rsidP="00275A47">
      <w:pPr>
        <w:pStyle w:val="ListParagraph"/>
        <w:numPr>
          <w:ilvl w:val="0"/>
          <w:numId w:val="4"/>
        </w:numPr>
        <w:rPr>
          <w:rFonts w:cs="Arial"/>
          <w:sz w:val="20"/>
        </w:rPr>
      </w:pPr>
      <w:r w:rsidRPr="00F677E8">
        <w:rPr>
          <w:rFonts w:cs="Arial"/>
          <w:sz w:val="20"/>
        </w:rPr>
        <w:t xml:space="preserve">perform poorly in assessment </w:t>
      </w:r>
      <w:proofErr w:type="gramStart"/>
      <w:r w:rsidRPr="00F677E8">
        <w:rPr>
          <w:rFonts w:cs="Arial"/>
          <w:sz w:val="20"/>
        </w:rPr>
        <w:t>items</w:t>
      </w:r>
      <w:proofErr w:type="gramEnd"/>
    </w:p>
    <w:p w14:paraId="448CA057" w14:textId="77777777" w:rsidR="000D7B27" w:rsidRDefault="00CA72A3" w:rsidP="00275A47">
      <w:pPr>
        <w:pStyle w:val="ListParagraph"/>
        <w:numPr>
          <w:ilvl w:val="0"/>
          <w:numId w:val="4"/>
        </w:numPr>
        <w:rPr>
          <w:rFonts w:cs="Arial"/>
          <w:sz w:val="20"/>
        </w:rPr>
      </w:pPr>
      <w:r>
        <w:rPr>
          <w:rFonts w:cs="Arial"/>
          <w:sz w:val="20"/>
        </w:rPr>
        <w:t>are assessed as having</w:t>
      </w:r>
      <w:r w:rsidRPr="00F677E8">
        <w:rPr>
          <w:rFonts w:cs="Arial"/>
          <w:sz w:val="20"/>
        </w:rPr>
        <w:t xml:space="preserve"> </w:t>
      </w:r>
      <w:r w:rsidR="00F677E8" w:rsidRPr="00F677E8">
        <w:rPr>
          <w:rFonts w:cs="Arial"/>
          <w:sz w:val="20"/>
        </w:rPr>
        <w:t xml:space="preserve">an academic standing </w:t>
      </w:r>
      <w:r w:rsidR="00970B75">
        <w:rPr>
          <w:rFonts w:cs="Arial"/>
          <w:sz w:val="20"/>
        </w:rPr>
        <w:t xml:space="preserve">status </w:t>
      </w:r>
      <w:r w:rsidR="00F677E8" w:rsidRPr="00F677E8">
        <w:rPr>
          <w:rFonts w:cs="Arial"/>
          <w:sz w:val="20"/>
        </w:rPr>
        <w:t xml:space="preserve">of </w:t>
      </w:r>
      <w:r w:rsidR="00A95974">
        <w:rPr>
          <w:rFonts w:cs="Arial"/>
          <w:sz w:val="20"/>
        </w:rPr>
        <w:t>Blue, A</w:t>
      </w:r>
      <w:r w:rsidR="000A3975">
        <w:rPr>
          <w:rFonts w:cs="Arial"/>
          <w:sz w:val="20"/>
        </w:rPr>
        <w:t xml:space="preserve">mber or </w:t>
      </w:r>
      <w:r w:rsidR="00A95974">
        <w:rPr>
          <w:rFonts w:cs="Arial"/>
          <w:sz w:val="20"/>
        </w:rPr>
        <w:t>R</w:t>
      </w:r>
      <w:r w:rsidR="000A3975">
        <w:rPr>
          <w:rFonts w:cs="Arial"/>
          <w:sz w:val="20"/>
        </w:rPr>
        <w:t xml:space="preserve">ed </w:t>
      </w:r>
      <w:r w:rsidR="00BC263C">
        <w:rPr>
          <w:rFonts w:cs="Arial"/>
          <w:sz w:val="20"/>
        </w:rPr>
        <w:t>and</w:t>
      </w:r>
      <w:r w:rsidR="00F677E8" w:rsidRPr="00F677E8">
        <w:rPr>
          <w:rFonts w:cs="Arial"/>
          <w:sz w:val="20"/>
        </w:rPr>
        <w:t xml:space="preserve"> their academic performance fails to improve.</w:t>
      </w:r>
    </w:p>
    <w:p w14:paraId="448CA058" w14:textId="77777777" w:rsidR="00B34D13" w:rsidRPr="000D7B27" w:rsidRDefault="00E262C0" w:rsidP="000D7B27">
      <w:pPr>
        <w:ind w:left="0"/>
        <w:rPr>
          <w:rFonts w:cs="Arial"/>
          <w:sz w:val="20"/>
        </w:rPr>
      </w:pPr>
      <w:r>
        <w:rPr>
          <w:rFonts w:cs="Arial"/>
          <w:sz w:val="20"/>
        </w:rPr>
        <w:pict w14:anchorId="448CA092">
          <v:rect id="_x0000_i1026" style="width:476.25pt;height:1pt" o:hralign="center" o:hrstd="t" o:hrnoshade="t" o:hr="t" fillcolor="#d8d8d8 [2732]" stroked="f"/>
        </w:pict>
      </w:r>
    </w:p>
    <w:p w14:paraId="448CA059" w14:textId="77777777" w:rsidR="00B35FB8" w:rsidRPr="00B34D13" w:rsidRDefault="00F677E8" w:rsidP="00275A47">
      <w:pPr>
        <w:numPr>
          <w:ilvl w:val="0"/>
          <w:numId w:val="2"/>
        </w:numPr>
        <w:spacing w:before="100" w:beforeAutospacing="1" w:after="240"/>
        <w:rPr>
          <w:rFonts w:cs="Arial"/>
          <w:b/>
          <w:caps/>
          <w:sz w:val="24"/>
          <w:szCs w:val="24"/>
        </w:rPr>
      </w:pPr>
      <w:bookmarkStart w:id="2" w:name="studentsatrisk"/>
      <w:bookmarkEnd w:id="2"/>
      <w:r w:rsidRPr="00F677E8">
        <w:rPr>
          <w:b/>
          <w:caps/>
          <w:sz w:val="24"/>
          <w:szCs w:val="24"/>
        </w:rPr>
        <w:t>Students at Risk</w:t>
      </w:r>
    </w:p>
    <w:p w14:paraId="448CA05A" w14:textId="32710809" w:rsidR="00332B2A" w:rsidRDefault="00332B2A" w:rsidP="2AED80DD">
      <w:pPr>
        <w:rPr>
          <w:rFonts w:cs="Arial"/>
          <w:sz w:val="20"/>
        </w:rPr>
      </w:pPr>
      <w:r w:rsidRPr="2AED80DD">
        <w:rPr>
          <w:rFonts w:cs="Arial"/>
          <w:sz w:val="20"/>
        </w:rPr>
        <w:t xml:space="preserve">The University uses a colour </w:t>
      </w:r>
      <w:r w:rsidR="00BB3F87" w:rsidRPr="2AED80DD">
        <w:rPr>
          <w:rFonts w:cs="Arial"/>
          <w:sz w:val="20"/>
        </w:rPr>
        <w:t>coding</w:t>
      </w:r>
      <w:r w:rsidR="00061BA7" w:rsidRPr="2AED80DD">
        <w:rPr>
          <w:rFonts w:cs="Arial"/>
          <w:sz w:val="20"/>
        </w:rPr>
        <w:t xml:space="preserve"> </w:t>
      </w:r>
      <w:r w:rsidRPr="2AED80DD">
        <w:rPr>
          <w:rFonts w:cs="Arial"/>
          <w:sz w:val="20"/>
        </w:rPr>
        <w:t xml:space="preserve">system to </w:t>
      </w:r>
      <w:r w:rsidR="008A32AC" w:rsidRPr="2AED80DD">
        <w:rPr>
          <w:rFonts w:cs="Arial"/>
          <w:sz w:val="20"/>
        </w:rPr>
        <w:t>identify</w:t>
      </w:r>
      <w:r w:rsidR="00CF3075" w:rsidRPr="2AED80DD">
        <w:rPr>
          <w:rFonts w:cs="Arial"/>
          <w:sz w:val="20"/>
        </w:rPr>
        <w:t xml:space="preserve"> the</w:t>
      </w:r>
      <w:r w:rsidRPr="2AED80DD">
        <w:rPr>
          <w:rFonts w:cs="Arial"/>
          <w:sz w:val="20"/>
        </w:rPr>
        <w:t xml:space="preserve"> risk of</w:t>
      </w:r>
      <w:r w:rsidR="00CF3075" w:rsidRPr="2AED80DD">
        <w:rPr>
          <w:rFonts w:cs="Arial"/>
          <w:sz w:val="20"/>
        </w:rPr>
        <w:t xml:space="preserve"> a student maintaining their</w:t>
      </w:r>
      <w:r w:rsidRPr="2AED80DD">
        <w:rPr>
          <w:rFonts w:cs="Arial"/>
          <w:sz w:val="20"/>
        </w:rPr>
        <w:t xml:space="preserve"> good academic standing</w:t>
      </w:r>
      <w:r w:rsidR="008C33E6" w:rsidRPr="2AED80DD">
        <w:rPr>
          <w:rFonts w:cs="Arial"/>
          <w:sz w:val="20"/>
        </w:rPr>
        <w:t xml:space="preserve"> status</w:t>
      </w:r>
      <w:r w:rsidR="004657CD" w:rsidRPr="2AED80DD">
        <w:rPr>
          <w:rFonts w:cs="Arial"/>
          <w:sz w:val="20"/>
        </w:rPr>
        <w:t xml:space="preserve">. A student may be assessed as having </w:t>
      </w:r>
      <w:r w:rsidR="000725DB" w:rsidRPr="2AED80DD">
        <w:rPr>
          <w:rFonts w:cs="Arial"/>
          <w:sz w:val="20"/>
        </w:rPr>
        <w:t xml:space="preserve">an </w:t>
      </w:r>
      <w:r w:rsidR="004657CD" w:rsidRPr="2AED80DD">
        <w:rPr>
          <w:rFonts w:cs="Arial"/>
          <w:sz w:val="20"/>
        </w:rPr>
        <w:t xml:space="preserve">academic standing </w:t>
      </w:r>
      <w:r w:rsidR="000725DB" w:rsidRPr="2AED80DD">
        <w:rPr>
          <w:rFonts w:cs="Arial"/>
          <w:sz w:val="20"/>
        </w:rPr>
        <w:t xml:space="preserve">status </w:t>
      </w:r>
      <w:r w:rsidR="004657CD" w:rsidRPr="2AED80DD">
        <w:rPr>
          <w:rFonts w:cs="Arial"/>
          <w:sz w:val="20"/>
        </w:rPr>
        <w:t>of:</w:t>
      </w:r>
    </w:p>
    <w:p w14:paraId="448CA05B" w14:textId="77777777" w:rsidR="00332B2A" w:rsidRDefault="00332B2A" w:rsidP="00F677E8">
      <w:pPr>
        <w:rPr>
          <w:rFonts w:cs="Arial"/>
          <w:sz w:val="20"/>
        </w:rPr>
      </w:pPr>
      <w:r>
        <w:rPr>
          <w:rFonts w:cs="Arial"/>
          <w:b/>
          <w:sz w:val="20"/>
        </w:rPr>
        <w:t>Green</w:t>
      </w:r>
      <w:r w:rsidR="00E265FA">
        <w:rPr>
          <w:rFonts w:cs="Arial"/>
          <w:sz w:val="20"/>
        </w:rPr>
        <w:tab/>
      </w:r>
      <w:r w:rsidR="00591008">
        <w:rPr>
          <w:rFonts w:cs="Arial"/>
          <w:sz w:val="20"/>
        </w:rPr>
        <w:t>G</w:t>
      </w:r>
      <w:r>
        <w:rPr>
          <w:rFonts w:cs="Arial"/>
          <w:sz w:val="20"/>
        </w:rPr>
        <w:t>ood academic standing</w:t>
      </w:r>
    </w:p>
    <w:p w14:paraId="448CA05C" w14:textId="77777777" w:rsidR="00332B2A" w:rsidRDefault="00332B2A" w:rsidP="00F677E8">
      <w:pPr>
        <w:rPr>
          <w:rFonts w:cs="Arial"/>
          <w:sz w:val="20"/>
        </w:rPr>
      </w:pPr>
      <w:r>
        <w:rPr>
          <w:rFonts w:cs="Arial"/>
          <w:b/>
          <w:sz w:val="20"/>
        </w:rPr>
        <w:t>Blue</w:t>
      </w:r>
      <w:r w:rsidR="00E265FA">
        <w:rPr>
          <w:rFonts w:cs="Arial"/>
          <w:sz w:val="20"/>
        </w:rPr>
        <w:tab/>
      </w:r>
      <w:r w:rsidR="00591008">
        <w:rPr>
          <w:rFonts w:cs="Arial"/>
          <w:sz w:val="20"/>
        </w:rPr>
        <w:t>L</w:t>
      </w:r>
      <w:r>
        <w:rPr>
          <w:rFonts w:cs="Arial"/>
          <w:sz w:val="20"/>
        </w:rPr>
        <w:t>ow risk to maintenance of good academic standing status</w:t>
      </w:r>
    </w:p>
    <w:p w14:paraId="448CA05D" w14:textId="2568FDC5" w:rsidR="00332B2A" w:rsidRDefault="00332B2A" w:rsidP="00F677E8">
      <w:pPr>
        <w:rPr>
          <w:rFonts w:cs="Arial"/>
          <w:sz w:val="20"/>
        </w:rPr>
      </w:pPr>
      <w:r>
        <w:rPr>
          <w:rFonts w:cs="Arial"/>
          <w:b/>
          <w:sz w:val="20"/>
        </w:rPr>
        <w:t>Amber</w:t>
      </w:r>
      <w:r w:rsidR="000B1AAC">
        <w:rPr>
          <w:rFonts w:cs="Arial"/>
          <w:b/>
          <w:sz w:val="20"/>
        </w:rPr>
        <w:tab/>
      </w:r>
      <w:r w:rsidR="00591008">
        <w:rPr>
          <w:rFonts w:cs="Arial"/>
          <w:sz w:val="20"/>
        </w:rPr>
        <w:t>M</w:t>
      </w:r>
      <w:r>
        <w:rPr>
          <w:rFonts w:cs="Arial"/>
          <w:sz w:val="20"/>
        </w:rPr>
        <w:t>edium risk to maintenance of good academic standing status</w:t>
      </w:r>
    </w:p>
    <w:p w14:paraId="448CA05E" w14:textId="1CCBE251" w:rsidR="00332B2A" w:rsidRPr="00332B2A" w:rsidRDefault="00332B2A" w:rsidP="00784C94">
      <w:pPr>
        <w:ind w:left="1418" w:hanging="851"/>
        <w:rPr>
          <w:rFonts w:cs="Arial"/>
          <w:sz w:val="20"/>
        </w:rPr>
      </w:pPr>
      <w:r>
        <w:rPr>
          <w:rFonts w:cs="Arial"/>
          <w:b/>
          <w:sz w:val="20"/>
        </w:rPr>
        <w:t>Red</w:t>
      </w:r>
      <w:r w:rsidR="000B1AAC">
        <w:rPr>
          <w:rFonts w:cs="Arial"/>
          <w:b/>
          <w:sz w:val="20"/>
        </w:rPr>
        <w:tab/>
      </w:r>
      <w:r w:rsidR="00591008">
        <w:rPr>
          <w:rFonts w:cs="Arial"/>
          <w:sz w:val="20"/>
        </w:rPr>
        <w:t>S</w:t>
      </w:r>
      <w:r w:rsidR="002D151D">
        <w:rPr>
          <w:rFonts w:cs="Arial"/>
          <w:sz w:val="20"/>
        </w:rPr>
        <w:t xml:space="preserve">ignificant risk to maintenance of good academic status and </w:t>
      </w:r>
      <w:r w:rsidR="007C2798">
        <w:rPr>
          <w:rFonts w:cs="Arial"/>
          <w:sz w:val="20"/>
        </w:rPr>
        <w:t xml:space="preserve">under </w:t>
      </w:r>
      <w:r w:rsidR="002D151D">
        <w:rPr>
          <w:rFonts w:cs="Arial"/>
          <w:sz w:val="20"/>
        </w:rPr>
        <w:t>consideration</w:t>
      </w:r>
      <w:r w:rsidR="00FE0C5C">
        <w:rPr>
          <w:rFonts w:cs="Arial"/>
          <w:sz w:val="20"/>
        </w:rPr>
        <w:t xml:space="preserve"> by the </w:t>
      </w:r>
      <w:r w:rsidR="003858C6">
        <w:rPr>
          <w:rFonts w:cs="Arial"/>
          <w:sz w:val="20"/>
        </w:rPr>
        <w:t>Program Director</w:t>
      </w:r>
      <w:r w:rsidR="000A3E36">
        <w:rPr>
          <w:rFonts w:cs="Arial"/>
          <w:sz w:val="20"/>
        </w:rPr>
        <w:t xml:space="preserve"> </w:t>
      </w:r>
      <w:r w:rsidR="002D151D">
        <w:rPr>
          <w:rFonts w:cs="Arial"/>
          <w:sz w:val="20"/>
        </w:rPr>
        <w:t>for exclusion from the University</w:t>
      </w:r>
    </w:p>
    <w:p w14:paraId="448CA05F" w14:textId="66681F34" w:rsidR="00F677E8" w:rsidRPr="00F677E8" w:rsidRDefault="00F677E8" w:rsidP="00F677E8">
      <w:pPr>
        <w:rPr>
          <w:rFonts w:cs="Arial"/>
          <w:sz w:val="20"/>
        </w:rPr>
      </w:pPr>
      <w:r w:rsidRPr="00F677E8">
        <w:rPr>
          <w:rFonts w:cs="Arial"/>
          <w:sz w:val="20"/>
        </w:rPr>
        <w:t xml:space="preserve">To support students 'at risk' from losing their 'good academic standing' systematic assessments of student performance are normally made </w:t>
      </w:r>
      <w:r w:rsidR="007B738A" w:rsidRPr="00F677E8">
        <w:rPr>
          <w:rFonts w:cs="Arial"/>
          <w:sz w:val="20"/>
        </w:rPr>
        <w:t>a</w:t>
      </w:r>
      <w:r w:rsidR="007B738A">
        <w:rPr>
          <w:rFonts w:cs="Arial"/>
          <w:sz w:val="20"/>
        </w:rPr>
        <w:t>s</w:t>
      </w:r>
      <w:r w:rsidR="007B738A" w:rsidRPr="00F677E8">
        <w:rPr>
          <w:rFonts w:cs="Arial"/>
          <w:sz w:val="20"/>
        </w:rPr>
        <w:t xml:space="preserve"> </w:t>
      </w:r>
      <w:r w:rsidR="007B738A">
        <w:rPr>
          <w:rFonts w:cs="Arial"/>
          <w:sz w:val="20"/>
        </w:rPr>
        <w:t>follows</w:t>
      </w:r>
      <w:r w:rsidR="00F46306">
        <w:rPr>
          <w:rFonts w:cs="Arial"/>
          <w:sz w:val="20"/>
        </w:rPr>
        <w:t>:</w:t>
      </w:r>
    </w:p>
    <w:p w14:paraId="448CA060" w14:textId="17663929" w:rsidR="00F677E8" w:rsidRPr="00F677E8" w:rsidRDefault="00F677E8" w:rsidP="00275A47">
      <w:pPr>
        <w:pStyle w:val="ListParagraph"/>
        <w:numPr>
          <w:ilvl w:val="0"/>
          <w:numId w:val="5"/>
        </w:numPr>
        <w:rPr>
          <w:rFonts w:cs="Arial"/>
          <w:sz w:val="20"/>
        </w:rPr>
      </w:pPr>
      <w:r w:rsidRPr="00F677E8">
        <w:rPr>
          <w:rFonts w:cs="Arial"/>
          <w:sz w:val="20"/>
        </w:rPr>
        <w:t xml:space="preserve">prior to week 8 </w:t>
      </w:r>
      <w:r w:rsidR="007B738A">
        <w:rPr>
          <w:rFonts w:cs="Arial"/>
          <w:sz w:val="20"/>
        </w:rPr>
        <w:t>in a trimester</w:t>
      </w:r>
      <w:r w:rsidRPr="00F677E8">
        <w:rPr>
          <w:rFonts w:cs="Arial"/>
          <w:sz w:val="20"/>
        </w:rPr>
        <w:t xml:space="preserve">- </w:t>
      </w:r>
      <w:r w:rsidR="00E50B0E">
        <w:rPr>
          <w:rFonts w:cs="Arial"/>
          <w:sz w:val="20"/>
        </w:rPr>
        <w:t xml:space="preserve">Tier 1 </w:t>
      </w:r>
      <w:r w:rsidR="00360B7B">
        <w:rPr>
          <w:rFonts w:cs="Arial"/>
          <w:sz w:val="20"/>
        </w:rPr>
        <w:t>a</w:t>
      </w:r>
      <w:r w:rsidR="002D2DAD">
        <w:rPr>
          <w:rFonts w:cs="Arial"/>
          <w:sz w:val="20"/>
        </w:rPr>
        <w:t>ssessment</w:t>
      </w:r>
    </w:p>
    <w:p w14:paraId="448CA061" w14:textId="4AEFB0DD" w:rsidR="00431ED9" w:rsidRPr="00F677E8" w:rsidRDefault="00F677E8" w:rsidP="2AED80DD">
      <w:pPr>
        <w:pStyle w:val="ListParagraph"/>
        <w:numPr>
          <w:ilvl w:val="0"/>
          <w:numId w:val="5"/>
        </w:numPr>
        <w:rPr>
          <w:rFonts w:cs="Arial"/>
          <w:sz w:val="20"/>
        </w:rPr>
      </w:pPr>
      <w:r w:rsidRPr="2AED80DD">
        <w:rPr>
          <w:rFonts w:cs="Arial"/>
          <w:sz w:val="20"/>
        </w:rPr>
        <w:t xml:space="preserve">end of </w:t>
      </w:r>
      <w:r w:rsidR="00A25806" w:rsidRPr="2AED80DD">
        <w:rPr>
          <w:rFonts w:cs="Arial"/>
          <w:sz w:val="20"/>
        </w:rPr>
        <w:t xml:space="preserve">a </w:t>
      </w:r>
      <w:r w:rsidR="007B738A" w:rsidRPr="2AED80DD">
        <w:rPr>
          <w:rFonts w:cs="Arial"/>
          <w:sz w:val="20"/>
        </w:rPr>
        <w:t xml:space="preserve">standard </w:t>
      </w:r>
      <w:r w:rsidR="00A25806" w:rsidRPr="2AED80DD">
        <w:rPr>
          <w:rFonts w:cs="Arial"/>
          <w:sz w:val="20"/>
        </w:rPr>
        <w:t>t</w:t>
      </w:r>
      <w:r w:rsidR="00DD4B4E" w:rsidRPr="2AED80DD">
        <w:rPr>
          <w:rFonts w:cs="Arial"/>
          <w:sz w:val="20"/>
        </w:rPr>
        <w:t>rimester</w:t>
      </w:r>
      <w:r w:rsidR="007B738A" w:rsidRPr="2AED80DD">
        <w:rPr>
          <w:rFonts w:cs="Arial"/>
          <w:sz w:val="20"/>
        </w:rPr>
        <w:t xml:space="preserve"> in an academic standing review period</w:t>
      </w:r>
      <w:r w:rsidRPr="2AED80DD">
        <w:rPr>
          <w:rFonts w:cs="Arial"/>
          <w:sz w:val="20"/>
        </w:rPr>
        <w:t xml:space="preserve"> - </w:t>
      </w:r>
      <w:r w:rsidR="00E50B0E" w:rsidRPr="2AED80DD">
        <w:rPr>
          <w:rFonts w:cs="Arial"/>
          <w:sz w:val="20"/>
        </w:rPr>
        <w:t>Tier 2</w:t>
      </w:r>
      <w:r w:rsidR="002D2DAD" w:rsidRPr="2AED80DD">
        <w:rPr>
          <w:rFonts w:cs="Arial"/>
          <w:sz w:val="20"/>
        </w:rPr>
        <w:t xml:space="preserve"> </w:t>
      </w:r>
      <w:r w:rsidR="00360B7B" w:rsidRPr="2AED80DD">
        <w:rPr>
          <w:rFonts w:cs="Arial"/>
          <w:sz w:val="20"/>
        </w:rPr>
        <w:t>a</w:t>
      </w:r>
      <w:r w:rsidR="002D2DAD" w:rsidRPr="2AED80DD">
        <w:rPr>
          <w:rFonts w:cs="Arial"/>
          <w:sz w:val="20"/>
        </w:rPr>
        <w:t>ssessment</w:t>
      </w:r>
    </w:p>
    <w:p w14:paraId="448CA062" w14:textId="77777777" w:rsidR="00F677E8" w:rsidRPr="00F677E8" w:rsidRDefault="004440D6" w:rsidP="00275A47">
      <w:pPr>
        <w:numPr>
          <w:ilvl w:val="1"/>
          <w:numId w:val="2"/>
        </w:numPr>
        <w:tabs>
          <w:tab w:val="clear" w:pos="1146"/>
          <w:tab w:val="left" w:pos="1134"/>
        </w:tabs>
        <w:rPr>
          <w:rFonts w:cs="Arial"/>
          <w:b/>
          <w:sz w:val="20"/>
        </w:rPr>
      </w:pPr>
      <w:r>
        <w:rPr>
          <w:rFonts w:cs="Arial"/>
          <w:b/>
          <w:sz w:val="20"/>
        </w:rPr>
        <w:t>Tier 1</w:t>
      </w:r>
      <w:r w:rsidR="00F677E8" w:rsidRPr="00F677E8">
        <w:rPr>
          <w:rFonts w:cs="Arial"/>
          <w:b/>
          <w:sz w:val="20"/>
        </w:rPr>
        <w:t xml:space="preserve"> Assessment</w:t>
      </w:r>
    </w:p>
    <w:p w14:paraId="448CA063" w14:textId="16B533A9" w:rsidR="00396E79" w:rsidRDefault="00F677E8" w:rsidP="00F677E8">
      <w:pPr>
        <w:tabs>
          <w:tab w:val="left" w:pos="1134"/>
        </w:tabs>
        <w:ind w:left="1146"/>
        <w:rPr>
          <w:rFonts w:cs="Arial"/>
          <w:sz w:val="20"/>
        </w:rPr>
      </w:pPr>
      <w:r w:rsidRPr="00F677E8">
        <w:rPr>
          <w:rFonts w:cs="Arial"/>
          <w:sz w:val="20"/>
        </w:rPr>
        <w:t xml:space="preserve">The </w:t>
      </w:r>
      <w:r w:rsidR="00677140">
        <w:rPr>
          <w:rFonts w:cs="Arial"/>
          <w:sz w:val="20"/>
        </w:rPr>
        <w:t>Tier 1</w:t>
      </w:r>
      <w:r w:rsidR="00A5409F">
        <w:rPr>
          <w:rFonts w:cs="Arial"/>
          <w:sz w:val="20"/>
        </w:rPr>
        <w:t xml:space="preserve"> Assessment</w:t>
      </w:r>
      <w:r w:rsidRPr="00F677E8">
        <w:rPr>
          <w:rFonts w:cs="Arial"/>
          <w:sz w:val="20"/>
        </w:rPr>
        <w:t xml:space="preserve"> is made within the academic organisation (e.g. School, Department, Group) that hosts the student's program of enrolment. The relevant Dean</w:t>
      </w:r>
      <w:r w:rsidR="007C2798">
        <w:rPr>
          <w:rFonts w:cs="Arial"/>
          <w:sz w:val="20"/>
        </w:rPr>
        <w:t xml:space="preserve"> (Learning &amp; Teaching)</w:t>
      </w:r>
      <w:r w:rsidRPr="00F677E8">
        <w:rPr>
          <w:rFonts w:cs="Arial"/>
          <w:sz w:val="20"/>
        </w:rPr>
        <w:t xml:space="preserve"> is responsible for the development and conduct of the </w:t>
      </w:r>
      <w:r w:rsidR="00677140">
        <w:rPr>
          <w:rFonts w:cs="Arial"/>
          <w:sz w:val="20"/>
        </w:rPr>
        <w:t>Tier 1 Assess</w:t>
      </w:r>
      <w:r w:rsidR="00EC36A3">
        <w:rPr>
          <w:rFonts w:cs="Arial"/>
          <w:sz w:val="20"/>
        </w:rPr>
        <w:t>men</w:t>
      </w:r>
      <w:r w:rsidR="00677140">
        <w:rPr>
          <w:rFonts w:cs="Arial"/>
          <w:sz w:val="20"/>
        </w:rPr>
        <w:t>t</w:t>
      </w:r>
      <w:r w:rsidRPr="00F677E8">
        <w:rPr>
          <w:rFonts w:cs="Arial"/>
          <w:sz w:val="20"/>
        </w:rPr>
        <w:t xml:space="preserve">. The </w:t>
      </w:r>
      <w:r w:rsidR="008D28CE">
        <w:rPr>
          <w:rFonts w:cs="Arial"/>
          <w:sz w:val="20"/>
        </w:rPr>
        <w:t>Tier 1 Assessment</w:t>
      </w:r>
      <w:r w:rsidR="008D28CE" w:rsidRPr="00F677E8">
        <w:rPr>
          <w:rFonts w:cs="Arial"/>
          <w:sz w:val="20"/>
        </w:rPr>
        <w:t xml:space="preserve"> </w:t>
      </w:r>
      <w:r w:rsidRPr="00F677E8">
        <w:rPr>
          <w:rFonts w:cs="Arial"/>
          <w:sz w:val="20"/>
        </w:rPr>
        <w:t xml:space="preserve">is normally made prior to week 8 and after assessment has been marked. For programs and courses in which non-standard dates are being used for enrolment, the relevant Dean </w:t>
      </w:r>
      <w:r w:rsidR="007C2798">
        <w:rPr>
          <w:rFonts w:cs="Arial"/>
          <w:sz w:val="20"/>
        </w:rPr>
        <w:t xml:space="preserve">(Learning &amp; Teaching) </w:t>
      </w:r>
      <w:r w:rsidRPr="00F677E8">
        <w:rPr>
          <w:rFonts w:cs="Arial"/>
          <w:sz w:val="20"/>
        </w:rPr>
        <w:t xml:space="preserve">will specify alternate timing of the </w:t>
      </w:r>
      <w:r w:rsidR="00107FAE">
        <w:rPr>
          <w:rFonts w:cs="Arial"/>
          <w:sz w:val="20"/>
        </w:rPr>
        <w:t>Tier 1 Assessment</w:t>
      </w:r>
      <w:r w:rsidRPr="00F677E8">
        <w:rPr>
          <w:rFonts w:cs="Arial"/>
          <w:sz w:val="20"/>
        </w:rPr>
        <w:t xml:space="preserve">. </w:t>
      </w:r>
    </w:p>
    <w:p w14:paraId="448CA064" w14:textId="54991080" w:rsidR="000B7DA6" w:rsidRDefault="00A85E3B" w:rsidP="00A85E3B">
      <w:pPr>
        <w:tabs>
          <w:tab w:val="left" w:pos="1134"/>
        </w:tabs>
        <w:ind w:left="1134"/>
        <w:rPr>
          <w:rFonts w:cs="Arial"/>
          <w:sz w:val="20"/>
        </w:rPr>
      </w:pPr>
      <w:r>
        <w:rPr>
          <w:rFonts w:cs="Arial"/>
          <w:sz w:val="20"/>
        </w:rPr>
        <w:t>As an outcome</w:t>
      </w:r>
      <w:r w:rsidR="0069058E">
        <w:rPr>
          <w:rFonts w:cs="Arial"/>
          <w:sz w:val="20"/>
        </w:rPr>
        <w:t xml:space="preserve"> of the Tier 1 Assessmen</w:t>
      </w:r>
      <w:r w:rsidR="00B95758">
        <w:rPr>
          <w:rFonts w:cs="Arial"/>
          <w:sz w:val="20"/>
        </w:rPr>
        <w:t>t</w:t>
      </w:r>
      <w:r>
        <w:rPr>
          <w:rFonts w:cs="Arial"/>
          <w:sz w:val="20"/>
        </w:rPr>
        <w:t xml:space="preserve">, </w:t>
      </w:r>
      <w:r w:rsidR="00396E79" w:rsidRPr="000B7DA6">
        <w:rPr>
          <w:rFonts w:cs="Arial"/>
          <w:sz w:val="20"/>
        </w:rPr>
        <w:t xml:space="preserve">the student </w:t>
      </w:r>
      <w:r>
        <w:rPr>
          <w:rFonts w:cs="Arial"/>
          <w:sz w:val="20"/>
        </w:rPr>
        <w:t>may be</w:t>
      </w:r>
      <w:r w:rsidR="00396E79" w:rsidRPr="000B7DA6">
        <w:rPr>
          <w:rFonts w:cs="Arial"/>
          <w:sz w:val="20"/>
        </w:rPr>
        <w:t xml:space="preserve"> </w:t>
      </w:r>
      <w:r w:rsidR="000B7DA6" w:rsidRPr="000B7DA6">
        <w:rPr>
          <w:rFonts w:cs="Arial"/>
          <w:sz w:val="20"/>
        </w:rPr>
        <w:t>referred</w:t>
      </w:r>
      <w:r w:rsidR="00396E79" w:rsidRPr="000B7DA6">
        <w:rPr>
          <w:rFonts w:cs="Arial"/>
          <w:sz w:val="20"/>
        </w:rPr>
        <w:t xml:space="preserve"> to </w:t>
      </w:r>
      <w:r w:rsidR="000B7DA6" w:rsidRPr="00F677E8">
        <w:rPr>
          <w:rFonts w:cs="Arial"/>
          <w:sz w:val="20"/>
        </w:rPr>
        <w:t xml:space="preserve">sources of assistance such </w:t>
      </w:r>
      <w:r w:rsidR="0032512C">
        <w:rPr>
          <w:rFonts w:cs="Arial"/>
          <w:sz w:val="20"/>
        </w:rPr>
        <w:t xml:space="preserve">as </w:t>
      </w:r>
      <w:r w:rsidR="000B7DA6" w:rsidRPr="00F677E8">
        <w:rPr>
          <w:rFonts w:cs="Arial"/>
          <w:sz w:val="20"/>
        </w:rPr>
        <w:t xml:space="preserve">the University's Learning Services, the Counselling </w:t>
      </w:r>
      <w:proofErr w:type="gramStart"/>
      <w:r w:rsidR="000B7DA6" w:rsidRPr="00F677E8">
        <w:rPr>
          <w:rFonts w:cs="Arial"/>
          <w:sz w:val="20"/>
        </w:rPr>
        <w:t>Service</w:t>
      </w:r>
      <w:proofErr w:type="gramEnd"/>
      <w:r w:rsidR="000B7DA6" w:rsidRPr="00F677E8">
        <w:rPr>
          <w:rFonts w:cs="Arial"/>
          <w:sz w:val="20"/>
        </w:rPr>
        <w:t xml:space="preserve"> and the academic staff responsible for the program and courses i</w:t>
      </w:r>
      <w:r w:rsidR="00C36582">
        <w:rPr>
          <w:rFonts w:cs="Arial"/>
          <w:sz w:val="20"/>
        </w:rPr>
        <w:t>n which the student is enrolled</w:t>
      </w:r>
      <w:r w:rsidR="001367A3">
        <w:rPr>
          <w:rFonts w:cs="Arial"/>
          <w:sz w:val="20"/>
        </w:rPr>
        <w:t>.</w:t>
      </w:r>
      <w:r w:rsidR="00970828">
        <w:rPr>
          <w:rFonts w:cs="Arial"/>
          <w:sz w:val="20"/>
        </w:rPr>
        <w:t xml:space="preserve"> </w:t>
      </w:r>
      <w:r w:rsidR="00887E6C">
        <w:rPr>
          <w:rFonts w:cs="Arial"/>
          <w:sz w:val="20"/>
        </w:rPr>
        <w:t>I</w:t>
      </w:r>
      <w:r w:rsidR="00970828" w:rsidRPr="00970828">
        <w:rPr>
          <w:rFonts w:cs="Arial"/>
          <w:sz w:val="20"/>
        </w:rPr>
        <w:t>nternational student</w:t>
      </w:r>
      <w:r w:rsidR="00887E6C">
        <w:rPr>
          <w:rFonts w:cs="Arial"/>
          <w:sz w:val="20"/>
        </w:rPr>
        <w:t>s are required to</w:t>
      </w:r>
      <w:r w:rsidR="00970828" w:rsidRPr="00970828">
        <w:rPr>
          <w:rFonts w:cs="Arial"/>
          <w:sz w:val="20"/>
        </w:rPr>
        <w:t xml:space="preserve"> consult an </w:t>
      </w:r>
      <w:hyperlink r:id="rId18" w:history="1">
        <w:r w:rsidR="00970828" w:rsidRPr="00970828">
          <w:rPr>
            <w:rFonts w:cs="Arial"/>
            <w:sz w:val="20"/>
          </w:rPr>
          <w:t>International Student Advisor</w:t>
        </w:r>
      </w:hyperlink>
      <w:r w:rsidR="00970828" w:rsidRPr="00970828">
        <w:rPr>
          <w:rFonts w:cs="Arial"/>
          <w:sz w:val="20"/>
        </w:rPr>
        <w:t xml:space="preserve"> who will complete an International Student Intervention Form following the consultation.</w:t>
      </w:r>
    </w:p>
    <w:p w14:paraId="448CA065" w14:textId="77777777" w:rsidR="00F677E8" w:rsidRPr="00F677E8" w:rsidRDefault="004440D6" w:rsidP="00275A47">
      <w:pPr>
        <w:numPr>
          <w:ilvl w:val="1"/>
          <w:numId w:val="2"/>
        </w:numPr>
        <w:tabs>
          <w:tab w:val="clear" w:pos="1146"/>
          <w:tab w:val="left" w:pos="1134"/>
        </w:tabs>
        <w:rPr>
          <w:rFonts w:cs="Arial"/>
          <w:b/>
          <w:sz w:val="20"/>
        </w:rPr>
      </w:pPr>
      <w:r>
        <w:rPr>
          <w:rFonts w:cs="Arial"/>
          <w:b/>
          <w:sz w:val="20"/>
        </w:rPr>
        <w:t>Tier 2</w:t>
      </w:r>
      <w:r w:rsidR="00F677E8" w:rsidRPr="00F677E8">
        <w:rPr>
          <w:rFonts w:cs="Arial"/>
          <w:b/>
          <w:sz w:val="20"/>
        </w:rPr>
        <w:t xml:space="preserve"> Assessment</w:t>
      </w:r>
    </w:p>
    <w:p w14:paraId="448CA066" w14:textId="3EFF6E8C" w:rsidR="00F10B15" w:rsidRDefault="00F677E8" w:rsidP="00F677E8">
      <w:pPr>
        <w:tabs>
          <w:tab w:val="left" w:pos="1134"/>
        </w:tabs>
        <w:ind w:left="1146"/>
        <w:rPr>
          <w:rFonts w:cs="Arial"/>
          <w:sz w:val="20"/>
        </w:rPr>
      </w:pPr>
      <w:r w:rsidRPr="00F677E8">
        <w:rPr>
          <w:rFonts w:cs="Arial"/>
          <w:sz w:val="20"/>
        </w:rPr>
        <w:t xml:space="preserve">The </w:t>
      </w:r>
      <w:r w:rsidR="002073D1">
        <w:rPr>
          <w:rFonts w:cs="Arial"/>
          <w:sz w:val="20"/>
        </w:rPr>
        <w:t>Tier 2</w:t>
      </w:r>
      <w:r w:rsidRPr="00F677E8">
        <w:rPr>
          <w:rFonts w:cs="Arial"/>
          <w:sz w:val="20"/>
        </w:rPr>
        <w:t xml:space="preserve"> Assessment, which is conducted</w:t>
      </w:r>
      <w:r w:rsidR="003B6DAA">
        <w:rPr>
          <w:rFonts w:cs="Arial"/>
          <w:sz w:val="20"/>
        </w:rPr>
        <w:t xml:space="preserve"> in an academic standing review period (Period 1 or 2)</w:t>
      </w:r>
      <w:r w:rsidRPr="00F677E8">
        <w:rPr>
          <w:rFonts w:cs="Arial"/>
          <w:sz w:val="20"/>
        </w:rPr>
        <w:t xml:space="preserve">, determines whether the student's 'good academic standing' is under threat. The </w:t>
      </w:r>
      <w:r w:rsidR="002073D1">
        <w:rPr>
          <w:rFonts w:cs="Arial"/>
          <w:sz w:val="20"/>
        </w:rPr>
        <w:t>Tier 2 Assessment</w:t>
      </w:r>
      <w:r w:rsidR="002073D1" w:rsidRPr="00F677E8">
        <w:rPr>
          <w:rFonts w:cs="Arial"/>
          <w:sz w:val="20"/>
        </w:rPr>
        <w:t xml:space="preserve"> </w:t>
      </w:r>
      <w:r w:rsidRPr="00F677E8">
        <w:rPr>
          <w:rFonts w:cs="Arial"/>
          <w:sz w:val="20"/>
        </w:rPr>
        <w:t xml:space="preserve">is </w:t>
      </w:r>
      <w:r w:rsidR="003400B5">
        <w:rPr>
          <w:rFonts w:cs="Arial"/>
          <w:sz w:val="20"/>
        </w:rPr>
        <w:t xml:space="preserve">coordinated </w:t>
      </w:r>
      <w:r w:rsidRPr="00F677E8">
        <w:rPr>
          <w:rFonts w:cs="Arial"/>
          <w:sz w:val="20"/>
        </w:rPr>
        <w:t>by</w:t>
      </w:r>
      <w:r w:rsidR="003400B5">
        <w:rPr>
          <w:rFonts w:cs="Arial"/>
          <w:sz w:val="20"/>
        </w:rPr>
        <w:t xml:space="preserve"> the Exams and Timetabling </w:t>
      </w:r>
      <w:proofErr w:type="gramStart"/>
      <w:r w:rsidR="003400B5">
        <w:rPr>
          <w:rFonts w:cs="Arial"/>
          <w:sz w:val="20"/>
        </w:rPr>
        <w:t xml:space="preserve">team </w:t>
      </w:r>
      <w:r w:rsidRPr="00F677E8">
        <w:rPr>
          <w:rFonts w:cs="Arial"/>
          <w:sz w:val="20"/>
        </w:rPr>
        <w:t xml:space="preserve"> who</w:t>
      </w:r>
      <w:proofErr w:type="gramEnd"/>
      <w:r w:rsidRPr="00F677E8">
        <w:rPr>
          <w:rFonts w:cs="Arial"/>
          <w:sz w:val="20"/>
        </w:rPr>
        <w:t xml:space="preserve"> identifies students </w:t>
      </w:r>
      <w:r w:rsidR="00EA1325">
        <w:rPr>
          <w:rFonts w:cs="Arial"/>
          <w:sz w:val="20"/>
        </w:rPr>
        <w:t>as meeting the criteria for</w:t>
      </w:r>
      <w:r w:rsidR="003858C6">
        <w:rPr>
          <w:rFonts w:cs="Arial"/>
          <w:sz w:val="20"/>
        </w:rPr>
        <w:t xml:space="preserve"> an academic standing status of Green, Blue, Amber or Red, as outlined below</w:t>
      </w:r>
      <w:r w:rsidRPr="00F677E8">
        <w:rPr>
          <w:rFonts w:cs="Arial"/>
          <w:sz w:val="20"/>
        </w:rPr>
        <w:t>:</w:t>
      </w:r>
    </w:p>
    <w:p w14:paraId="6A20BCF6" w14:textId="77777777" w:rsidR="00F10B15" w:rsidRDefault="00F10B15">
      <w:pPr>
        <w:rPr>
          <w:rFonts w:cs="Arial"/>
          <w:sz w:val="20"/>
        </w:rPr>
      </w:pPr>
      <w:r>
        <w:rPr>
          <w:rFonts w:cs="Arial"/>
          <w:sz w:val="20"/>
        </w:rPr>
        <w:br w:type="page"/>
      </w:r>
    </w:p>
    <w:tbl>
      <w:tblPr>
        <w:tblStyle w:val="TableGrid"/>
        <w:tblW w:w="9606" w:type="dxa"/>
        <w:tblLook w:val="04A0" w:firstRow="1" w:lastRow="0" w:firstColumn="1" w:lastColumn="0" w:noHBand="0" w:noVBand="1"/>
      </w:tblPr>
      <w:tblGrid>
        <w:gridCol w:w="3085"/>
        <w:gridCol w:w="6521"/>
      </w:tblGrid>
      <w:tr w:rsidR="003858C6" w:rsidRPr="00C3515B" w14:paraId="219BBF2E" w14:textId="77777777" w:rsidTr="1C9E15CC">
        <w:tc>
          <w:tcPr>
            <w:tcW w:w="3085" w:type="dxa"/>
          </w:tcPr>
          <w:p w14:paraId="7310EA95" w14:textId="75F00322" w:rsidR="003858C6" w:rsidRPr="00C3515B" w:rsidRDefault="003858C6" w:rsidP="007D729E">
            <w:pPr>
              <w:tabs>
                <w:tab w:val="left" w:pos="993"/>
              </w:tabs>
              <w:jc w:val="center"/>
              <w:rPr>
                <w:rFonts w:cs="Arial"/>
                <w:b/>
                <w:sz w:val="20"/>
              </w:rPr>
            </w:pPr>
            <w:r>
              <w:rPr>
                <w:rFonts w:cs="Arial"/>
                <w:b/>
                <w:sz w:val="20"/>
              </w:rPr>
              <w:lastRenderedPageBreak/>
              <w:t xml:space="preserve">Academic </w:t>
            </w:r>
            <w:r w:rsidRPr="00C3515B">
              <w:rPr>
                <w:rFonts w:cs="Arial"/>
                <w:b/>
                <w:sz w:val="20"/>
              </w:rPr>
              <w:t>Standing Status</w:t>
            </w:r>
          </w:p>
        </w:tc>
        <w:tc>
          <w:tcPr>
            <w:tcW w:w="6521" w:type="dxa"/>
          </w:tcPr>
          <w:p w14:paraId="6B045E1F" w14:textId="7DA9E918" w:rsidR="003858C6" w:rsidRPr="00C3515B" w:rsidRDefault="003858C6" w:rsidP="007D729E">
            <w:pPr>
              <w:tabs>
                <w:tab w:val="left" w:pos="993"/>
              </w:tabs>
              <w:jc w:val="center"/>
              <w:rPr>
                <w:rFonts w:cs="Arial"/>
                <w:b/>
                <w:sz w:val="20"/>
              </w:rPr>
            </w:pPr>
            <w:r w:rsidRPr="00C3515B">
              <w:rPr>
                <w:rFonts w:cs="Arial"/>
                <w:b/>
                <w:sz w:val="20"/>
              </w:rPr>
              <w:t>C</w:t>
            </w:r>
            <w:r>
              <w:rPr>
                <w:rFonts w:cs="Arial"/>
                <w:b/>
                <w:sz w:val="20"/>
              </w:rPr>
              <w:t>riteria</w:t>
            </w:r>
          </w:p>
        </w:tc>
      </w:tr>
      <w:tr w:rsidR="003858C6" w:rsidRPr="00C3515B" w14:paraId="4DA53590" w14:textId="77777777" w:rsidTr="1C9E15CC">
        <w:tc>
          <w:tcPr>
            <w:tcW w:w="3085" w:type="dxa"/>
            <w:shd w:val="clear" w:color="auto" w:fill="00B050"/>
          </w:tcPr>
          <w:p w14:paraId="6F01FB2F" w14:textId="77777777" w:rsidR="003858C6" w:rsidRPr="00C3515B" w:rsidRDefault="003858C6" w:rsidP="007D729E">
            <w:pPr>
              <w:tabs>
                <w:tab w:val="left" w:pos="993"/>
              </w:tabs>
              <w:rPr>
                <w:rFonts w:cs="Arial"/>
                <w:sz w:val="20"/>
              </w:rPr>
            </w:pPr>
            <w:r w:rsidRPr="00C3515B">
              <w:rPr>
                <w:rFonts w:cs="Arial"/>
                <w:sz w:val="20"/>
              </w:rPr>
              <w:t xml:space="preserve">Green </w:t>
            </w:r>
          </w:p>
        </w:tc>
        <w:tc>
          <w:tcPr>
            <w:tcW w:w="6521" w:type="dxa"/>
          </w:tcPr>
          <w:p w14:paraId="3A0E321C" w14:textId="68FAEBD3" w:rsidR="00E61C59" w:rsidRPr="00E06910" w:rsidRDefault="00E06910" w:rsidP="00DD4B4E">
            <w:pPr>
              <w:pStyle w:val="ListParagraph"/>
              <w:numPr>
                <w:ilvl w:val="1"/>
                <w:numId w:val="10"/>
              </w:numPr>
              <w:ind w:left="459"/>
              <w:rPr>
                <w:rFonts w:cs="Arial"/>
                <w:sz w:val="20"/>
              </w:rPr>
            </w:pPr>
            <w:r w:rsidRPr="00375756">
              <w:rPr>
                <w:rFonts w:cs="Arial"/>
                <w:sz w:val="20"/>
              </w:rPr>
              <w:t xml:space="preserve">Student has </w:t>
            </w:r>
            <w:r>
              <w:rPr>
                <w:rFonts w:cs="Arial"/>
                <w:sz w:val="20"/>
              </w:rPr>
              <w:t>passed more than 50% of the courses in which they are enrolled in the most recent teaching period and has a cumulative career GPA of 3.5 or greater</w:t>
            </w:r>
          </w:p>
        </w:tc>
      </w:tr>
      <w:tr w:rsidR="003858C6" w:rsidRPr="00C3515B" w14:paraId="5F0B8FEE" w14:textId="77777777" w:rsidTr="1C9E15CC">
        <w:tc>
          <w:tcPr>
            <w:tcW w:w="3085" w:type="dxa"/>
            <w:shd w:val="clear" w:color="auto" w:fill="0070C0"/>
          </w:tcPr>
          <w:p w14:paraId="5604A389" w14:textId="77777777" w:rsidR="003858C6" w:rsidRPr="00C3515B" w:rsidRDefault="003858C6" w:rsidP="007D729E">
            <w:pPr>
              <w:tabs>
                <w:tab w:val="left" w:pos="993"/>
              </w:tabs>
              <w:rPr>
                <w:rFonts w:cs="Arial"/>
                <w:sz w:val="20"/>
              </w:rPr>
            </w:pPr>
            <w:r w:rsidRPr="00C3515B">
              <w:rPr>
                <w:rFonts w:cs="Arial"/>
                <w:sz w:val="20"/>
              </w:rPr>
              <w:t>Blue</w:t>
            </w:r>
          </w:p>
        </w:tc>
        <w:tc>
          <w:tcPr>
            <w:tcW w:w="6521" w:type="dxa"/>
          </w:tcPr>
          <w:p w14:paraId="7D5D8259" w14:textId="1B3323B1" w:rsidR="00E06910" w:rsidRDefault="00E06910" w:rsidP="2AED80DD">
            <w:pPr>
              <w:pStyle w:val="ListParagraph"/>
              <w:numPr>
                <w:ilvl w:val="0"/>
                <w:numId w:val="10"/>
              </w:numPr>
              <w:ind w:left="459"/>
              <w:rPr>
                <w:rFonts w:cs="Arial"/>
                <w:sz w:val="20"/>
              </w:rPr>
            </w:pPr>
            <w:r w:rsidRPr="2AED80DD">
              <w:rPr>
                <w:rFonts w:cs="Arial"/>
                <w:sz w:val="20"/>
              </w:rPr>
              <w:t xml:space="preserve">Student has a cumulative career GPA greater than or equal to 3.5 but less than 4, and their term GPA for the most recent teaching period is less than or equal to </w:t>
            </w:r>
            <w:proofErr w:type="gramStart"/>
            <w:r w:rsidRPr="2AED80DD">
              <w:rPr>
                <w:rFonts w:cs="Arial"/>
                <w:sz w:val="20"/>
              </w:rPr>
              <w:t>3.5;</w:t>
            </w:r>
            <w:proofErr w:type="gramEnd"/>
            <w:r w:rsidRPr="2AED80DD">
              <w:rPr>
                <w:rFonts w:cs="Arial"/>
                <w:sz w:val="20"/>
              </w:rPr>
              <w:t xml:space="preserve"> </w:t>
            </w:r>
            <w:r w:rsidRPr="2AED80DD">
              <w:rPr>
                <w:rFonts w:cs="Arial"/>
                <w:b/>
                <w:bCs/>
                <w:sz w:val="20"/>
                <w:u w:val="single"/>
              </w:rPr>
              <w:t>OR</w:t>
            </w:r>
          </w:p>
          <w:p w14:paraId="0148C072" w14:textId="075E9748" w:rsidR="003858C6" w:rsidRDefault="00E06910" w:rsidP="00043063">
            <w:pPr>
              <w:pStyle w:val="ListParagraph"/>
              <w:numPr>
                <w:ilvl w:val="1"/>
                <w:numId w:val="10"/>
              </w:numPr>
              <w:ind w:left="459"/>
              <w:rPr>
                <w:rFonts w:cs="Arial"/>
                <w:sz w:val="20"/>
              </w:rPr>
            </w:pPr>
            <w:r w:rsidRPr="1C9E15CC">
              <w:rPr>
                <w:rFonts w:cs="Arial"/>
                <w:sz w:val="20"/>
              </w:rPr>
              <w:t>Student has failed 50% of their courses and has a cumulative career GPA greater than or equal to 3.5</w:t>
            </w:r>
          </w:p>
        </w:tc>
      </w:tr>
      <w:tr w:rsidR="003858C6" w:rsidRPr="00C3515B" w14:paraId="495FEC7C" w14:textId="77777777" w:rsidTr="1C9E15CC">
        <w:tc>
          <w:tcPr>
            <w:tcW w:w="3085" w:type="dxa"/>
            <w:shd w:val="clear" w:color="auto" w:fill="FFC000"/>
          </w:tcPr>
          <w:p w14:paraId="599D9858" w14:textId="77777777" w:rsidR="003858C6" w:rsidRPr="00C3515B" w:rsidRDefault="003858C6" w:rsidP="007D729E">
            <w:pPr>
              <w:tabs>
                <w:tab w:val="left" w:pos="993"/>
              </w:tabs>
              <w:rPr>
                <w:rFonts w:cs="Arial"/>
                <w:sz w:val="20"/>
              </w:rPr>
            </w:pPr>
            <w:r w:rsidRPr="00C3515B">
              <w:rPr>
                <w:rFonts w:cs="Arial"/>
                <w:sz w:val="20"/>
              </w:rPr>
              <w:t xml:space="preserve">Amber </w:t>
            </w:r>
          </w:p>
        </w:tc>
        <w:tc>
          <w:tcPr>
            <w:tcW w:w="6521" w:type="dxa"/>
          </w:tcPr>
          <w:p w14:paraId="30DBE2F0" w14:textId="77777777" w:rsidR="00E06910" w:rsidRPr="00375756" w:rsidRDefault="00E06910" w:rsidP="00E06910">
            <w:pPr>
              <w:pStyle w:val="ListParagraph"/>
              <w:numPr>
                <w:ilvl w:val="1"/>
                <w:numId w:val="10"/>
              </w:numPr>
              <w:ind w:left="459"/>
              <w:rPr>
                <w:rFonts w:cs="Arial"/>
                <w:b/>
                <w:sz w:val="20"/>
                <w:u w:val="single"/>
              </w:rPr>
            </w:pPr>
            <w:r w:rsidRPr="1C9E15CC">
              <w:rPr>
                <w:rFonts w:cs="Arial"/>
                <w:sz w:val="20"/>
              </w:rPr>
              <w:t xml:space="preserve">Student has a cumulative career GPA of less than </w:t>
            </w:r>
            <w:proofErr w:type="gramStart"/>
            <w:r w:rsidRPr="1C9E15CC">
              <w:rPr>
                <w:rFonts w:cs="Arial"/>
                <w:sz w:val="20"/>
              </w:rPr>
              <w:t>3.5;</w:t>
            </w:r>
            <w:proofErr w:type="gramEnd"/>
            <w:r w:rsidRPr="1C9E15CC">
              <w:rPr>
                <w:rFonts w:cs="Arial"/>
                <w:sz w:val="20"/>
              </w:rPr>
              <w:t xml:space="preserve"> </w:t>
            </w:r>
            <w:r w:rsidRPr="1C9E15CC">
              <w:rPr>
                <w:rFonts w:cs="Arial"/>
                <w:b/>
                <w:bCs/>
                <w:sz w:val="20"/>
                <w:u w:val="single"/>
              </w:rPr>
              <w:t>OR</w:t>
            </w:r>
          </w:p>
          <w:p w14:paraId="7E9DD5AB" w14:textId="77777777" w:rsidR="00E06910" w:rsidRPr="00375756" w:rsidRDefault="00E06910" w:rsidP="00E06910">
            <w:pPr>
              <w:pStyle w:val="ListParagraph"/>
              <w:numPr>
                <w:ilvl w:val="1"/>
                <w:numId w:val="10"/>
              </w:numPr>
              <w:ind w:left="459"/>
              <w:rPr>
                <w:rFonts w:cs="Arial"/>
                <w:b/>
                <w:sz w:val="20"/>
                <w:u w:val="single"/>
              </w:rPr>
            </w:pPr>
            <w:r w:rsidRPr="1C9E15CC">
              <w:rPr>
                <w:rFonts w:cs="Arial"/>
                <w:sz w:val="20"/>
              </w:rPr>
              <w:t xml:space="preserve">Student has failed the same course two (2) </w:t>
            </w:r>
            <w:proofErr w:type="gramStart"/>
            <w:r w:rsidRPr="1C9E15CC">
              <w:rPr>
                <w:rFonts w:cs="Arial"/>
                <w:sz w:val="20"/>
              </w:rPr>
              <w:t>times;</w:t>
            </w:r>
            <w:proofErr w:type="gramEnd"/>
            <w:r w:rsidRPr="1C9E15CC">
              <w:rPr>
                <w:rFonts w:cs="Arial"/>
                <w:sz w:val="20"/>
              </w:rPr>
              <w:t xml:space="preserve"> </w:t>
            </w:r>
            <w:r w:rsidRPr="1C9E15CC">
              <w:rPr>
                <w:rFonts w:cs="Arial"/>
                <w:b/>
                <w:bCs/>
                <w:sz w:val="20"/>
                <w:u w:val="single"/>
              </w:rPr>
              <w:t>OR</w:t>
            </w:r>
          </w:p>
          <w:p w14:paraId="50B1A050" w14:textId="081B0214" w:rsidR="003858C6" w:rsidRPr="00C3515B" w:rsidRDefault="00E06910" w:rsidP="00043063">
            <w:pPr>
              <w:pStyle w:val="ListParagraph"/>
              <w:numPr>
                <w:ilvl w:val="1"/>
                <w:numId w:val="10"/>
              </w:numPr>
              <w:ind w:left="459"/>
              <w:rPr>
                <w:rFonts w:cs="Arial"/>
                <w:sz w:val="20"/>
              </w:rPr>
            </w:pPr>
            <w:r w:rsidRPr="1C9E15CC">
              <w:rPr>
                <w:rFonts w:cs="Arial"/>
                <w:sz w:val="20"/>
              </w:rPr>
              <w:t>Student has passed all courses in the most recent teaching period, but has a cumulative career GPA of less than 3.5 and one previous amber status</w:t>
            </w:r>
          </w:p>
        </w:tc>
      </w:tr>
      <w:tr w:rsidR="003858C6" w:rsidRPr="00C3515B" w14:paraId="6F11C111" w14:textId="77777777" w:rsidTr="1C9E15CC">
        <w:tc>
          <w:tcPr>
            <w:tcW w:w="3085" w:type="dxa"/>
            <w:shd w:val="clear" w:color="auto" w:fill="FF0000"/>
          </w:tcPr>
          <w:p w14:paraId="00003F92" w14:textId="77777777" w:rsidR="003858C6" w:rsidRPr="00C3515B" w:rsidRDefault="003858C6" w:rsidP="007D729E">
            <w:pPr>
              <w:tabs>
                <w:tab w:val="left" w:pos="993"/>
              </w:tabs>
              <w:rPr>
                <w:rFonts w:cs="Arial"/>
                <w:sz w:val="20"/>
              </w:rPr>
            </w:pPr>
            <w:r w:rsidRPr="00C3515B">
              <w:rPr>
                <w:rFonts w:cs="Arial"/>
                <w:sz w:val="20"/>
              </w:rPr>
              <w:t>Red</w:t>
            </w:r>
          </w:p>
        </w:tc>
        <w:tc>
          <w:tcPr>
            <w:tcW w:w="6521" w:type="dxa"/>
          </w:tcPr>
          <w:p w14:paraId="049D8D33" w14:textId="77777777" w:rsidR="00E06910" w:rsidRPr="00375756" w:rsidRDefault="00E06910" w:rsidP="00E06910">
            <w:pPr>
              <w:pStyle w:val="ListParagraph"/>
              <w:numPr>
                <w:ilvl w:val="1"/>
                <w:numId w:val="10"/>
              </w:numPr>
              <w:ind w:left="459"/>
              <w:rPr>
                <w:rFonts w:cs="Arial"/>
                <w:sz w:val="20"/>
              </w:rPr>
            </w:pPr>
            <w:r w:rsidRPr="1C9E15CC">
              <w:rPr>
                <w:rFonts w:cs="Arial"/>
                <w:sz w:val="20"/>
              </w:rPr>
              <w:t xml:space="preserve">Student has failed a designated </w:t>
            </w:r>
            <w:proofErr w:type="gramStart"/>
            <w:r w:rsidRPr="1C9E15CC">
              <w:rPr>
                <w:rFonts w:cs="Arial"/>
                <w:sz w:val="20"/>
              </w:rPr>
              <w:t>course;</w:t>
            </w:r>
            <w:proofErr w:type="gramEnd"/>
            <w:r w:rsidRPr="1C9E15CC">
              <w:rPr>
                <w:rFonts w:cs="Arial"/>
                <w:sz w:val="20"/>
              </w:rPr>
              <w:t xml:space="preserve"> </w:t>
            </w:r>
            <w:r w:rsidRPr="1C9E15CC">
              <w:rPr>
                <w:rFonts w:cs="Arial"/>
                <w:b/>
                <w:bCs/>
                <w:sz w:val="20"/>
                <w:u w:val="single"/>
              </w:rPr>
              <w:t>OR</w:t>
            </w:r>
          </w:p>
          <w:p w14:paraId="2B3EA144" w14:textId="77777777" w:rsidR="00E06910" w:rsidRPr="00375756" w:rsidRDefault="00E06910" w:rsidP="00E06910">
            <w:pPr>
              <w:pStyle w:val="ListParagraph"/>
              <w:numPr>
                <w:ilvl w:val="1"/>
                <w:numId w:val="10"/>
              </w:numPr>
              <w:ind w:left="459"/>
              <w:rPr>
                <w:rFonts w:cs="Arial"/>
                <w:sz w:val="20"/>
              </w:rPr>
            </w:pPr>
            <w:r w:rsidRPr="1C9E15CC">
              <w:rPr>
                <w:rFonts w:cs="Arial"/>
                <w:sz w:val="20"/>
              </w:rPr>
              <w:t xml:space="preserve">Student has failed the same course three (3) </w:t>
            </w:r>
            <w:proofErr w:type="gramStart"/>
            <w:r w:rsidRPr="1C9E15CC">
              <w:rPr>
                <w:rFonts w:cs="Arial"/>
                <w:sz w:val="20"/>
              </w:rPr>
              <w:t>times;</w:t>
            </w:r>
            <w:proofErr w:type="gramEnd"/>
            <w:r w:rsidRPr="1C9E15CC">
              <w:rPr>
                <w:rFonts w:cs="Arial"/>
                <w:sz w:val="20"/>
              </w:rPr>
              <w:t xml:space="preserve"> </w:t>
            </w:r>
            <w:r w:rsidRPr="1C9E15CC">
              <w:rPr>
                <w:rFonts w:cs="Arial"/>
                <w:b/>
                <w:bCs/>
                <w:sz w:val="20"/>
                <w:u w:val="single"/>
              </w:rPr>
              <w:t>OR</w:t>
            </w:r>
          </w:p>
          <w:p w14:paraId="030EEFCA" w14:textId="1CBD68F9" w:rsidR="003858C6" w:rsidRPr="00375756" w:rsidRDefault="00E06910" w:rsidP="00043063">
            <w:pPr>
              <w:pStyle w:val="ListParagraph"/>
              <w:numPr>
                <w:ilvl w:val="1"/>
                <w:numId w:val="10"/>
              </w:numPr>
              <w:ind w:left="459"/>
              <w:rPr>
                <w:rFonts w:cs="Arial"/>
                <w:sz w:val="20"/>
              </w:rPr>
            </w:pPr>
            <w:r w:rsidRPr="1C9E15CC">
              <w:rPr>
                <w:rFonts w:cs="Arial"/>
                <w:sz w:val="20"/>
              </w:rPr>
              <w:t>Student has a cumulative career GPA of less than 3.5 and at least one previous amber status.</w:t>
            </w:r>
          </w:p>
        </w:tc>
      </w:tr>
    </w:tbl>
    <w:p w14:paraId="6BD53804" w14:textId="77777777" w:rsidR="003858C6" w:rsidRPr="00784C94" w:rsidRDefault="003858C6" w:rsidP="000C76F6">
      <w:pPr>
        <w:pStyle w:val="ListParagraph"/>
        <w:tabs>
          <w:tab w:val="left" w:pos="1134"/>
        </w:tabs>
        <w:ind w:left="1506"/>
        <w:rPr>
          <w:rFonts w:cs="Arial"/>
          <w:sz w:val="20"/>
        </w:rPr>
      </w:pPr>
    </w:p>
    <w:p w14:paraId="448CA06A" w14:textId="77777777" w:rsidR="00C75F6D" w:rsidRDefault="00C75F6D" w:rsidP="00C75F6D">
      <w:pPr>
        <w:tabs>
          <w:tab w:val="left" w:pos="1134"/>
        </w:tabs>
        <w:ind w:left="1146"/>
        <w:rPr>
          <w:rFonts w:cs="Arial"/>
          <w:sz w:val="20"/>
        </w:rPr>
      </w:pPr>
      <w:r>
        <w:rPr>
          <w:rFonts w:cs="Arial"/>
          <w:sz w:val="20"/>
        </w:rPr>
        <w:t>The outcomes of the Tier 2 Assessment may be that:</w:t>
      </w:r>
    </w:p>
    <w:p w14:paraId="448CA06B" w14:textId="37500A0D" w:rsidR="00C75F6D" w:rsidRDefault="00C75F6D" w:rsidP="00C75F6D">
      <w:pPr>
        <w:pStyle w:val="ListParagraph"/>
        <w:numPr>
          <w:ilvl w:val="0"/>
          <w:numId w:val="6"/>
        </w:numPr>
        <w:tabs>
          <w:tab w:val="left" w:pos="1134"/>
        </w:tabs>
        <w:rPr>
          <w:rFonts w:cs="Arial"/>
          <w:sz w:val="20"/>
        </w:rPr>
      </w:pPr>
      <w:r w:rsidRPr="000B7DA6">
        <w:rPr>
          <w:rFonts w:cs="Arial"/>
          <w:sz w:val="20"/>
        </w:rPr>
        <w:t xml:space="preserve">the student is referred to </w:t>
      </w:r>
      <w:r w:rsidR="003400B5">
        <w:rPr>
          <w:rFonts w:cs="Arial"/>
          <w:sz w:val="20"/>
        </w:rPr>
        <w:t xml:space="preserve">various </w:t>
      </w:r>
      <w:r w:rsidRPr="00F677E8">
        <w:rPr>
          <w:rFonts w:cs="Arial"/>
          <w:sz w:val="20"/>
        </w:rPr>
        <w:t>sources of assistance and the academic staff responsible for the program and courses i</w:t>
      </w:r>
      <w:r>
        <w:rPr>
          <w:rFonts w:cs="Arial"/>
          <w:sz w:val="20"/>
        </w:rPr>
        <w:t xml:space="preserve">n which the student is </w:t>
      </w:r>
      <w:proofErr w:type="gramStart"/>
      <w:r>
        <w:rPr>
          <w:rFonts w:cs="Arial"/>
          <w:sz w:val="20"/>
        </w:rPr>
        <w:t>enrolled</w:t>
      </w:r>
      <w:r w:rsidR="0032512C">
        <w:rPr>
          <w:rFonts w:cs="Arial"/>
          <w:sz w:val="20"/>
        </w:rPr>
        <w:t>;</w:t>
      </w:r>
      <w:proofErr w:type="gramEnd"/>
    </w:p>
    <w:p w14:paraId="448CA06C" w14:textId="014A4F9A" w:rsidR="00C75F6D" w:rsidRPr="000B7DA6" w:rsidRDefault="00C75F6D" w:rsidP="00C75F6D">
      <w:pPr>
        <w:pStyle w:val="ListParagraph"/>
        <w:numPr>
          <w:ilvl w:val="0"/>
          <w:numId w:val="6"/>
        </w:numPr>
        <w:tabs>
          <w:tab w:val="left" w:pos="1134"/>
        </w:tabs>
        <w:rPr>
          <w:rFonts w:cs="Arial"/>
          <w:sz w:val="20"/>
        </w:rPr>
      </w:pPr>
      <w:r w:rsidRPr="000B7DA6">
        <w:rPr>
          <w:rFonts w:cs="Arial"/>
          <w:sz w:val="20"/>
        </w:rPr>
        <w:t xml:space="preserve">the student remediates the risk of losing their good academic standing and is assessed as </w:t>
      </w:r>
      <w:r w:rsidR="002418F6">
        <w:rPr>
          <w:rFonts w:cs="Arial"/>
          <w:sz w:val="20"/>
        </w:rPr>
        <w:t xml:space="preserve">having an academic standing of </w:t>
      </w:r>
      <w:proofErr w:type="gramStart"/>
      <w:r w:rsidR="0032512C">
        <w:rPr>
          <w:rFonts w:cs="Arial"/>
          <w:sz w:val="20"/>
        </w:rPr>
        <w:t>Green;</w:t>
      </w:r>
      <w:proofErr w:type="gramEnd"/>
    </w:p>
    <w:p w14:paraId="448CA06D" w14:textId="17B02EA4" w:rsidR="00C75F6D" w:rsidRPr="00377695" w:rsidRDefault="00C75F6D" w:rsidP="00C75F6D">
      <w:pPr>
        <w:pStyle w:val="ListParagraph"/>
        <w:numPr>
          <w:ilvl w:val="0"/>
          <w:numId w:val="6"/>
        </w:numPr>
        <w:tabs>
          <w:tab w:val="left" w:pos="1134"/>
        </w:tabs>
        <w:rPr>
          <w:rFonts w:cs="Arial"/>
          <w:sz w:val="20"/>
        </w:rPr>
      </w:pPr>
      <w:r>
        <w:rPr>
          <w:rFonts w:cs="Arial"/>
          <w:sz w:val="20"/>
        </w:rPr>
        <w:t xml:space="preserve">a student </w:t>
      </w:r>
      <w:r w:rsidR="00C45162">
        <w:rPr>
          <w:rFonts w:cs="Arial"/>
          <w:sz w:val="20"/>
        </w:rPr>
        <w:t xml:space="preserve">with an academic standing of </w:t>
      </w:r>
      <w:r>
        <w:rPr>
          <w:rFonts w:cs="Arial"/>
          <w:sz w:val="20"/>
        </w:rPr>
        <w:t xml:space="preserve">Blue or Amber </w:t>
      </w:r>
      <w:r w:rsidR="00516DF4">
        <w:rPr>
          <w:rFonts w:cs="Arial"/>
          <w:sz w:val="20"/>
        </w:rPr>
        <w:t>d</w:t>
      </w:r>
      <w:r>
        <w:rPr>
          <w:rFonts w:cs="Arial"/>
          <w:sz w:val="20"/>
        </w:rPr>
        <w:t xml:space="preserve">oes not remediate the risk and is </w:t>
      </w:r>
      <w:r w:rsidR="000228E2" w:rsidRPr="00377695">
        <w:rPr>
          <w:rFonts w:cs="Arial"/>
          <w:sz w:val="20"/>
        </w:rPr>
        <w:t>a</w:t>
      </w:r>
      <w:r w:rsidR="009E39F8" w:rsidRPr="00377695">
        <w:rPr>
          <w:rFonts w:cs="Arial"/>
          <w:sz w:val="20"/>
        </w:rPr>
        <w:t>ssessed to be</w:t>
      </w:r>
      <w:r w:rsidRPr="00A5386B">
        <w:rPr>
          <w:rFonts w:cs="Arial"/>
          <w:sz w:val="20"/>
        </w:rPr>
        <w:t xml:space="preserve"> </w:t>
      </w:r>
      <w:r w:rsidR="00FA7DFD" w:rsidRPr="00A5386B">
        <w:rPr>
          <w:rFonts w:cs="Arial"/>
          <w:sz w:val="20"/>
        </w:rPr>
        <w:t xml:space="preserve">of </w:t>
      </w:r>
      <w:r w:rsidRPr="00A5386B">
        <w:rPr>
          <w:rFonts w:cs="Arial"/>
          <w:sz w:val="20"/>
        </w:rPr>
        <w:t xml:space="preserve">Amber or Red </w:t>
      </w:r>
      <w:proofErr w:type="gramStart"/>
      <w:r w:rsidR="00FA7DFD" w:rsidRPr="00377695">
        <w:rPr>
          <w:rFonts w:cs="Arial"/>
          <w:sz w:val="20"/>
        </w:rPr>
        <w:t>status</w:t>
      </w:r>
      <w:r w:rsidR="0032512C" w:rsidRPr="00377695">
        <w:rPr>
          <w:rFonts w:cs="Arial"/>
          <w:sz w:val="20"/>
        </w:rPr>
        <w:t>;</w:t>
      </w:r>
      <w:proofErr w:type="gramEnd"/>
    </w:p>
    <w:p w14:paraId="448CA06E" w14:textId="49BA97FC" w:rsidR="00B50A6A" w:rsidRPr="00377695" w:rsidRDefault="00C45162" w:rsidP="23F2E76A">
      <w:pPr>
        <w:pStyle w:val="ListParagraph"/>
        <w:numPr>
          <w:ilvl w:val="0"/>
          <w:numId w:val="6"/>
        </w:numPr>
        <w:rPr>
          <w:rFonts w:cs="Arial"/>
          <w:b/>
          <w:bCs/>
          <w:sz w:val="20"/>
        </w:rPr>
      </w:pPr>
      <w:r w:rsidRPr="23F2E76A">
        <w:rPr>
          <w:rFonts w:cs="Arial"/>
          <w:sz w:val="20"/>
        </w:rPr>
        <w:t>a student with an academic standing</w:t>
      </w:r>
      <w:r w:rsidR="007C2798" w:rsidRPr="23F2E76A">
        <w:rPr>
          <w:rFonts w:cs="Arial"/>
          <w:sz w:val="20"/>
        </w:rPr>
        <w:t xml:space="preserve"> status</w:t>
      </w:r>
      <w:r w:rsidRPr="23F2E76A">
        <w:rPr>
          <w:rFonts w:cs="Arial"/>
          <w:sz w:val="20"/>
        </w:rPr>
        <w:t xml:space="preserve"> of Red </w:t>
      </w:r>
      <w:r w:rsidR="00ED24EC" w:rsidRPr="23F2E76A">
        <w:rPr>
          <w:rFonts w:cs="Arial"/>
          <w:sz w:val="20"/>
        </w:rPr>
        <w:t>will</w:t>
      </w:r>
      <w:r w:rsidRPr="23F2E76A">
        <w:rPr>
          <w:rFonts w:cs="Arial"/>
          <w:sz w:val="20"/>
        </w:rPr>
        <w:t xml:space="preserve"> </w:t>
      </w:r>
      <w:r w:rsidR="00BA744E" w:rsidRPr="23F2E76A">
        <w:rPr>
          <w:rFonts w:cs="Arial"/>
          <w:sz w:val="20"/>
        </w:rPr>
        <w:t>be considered for</w:t>
      </w:r>
      <w:r w:rsidRPr="23F2E76A">
        <w:rPr>
          <w:rFonts w:cs="Arial"/>
          <w:sz w:val="20"/>
        </w:rPr>
        <w:t xml:space="preserve"> exclusion</w:t>
      </w:r>
      <w:r w:rsidR="00BA744E" w:rsidRPr="23F2E76A">
        <w:rPr>
          <w:rFonts w:cs="Arial"/>
          <w:sz w:val="20"/>
        </w:rPr>
        <w:t xml:space="preserve"> by the </w:t>
      </w:r>
      <w:r w:rsidR="00ED24EC" w:rsidRPr="23F2E76A">
        <w:rPr>
          <w:rFonts w:cs="Arial"/>
          <w:sz w:val="20"/>
        </w:rPr>
        <w:t xml:space="preserve">Program Director, who may recommend to the </w:t>
      </w:r>
      <w:r w:rsidR="00BA744E" w:rsidRPr="23F2E76A">
        <w:rPr>
          <w:rFonts w:cs="Arial"/>
          <w:sz w:val="20"/>
        </w:rPr>
        <w:t>Dean (Learning &amp; Teaching)</w:t>
      </w:r>
      <w:r w:rsidR="00ED24EC" w:rsidRPr="23F2E76A">
        <w:rPr>
          <w:rFonts w:cs="Arial"/>
          <w:sz w:val="20"/>
        </w:rPr>
        <w:t xml:space="preserve"> that a student with </w:t>
      </w:r>
      <w:proofErr w:type="gramStart"/>
      <w:r w:rsidR="00E06910" w:rsidRPr="23F2E76A">
        <w:rPr>
          <w:rFonts w:cs="Arial"/>
          <w:sz w:val="20"/>
        </w:rPr>
        <w:t>R</w:t>
      </w:r>
      <w:r w:rsidR="00ED24EC" w:rsidRPr="23F2E76A">
        <w:rPr>
          <w:rFonts w:cs="Arial"/>
          <w:sz w:val="20"/>
        </w:rPr>
        <w:t>ed</w:t>
      </w:r>
      <w:proofErr w:type="gramEnd"/>
      <w:r w:rsidR="00ED24EC" w:rsidRPr="23F2E76A">
        <w:rPr>
          <w:rFonts w:cs="Arial"/>
          <w:sz w:val="20"/>
        </w:rPr>
        <w:t xml:space="preserve"> status not be excluded where exceptional or compassionate circumstances have been the cause of the student's poor academic performance</w:t>
      </w:r>
      <w:r w:rsidR="0032512C" w:rsidRPr="23F2E76A">
        <w:rPr>
          <w:rFonts w:cs="Arial"/>
          <w:sz w:val="20"/>
        </w:rPr>
        <w:t>;</w:t>
      </w:r>
    </w:p>
    <w:p w14:paraId="448CA06F" w14:textId="6AA24844" w:rsidR="003876ED" w:rsidRPr="00F677E8" w:rsidRDefault="00756A8A" w:rsidP="003876ED">
      <w:pPr>
        <w:pStyle w:val="ListParagraph"/>
        <w:numPr>
          <w:ilvl w:val="0"/>
          <w:numId w:val="6"/>
        </w:numPr>
        <w:tabs>
          <w:tab w:val="left" w:pos="1134"/>
        </w:tabs>
        <w:rPr>
          <w:rFonts w:cs="Arial"/>
          <w:sz w:val="20"/>
        </w:rPr>
      </w:pPr>
      <w:r>
        <w:rPr>
          <w:rFonts w:cs="Arial"/>
          <w:sz w:val="20"/>
        </w:rPr>
        <w:t>A</w:t>
      </w:r>
      <w:r w:rsidR="003876ED">
        <w:rPr>
          <w:rFonts w:cs="Arial"/>
          <w:sz w:val="20"/>
        </w:rPr>
        <w:t>n academic status of Blue, Amber or Red</w:t>
      </w:r>
      <w:r w:rsidR="003876ED" w:rsidRPr="00F677E8">
        <w:rPr>
          <w:rFonts w:cs="Arial"/>
          <w:sz w:val="20"/>
        </w:rPr>
        <w:t xml:space="preserve"> </w:t>
      </w:r>
      <w:r>
        <w:rPr>
          <w:rFonts w:cs="Arial"/>
          <w:sz w:val="20"/>
        </w:rPr>
        <w:t xml:space="preserve">will be recorded in </w:t>
      </w:r>
      <w:r w:rsidR="003876ED">
        <w:rPr>
          <w:rFonts w:cs="Arial"/>
          <w:sz w:val="20"/>
        </w:rPr>
        <w:t xml:space="preserve">the Student System </w:t>
      </w:r>
      <w:r w:rsidR="003876ED" w:rsidRPr="00F677E8">
        <w:rPr>
          <w:rFonts w:cs="Arial"/>
          <w:sz w:val="20"/>
        </w:rPr>
        <w:t xml:space="preserve">but not </w:t>
      </w:r>
      <w:r>
        <w:rPr>
          <w:rFonts w:cs="Arial"/>
          <w:sz w:val="20"/>
        </w:rPr>
        <w:t xml:space="preserve">be visible on </w:t>
      </w:r>
      <w:r w:rsidR="003876ED" w:rsidRPr="00F677E8">
        <w:rPr>
          <w:rFonts w:cs="Arial"/>
          <w:sz w:val="20"/>
        </w:rPr>
        <w:t>the student's official academic transcript.</w:t>
      </w:r>
    </w:p>
    <w:p w14:paraId="448CA072" w14:textId="77777777" w:rsidR="00431ED9" w:rsidRPr="00A62490" w:rsidRDefault="00E262C0" w:rsidP="000D7B27">
      <w:pPr>
        <w:ind w:left="0"/>
        <w:rPr>
          <w:rFonts w:cs="Arial"/>
          <w:sz w:val="20"/>
        </w:rPr>
      </w:pPr>
      <w:r>
        <w:rPr>
          <w:rFonts w:cs="Arial"/>
          <w:sz w:val="20"/>
        </w:rPr>
        <w:pict w14:anchorId="448CA093">
          <v:rect id="_x0000_i1027" style="width:476.25pt;height:1pt" o:hralign="center" o:hrstd="t" o:hrnoshade="t" o:hr="t" fillcolor="#d8d8d8 [2732]" stroked="f"/>
        </w:pict>
      </w:r>
    </w:p>
    <w:p w14:paraId="448CA073" w14:textId="77777777" w:rsidR="00B35FB8" w:rsidRPr="00B34D13" w:rsidRDefault="00F677E8" w:rsidP="00275A47">
      <w:pPr>
        <w:numPr>
          <w:ilvl w:val="0"/>
          <w:numId w:val="2"/>
        </w:numPr>
        <w:spacing w:before="100" w:beforeAutospacing="1" w:after="240"/>
        <w:rPr>
          <w:rFonts w:cs="Arial"/>
          <w:b/>
          <w:caps/>
          <w:sz w:val="24"/>
          <w:szCs w:val="24"/>
        </w:rPr>
      </w:pPr>
      <w:bookmarkStart w:id="3" w:name="appealagainstprobation"/>
      <w:bookmarkStart w:id="4" w:name="academicstandingofexcluded"/>
      <w:bookmarkEnd w:id="3"/>
      <w:bookmarkEnd w:id="4"/>
      <w:r w:rsidRPr="00F677E8">
        <w:rPr>
          <w:b/>
          <w:caps/>
          <w:sz w:val="24"/>
          <w:szCs w:val="24"/>
        </w:rPr>
        <w:t>Academic Standing of Excluded</w:t>
      </w:r>
    </w:p>
    <w:p w14:paraId="448CA074" w14:textId="77777777" w:rsidR="00F677E8" w:rsidRPr="00F677E8" w:rsidRDefault="00F677E8" w:rsidP="00275A47">
      <w:pPr>
        <w:numPr>
          <w:ilvl w:val="1"/>
          <w:numId w:val="2"/>
        </w:numPr>
        <w:tabs>
          <w:tab w:val="clear" w:pos="1146"/>
          <w:tab w:val="left" w:pos="1134"/>
        </w:tabs>
        <w:rPr>
          <w:rFonts w:cs="Arial"/>
          <w:sz w:val="20"/>
        </w:rPr>
      </w:pPr>
      <w:bookmarkStart w:id="5" w:name="fourpointone"/>
      <w:bookmarkEnd w:id="5"/>
      <w:r w:rsidRPr="00F677E8">
        <w:rPr>
          <w:rFonts w:cs="Arial"/>
          <w:sz w:val="20"/>
        </w:rPr>
        <w:t>A student is eligible for exclusion if the student:</w:t>
      </w:r>
    </w:p>
    <w:p w14:paraId="448CA075" w14:textId="6662E82D" w:rsidR="00F677E8" w:rsidRPr="000F61FB" w:rsidRDefault="004C03EE" w:rsidP="000F61FB">
      <w:pPr>
        <w:pStyle w:val="ListParagraph"/>
        <w:numPr>
          <w:ilvl w:val="0"/>
          <w:numId w:val="8"/>
        </w:numPr>
        <w:tabs>
          <w:tab w:val="left" w:pos="1134"/>
        </w:tabs>
        <w:rPr>
          <w:rFonts w:cs="Arial"/>
          <w:sz w:val="20"/>
        </w:rPr>
      </w:pPr>
      <w:r w:rsidRPr="000F61FB">
        <w:rPr>
          <w:rFonts w:cs="Arial"/>
          <w:sz w:val="20"/>
        </w:rPr>
        <w:t xml:space="preserve">has a cumulative </w:t>
      </w:r>
      <w:r w:rsidR="004C7EC2" w:rsidRPr="000F61FB">
        <w:rPr>
          <w:rFonts w:cs="Arial"/>
          <w:sz w:val="20"/>
        </w:rPr>
        <w:t xml:space="preserve">career </w:t>
      </w:r>
      <w:r w:rsidRPr="000F61FB">
        <w:rPr>
          <w:rFonts w:cs="Arial"/>
          <w:sz w:val="20"/>
        </w:rPr>
        <w:t xml:space="preserve">GPA of less than 3.5 at the end of a </w:t>
      </w:r>
      <w:r w:rsidR="00A25806">
        <w:rPr>
          <w:rFonts w:cs="Arial"/>
          <w:sz w:val="20"/>
        </w:rPr>
        <w:t xml:space="preserve">standard trimester in </w:t>
      </w:r>
      <w:r w:rsidR="00F10B15">
        <w:rPr>
          <w:rFonts w:cs="Arial"/>
          <w:sz w:val="20"/>
        </w:rPr>
        <w:t xml:space="preserve">an academic standing review </w:t>
      </w:r>
      <w:r w:rsidR="00D56213">
        <w:rPr>
          <w:rFonts w:cs="Arial"/>
          <w:sz w:val="20"/>
        </w:rPr>
        <w:t>period</w:t>
      </w:r>
      <w:r w:rsidR="00F677E8" w:rsidRPr="000F61FB">
        <w:rPr>
          <w:rFonts w:cs="Arial"/>
          <w:sz w:val="20"/>
        </w:rPr>
        <w:t>;</w:t>
      </w:r>
      <w:r w:rsidR="005130C4">
        <w:rPr>
          <w:rFonts w:cs="Arial"/>
          <w:sz w:val="20"/>
        </w:rPr>
        <w:t xml:space="preserve"> and</w:t>
      </w:r>
    </w:p>
    <w:p w14:paraId="448CA076" w14:textId="06EDABBC" w:rsidR="00A23A23" w:rsidRDefault="004C03EE" w:rsidP="00A23A23">
      <w:pPr>
        <w:pStyle w:val="ListParagraph"/>
        <w:numPr>
          <w:ilvl w:val="0"/>
          <w:numId w:val="8"/>
        </w:numPr>
        <w:tabs>
          <w:tab w:val="left" w:pos="993"/>
        </w:tabs>
        <w:rPr>
          <w:rFonts w:cs="Arial"/>
          <w:sz w:val="20"/>
        </w:rPr>
      </w:pPr>
      <w:r w:rsidRPr="000F61FB">
        <w:rPr>
          <w:rFonts w:cs="Arial"/>
          <w:sz w:val="20"/>
        </w:rPr>
        <w:t xml:space="preserve">has </w:t>
      </w:r>
      <w:r w:rsidR="008E2DBA">
        <w:rPr>
          <w:rFonts w:cs="Arial"/>
          <w:sz w:val="20"/>
        </w:rPr>
        <w:t xml:space="preserve">previously </w:t>
      </w:r>
      <w:r w:rsidR="00A12BAB">
        <w:rPr>
          <w:rFonts w:cs="Arial"/>
          <w:sz w:val="20"/>
        </w:rPr>
        <w:t>b</w:t>
      </w:r>
      <w:r w:rsidR="006070C3">
        <w:rPr>
          <w:rFonts w:cs="Arial"/>
          <w:sz w:val="20"/>
        </w:rPr>
        <w:t>e</w:t>
      </w:r>
      <w:r w:rsidR="00A12BAB">
        <w:rPr>
          <w:rFonts w:cs="Arial"/>
          <w:sz w:val="20"/>
        </w:rPr>
        <w:t>en</w:t>
      </w:r>
      <w:r w:rsidR="006070C3">
        <w:rPr>
          <w:rFonts w:cs="Arial"/>
          <w:sz w:val="20"/>
        </w:rPr>
        <w:t xml:space="preserve"> assessed as </w:t>
      </w:r>
      <w:r w:rsidR="00504F1A">
        <w:rPr>
          <w:rFonts w:cs="Arial"/>
          <w:sz w:val="20"/>
        </w:rPr>
        <w:t xml:space="preserve">having an academic standing status </w:t>
      </w:r>
      <w:r w:rsidR="00197DC1">
        <w:rPr>
          <w:rFonts w:cs="Arial"/>
          <w:sz w:val="20"/>
        </w:rPr>
        <w:t xml:space="preserve">of </w:t>
      </w:r>
      <w:r w:rsidR="005130C4">
        <w:rPr>
          <w:rFonts w:cs="Arial"/>
          <w:sz w:val="20"/>
        </w:rPr>
        <w:t>Amber</w:t>
      </w:r>
      <w:r w:rsidR="006070C3" w:rsidRPr="000F61FB">
        <w:rPr>
          <w:rFonts w:cs="Arial"/>
          <w:sz w:val="20"/>
        </w:rPr>
        <w:t xml:space="preserve"> </w:t>
      </w:r>
      <w:r w:rsidR="00CC29FE">
        <w:rPr>
          <w:rFonts w:cs="Arial"/>
          <w:sz w:val="20"/>
        </w:rPr>
        <w:t>or Probation</w:t>
      </w:r>
      <w:r w:rsidR="00DB739A">
        <w:rPr>
          <w:rFonts w:cs="Arial"/>
          <w:sz w:val="20"/>
        </w:rPr>
        <w:t>*</w:t>
      </w:r>
      <w:r w:rsidR="00CC29FE">
        <w:rPr>
          <w:rFonts w:cs="Arial"/>
          <w:sz w:val="20"/>
        </w:rPr>
        <w:t xml:space="preserve"> </w:t>
      </w:r>
      <w:r w:rsidR="00907EBB">
        <w:rPr>
          <w:rFonts w:cs="Arial"/>
          <w:sz w:val="20"/>
        </w:rPr>
        <w:t xml:space="preserve">at least once </w:t>
      </w:r>
      <w:r w:rsidRPr="000F61FB">
        <w:rPr>
          <w:rFonts w:cs="Arial"/>
          <w:sz w:val="20"/>
        </w:rPr>
        <w:t>in their current academic career</w:t>
      </w:r>
      <w:r w:rsidR="00F677E8" w:rsidRPr="000F61FB">
        <w:rPr>
          <w:rFonts w:cs="Arial"/>
          <w:sz w:val="20"/>
        </w:rPr>
        <w:t>.</w:t>
      </w:r>
    </w:p>
    <w:p w14:paraId="448CA077" w14:textId="5B4D9C20" w:rsidR="005540F3" w:rsidRPr="00A23A23" w:rsidRDefault="00F677E8" w:rsidP="00A23A23">
      <w:pPr>
        <w:tabs>
          <w:tab w:val="left" w:pos="993"/>
        </w:tabs>
        <w:ind w:left="1134"/>
        <w:rPr>
          <w:rFonts w:cs="Arial"/>
          <w:sz w:val="20"/>
        </w:rPr>
      </w:pPr>
      <w:r w:rsidRPr="00A23A23">
        <w:rPr>
          <w:rFonts w:cs="Arial"/>
          <w:sz w:val="20"/>
        </w:rPr>
        <w:t>Notwithstanding provisions (</w:t>
      </w:r>
      <w:proofErr w:type="spellStart"/>
      <w:r w:rsidRPr="00A23A23">
        <w:rPr>
          <w:rFonts w:cs="Arial"/>
          <w:sz w:val="20"/>
        </w:rPr>
        <w:t>i</w:t>
      </w:r>
      <w:proofErr w:type="spellEnd"/>
      <w:r w:rsidRPr="00A23A23">
        <w:rPr>
          <w:rFonts w:cs="Arial"/>
          <w:sz w:val="20"/>
        </w:rPr>
        <w:t xml:space="preserve">) and (ii) above, if the student has passed all courses in the most recent </w:t>
      </w:r>
      <w:r w:rsidR="00F10B15">
        <w:rPr>
          <w:rFonts w:cs="Arial"/>
          <w:sz w:val="20"/>
        </w:rPr>
        <w:t>trimester</w:t>
      </w:r>
      <w:r w:rsidR="00D56213">
        <w:rPr>
          <w:rFonts w:cs="Arial"/>
          <w:sz w:val="20"/>
        </w:rPr>
        <w:t>/teaching period, subject to an academic standing review period (Period 1 or 2)</w:t>
      </w:r>
      <w:r w:rsidRPr="00A23A23">
        <w:rPr>
          <w:rFonts w:cs="Arial"/>
          <w:sz w:val="20"/>
        </w:rPr>
        <w:t xml:space="preserve">, the student will not be excluded but will </w:t>
      </w:r>
      <w:r w:rsidR="005248BA">
        <w:rPr>
          <w:rFonts w:cs="Arial"/>
          <w:sz w:val="20"/>
        </w:rPr>
        <w:t xml:space="preserve">have an academic standing status of </w:t>
      </w:r>
      <w:r w:rsidR="003263C1">
        <w:rPr>
          <w:rFonts w:cs="Arial"/>
          <w:sz w:val="20"/>
        </w:rPr>
        <w:t>Amber</w:t>
      </w:r>
      <w:r w:rsidR="005248BA">
        <w:rPr>
          <w:rFonts w:cs="Arial"/>
          <w:sz w:val="20"/>
        </w:rPr>
        <w:t xml:space="preserve"> for</w:t>
      </w:r>
      <w:r w:rsidRPr="00A23A23">
        <w:rPr>
          <w:rFonts w:cs="Arial"/>
          <w:sz w:val="20"/>
        </w:rPr>
        <w:t xml:space="preserve"> </w:t>
      </w:r>
      <w:r w:rsidR="003263C1">
        <w:rPr>
          <w:rFonts w:cs="Arial"/>
          <w:sz w:val="20"/>
        </w:rPr>
        <w:t xml:space="preserve">the following </w:t>
      </w:r>
      <w:r w:rsidR="00F10B15">
        <w:rPr>
          <w:rFonts w:cs="Arial"/>
          <w:sz w:val="20"/>
        </w:rPr>
        <w:t>trimester</w:t>
      </w:r>
      <w:r w:rsidR="00D56213">
        <w:rPr>
          <w:rFonts w:cs="Arial"/>
          <w:sz w:val="20"/>
        </w:rPr>
        <w:t>/teaching period</w:t>
      </w:r>
      <w:r w:rsidRPr="00A23A23">
        <w:rPr>
          <w:rFonts w:cs="Arial"/>
          <w:sz w:val="20"/>
        </w:rPr>
        <w:t>.</w:t>
      </w:r>
    </w:p>
    <w:p w14:paraId="448CA078" w14:textId="77777777" w:rsidR="005540F3" w:rsidRDefault="005540F3" w:rsidP="005540F3">
      <w:pPr>
        <w:numPr>
          <w:ilvl w:val="1"/>
          <w:numId w:val="2"/>
        </w:numPr>
        <w:rPr>
          <w:rFonts w:cs="Arial"/>
          <w:sz w:val="20"/>
        </w:rPr>
      </w:pPr>
      <w:r w:rsidRPr="005540F3">
        <w:rPr>
          <w:rFonts w:cs="Arial"/>
          <w:sz w:val="20"/>
        </w:rPr>
        <w:t>A student is eligible for exclusion if they fail the same course three (3) times.</w:t>
      </w:r>
    </w:p>
    <w:p w14:paraId="448CA079" w14:textId="77777777" w:rsidR="00F677E8" w:rsidRPr="00F677E8" w:rsidRDefault="00F677E8" w:rsidP="00275A47">
      <w:pPr>
        <w:numPr>
          <w:ilvl w:val="1"/>
          <w:numId w:val="2"/>
        </w:numPr>
        <w:tabs>
          <w:tab w:val="clear" w:pos="1146"/>
          <w:tab w:val="left" w:pos="1134"/>
        </w:tabs>
        <w:rPr>
          <w:rFonts w:cs="Arial"/>
          <w:sz w:val="20"/>
        </w:rPr>
      </w:pPr>
      <w:r w:rsidRPr="00F677E8">
        <w:rPr>
          <w:rFonts w:cs="Arial"/>
          <w:sz w:val="20"/>
        </w:rPr>
        <w:lastRenderedPageBreak/>
        <w:t xml:space="preserve">A student may be eligible for exclusion </w:t>
      </w:r>
      <w:proofErr w:type="gramStart"/>
      <w:r w:rsidRPr="00F677E8">
        <w:rPr>
          <w:rFonts w:cs="Arial"/>
          <w:sz w:val="20"/>
        </w:rPr>
        <w:t>on the basis of</w:t>
      </w:r>
      <w:proofErr w:type="gramEnd"/>
      <w:r w:rsidRPr="00F677E8">
        <w:rPr>
          <w:rFonts w:cs="Arial"/>
          <w:sz w:val="20"/>
        </w:rPr>
        <w:t xml:space="preserve"> failure in one or more designated courses. The designated courses are required to be specified in the program requirements and advised to students. </w:t>
      </w:r>
    </w:p>
    <w:p w14:paraId="448CA07A" w14:textId="50E82EDF" w:rsidR="00F677E8" w:rsidRPr="00F677E8" w:rsidRDefault="00D56213" w:rsidP="2AED80DD">
      <w:pPr>
        <w:numPr>
          <w:ilvl w:val="1"/>
          <w:numId w:val="2"/>
        </w:numPr>
        <w:tabs>
          <w:tab w:val="clear" w:pos="1146"/>
          <w:tab w:val="left" w:pos="1134"/>
        </w:tabs>
        <w:rPr>
          <w:rFonts w:cs="Arial"/>
          <w:sz w:val="20"/>
        </w:rPr>
      </w:pPr>
      <w:bookmarkStart w:id="6" w:name="fourpointfour"/>
      <w:bookmarkEnd w:id="6"/>
      <w:r w:rsidRPr="2AED80DD">
        <w:rPr>
          <w:rFonts w:cs="Arial"/>
          <w:sz w:val="20"/>
        </w:rPr>
        <w:t>In each academic standing review period (Period 1 or 2)</w:t>
      </w:r>
      <w:r w:rsidR="00F677E8" w:rsidRPr="2AED80DD">
        <w:rPr>
          <w:rFonts w:cs="Arial"/>
          <w:sz w:val="20"/>
        </w:rPr>
        <w:t xml:space="preserve">, the </w:t>
      </w:r>
      <w:r w:rsidR="005C4A5E" w:rsidRPr="2AED80DD">
        <w:rPr>
          <w:rFonts w:cs="Arial"/>
          <w:sz w:val="20"/>
        </w:rPr>
        <w:t xml:space="preserve">Program </w:t>
      </w:r>
      <w:r w:rsidR="00FC7298" w:rsidRPr="2AED80DD">
        <w:rPr>
          <w:rFonts w:cs="Arial"/>
          <w:sz w:val="20"/>
        </w:rPr>
        <w:t>Director</w:t>
      </w:r>
      <w:r w:rsidR="00F677E8" w:rsidRPr="2AED80DD">
        <w:rPr>
          <w:rFonts w:cs="Arial"/>
          <w:sz w:val="20"/>
        </w:rPr>
        <w:t xml:space="preserve"> review</w:t>
      </w:r>
      <w:r w:rsidR="000C3BDD" w:rsidRPr="2AED80DD">
        <w:rPr>
          <w:rFonts w:cs="Arial"/>
          <w:sz w:val="20"/>
        </w:rPr>
        <w:t>s</w:t>
      </w:r>
      <w:r w:rsidR="00F677E8" w:rsidRPr="2AED80DD">
        <w:rPr>
          <w:rFonts w:cs="Arial"/>
          <w:sz w:val="20"/>
        </w:rPr>
        <w:t xml:space="preserve"> all students </w:t>
      </w:r>
      <w:r w:rsidR="007D63DD" w:rsidRPr="2AED80DD">
        <w:rPr>
          <w:rFonts w:cs="Arial"/>
          <w:sz w:val="20"/>
        </w:rPr>
        <w:t xml:space="preserve">with an academic standing status of Red </w:t>
      </w:r>
      <w:r w:rsidR="00F677E8" w:rsidRPr="2AED80DD">
        <w:rPr>
          <w:rFonts w:cs="Arial"/>
          <w:sz w:val="20"/>
        </w:rPr>
        <w:t>who are eligible for exclusion</w:t>
      </w:r>
      <w:r w:rsidR="000C3BDD" w:rsidRPr="2AED80DD">
        <w:rPr>
          <w:rFonts w:cs="Arial"/>
          <w:sz w:val="20"/>
        </w:rPr>
        <w:t>, determin</w:t>
      </w:r>
      <w:r w:rsidR="007C2798" w:rsidRPr="2AED80DD">
        <w:rPr>
          <w:rFonts w:cs="Arial"/>
          <w:sz w:val="20"/>
        </w:rPr>
        <w:t>ed</w:t>
      </w:r>
      <w:r w:rsidR="000C3BDD" w:rsidRPr="2AED80DD">
        <w:rPr>
          <w:rFonts w:cs="Arial"/>
          <w:sz w:val="20"/>
        </w:rPr>
        <w:t xml:space="preserve"> in accordance with </w:t>
      </w:r>
      <w:hyperlink w:anchor="fourpointone">
        <w:r w:rsidR="007C2798" w:rsidRPr="2AED80DD">
          <w:rPr>
            <w:rStyle w:val="Hyperlink"/>
            <w:rFonts w:cs="Arial"/>
            <w:sz w:val="20"/>
          </w:rPr>
          <w:t>4</w:t>
        </w:r>
        <w:r w:rsidR="000C3BDD" w:rsidRPr="2AED80DD">
          <w:rPr>
            <w:rStyle w:val="Hyperlink"/>
            <w:rFonts w:cs="Arial"/>
            <w:sz w:val="20"/>
          </w:rPr>
          <w:t xml:space="preserve">.1, </w:t>
        </w:r>
        <w:r w:rsidR="007C2798" w:rsidRPr="2AED80DD">
          <w:rPr>
            <w:rStyle w:val="Hyperlink"/>
            <w:rFonts w:cs="Arial"/>
            <w:sz w:val="20"/>
          </w:rPr>
          <w:t>4</w:t>
        </w:r>
        <w:r w:rsidR="000C3BDD" w:rsidRPr="2AED80DD">
          <w:rPr>
            <w:rStyle w:val="Hyperlink"/>
            <w:rFonts w:cs="Arial"/>
            <w:sz w:val="20"/>
          </w:rPr>
          <w:t xml:space="preserve">.2 and </w:t>
        </w:r>
        <w:r w:rsidR="007C2798" w:rsidRPr="2AED80DD">
          <w:rPr>
            <w:rStyle w:val="Hyperlink"/>
            <w:rFonts w:cs="Arial"/>
            <w:sz w:val="20"/>
          </w:rPr>
          <w:t>4</w:t>
        </w:r>
        <w:r w:rsidR="000C3BDD" w:rsidRPr="2AED80DD">
          <w:rPr>
            <w:rStyle w:val="Hyperlink"/>
            <w:rFonts w:cs="Arial"/>
            <w:sz w:val="20"/>
          </w:rPr>
          <w:t>.3</w:t>
        </w:r>
      </w:hyperlink>
      <w:r w:rsidR="000C3BDD" w:rsidRPr="2AED80DD">
        <w:rPr>
          <w:rFonts w:cs="Arial"/>
          <w:sz w:val="20"/>
        </w:rPr>
        <w:t xml:space="preserve">. </w:t>
      </w:r>
      <w:r w:rsidR="00F46306" w:rsidRPr="2AED80DD">
        <w:rPr>
          <w:rFonts w:cs="Arial"/>
          <w:sz w:val="20"/>
        </w:rPr>
        <w:t>The Program Director may review students who are eligible for exclusion in accordance with</w:t>
      </w:r>
      <w:r w:rsidR="004B1D08" w:rsidRPr="2AED80DD">
        <w:rPr>
          <w:rFonts w:cs="Arial"/>
          <w:sz w:val="20"/>
        </w:rPr>
        <w:t xml:space="preserve"> 4.2 and</w:t>
      </w:r>
      <w:r w:rsidR="00F46306" w:rsidRPr="2AED80DD">
        <w:rPr>
          <w:rFonts w:cs="Arial"/>
          <w:sz w:val="20"/>
        </w:rPr>
        <w:t xml:space="preserve"> 4.3 outside </w:t>
      </w:r>
      <w:r w:rsidR="00423CF2" w:rsidRPr="2AED80DD">
        <w:rPr>
          <w:rFonts w:cs="Arial"/>
          <w:sz w:val="20"/>
        </w:rPr>
        <w:t xml:space="preserve">of an academic review period. </w:t>
      </w:r>
      <w:r w:rsidR="00F677E8" w:rsidRPr="2AED80DD">
        <w:rPr>
          <w:rFonts w:cs="Arial"/>
          <w:sz w:val="20"/>
        </w:rPr>
        <w:t xml:space="preserve">The </w:t>
      </w:r>
      <w:r w:rsidR="005C4A5E" w:rsidRPr="2AED80DD">
        <w:rPr>
          <w:rFonts w:cs="Arial"/>
          <w:sz w:val="20"/>
        </w:rPr>
        <w:t xml:space="preserve">Program </w:t>
      </w:r>
      <w:r w:rsidR="00FC7298" w:rsidRPr="2AED80DD">
        <w:rPr>
          <w:rFonts w:cs="Arial"/>
          <w:sz w:val="20"/>
        </w:rPr>
        <w:t>Director</w:t>
      </w:r>
      <w:r w:rsidR="00F677E8" w:rsidRPr="2AED80DD">
        <w:rPr>
          <w:rFonts w:cs="Arial"/>
          <w:sz w:val="20"/>
        </w:rPr>
        <w:t xml:space="preserve"> may recommend to the relevant Dean</w:t>
      </w:r>
      <w:r w:rsidR="007C2798" w:rsidRPr="2AED80DD">
        <w:rPr>
          <w:rFonts w:cs="Arial"/>
          <w:sz w:val="20"/>
        </w:rPr>
        <w:t xml:space="preserve"> (Learning &amp; Teaching)</w:t>
      </w:r>
      <w:r w:rsidR="00F677E8" w:rsidRPr="2AED80DD">
        <w:rPr>
          <w:rFonts w:cs="Arial"/>
          <w:sz w:val="20"/>
        </w:rPr>
        <w:t xml:space="preserve"> that a</w:t>
      </w:r>
      <w:r w:rsidR="006850C0" w:rsidRPr="2AED80DD">
        <w:rPr>
          <w:rFonts w:cs="Arial"/>
          <w:sz w:val="20"/>
        </w:rPr>
        <w:t xml:space="preserve"> </w:t>
      </w:r>
      <w:r w:rsidR="00F677E8" w:rsidRPr="2AED80DD">
        <w:rPr>
          <w:rFonts w:cs="Arial"/>
          <w:sz w:val="20"/>
        </w:rPr>
        <w:t xml:space="preserve">student </w:t>
      </w:r>
      <w:r w:rsidR="00E77821" w:rsidRPr="2AED80DD">
        <w:rPr>
          <w:rFonts w:cs="Arial"/>
          <w:sz w:val="20"/>
        </w:rPr>
        <w:t xml:space="preserve">with a </w:t>
      </w:r>
      <w:proofErr w:type="gramStart"/>
      <w:r w:rsidR="00E77821" w:rsidRPr="2AED80DD">
        <w:rPr>
          <w:rFonts w:cs="Arial"/>
          <w:sz w:val="20"/>
        </w:rPr>
        <w:t>Red</w:t>
      </w:r>
      <w:proofErr w:type="gramEnd"/>
      <w:r w:rsidR="00C86452" w:rsidRPr="2AED80DD">
        <w:rPr>
          <w:rFonts w:cs="Arial"/>
          <w:sz w:val="20"/>
        </w:rPr>
        <w:t xml:space="preserve"> status</w:t>
      </w:r>
      <w:r w:rsidR="00781762" w:rsidRPr="2AED80DD">
        <w:rPr>
          <w:rFonts w:cs="Arial"/>
          <w:sz w:val="20"/>
        </w:rPr>
        <w:t xml:space="preserve"> </w:t>
      </w:r>
      <w:r w:rsidR="00F677E8" w:rsidRPr="2AED80DD">
        <w:rPr>
          <w:rFonts w:cs="Arial"/>
          <w:sz w:val="20"/>
        </w:rPr>
        <w:t xml:space="preserve">should not be excluded where the </w:t>
      </w:r>
      <w:r w:rsidR="005C4A5E" w:rsidRPr="2AED80DD">
        <w:rPr>
          <w:rFonts w:cs="Arial"/>
          <w:sz w:val="20"/>
        </w:rPr>
        <w:t xml:space="preserve">Program </w:t>
      </w:r>
      <w:r w:rsidR="00FC7298" w:rsidRPr="2AED80DD">
        <w:rPr>
          <w:rFonts w:cs="Arial"/>
          <w:sz w:val="20"/>
        </w:rPr>
        <w:t>Director</w:t>
      </w:r>
      <w:r w:rsidR="00F677E8" w:rsidRPr="2AED80DD">
        <w:rPr>
          <w:rFonts w:cs="Arial"/>
          <w:sz w:val="20"/>
        </w:rPr>
        <w:t xml:space="preserve"> is of the view that exceptional or compassionate circumstances have been the cause of the student's poor academic performance. </w:t>
      </w:r>
      <w:proofErr w:type="gramStart"/>
      <w:r w:rsidR="00F677E8" w:rsidRPr="2AED80DD">
        <w:rPr>
          <w:rFonts w:cs="Arial"/>
          <w:sz w:val="20"/>
        </w:rPr>
        <w:t>However</w:t>
      </w:r>
      <w:proofErr w:type="gramEnd"/>
      <w:r w:rsidR="00F677E8" w:rsidRPr="2AED80DD">
        <w:rPr>
          <w:rFonts w:cs="Arial"/>
          <w:sz w:val="20"/>
        </w:rPr>
        <w:t xml:space="preserve"> the relevant Dean</w:t>
      </w:r>
      <w:r w:rsidR="007C2798" w:rsidRPr="2AED80DD">
        <w:rPr>
          <w:rFonts w:cs="Arial"/>
          <w:sz w:val="20"/>
        </w:rPr>
        <w:t xml:space="preserve"> (Learning &amp; Teaching)</w:t>
      </w:r>
      <w:r w:rsidR="00F677E8" w:rsidRPr="2AED80DD">
        <w:rPr>
          <w:rFonts w:cs="Arial"/>
          <w:sz w:val="20"/>
        </w:rPr>
        <w:t xml:space="preserve"> in accepting the </w:t>
      </w:r>
      <w:r w:rsidR="005C4A5E" w:rsidRPr="2AED80DD">
        <w:rPr>
          <w:rFonts w:cs="Arial"/>
          <w:sz w:val="20"/>
        </w:rPr>
        <w:t xml:space="preserve">Program </w:t>
      </w:r>
      <w:r w:rsidR="00FC7298" w:rsidRPr="2AED80DD">
        <w:rPr>
          <w:rFonts w:cs="Arial"/>
          <w:sz w:val="20"/>
        </w:rPr>
        <w:t>Director’s</w:t>
      </w:r>
      <w:r w:rsidR="00F677E8" w:rsidRPr="2AED80DD">
        <w:rPr>
          <w:rFonts w:cs="Arial"/>
          <w:sz w:val="20"/>
        </w:rPr>
        <w:t xml:space="preserve"> recommendation may impose restrictions on the number or type of courses in which the students is permitted to enrol in the next </w:t>
      </w:r>
      <w:r w:rsidR="009179AF" w:rsidRPr="2AED80DD">
        <w:rPr>
          <w:rFonts w:cs="Arial"/>
          <w:sz w:val="20"/>
        </w:rPr>
        <w:t xml:space="preserve">trimester/teaching period.  </w:t>
      </w:r>
      <w:r w:rsidR="00F677E8" w:rsidRPr="2AED80DD">
        <w:rPr>
          <w:rFonts w:cs="Arial"/>
          <w:sz w:val="20"/>
        </w:rPr>
        <w:t>Imposition of enrolment restrictions by the relevant Dean</w:t>
      </w:r>
      <w:r w:rsidR="007C2798" w:rsidRPr="2AED80DD">
        <w:rPr>
          <w:rFonts w:cs="Arial"/>
          <w:sz w:val="20"/>
        </w:rPr>
        <w:t xml:space="preserve"> (Learning &amp; Teaching)</w:t>
      </w:r>
      <w:r w:rsidR="00F677E8" w:rsidRPr="2AED80DD">
        <w:rPr>
          <w:rFonts w:cs="Arial"/>
          <w:sz w:val="20"/>
        </w:rPr>
        <w:t xml:space="preserve"> must be advised in writing to the student and a copy of the correspondence placed on the student's file.</w:t>
      </w:r>
    </w:p>
    <w:p w14:paraId="448CA07B" w14:textId="7AF95B1F" w:rsidR="00F677E8" w:rsidRPr="00F677E8" w:rsidRDefault="00F677E8" w:rsidP="00275A47">
      <w:pPr>
        <w:numPr>
          <w:ilvl w:val="1"/>
          <w:numId w:val="2"/>
        </w:numPr>
        <w:tabs>
          <w:tab w:val="clear" w:pos="1146"/>
          <w:tab w:val="left" w:pos="1134"/>
        </w:tabs>
        <w:rPr>
          <w:rFonts w:cs="Arial"/>
          <w:sz w:val="20"/>
        </w:rPr>
      </w:pPr>
      <w:r w:rsidRPr="00F677E8">
        <w:rPr>
          <w:rFonts w:cs="Arial"/>
          <w:sz w:val="20"/>
        </w:rPr>
        <w:t xml:space="preserve">The relevant </w:t>
      </w:r>
      <w:r w:rsidR="000C3BDD">
        <w:rPr>
          <w:rFonts w:cs="Arial"/>
          <w:sz w:val="20"/>
        </w:rPr>
        <w:t>Program Director</w:t>
      </w:r>
      <w:r w:rsidR="003400B5">
        <w:rPr>
          <w:rFonts w:cs="Arial"/>
          <w:sz w:val="20"/>
        </w:rPr>
        <w:t xml:space="preserve"> confirms</w:t>
      </w:r>
      <w:r w:rsidRPr="00F677E8">
        <w:rPr>
          <w:rFonts w:cs="Arial"/>
          <w:sz w:val="20"/>
        </w:rPr>
        <w:t xml:space="preserve"> students who are to be excluded from further study on the basis of Sections</w:t>
      </w:r>
      <w:hyperlink w:anchor="fourpointone" w:history="1">
        <w:r w:rsidRPr="005B64D2">
          <w:rPr>
            <w:rStyle w:val="Hyperlink"/>
            <w:rFonts w:cs="Arial"/>
            <w:sz w:val="20"/>
          </w:rPr>
          <w:t xml:space="preserve"> </w:t>
        </w:r>
        <w:r w:rsidR="007C2798" w:rsidRPr="005B64D2">
          <w:rPr>
            <w:rStyle w:val="Hyperlink"/>
            <w:rFonts w:cs="Arial"/>
            <w:sz w:val="20"/>
          </w:rPr>
          <w:t>4</w:t>
        </w:r>
        <w:r w:rsidRPr="005B64D2">
          <w:rPr>
            <w:rStyle w:val="Hyperlink"/>
            <w:rFonts w:cs="Arial"/>
            <w:sz w:val="20"/>
          </w:rPr>
          <w:t>.1</w:t>
        </w:r>
        <w:r w:rsidR="002F0FA9" w:rsidRPr="005B64D2">
          <w:rPr>
            <w:rStyle w:val="Hyperlink"/>
            <w:rFonts w:cs="Arial"/>
            <w:sz w:val="20"/>
          </w:rPr>
          <w:t>,</w:t>
        </w:r>
        <w:r w:rsidR="007C7570" w:rsidRPr="005B64D2">
          <w:rPr>
            <w:rStyle w:val="Hyperlink"/>
            <w:rFonts w:cs="Arial"/>
            <w:sz w:val="20"/>
          </w:rPr>
          <w:t xml:space="preserve"> </w:t>
        </w:r>
        <w:r w:rsidR="007C2798" w:rsidRPr="005B64D2">
          <w:rPr>
            <w:rStyle w:val="Hyperlink"/>
            <w:rFonts w:cs="Arial"/>
            <w:sz w:val="20"/>
          </w:rPr>
          <w:t>4</w:t>
        </w:r>
        <w:r w:rsidRPr="005B64D2">
          <w:rPr>
            <w:rStyle w:val="Hyperlink"/>
            <w:rFonts w:cs="Arial"/>
            <w:sz w:val="20"/>
          </w:rPr>
          <w:t>.2</w:t>
        </w:r>
        <w:r w:rsidR="002F0FA9" w:rsidRPr="005B64D2">
          <w:rPr>
            <w:rStyle w:val="Hyperlink"/>
            <w:rFonts w:cs="Arial"/>
            <w:sz w:val="20"/>
          </w:rPr>
          <w:t xml:space="preserve"> and </w:t>
        </w:r>
        <w:r w:rsidR="007C2798" w:rsidRPr="005B64D2">
          <w:rPr>
            <w:rStyle w:val="Hyperlink"/>
            <w:rFonts w:cs="Arial"/>
            <w:sz w:val="20"/>
          </w:rPr>
          <w:t>4</w:t>
        </w:r>
        <w:r w:rsidR="002F0FA9" w:rsidRPr="005B64D2">
          <w:rPr>
            <w:rStyle w:val="Hyperlink"/>
            <w:rFonts w:cs="Arial"/>
            <w:sz w:val="20"/>
          </w:rPr>
          <w:t>.3</w:t>
        </w:r>
      </w:hyperlink>
      <w:r w:rsidRPr="00F677E8">
        <w:rPr>
          <w:rFonts w:cs="Arial"/>
          <w:sz w:val="20"/>
        </w:rPr>
        <w:t xml:space="preserve">, and </w:t>
      </w:r>
      <w:r w:rsidR="00CC29FE">
        <w:rPr>
          <w:rFonts w:cs="Arial"/>
          <w:sz w:val="20"/>
        </w:rPr>
        <w:t xml:space="preserve">the relevant Dean (Learning &amp; Teaching) </w:t>
      </w:r>
      <w:r w:rsidR="003400B5">
        <w:rPr>
          <w:rFonts w:cs="Arial"/>
          <w:sz w:val="20"/>
        </w:rPr>
        <w:t xml:space="preserve">decides on </w:t>
      </w:r>
      <w:r w:rsidR="00CC29FE">
        <w:rPr>
          <w:rFonts w:cs="Arial"/>
          <w:sz w:val="20"/>
        </w:rPr>
        <w:t xml:space="preserve">students who are permitted to continue to study, </w:t>
      </w:r>
      <w:r w:rsidRPr="00F677E8">
        <w:rPr>
          <w:rFonts w:cs="Arial"/>
          <w:sz w:val="20"/>
        </w:rPr>
        <w:t xml:space="preserve">taking into account the recommendations of the </w:t>
      </w:r>
      <w:r w:rsidR="005C4A5E">
        <w:rPr>
          <w:rFonts w:cs="Arial"/>
          <w:sz w:val="20"/>
        </w:rPr>
        <w:t xml:space="preserve">Program </w:t>
      </w:r>
      <w:r w:rsidR="00FC7298">
        <w:rPr>
          <w:rFonts w:cs="Arial"/>
          <w:sz w:val="20"/>
        </w:rPr>
        <w:t>Director</w:t>
      </w:r>
      <w:r w:rsidRPr="00F677E8">
        <w:rPr>
          <w:rFonts w:cs="Arial"/>
          <w:sz w:val="20"/>
        </w:rPr>
        <w:t xml:space="preserve"> under </w:t>
      </w:r>
      <w:hyperlink w:anchor="fourpointfour" w:history="1">
        <w:r w:rsidRPr="005B64D2">
          <w:rPr>
            <w:rStyle w:val="Hyperlink"/>
            <w:rFonts w:cs="Arial"/>
            <w:sz w:val="20"/>
          </w:rPr>
          <w:t xml:space="preserve">section </w:t>
        </w:r>
        <w:r w:rsidR="007C2798" w:rsidRPr="005B64D2">
          <w:rPr>
            <w:rStyle w:val="Hyperlink"/>
            <w:rFonts w:cs="Arial"/>
            <w:sz w:val="20"/>
          </w:rPr>
          <w:t>4</w:t>
        </w:r>
        <w:r w:rsidRPr="005B64D2">
          <w:rPr>
            <w:rStyle w:val="Hyperlink"/>
            <w:rFonts w:cs="Arial"/>
            <w:sz w:val="20"/>
          </w:rPr>
          <w:t>.</w:t>
        </w:r>
        <w:r w:rsidR="002F0FA9" w:rsidRPr="005B64D2">
          <w:rPr>
            <w:rStyle w:val="Hyperlink"/>
            <w:rFonts w:cs="Arial"/>
            <w:sz w:val="20"/>
          </w:rPr>
          <w:t>4</w:t>
        </w:r>
      </w:hyperlink>
      <w:r w:rsidRPr="00F677E8">
        <w:rPr>
          <w:rFonts w:cs="Arial"/>
          <w:sz w:val="20"/>
        </w:rPr>
        <w:t>. Where a student is eligible for exclusion in terms of section</w:t>
      </w:r>
      <w:hyperlink w:anchor="fourpointone" w:history="1">
        <w:r w:rsidRPr="005B64D2">
          <w:rPr>
            <w:rStyle w:val="Hyperlink"/>
            <w:rFonts w:cs="Arial"/>
            <w:sz w:val="20"/>
          </w:rPr>
          <w:t xml:space="preserve"> </w:t>
        </w:r>
        <w:r w:rsidR="007C2798" w:rsidRPr="005B64D2">
          <w:rPr>
            <w:rStyle w:val="Hyperlink"/>
            <w:rFonts w:cs="Arial"/>
            <w:sz w:val="20"/>
          </w:rPr>
          <w:t>4</w:t>
        </w:r>
        <w:r w:rsidRPr="005B64D2">
          <w:rPr>
            <w:rStyle w:val="Hyperlink"/>
            <w:rFonts w:cs="Arial"/>
            <w:sz w:val="20"/>
          </w:rPr>
          <w:t>.1</w:t>
        </w:r>
        <w:r w:rsidR="00DC177E" w:rsidRPr="005B64D2">
          <w:rPr>
            <w:rStyle w:val="Hyperlink"/>
            <w:rFonts w:cs="Arial"/>
            <w:sz w:val="20"/>
          </w:rPr>
          <w:t>,</w:t>
        </w:r>
        <w:r w:rsidR="007C7570" w:rsidRPr="005B64D2">
          <w:rPr>
            <w:rStyle w:val="Hyperlink"/>
            <w:rFonts w:cs="Arial"/>
            <w:sz w:val="20"/>
          </w:rPr>
          <w:t xml:space="preserve"> </w:t>
        </w:r>
        <w:r w:rsidR="007C2798" w:rsidRPr="005B64D2">
          <w:rPr>
            <w:rStyle w:val="Hyperlink"/>
            <w:rFonts w:cs="Arial"/>
            <w:sz w:val="20"/>
          </w:rPr>
          <w:t>4</w:t>
        </w:r>
        <w:r w:rsidRPr="005B64D2">
          <w:rPr>
            <w:rStyle w:val="Hyperlink"/>
            <w:rFonts w:cs="Arial"/>
            <w:sz w:val="20"/>
          </w:rPr>
          <w:t>.2</w:t>
        </w:r>
        <w:r w:rsidR="00DC177E" w:rsidRPr="005B64D2">
          <w:rPr>
            <w:rStyle w:val="Hyperlink"/>
            <w:rFonts w:cs="Arial"/>
            <w:sz w:val="20"/>
          </w:rPr>
          <w:t xml:space="preserve"> or </w:t>
        </w:r>
        <w:r w:rsidR="007C2798" w:rsidRPr="005B64D2">
          <w:rPr>
            <w:rStyle w:val="Hyperlink"/>
            <w:rFonts w:cs="Arial"/>
            <w:sz w:val="20"/>
          </w:rPr>
          <w:t>4</w:t>
        </w:r>
        <w:r w:rsidR="00DC177E" w:rsidRPr="005B64D2">
          <w:rPr>
            <w:rStyle w:val="Hyperlink"/>
            <w:rFonts w:cs="Arial"/>
            <w:sz w:val="20"/>
          </w:rPr>
          <w:t>.3</w:t>
        </w:r>
      </w:hyperlink>
      <w:r w:rsidRPr="00F677E8">
        <w:rPr>
          <w:rFonts w:cs="Arial"/>
          <w:sz w:val="20"/>
        </w:rPr>
        <w:t xml:space="preserve">, but is permitted to continue study under section </w:t>
      </w:r>
      <w:r w:rsidR="00480ACC">
        <w:rPr>
          <w:rFonts w:cs="Arial"/>
          <w:sz w:val="20"/>
        </w:rPr>
        <w:t>3</w:t>
      </w:r>
      <w:r w:rsidRPr="00F677E8">
        <w:rPr>
          <w:rFonts w:cs="Arial"/>
          <w:sz w:val="20"/>
        </w:rPr>
        <w:t>.</w:t>
      </w:r>
      <w:r w:rsidR="00405C7C">
        <w:rPr>
          <w:rFonts w:cs="Arial"/>
          <w:sz w:val="20"/>
        </w:rPr>
        <w:t>4</w:t>
      </w:r>
      <w:r w:rsidRPr="00F677E8">
        <w:rPr>
          <w:rFonts w:cs="Arial"/>
          <w:sz w:val="20"/>
        </w:rPr>
        <w:t>, the student has an academic status of</w:t>
      </w:r>
      <w:r w:rsidR="00587AD2">
        <w:rPr>
          <w:rFonts w:cs="Arial"/>
          <w:sz w:val="20"/>
        </w:rPr>
        <w:t xml:space="preserve"> </w:t>
      </w:r>
      <w:r w:rsidR="0065263F">
        <w:rPr>
          <w:rFonts w:cs="Arial"/>
          <w:sz w:val="20"/>
        </w:rPr>
        <w:t>Amber</w:t>
      </w:r>
      <w:r w:rsidRPr="00F677E8">
        <w:rPr>
          <w:rFonts w:cs="Arial"/>
          <w:sz w:val="20"/>
        </w:rPr>
        <w:t xml:space="preserve"> for the following </w:t>
      </w:r>
      <w:r w:rsidR="009179AF">
        <w:rPr>
          <w:rFonts w:cs="Arial"/>
          <w:sz w:val="20"/>
        </w:rPr>
        <w:t>trimester/teaching period</w:t>
      </w:r>
      <w:r w:rsidR="009179AF" w:rsidRPr="00F677E8">
        <w:rPr>
          <w:rFonts w:cs="Arial"/>
          <w:sz w:val="20"/>
        </w:rPr>
        <w:t xml:space="preserve"> </w:t>
      </w:r>
      <w:r w:rsidRPr="00F677E8">
        <w:rPr>
          <w:rFonts w:cs="Arial"/>
          <w:sz w:val="20"/>
        </w:rPr>
        <w:t>and may be required to undertake a specified program of study.</w:t>
      </w:r>
    </w:p>
    <w:p w14:paraId="283B4BA2" w14:textId="59D6DC06" w:rsidR="00DB739A" w:rsidRDefault="00F677E8" w:rsidP="00DB739A">
      <w:pPr>
        <w:numPr>
          <w:ilvl w:val="1"/>
          <w:numId w:val="2"/>
        </w:numPr>
        <w:rPr>
          <w:rFonts w:cs="Arial"/>
          <w:sz w:val="20"/>
        </w:rPr>
      </w:pPr>
      <w:r w:rsidRPr="00F677E8">
        <w:rPr>
          <w:rFonts w:cs="Arial"/>
          <w:sz w:val="20"/>
        </w:rPr>
        <w:t>A student who is excluded is not permitted to attend classes or undertake study in the program from which they were excluded or in any other program or to take study on a non-award basis within the University</w:t>
      </w:r>
      <w:r w:rsidR="00C5318B">
        <w:rPr>
          <w:rFonts w:cs="Arial"/>
          <w:sz w:val="20"/>
        </w:rPr>
        <w:t xml:space="preserve"> </w:t>
      </w:r>
      <w:proofErr w:type="gramStart"/>
      <w:r w:rsidR="00C5318B">
        <w:rPr>
          <w:rFonts w:cs="Arial"/>
          <w:sz w:val="20"/>
        </w:rPr>
        <w:t>with the exception of</w:t>
      </w:r>
      <w:proofErr w:type="gramEnd"/>
      <w:r w:rsidR="00C5318B">
        <w:rPr>
          <w:rFonts w:cs="Arial"/>
          <w:sz w:val="20"/>
        </w:rPr>
        <w:t xml:space="preserve"> English Language Intensive Courses for Overseas Students (ELICOS) offered by the Griffith English Language Institute (GELI)</w:t>
      </w:r>
      <w:r w:rsidRPr="00F677E8">
        <w:rPr>
          <w:rFonts w:cs="Arial"/>
          <w:sz w:val="20"/>
        </w:rPr>
        <w:t>.</w:t>
      </w:r>
    </w:p>
    <w:p w14:paraId="22E3BCD8" w14:textId="0725B5F3" w:rsidR="00DB739A" w:rsidRPr="00DB739A" w:rsidRDefault="00DB739A" w:rsidP="005B64D2">
      <w:pPr>
        <w:ind w:left="810" w:hanging="243"/>
        <w:rPr>
          <w:rFonts w:cs="Arial"/>
          <w:sz w:val="18"/>
          <w:szCs w:val="18"/>
        </w:rPr>
      </w:pPr>
      <w:r w:rsidRPr="00DB739A">
        <w:rPr>
          <w:rFonts w:cs="Arial"/>
          <w:sz w:val="18"/>
          <w:szCs w:val="18"/>
        </w:rPr>
        <w:t xml:space="preserve">* </w:t>
      </w:r>
      <w:r w:rsidR="005B64D2">
        <w:rPr>
          <w:rFonts w:cs="Arial"/>
          <w:sz w:val="18"/>
          <w:szCs w:val="18"/>
        </w:rPr>
        <w:tab/>
      </w:r>
      <w:r w:rsidRPr="00DB739A">
        <w:rPr>
          <w:rFonts w:cs="Arial"/>
          <w:sz w:val="18"/>
          <w:szCs w:val="18"/>
        </w:rPr>
        <w:t xml:space="preserve">Prior to Semester 1, 2015, the term used to describe the status of students who had met the conditions for an amber status was probation. </w:t>
      </w:r>
    </w:p>
    <w:p w14:paraId="448CA07D" w14:textId="77777777" w:rsidR="00431ED9" w:rsidRPr="00F677E8" w:rsidRDefault="00E262C0" w:rsidP="000D7B27">
      <w:pPr>
        <w:ind w:left="0"/>
        <w:rPr>
          <w:rFonts w:cs="Arial"/>
          <w:sz w:val="20"/>
        </w:rPr>
      </w:pPr>
      <w:r>
        <w:rPr>
          <w:rFonts w:cs="Arial"/>
          <w:sz w:val="20"/>
        </w:rPr>
        <w:pict w14:anchorId="448CA094">
          <v:rect id="_x0000_i1028" style="width:476.25pt;height:1pt" o:hralign="center" o:hrstd="t" o:hrnoshade="t" o:hr="t" fillcolor="#d8d8d8 [2732]" stroked="f"/>
        </w:pict>
      </w:r>
    </w:p>
    <w:p w14:paraId="448CA07E" w14:textId="467BA11D" w:rsidR="00E31309" w:rsidRPr="00B34D13" w:rsidRDefault="00B75A9C" w:rsidP="00275A47">
      <w:pPr>
        <w:numPr>
          <w:ilvl w:val="0"/>
          <w:numId w:val="2"/>
        </w:numPr>
        <w:spacing w:before="100" w:beforeAutospacing="1" w:after="240"/>
        <w:rPr>
          <w:rFonts w:cs="Arial"/>
          <w:b/>
          <w:caps/>
          <w:sz w:val="24"/>
          <w:szCs w:val="24"/>
        </w:rPr>
      </w:pPr>
      <w:bookmarkStart w:id="7" w:name="appealagainstexclusion"/>
      <w:bookmarkEnd w:id="7"/>
      <w:r>
        <w:rPr>
          <w:b/>
          <w:caps/>
          <w:sz w:val="24"/>
          <w:szCs w:val="24"/>
        </w:rPr>
        <w:t xml:space="preserve">REVIEW anD </w:t>
      </w:r>
      <w:r w:rsidR="00275A47" w:rsidRPr="00275A47">
        <w:rPr>
          <w:b/>
          <w:caps/>
          <w:sz w:val="24"/>
          <w:szCs w:val="24"/>
        </w:rPr>
        <w:t>Appeal against</w:t>
      </w:r>
      <w:r w:rsidR="00A82D5C">
        <w:rPr>
          <w:b/>
          <w:caps/>
          <w:sz w:val="24"/>
          <w:szCs w:val="24"/>
        </w:rPr>
        <w:t xml:space="preserve"> A DECISION OF</w:t>
      </w:r>
      <w:r w:rsidR="00275A47" w:rsidRPr="00275A47">
        <w:rPr>
          <w:b/>
          <w:caps/>
          <w:sz w:val="24"/>
          <w:szCs w:val="24"/>
        </w:rPr>
        <w:t xml:space="preserve"> Exclusion</w:t>
      </w:r>
    </w:p>
    <w:p w14:paraId="4C850D7A" w14:textId="2CE1A16E" w:rsidR="00A82D5C" w:rsidRPr="00A82D5C" w:rsidRDefault="00A82D5C" w:rsidP="00642CB5">
      <w:pPr>
        <w:ind w:left="562"/>
        <w:rPr>
          <w:rFonts w:cs="Arial"/>
          <w:sz w:val="20"/>
        </w:rPr>
      </w:pPr>
      <w:r>
        <w:rPr>
          <w:rFonts w:cs="Arial"/>
          <w:sz w:val="20"/>
        </w:rPr>
        <w:t xml:space="preserve">A student who is excluded </w:t>
      </w:r>
      <w:r w:rsidR="000C3BDD">
        <w:rPr>
          <w:rFonts w:cs="Arial"/>
          <w:sz w:val="20"/>
        </w:rPr>
        <w:t xml:space="preserve">in terms </w:t>
      </w:r>
      <w:hyperlink w:anchor="fourpointone" w:history="1">
        <w:r w:rsidR="000C3BDD" w:rsidRPr="00FA285A">
          <w:rPr>
            <w:rStyle w:val="Hyperlink"/>
            <w:rFonts w:cs="Arial"/>
            <w:sz w:val="20"/>
          </w:rPr>
          <w:t xml:space="preserve">of </w:t>
        </w:r>
        <w:r w:rsidR="007C2798" w:rsidRPr="00FA285A">
          <w:rPr>
            <w:rStyle w:val="Hyperlink"/>
            <w:rFonts w:cs="Arial"/>
            <w:sz w:val="20"/>
          </w:rPr>
          <w:t>4</w:t>
        </w:r>
        <w:r w:rsidR="000C3BDD" w:rsidRPr="00FA285A">
          <w:rPr>
            <w:rStyle w:val="Hyperlink"/>
            <w:rFonts w:cs="Arial"/>
            <w:sz w:val="20"/>
          </w:rPr>
          <w:t xml:space="preserve">.1, </w:t>
        </w:r>
        <w:r w:rsidR="007C2798" w:rsidRPr="00FA285A">
          <w:rPr>
            <w:rStyle w:val="Hyperlink"/>
            <w:rFonts w:cs="Arial"/>
            <w:sz w:val="20"/>
          </w:rPr>
          <w:t>4</w:t>
        </w:r>
        <w:r w:rsidR="00A809DA">
          <w:rPr>
            <w:rStyle w:val="Hyperlink"/>
            <w:rFonts w:cs="Arial"/>
            <w:sz w:val="20"/>
          </w:rPr>
          <w:t>.2</w:t>
        </w:r>
        <w:r w:rsidR="000C3BDD" w:rsidRPr="00FA285A">
          <w:rPr>
            <w:rStyle w:val="Hyperlink"/>
            <w:rFonts w:cs="Arial"/>
            <w:sz w:val="20"/>
          </w:rPr>
          <w:t>,</w:t>
        </w:r>
        <w:r w:rsidR="00A809DA">
          <w:rPr>
            <w:rStyle w:val="Hyperlink"/>
            <w:rFonts w:cs="Arial"/>
            <w:sz w:val="20"/>
          </w:rPr>
          <w:t xml:space="preserve"> </w:t>
        </w:r>
        <w:r w:rsidR="007C2798" w:rsidRPr="00FA285A">
          <w:rPr>
            <w:rStyle w:val="Hyperlink"/>
            <w:rFonts w:cs="Arial"/>
            <w:sz w:val="20"/>
          </w:rPr>
          <w:t>4</w:t>
        </w:r>
        <w:r w:rsidR="000C3BDD" w:rsidRPr="00FA285A">
          <w:rPr>
            <w:rStyle w:val="Hyperlink"/>
            <w:rFonts w:cs="Arial"/>
            <w:sz w:val="20"/>
          </w:rPr>
          <w:t>.3</w:t>
        </w:r>
      </w:hyperlink>
      <w:r w:rsidR="000C3BDD">
        <w:rPr>
          <w:rFonts w:cs="Arial"/>
          <w:sz w:val="20"/>
        </w:rPr>
        <w:t xml:space="preserve"> and </w:t>
      </w:r>
      <w:r w:rsidR="007C2798">
        <w:rPr>
          <w:rFonts w:cs="Arial"/>
          <w:sz w:val="20"/>
        </w:rPr>
        <w:t>4</w:t>
      </w:r>
      <w:r w:rsidR="000C3BDD">
        <w:rPr>
          <w:rFonts w:cs="Arial"/>
          <w:sz w:val="20"/>
        </w:rPr>
        <w:t xml:space="preserve">.4 </w:t>
      </w:r>
      <w:r>
        <w:rPr>
          <w:rFonts w:cs="Arial"/>
          <w:sz w:val="20"/>
        </w:rPr>
        <w:t xml:space="preserve">may </w:t>
      </w:r>
      <w:r w:rsidR="009F7FCA" w:rsidRPr="00926C16">
        <w:rPr>
          <w:rFonts w:cs="Arial"/>
          <w:sz w:val="20"/>
        </w:rPr>
        <w:t xml:space="preserve">apply for review of this decision to the Dean (Learning </w:t>
      </w:r>
      <w:r w:rsidR="007C2798">
        <w:rPr>
          <w:rFonts w:cs="Arial"/>
          <w:sz w:val="20"/>
        </w:rPr>
        <w:t>&amp;</w:t>
      </w:r>
      <w:r w:rsidR="009F7FCA" w:rsidRPr="00A82D5C">
        <w:rPr>
          <w:rFonts w:cs="Arial"/>
          <w:sz w:val="20"/>
        </w:rPr>
        <w:t xml:space="preserve"> Teaching) within 10 working days of notification of the decision. The application for review is to be made using the </w:t>
      </w:r>
      <w:r w:rsidR="009F7FCA" w:rsidRPr="00A82D5C">
        <w:rPr>
          <w:rFonts w:cs="Arial"/>
          <w:i/>
          <w:sz w:val="20"/>
        </w:rPr>
        <w:t xml:space="preserve">Review of Decision </w:t>
      </w:r>
      <w:r w:rsidR="009F7FCA" w:rsidRPr="00A82D5C">
        <w:rPr>
          <w:rFonts w:cs="Arial"/>
          <w:sz w:val="20"/>
        </w:rPr>
        <w:t xml:space="preserve">form in accordance with the University’s </w:t>
      </w:r>
      <w:r w:rsidR="009F7FCA" w:rsidRPr="00A82D5C">
        <w:rPr>
          <w:rFonts w:cs="Arial"/>
          <w:i/>
          <w:sz w:val="20"/>
        </w:rPr>
        <w:t>Student Review and Appeals Policy</w:t>
      </w:r>
      <w:r w:rsidR="009F7FCA" w:rsidRPr="00A82D5C">
        <w:rPr>
          <w:rFonts w:cs="Arial"/>
          <w:sz w:val="20"/>
        </w:rPr>
        <w:t xml:space="preserve"> and </w:t>
      </w:r>
      <w:r w:rsidR="009F7FCA" w:rsidRPr="00A82D5C">
        <w:rPr>
          <w:rFonts w:cs="Arial"/>
          <w:i/>
          <w:sz w:val="20"/>
        </w:rPr>
        <w:t>Student Review and Appeals Procedures</w:t>
      </w:r>
      <w:r w:rsidR="009F7FCA" w:rsidRPr="00A82D5C">
        <w:rPr>
          <w:rFonts w:cs="Arial"/>
          <w:sz w:val="20"/>
        </w:rPr>
        <w:t>.</w:t>
      </w:r>
    </w:p>
    <w:p w14:paraId="448CA07F" w14:textId="5F12AFFD" w:rsidR="000D7B27" w:rsidRPr="00A82D5C" w:rsidRDefault="009F7FCA" w:rsidP="2AED80DD">
      <w:pPr>
        <w:rPr>
          <w:rFonts w:cs="Arial"/>
          <w:sz w:val="20"/>
        </w:rPr>
      </w:pPr>
      <w:r w:rsidRPr="2AED80DD">
        <w:rPr>
          <w:rFonts w:cs="Arial"/>
          <w:sz w:val="20"/>
        </w:rPr>
        <w:t xml:space="preserve">If the student is dissatisfied with the outcome of the review the student </w:t>
      </w:r>
      <w:r w:rsidR="00275A47" w:rsidRPr="2AED80DD">
        <w:rPr>
          <w:rFonts w:cs="Arial"/>
          <w:sz w:val="20"/>
        </w:rPr>
        <w:t>may lodge an appeal against exclusion</w:t>
      </w:r>
      <w:r w:rsidR="00610776" w:rsidRPr="2AED80DD">
        <w:rPr>
          <w:rFonts w:cs="Arial"/>
          <w:sz w:val="20"/>
        </w:rPr>
        <w:t xml:space="preserve"> within </w:t>
      </w:r>
      <w:r w:rsidR="00B75A9C" w:rsidRPr="2AED80DD">
        <w:rPr>
          <w:rFonts w:cs="Arial"/>
          <w:sz w:val="20"/>
        </w:rPr>
        <w:t xml:space="preserve">10 </w:t>
      </w:r>
      <w:r w:rsidR="00610776" w:rsidRPr="2AED80DD">
        <w:rPr>
          <w:rFonts w:cs="Arial"/>
          <w:sz w:val="20"/>
        </w:rPr>
        <w:t>working days of notification of the decision.</w:t>
      </w:r>
      <w:r w:rsidR="00275A47" w:rsidRPr="2AED80DD">
        <w:rPr>
          <w:rFonts w:cs="Arial"/>
          <w:sz w:val="20"/>
        </w:rPr>
        <w:t xml:space="preserve"> Under the </w:t>
      </w:r>
      <w:r w:rsidR="00275A47" w:rsidRPr="2AED80DD">
        <w:rPr>
          <w:rFonts w:cs="Arial"/>
          <w:i/>
          <w:iCs/>
          <w:sz w:val="20"/>
        </w:rPr>
        <w:t xml:space="preserve">Student </w:t>
      </w:r>
      <w:r w:rsidR="0021057A" w:rsidRPr="2AED80DD">
        <w:rPr>
          <w:rFonts w:cs="Arial"/>
          <w:i/>
          <w:iCs/>
          <w:sz w:val="20"/>
        </w:rPr>
        <w:t xml:space="preserve">Review </w:t>
      </w:r>
      <w:r w:rsidR="00275A47" w:rsidRPr="2AED80DD">
        <w:rPr>
          <w:rFonts w:cs="Arial"/>
          <w:i/>
          <w:iCs/>
          <w:sz w:val="20"/>
        </w:rPr>
        <w:t>and Appeals</w:t>
      </w:r>
      <w:r w:rsidR="0021057A" w:rsidRPr="2AED80DD">
        <w:rPr>
          <w:rFonts w:cs="Arial"/>
          <w:i/>
          <w:iCs/>
          <w:sz w:val="20"/>
        </w:rPr>
        <w:t xml:space="preserve"> Policy</w:t>
      </w:r>
      <w:r w:rsidR="0021057A" w:rsidRPr="2AED80DD">
        <w:rPr>
          <w:rFonts w:cs="Arial"/>
          <w:sz w:val="20"/>
        </w:rPr>
        <w:t xml:space="preserve"> and the </w:t>
      </w:r>
      <w:r w:rsidR="0021057A" w:rsidRPr="2AED80DD">
        <w:rPr>
          <w:rFonts w:cs="Arial"/>
          <w:i/>
          <w:iCs/>
          <w:sz w:val="20"/>
        </w:rPr>
        <w:t>Student Review and Appeals Procedures</w:t>
      </w:r>
      <w:r w:rsidR="00275A47" w:rsidRPr="2AED80DD">
        <w:rPr>
          <w:rFonts w:cs="Arial"/>
          <w:sz w:val="20"/>
        </w:rPr>
        <w:t>, the appeal must be in writing</w:t>
      </w:r>
      <w:r w:rsidR="00A82D5C" w:rsidRPr="2AED80DD">
        <w:rPr>
          <w:rFonts w:cs="Arial"/>
          <w:sz w:val="20"/>
        </w:rPr>
        <w:t xml:space="preserve"> using a new </w:t>
      </w:r>
      <w:r w:rsidR="00A82D5C" w:rsidRPr="2AED80DD">
        <w:rPr>
          <w:rFonts w:cs="Arial"/>
          <w:i/>
          <w:iCs/>
          <w:sz w:val="20"/>
        </w:rPr>
        <w:t xml:space="preserve">Review of Decision </w:t>
      </w:r>
      <w:r w:rsidR="00A82D5C" w:rsidRPr="2AED80DD">
        <w:rPr>
          <w:rFonts w:cs="Arial"/>
          <w:sz w:val="20"/>
        </w:rPr>
        <w:t>form</w:t>
      </w:r>
      <w:r w:rsidR="00275A47" w:rsidRPr="2AED80DD">
        <w:rPr>
          <w:rFonts w:cs="Arial"/>
          <w:sz w:val="20"/>
        </w:rPr>
        <w:t xml:space="preserve"> and be lodged with the Secretary of the University Appeals Committee</w:t>
      </w:r>
      <w:r w:rsidRPr="2AED80DD">
        <w:rPr>
          <w:rFonts w:cs="Arial"/>
          <w:sz w:val="20"/>
        </w:rPr>
        <w:t xml:space="preserve"> in accordance with the instructions in the </w:t>
      </w:r>
      <w:r w:rsidRPr="2AED80DD">
        <w:rPr>
          <w:rFonts w:cs="Arial"/>
          <w:i/>
          <w:iCs/>
          <w:sz w:val="20"/>
        </w:rPr>
        <w:t xml:space="preserve">Student Review and </w:t>
      </w:r>
      <w:proofErr w:type="gramStart"/>
      <w:r w:rsidRPr="2AED80DD">
        <w:rPr>
          <w:rFonts w:cs="Arial"/>
          <w:i/>
          <w:iCs/>
          <w:sz w:val="20"/>
        </w:rPr>
        <w:t>Appeals Procedures</w:t>
      </w:r>
      <w:r w:rsidR="00275A47" w:rsidRPr="2AED80DD">
        <w:rPr>
          <w:rFonts w:cs="Arial"/>
          <w:sz w:val="20"/>
        </w:rPr>
        <w:t>, and</w:t>
      </w:r>
      <w:proofErr w:type="gramEnd"/>
      <w:r w:rsidR="00275A47" w:rsidRPr="2AED80DD">
        <w:rPr>
          <w:rFonts w:cs="Arial"/>
          <w:sz w:val="20"/>
        </w:rPr>
        <w:t xml:space="preserve"> be accompanied by supporting documentation where relevant. The appeal must be lodged by the date specified in the notification of exclusion </w:t>
      </w:r>
      <w:proofErr w:type="gramStart"/>
      <w:r w:rsidR="00275A47" w:rsidRPr="2AED80DD">
        <w:rPr>
          <w:rFonts w:cs="Arial"/>
          <w:sz w:val="20"/>
        </w:rPr>
        <w:t>in order for</w:t>
      </w:r>
      <w:proofErr w:type="gramEnd"/>
      <w:r w:rsidR="00275A47" w:rsidRPr="2AED80DD">
        <w:rPr>
          <w:rFonts w:cs="Arial"/>
          <w:sz w:val="20"/>
        </w:rPr>
        <w:t xml:space="preserve"> the student to continue to study in the next </w:t>
      </w:r>
      <w:r w:rsidR="009179AF" w:rsidRPr="2AED80DD">
        <w:rPr>
          <w:rFonts w:cs="Arial"/>
          <w:sz w:val="20"/>
        </w:rPr>
        <w:t>trimester/teaching period</w:t>
      </w:r>
      <w:r w:rsidR="00523931" w:rsidRPr="2AED80DD">
        <w:rPr>
          <w:rFonts w:cs="Arial"/>
          <w:sz w:val="20"/>
        </w:rPr>
        <w:t>.</w:t>
      </w:r>
      <w:r w:rsidR="00275A47" w:rsidRPr="2AED80DD">
        <w:rPr>
          <w:rFonts w:cs="Arial"/>
          <w:sz w:val="20"/>
        </w:rPr>
        <w:t xml:space="preserve"> </w:t>
      </w:r>
    </w:p>
    <w:p w14:paraId="448CA080" w14:textId="77777777" w:rsidR="00E31309" w:rsidRPr="00A62490" w:rsidRDefault="00E262C0" w:rsidP="000D7B27">
      <w:pPr>
        <w:ind w:left="0"/>
        <w:rPr>
          <w:rFonts w:cs="Arial"/>
          <w:sz w:val="20"/>
        </w:rPr>
      </w:pPr>
      <w:r>
        <w:rPr>
          <w:rFonts w:cs="Arial"/>
          <w:sz w:val="20"/>
        </w:rPr>
        <w:pict w14:anchorId="448CA095">
          <v:rect id="_x0000_i1029" style="width:476.25pt;height:1pt" o:hralign="center" o:hrstd="t" o:hrnoshade="t" o:hr="t" fillcolor="#d8d8d8 [2732]" stroked="f"/>
        </w:pict>
      </w:r>
    </w:p>
    <w:p w14:paraId="448CA081" w14:textId="77777777" w:rsidR="00EA024B" w:rsidRPr="00531348" w:rsidRDefault="00EA024B" w:rsidP="00EA024B">
      <w:pPr>
        <w:numPr>
          <w:ilvl w:val="0"/>
          <w:numId w:val="2"/>
        </w:numPr>
        <w:spacing w:before="100" w:beforeAutospacing="1" w:after="240"/>
        <w:rPr>
          <w:rFonts w:cs="Arial"/>
          <w:b/>
          <w:caps/>
          <w:sz w:val="24"/>
          <w:szCs w:val="24"/>
        </w:rPr>
      </w:pPr>
      <w:bookmarkStart w:id="8" w:name="academicstandingrecord"/>
      <w:bookmarkEnd w:id="8"/>
      <w:r>
        <w:rPr>
          <w:b/>
          <w:caps/>
          <w:sz w:val="24"/>
          <w:szCs w:val="24"/>
        </w:rPr>
        <w:t>ACADEMIC STANDING</w:t>
      </w:r>
      <w:r w:rsidRPr="00A042DA">
        <w:rPr>
          <w:b/>
          <w:caps/>
          <w:sz w:val="24"/>
          <w:szCs w:val="24"/>
        </w:rPr>
        <w:t xml:space="preserve"> </w:t>
      </w:r>
      <w:r w:rsidR="0021057A" w:rsidRPr="00A042DA">
        <w:rPr>
          <w:b/>
          <w:caps/>
          <w:sz w:val="24"/>
          <w:szCs w:val="24"/>
        </w:rPr>
        <w:t>Record</w:t>
      </w:r>
    </w:p>
    <w:p w14:paraId="448CA082" w14:textId="77777777" w:rsidR="00531348" w:rsidRDefault="00531348" w:rsidP="001115A7">
      <w:pPr>
        <w:numPr>
          <w:ilvl w:val="1"/>
          <w:numId w:val="2"/>
        </w:numPr>
        <w:rPr>
          <w:rFonts w:cs="Arial"/>
          <w:sz w:val="20"/>
        </w:rPr>
      </w:pPr>
      <w:r w:rsidRPr="00A042DA">
        <w:rPr>
          <w:rFonts w:cs="Arial"/>
          <w:sz w:val="20"/>
        </w:rPr>
        <w:t xml:space="preserve">All </w:t>
      </w:r>
      <w:r>
        <w:rPr>
          <w:rFonts w:cs="Arial"/>
          <w:sz w:val="20"/>
        </w:rPr>
        <w:t>academic standing actions applied to a student</w:t>
      </w:r>
      <w:r w:rsidR="0021057A">
        <w:rPr>
          <w:rFonts w:cs="Arial"/>
          <w:sz w:val="20"/>
        </w:rPr>
        <w:t xml:space="preserve"> in accordance with this Policy</w:t>
      </w:r>
      <w:r w:rsidRPr="00A042DA">
        <w:rPr>
          <w:rFonts w:cs="Arial"/>
          <w:sz w:val="20"/>
        </w:rPr>
        <w:t xml:space="preserve"> are recorded</w:t>
      </w:r>
      <w:r w:rsidR="0080592B">
        <w:rPr>
          <w:rFonts w:cs="Arial"/>
          <w:sz w:val="20"/>
        </w:rPr>
        <w:t xml:space="preserve"> and retained</w:t>
      </w:r>
      <w:r w:rsidRPr="00A042DA">
        <w:rPr>
          <w:rFonts w:cs="Arial"/>
          <w:sz w:val="20"/>
        </w:rPr>
        <w:t xml:space="preserve"> on the Student System</w:t>
      </w:r>
      <w:r>
        <w:rPr>
          <w:rFonts w:cs="Arial"/>
          <w:sz w:val="20"/>
        </w:rPr>
        <w:t xml:space="preserve"> in perpetuity</w:t>
      </w:r>
      <w:r w:rsidRPr="00A042DA">
        <w:rPr>
          <w:rFonts w:cs="Arial"/>
          <w:sz w:val="20"/>
        </w:rPr>
        <w:t>.</w:t>
      </w:r>
      <w:r>
        <w:rPr>
          <w:rFonts w:cs="Arial"/>
          <w:sz w:val="20"/>
        </w:rPr>
        <w:t xml:space="preserve"> </w:t>
      </w:r>
    </w:p>
    <w:p w14:paraId="448CA083" w14:textId="77777777" w:rsidR="00531348" w:rsidRDefault="003876ED" w:rsidP="001115A7">
      <w:pPr>
        <w:numPr>
          <w:ilvl w:val="1"/>
          <w:numId w:val="2"/>
        </w:numPr>
        <w:rPr>
          <w:rFonts w:cs="Arial"/>
          <w:sz w:val="20"/>
        </w:rPr>
      </w:pPr>
      <w:r>
        <w:rPr>
          <w:rFonts w:cs="Arial"/>
          <w:sz w:val="20"/>
        </w:rPr>
        <w:t xml:space="preserve">Academic </w:t>
      </w:r>
      <w:r w:rsidR="00531348">
        <w:rPr>
          <w:rFonts w:cs="Arial"/>
          <w:sz w:val="20"/>
        </w:rPr>
        <w:t>standing actions</w:t>
      </w:r>
      <w:r>
        <w:rPr>
          <w:rFonts w:cs="Arial"/>
          <w:sz w:val="20"/>
        </w:rPr>
        <w:t xml:space="preserve"> (Blue, Amber or Red)</w:t>
      </w:r>
      <w:r w:rsidR="00531348">
        <w:rPr>
          <w:rFonts w:cs="Arial"/>
          <w:sz w:val="20"/>
        </w:rPr>
        <w:t xml:space="preserve"> including:</w:t>
      </w:r>
    </w:p>
    <w:p w14:paraId="448CA084" w14:textId="77777777" w:rsidR="00531348" w:rsidRDefault="00531348" w:rsidP="00FA285A">
      <w:pPr>
        <w:pStyle w:val="ListParagraph"/>
        <w:numPr>
          <w:ilvl w:val="0"/>
          <w:numId w:val="9"/>
        </w:numPr>
        <w:tabs>
          <w:tab w:val="left" w:pos="1134"/>
        </w:tabs>
        <w:ind w:left="1506"/>
        <w:rPr>
          <w:rFonts w:cs="Arial"/>
          <w:sz w:val="20"/>
        </w:rPr>
      </w:pPr>
      <w:r>
        <w:rPr>
          <w:rFonts w:cs="Arial"/>
          <w:sz w:val="20"/>
        </w:rPr>
        <w:t xml:space="preserve">Exclusion for failing a course three </w:t>
      </w:r>
      <w:proofErr w:type="gramStart"/>
      <w:r>
        <w:rPr>
          <w:rFonts w:cs="Arial"/>
          <w:sz w:val="20"/>
        </w:rPr>
        <w:t>times</w:t>
      </w:r>
      <w:proofErr w:type="gramEnd"/>
    </w:p>
    <w:p w14:paraId="448CA085" w14:textId="77777777" w:rsidR="00531348" w:rsidRDefault="00531348" w:rsidP="00FA285A">
      <w:pPr>
        <w:pStyle w:val="ListParagraph"/>
        <w:numPr>
          <w:ilvl w:val="0"/>
          <w:numId w:val="9"/>
        </w:numPr>
        <w:tabs>
          <w:tab w:val="left" w:pos="1134"/>
        </w:tabs>
        <w:ind w:left="1506"/>
        <w:rPr>
          <w:rFonts w:cs="Arial"/>
          <w:sz w:val="20"/>
        </w:rPr>
      </w:pPr>
      <w:r>
        <w:rPr>
          <w:rFonts w:cs="Arial"/>
          <w:sz w:val="20"/>
        </w:rPr>
        <w:t>Exclusion for designated course failure</w:t>
      </w:r>
    </w:p>
    <w:p w14:paraId="448CA086" w14:textId="77777777" w:rsidR="00531348" w:rsidRDefault="00531348" w:rsidP="00FA285A">
      <w:pPr>
        <w:pStyle w:val="ListParagraph"/>
        <w:numPr>
          <w:ilvl w:val="0"/>
          <w:numId w:val="9"/>
        </w:numPr>
        <w:tabs>
          <w:tab w:val="left" w:pos="1134"/>
        </w:tabs>
        <w:ind w:left="1506"/>
        <w:rPr>
          <w:rFonts w:cs="Arial"/>
          <w:sz w:val="20"/>
        </w:rPr>
      </w:pPr>
      <w:r>
        <w:rPr>
          <w:rFonts w:cs="Arial"/>
          <w:sz w:val="20"/>
        </w:rPr>
        <w:t>Exclusion for academic reasons</w:t>
      </w:r>
    </w:p>
    <w:p w14:paraId="448CA087" w14:textId="0D325174" w:rsidR="00881FDC" w:rsidRDefault="00531348" w:rsidP="007B615B">
      <w:pPr>
        <w:tabs>
          <w:tab w:val="left" w:pos="1134"/>
        </w:tabs>
        <w:ind w:left="1134"/>
        <w:rPr>
          <w:rFonts w:cs="Arial"/>
          <w:color w:val="000000" w:themeColor="text1"/>
          <w:sz w:val="20"/>
        </w:rPr>
      </w:pPr>
      <w:r w:rsidRPr="00784C94">
        <w:rPr>
          <w:rFonts w:cs="Arial"/>
          <w:color w:val="000000" w:themeColor="text1"/>
          <w:sz w:val="20"/>
        </w:rPr>
        <w:lastRenderedPageBreak/>
        <w:t>are recorded</w:t>
      </w:r>
      <w:r w:rsidR="00881FDC" w:rsidRPr="00784C94">
        <w:rPr>
          <w:rFonts w:cs="Arial"/>
          <w:color w:val="000000" w:themeColor="text1"/>
          <w:sz w:val="20"/>
        </w:rPr>
        <w:t xml:space="preserve"> </w:t>
      </w:r>
      <w:r w:rsidRPr="00784C94">
        <w:rPr>
          <w:rFonts w:cs="Arial"/>
          <w:color w:val="000000" w:themeColor="text1"/>
          <w:sz w:val="20"/>
        </w:rPr>
        <w:t>on a student’s Unofficial Academic Transcript</w:t>
      </w:r>
      <w:r w:rsidR="00881FDC" w:rsidRPr="00784C94">
        <w:rPr>
          <w:rFonts w:cs="Arial"/>
          <w:color w:val="000000" w:themeColor="text1"/>
          <w:sz w:val="20"/>
        </w:rPr>
        <w:t xml:space="preserve"> </w:t>
      </w:r>
      <w:r w:rsidR="0080592B" w:rsidRPr="00784C94">
        <w:rPr>
          <w:rFonts w:cs="Arial"/>
          <w:color w:val="000000" w:themeColor="text1"/>
          <w:sz w:val="20"/>
        </w:rPr>
        <w:t xml:space="preserve">during their period of enrolment and retained for </w:t>
      </w:r>
      <w:r w:rsidR="00881FDC" w:rsidRPr="00784C94">
        <w:rPr>
          <w:rFonts w:cs="Arial"/>
          <w:color w:val="000000" w:themeColor="text1"/>
          <w:sz w:val="20"/>
        </w:rPr>
        <w:t>a period of five years after the student has graduated or terminated their enrolment with the University.</w:t>
      </w:r>
    </w:p>
    <w:p w14:paraId="448CA088" w14:textId="5E6B8A2F" w:rsidR="0021057A" w:rsidRPr="00A62490" w:rsidRDefault="00E262C0" w:rsidP="000700AB">
      <w:pPr>
        <w:tabs>
          <w:tab w:val="left" w:pos="1134"/>
        </w:tabs>
        <w:ind w:left="0"/>
        <w:rPr>
          <w:rFonts w:cs="Arial"/>
          <w:sz w:val="20"/>
        </w:rPr>
      </w:pPr>
      <w:r>
        <w:rPr>
          <w:rFonts w:cs="Arial"/>
          <w:sz w:val="20"/>
        </w:rPr>
        <w:pict w14:anchorId="448CA096">
          <v:rect id="_x0000_i1030" style="width:476.25pt;height:1pt" o:hralign="center" o:hrstd="t" o:hrnoshade="t" o:hr="t" fillcolor="#d8d8d8 [2732]" stroked="f"/>
        </w:pict>
      </w:r>
    </w:p>
    <w:p w14:paraId="448CA089" w14:textId="77777777" w:rsidR="00E31309" w:rsidRPr="00B34D13" w:rsidRDefault="00275A47" w:rsidP="00275A47">
      <w:pPr>
        <w:numPr>
          <w:ilvl w:val="0"/>
          <w:numId w:val="2"/>
        </w:numPr>
        <w:spacing w:before="100" w:beforeAutospacing="1" w:after="240"/>
        <w:rPr>
          <w:rFonts w:cs="Arial"/>
          <w:b/>
          <w:caps/>
          <w:sz w:val="24"/>
          <w:szCs w:val="24"/>
        </w:rPr>
      </w:pPr>
      <w:bookmarkStart w:id="9" w:name="readmissionfollowingexclusion"/>
      <w:bookmarkEnd w:id="9"/>
      <w:r w:rsidRPr="00275A47">
        <w:rPr>
          <w:b/>
          <w:caps/>
          <w:sz w:val="24"/>
          <w:szCs w:val="24"/>
        </w:rPr>
        <w:t>Readmission following Exclusion</w:t>
      </w:r>
    </w:p>
    <w:p w14:paraId="448CA08A" w14:textId="6A89A5B6" w:rsidR="00275A47" w:rsidRPr="00275A47" w:rsidRDefault="00275A47" w:rsidP="00275A47">
      <w:pPr>
        <w:rPr>
          <w:rFonts w:cs="Arial"/>
          <w:sz w:val="20"/>
        </w:rPr>
      </w:pPr>
      <w:r w:rsidRPr="00275A47">
        <w:rPr>
          <w:rFonts w:cs="Arial"/>
          <w:sz w:val="20"/>
        </w:rPr>
        <w:t xml:space="preserve">A student who is excluded may apply for readmission to the program from which they were excluded or for admission into a new program, providing that at least </w:t>
      </w:r>
      <w:r w:rsidR="00295240">
        <w:rPr>
          <w:rFonts w:cs="Arial"/>
          <w:sz w:val="20"/>
        </w:rPr>
        <w:t>nine calendar months</w:t>
      </w:r>
      <w:r w:rsidR="00423CF2">
        <w:rPr>
          <w:rFonts w:cs="Arial"/>
          <w:sz w:val="20"/>
        </w:rPr>
        <w:t xml:space="preserve"> </w:t>
      </w:r>
      <w:r w:rsidR="009849C8">
        <w:rPr>
          <w:rFonts w:cs="Arial"/>
          <w:sz w:val="20"/>
        </w:rPr>
        <w:t xml:space="preserve">have </w:t>
      </w:r>
      <w:r w:rsidRPr="00275A47">
        <w:rPr>
          <w:rFonts w:cs="Arial"/>
          <w:sz w:val="20"/>
        </w:rPr>
        <w:t xml:space="preserve">elapsed since the exclusion. An application for readmission following exclusion or for admission to a new program is not automatically approved. </w:t>
      </w:r>
    </w:p>
    <w:p w14:paraId="448CA08B" w14:textId="6FAE4047" w:rsidR="00275A47" w:rsidRPr="00275A47" w:rsidRDefault="00275A47" w:rsidP="00275A47">
      <w:pPr>
        <w:rPr>
          <w:rFonts w:cs="Arial"/>
          <w:sz w:val="20"/>
        </w:rPr>
      </w:pPr>
      <w:r w:rsidRPr="00275A47">
        <w:rPr>
          <w:rFonts w:cs="Arial"/>
          <w:sz w:val="20"/>
        </w:rPr>
        <w:t xml:space="preserve">An application for readmission, following exclusion, or for admission into a new program </w:t>
      </w:r>
      <w:r w:rsidR="00977BA4">
        <w:rPr>
          <w:rFonts w:cs="Arial"/>
          <w:sz w:val="20"/>
        </w:rPr>
        <w:t xml:space="preserve">is to be made using the </w:t>
      </w:r>
      <w:r w:rsidR="00977BA4" w:rsidRPr="00950BAF">
        <w:rPr>
          <w:rFonts w:cs="Arial"/>
          <w:i/>
          <w:sz w:val="20"/>
        </w:rPr>
        <w:t>Request for Readmission Form</w:t>
      </w:r>
      <w:r w:rsidR="00977BA4" w:rsidRPr="00601BDB">
        <w:rPr>
          <w:rFonts w:cs="Arial"/>
          <w:sz w:val="20"/>
        </w:rPr>
        <w:t>.</w:t>
      </w:r>
      <w:r w:rsidR="00977BA4">
        <w:rPr>
          <w:rFonts w:cs="Arial"/>
          <w:sz w:val="20"/>
        </w:rPr>
        <w:t xml:space="preserve"> The application </w:t>
      </w:r>
      <w:r w:rsidRPr="00275A47">
        <w:rPr>
          <w:rFonts w:cs="Arial"/>
          <w:sz w:val="20"/>
        </w:rPr>
        <w:t xml:space="preserve">will be assessed by the </w:t>
      </w:r>
      <w:r w:rsidR="005C4A5E">
        <w:rPr>
          <w:rFonts w:cs="Arial"/>
          <w:sz w:val="20"/>
        </w:rPr>
        <w:t xml:space="preserve">Program </w:t>
      </w:r>
      <w:r w:rsidR="00FC7298">
        <w:rPr>
          <w:rFonts w:cs="Arial"/>
          <w:sz w:val="20"/>
        </w:rPr>
        <w:t>Director</w:t>
      </w:r>
      <w:r w:rsidRPr="00275A47">
        <w:rPr>
          <w:rFonts w:cs="Arial"/>
          <w:sz w:val="20"/>
        </w:rPr>
        <w:t xml:space="preserve">. The </w:t>
      </w:r>
      <w:r w:rsidR="006E0E8B">
        <w:rPr>
          <w:rFonts w:cs="Arial"/>
          <w:sz w:val="20"/>
        </w:rPr>
        <w:t>Program Director</w:t>
      </w:r>
      <w:r w:rsidRPr="00275A47">
        <w:rPr>
          <w:rFonts w:cs="Arial"/>
          <w:sz w:val="20"/>
        </w:rPr>
        <w:t xml:space="preserve"> will consider factors such as changed circumstances, academic and/or vocational performance since exclusion, </w:t>
      </w:r>
      <w:proofErr w:type="gramStart"/>
      <w:r w:rsidRPr="00275A47">
        <w:rPr>
          <w:rFonts w:cs="Arial"/>
          <w:sz w:val="20"/>
        </w:rPr>
        <w:t>maturity</w:t>
      </w:r>
      <w:proofErr w:type="gramEnd"/>
      <w:r w:rsidRPr="00275A47">
        <w:rPr>
          <w:rFonts w:cs="Arial"/>
          <w:sz w:val="20"/>
        </w:rPr>
        <w:t xml:space="preserve"> and motivation in order to be satisfied that the person concerned has a reasonable chance of success in the program.</w:t>
      </w:r>
    </w:p>
    <w:p w14:paraId="448CA08C" w14:textId="325FB2BF" w:rsidR="00275A47" w:rsidRPr="00275A47" w:rsidRDefault="00275A47" w:rsidP="00275A47">
      <w:pPr>
        <w:rPr>
          <w:rFonts w:cs="Arial"/>
          <w:sz w:val="20"/>
        </w:rPr>
      </w:pPr>
      <w:r w:rsidRPr="00275A47">
        <w:rPr>
          <w:rFonts w:cs="Arial"/>
          <w:sz w:val="20"/>
        </w:rPr>
        <w:t xml:space="preserve">A student who has been excluded may not recommence study until at least </w:t>
      </w:r>
      <w:r w:rsidR="00295240">
        <w:rPr>
          <w:rFonts w:cs="Arial"/>
          <w:sz w:val="20"/>
        </w:rPr>
        <w:t>nine calendar months</w:t>
      </w:r>
      <w:r w:rsidRPr="00275A47">
        <w:rPr>
          <w:rFonts w:cs="Arial"/>
          <w:sz w:val="20"/>
        </w:rPr>
        <w:t xml:space="preserve"> </w:t>
      </w:r>
      <w:r w:rsidR="009849C8" w:rsidRPr="00275A47">
        <w:rPr>
          <w:rFonts w:cs="Arial"/>
          <w:sz w:val="20"/>
        </w:rPr>
        <w:t>ha</w:t>
      </w:r>
      <w:r w:rsidR="009849C8">
        <w:rPr>
          <w:rFonts w:cs="Arial"/>
          <w:sz w:val="20"/>
        </w:rPr>
        <w:t>ve</w:t>
      </w:r>
      <w:r w:rsidR="009849C8" w:rsidRPr="00275A47">
        <w:rPr>
          <w:rFonts w:cs="Arial"/>
          <w:sz w:val="20"/>
        </w:rPr>
        <w:t xml:space="preserve"> </w:t>
      </w:r>
      <w:r w:rsidRPr="00275A47">
        <w:rPr>
          <w:rFonts w:cs="Arial"/>
          <w:sz w:val="20"/>
        </w:rPr>
        <w:t>elapsed since exclusion was imposed.</w:t>
      </w:r>
    </w:p>
    <w:p w14:paraId="448CA08D" w14:textId="1C5917B0" w:rsidR="00275A47" w:rsidRPr="00275A47" w:rsidRDefault="00275A47" w:rsidP="00275A47">
      <w:pPr>
        <w:rPr>
          <w:rFonts w:cs="Arial"/>
          <w:sz w:val="20"/>
        </w:rPr>
      </w:pPr>
      <w:r w:rsidRPr="00275A47">
        <w:rPr>
          <w:rFonts w:cs="Arial"/>
          <w:sz w:val="20"/>
        </w:rPr>
        <w:t xml:space="preserve">An application for readmission or for admission into a new program should be made at least three </w:t>
      </w:r>
      <w:r w:rsidR="00377695">
        <w:rPr>
          <w:rFonts w:cs="Arial"/>
          <w:sz w:val="20"/>
        </w:rPr>
        <w:t xml:space="preserve">(3) </w:t>
      </w:r>
      <w:r w:rsidRPr="00275A47">
        <w:rPr>
          <w:rFonts w:cs="Arial"/>
          <w:sz w:val="20"/>
        </w:rPr>
        <w:t xml:space="preserve">months prior to the commencement of the </w:t>
      </w:r>
      <w:r w:rsidR="00295240">
        <w:rPr>
          <w:rFonts w:cs="Arial"/>
          <w:sz w:val="20"/>
        </w:rPr>
        <w:t>trimester/teaching period</w:t>
      </w:r>
      <w:r w:rsidR="00295240" w:rsidRPr="00275A47">
        <w:rPr>
          <w:rFonts w:cs="Arial"/>
          <w:sz w:val="20"/>
        </w:rPr>
        <w:t xml:space="preserve"> </w:t>
      </w:r>
      <w:r w:rsidRPr="00275A47">
        <w:rPr>
          <w:rFonts w:cs="Arial"/>
          <w:sz w:val="20"/>
        </w:rPr>
        <w:t>in which the student seeks to resume study.</w:t>
      </w:r>
    </w:p>
    <w:p w14:paraId="448CA08F" w14:textId="51613860" w:rsidR="00E31309" w:rsidRPr="00A62490" w:rsidRDefault="00275A47" w:rsidP="007A7296">
      <w:pPr>
        <w:rPr>
          <w:rFonts w:cs="Arial"/>
          <w:sz w:val="20"/>
        </w:rPr>
      </w:pPr>
      <w:r w:rsidRPr="00275A47">
        <w:rPr>
          <w:rFonts w:cs="Arial"/>
          <w:sz w:val="20"/>
        </w:rPr>
        <w:t xml:space="preserve">Where an application for readmission following exclusion is not approved, </w:t>
      </w:r>
      <w:r w:rsidR="006E0E8B">
        <w:rPr>
          <w:rFonts w:cs="Arial"/>
          <w:sz w:val="20"/>
        </w:rPr>
        <w:t xml:space="preserve">the student may apply for review of the decision to the Dean (Learning &amp; Teaching) within 10 working days of notification of the decision. The application for review is to be made using the </w:t>
      </w:r>
      <w:r w:rsidR="006E0E8B">
        <w:rPr>
          <w:rFonts w:cs="Arial"/>
          <w:i/>
          <w:sz w:val="20"/>
        </w:rPr>
        <w:t xml:space="preserve">Review of a Decision </w:t>
      </w:r>
      <w:r w:rsidR="006E0E8B">
        <w:rPr>
          <w:rFonts w:cs="Arial"/>
          <w:sz w:val="20"/>
        </w:rPr>
        <w:t xml:space="preserve">form in accordance with the University’s </w:t>
      </w:r>
      <w:r w:rsidR="006E0E8B" w:rsidRPr="008802D0">
        <w:rPr>
          <w:rFonts w:cs="Arial"/>
          <w:i/>
          <w:sz w:val="20"/>
        </w:rPr>
        <w:t>Student Review and Appeals Policy</w:t>
      </w:r>
      <w:r w:rsidR="006E0E8B">
        <w:rPr>
          <w:rFonts w:cs="Arial"/>
          <w:sz w:val="20"/>
        </w:rPr>
        <w:t xml:space="preserve"> and </w:t>
      </w:r>
      <w:r w:rsidR="006E0E8B" w:rsidRPr="008802D0">
        <w:rPr>
          <w:rFonts w:cs="Arial"/>
          <w:i/>
          <w:sz w:val="20"/>
        </w:rPr>
        <w:t>Student Review and Appeals Procedures</w:t>
      </w:r>
      <w:r w:rsidR="006E0E8B">
        <w:rPr>
          <w:rFonts w:cs="Arial"/>
          <w:sz w:val="20"/>
        </w:rPr>
        <w:t>.</w:t>
      </w:r>
      <w:r w:rsidR="006E0E8B" w:rsidRPr="00E21CF4">
        <w:rPr>
          <w:rFonts w:cs="Arial"/>
          <w:sz w:val="20"/>
        </w:rPr>
        <w:t xml:space="preserve"> </w:t>
      </w:r>
      <w:r w:rsidR="006E0E8B" w:rsidRPr="00943C7B">
        <w:rPr>
          <w:rFonts w:cs="Arial"/>
          <w:sz w:val="20"/>
        </w:rPr>
        <w:t xml:space="preserve">The </w:t>
      </w:r>
      <w:r w:rsidR="006E0E8B">
        <w:rPr>
          <w:rFonts w:cs="Arial"/>
          <w:sz w:val="20"/>
        </w:rPr>
        <w:t xml:space="preserve">Dean (Learning </w:t>
      </w:r>
      <w:r w:rsidR="007C2798">
        <w:rPr>
          <w:rFonts w:cs="Arial"/>
          <w:sz w:val="20"/>
        </w:rPr>
        <w:t>&amp;</w:t>
      </w:r>
      <w:r w:rsidR="006E0E8B">
        <w:rPr>
          <w:rFonts w:cs="Arial"/>
          <w:sz w:val="20"/>
        </w:rPr>
        <w:t xml:space="preserve"> Teaching)’s</w:t>
      </w:r>
      <w:r w:rsidR="006E0E8B" w:rsidRPr="00943C7B">
        <w:rPr>
          <w:rFonts w:cs="Arial"/>
          <w:sz w:val="20"/>
        </w:rPr>
        <w:t xml:space="preserve"> decision is final.</w:t>
      </w:r>
    </w:p>
    <w:sectPr w:rsidR="00E31309" w:rsidRPr="00A62490" w:rsidSect="00F36074">
      <w:headerReference w:type="even" r:id="rId19"/>
      <w:headerReference w:type="default" r:id="rId20"/>
      <w:footerReference w:type="even" r:id="rId21"/>
      <w:footerReference w:type="default" r:id="rId22"/>
      <w:headerReference w:type="first" r:id="rId23"/>
      <w:footerReference w:type="first" r:id="rId24"/>
      <w:pgSz w:w="11906" w:h="16838" w:code="9"/>
      <w:pgMar w:top="1440" w:right="1134" w:bottom="1134" w:left="1247"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17EF" w14:textId="77777777" w:rsidR="00654F15" w:rsidRDefault="00654F15">
      <w:r>
        <w:separator/>
      </w:r>
    </w:p>
  </w:endnote>
  <w:endnote w:type="continuationSeparator" w:id="0">
    <w:p w14:paraId="6F84746D" w14:textId="77777777" w:rsidR="00654F15" w:rsidRDefault="00654F15">
      <w:r>
        <w:continuationSeparator/>
      </w:r>
    </w:p>
  </w:endnote>
  <w:endnote w:type="continuationNotice" w:id="1">
    <w:p w14:paraId="31378020" w14:textId="77777777" w:rsidR="00654F15" w:rsidRDefault="00654F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F35A" w14:textId="77777777" w:rsidR="00F36074" w:rsidRDefault="00F36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4C03EE" w:rsidRPr="00D96726" w14:paraId="448CA09F" w14:textId="77777777" w:rsidTr="00C245CA">
      <w:tc>
        <w:tcPr>
          <w:tcW w:w="918" w:type="dxa"/>
          <w:vAlign w:val="bottom"/>
        </w:tcPr>
        <w:p w14:paraId="448CA09D" w14:textId="25D33F5C" w:rsidR="004C03EE" w:rsidRPr="0089097B" w:rsidRDefault="003F5A5B"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004C03EE"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2C28C7" w:rsidRPr="002C28C7">
            <w:rPr>
              <w:bCs/>
              <w:noProof/>
              <w:color w:val="BFBFBF" w:themeColor="background1" w:themeShade="BF"/>
              <w:sz w:val="16"/>
              <w:szCs w:val="16"/>
            </w:rPr>
            <w:t>5</w:t>
          </w:r>
          <w:r w:rsidRPr="0089097B">
            <w:rPr>
              <w:bCs/>
              <w:noProof/>
              <w:color w:val="BFBFBF" w:themeColor="background1" w:themeShade="BF"/>
              <w:sz w:val="16"/>
              <w:szCs w:val="16"/>
            </w:rPr>
            <w:fldChar w:fldCharType="end"/>
          </w:r>
        </w:p>
      </w:tc>
      <w:tc>
        <w:tcPr>
          <w:tcW w:w="7938" w:type="dxa"/>
          <w:vAlign w:val="bottom"/>
        </w:tcPr>
        <w:p w14:paraId="448CA09E" w14:textId="77777777" w:rsidR="004C03EE" w:rsidRPr="0089097B" w:rsidRDefault="004C03EE" w:rsidP="00E00460">
          <w:pPr>
            <w:pStyle w:val="Footer"/>
            <w:spacing w:before="20" w:after="20"/>
            <w:ind w:left="0"/>
            <w:rPr>
              <w:color w:val="BFBFBF" w:themeColor="background1" w:themeShade="BF"/>
              <w:sz w:val="16"/>
              <w:szCs w:val="16"/>
            </w:rPr>
          </w:pPr>
          <w:r w:rsidRPr="00E16762">
            <w:rPr>
              <w:color w:val="BFBFBF" w:themeColor="background1" w:themeShade="BF"/>
              <w:sz w:val="16"/>
              <w:szCs w:val="16"/>
            </w:rPr>
            <w:t>Academic Standing, Progression and Exclusion Policy</w:t>
          </w:r>
        </w:p>
      </w:tc>
    </w:tr>
  </w:tbl>
  <w:p w14:paraId="448CA0A0" w14:textId="77777777" w:rsidR="004C03EE" w:rsidRPr="0084456D" w:rsidRDefault="004C03EE" w:rsidP="0084456D">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ABF5" w14:textId="77777777" w:rsidR="00F36074" w:rsidRDefault="00F36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AC17" w14:textId="77777777" w:rsidR="00654F15" w:rsidRDefault="00654F15">
      <w:r>
        <w:separator/>
      </w:r>
    </w:p>
  </w:footnote>
  <w:footnote w:type="continuationSeparator" w:id="0">
    <w:p w14:paraId="2DA7E528" w14:textId="77777777" w:rsidR="00654F15" w:rsidRDefault="00654F15">
      <w:r>
        <w:continuationSeparator/>
      </w:r>
    </w:p>
  </w:footnote>
  <w:footnote w:type="continuationNotice" w:id="1">
    <w:p w14:paraId="6534EFB1" w14:textId="77777777" w:rsidR="00654F15" w:rsidRDefault="00654F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2CFF" w14:textId="537EC87C" w:rsidR="00F36074" w:rsidRDefault="00E262C0">
    <w:pPr>
      <w:pStyle w:val="Header"/>
    </w:pPr>
    <w:r>
      <w:rPr>
        <w:noProof/>
      </w:rPr>
      <w:pict w14:anchorId="1B16C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0047" o:spid="_x0000_s1026" type="#_x0000_t136" style="position:absolute;left:0;text-align:left;margin-left:0;margin-top:0;width:549.35pt;height:122.05pt;rotation:315;z-index:-251655168;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0FEC" w14:textId="01711A68" w:rsidR="76F9B4AD" w:rsidRDefault="00E262C0" w:rsidP="76F9B4AD">
    <w:pPr>
      <w:pStyle w:val="Header"/>
    </w:pPr>
    <w:r>
      <w:rPr>
        <w:noProof/>
      </w:rPr>
      <w:pict w14:anchorId="19AF9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0048" o:spid="_x0000_s1027" type="#_x0000_t136" style="position:absolute;left:0;text-align:left;margin-left:0;margin-top:0;width:549.35pt;height:122.05pt;rotation:315;z-index:-251653120;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C032" w14:textId="181DE642" w:rsidR="00C400F5" w:rsidRPr="00582CFA" w:rsidRDefault="00E262C0" w:rsidP="00E331DE">
    <w:pPr>
      <w:pStyle w:val="Header"/>
      <w:jc w:val="right"/>
      <w:rPr>
        <w:rFonts w:ascii="Arial" w:hAnsi="Arial" w:cs="Arial"/>
        <w:b/>
        <w:bCs/>
        <w:sz w:val="20"/>
        <w:lang w:val="en-US"/>
      </w:rPr>
    </w:pPr>
    <w:r>
      <w:rPr>
        <w:noProof/>
      </w:rPr>
      <w:pict w14:anchorId="6DEF8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0046" o:spid="_x0000_s1025" type="#_x0000_t136" style="position:absolute;left:0;text-align:left;margin-left:0;margin-top:0;width:549.35pt;height:122.05pt;rotation:315;z-index:-251657216;mso-position-horizontal:center;mso-position-horizontal-relative:margin;mso-position-vertical:center;mso-position-vertical-relative:margin" o:allowincell="f" fillcolor="silver" stroked="f">
          <v:fill opacity=".5"/>
          <v:textpath style="font-family:&quot;Arial&quot;;font-size:1pt" string="RESCINDED"/>
        </v:shape>
      </w:pict>
    </w:r>
    <w:r w:rsidR="00C400F5" w:rsidRPr="00582CFA">
      <w:rPr>
        <w:rFonts w:ascii="Arial" w:hAnsi="Arial" w:cs="Arial"/>
        <w:b/>
        <w:bCs/>
        <w:sz w:val="20"/>
        <w:lang w:val="en-US"/>
      </w:rPr>
      <w:t xml:space="preserve">TO BE RESCINDED – EFFECTIVE </w:t>
    </w:r>
    <w:r w:rsidR="006B1467">
      <w:rPr>
        <w:rFonts w:ascii="Arial" w:hAnsi="Arial" w:cs="Arial"/>
        <w:b/>
        <w:bCs/>
        <w:sz w:val="20"/>
        <w:lang w:val="en-US"/>
      </w:rPr>
      <w:t>TRIMESTER 1</w:t>
    </w:r>
    <w:r w:rsidR="00C400F5" w:rsidRPr="00582CFA">
      <w:rPr>
        <w:rFonts w:ascii="Arial" w:hAnsi="Arial" w:cs="Arial"/>
        <w:b/>
        <w:bCs/>
        <w:sz w:val="20"/>
        <w:lang w:val="en-US"/>
      </w:rPr>
      <w:t xml:space="preserve"> 2024</w:t>
    </w:r>
    <w:r w:rsidR="00681721" w:rsidRPr="00582CFA">
      <w:rPr>
        <w:rFonts w:ascii="Arial" w:hAnsi="Arial" w:cs="Arial"/>
        <w:b/>
        <w:bCs/>
        <w:sz w:val="20"/>
        <w:lang w:val="en-US"/>
      </w:rPr>
      <w:br/>
      <w:t xml:space="preserve">(From </w:t>
    </w:r>
    <w:r w:rsidR="006B1467">
      <w:rPr>
        <w:rFonts w:ascii="Arial" w:hAnsi="Arial" w:cs="Arial"/>
        <w:b/>
        <w:bCs/>
        <w:sz w:val="20"/>
        <w:lang w:val="en-US"/>
      </w:rPr>
      <w:t>Trimester 1 2024</w:t>
    </w:r>
    <w:r w:rsidR="00681721" w:rsidRPr="00582CFA">
      <w:rPr>
        <w:rFonts w:ascii="Arial" w:hAnsi="Arial" w:cs="Arial"/>
        <w:b/>
        <w:bCs/>
        <w:sz w:val="20"/>
        <w:lang w:val="en-US"/>
      </w:rPr>
      <w:t xml:space="preserve"> refer </w:t>
    </w:r>
    <w:hyperlink r:id="rId1" w:history="1">
      <w:r w:rsidR="000C3645" w:rsidRPr="006C759F">
        <w:rPr>
          <w:rStyle w:val="Hyperlink"/>
          <w:rFonts w:ascii="Arial" w:hAnsi="Arial" w:cs="Arial"/>
          <w:b/>
          <w:bCs/>
          <w:sz w:val="20"/>
          <w:lang w:val="en-US"/>
        </w:rPr>
        <w:t>Academic</w:t>
      </w:r>
      <w:r w:rsidR="00A849B2" w:rsidRPr="006C759F">
        <w:rPr>
          <w:rStyle w:val="Hyperlink"/>
          <w:rFonts w:ascii="Arial" w:hAnsi="Arial" w:cs="Arial"/>
          <w:b/>
          <w:bCs/>
          <w:sz w:val="20"/>
          <w:lang w:val="en-US"/>
        </w:rPr>
        <w:t xml:space="preserve"> Progress Procedure</w:t>
      </w:r>
    </w:hyperlink>
    <w:r w:rsidR="00B51655" w:rsidRPr="00582CFA">
      <w:rPr>
        <w:rFonts w:ascii="Arial" w:hAnsi="Arial" w:cs="Arial"/>
        <w:b/>
        <w:bCs/>
        <w:sz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2564"/>
        </w:tabs>
        <w:ind w:left="2564"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B63003A"/>
    <w:multiLevelType w:val="hybridMultilevel"/>
    <w:tmpl w:val="C24C87FC"/>
    <w:lvl w:ilvl="0" w:tplc="0C090001">
      <w:start w:val="1"/>
      <w:numFmt w:val="bullet"/>
      <w:lvlText w:val=""/>
      <w:lvlJc w:val="left"/>
      <w:pPr>
        <w:ind w:left="1287" w:hanging="360"/>
      </w:pPr>
      <w:rPr>
        <w:rFonts w:ascii="Symbol" w:hAnsi="Symbol" w:hint="default"/>
      </w:rPr>
    </w:lvl>
    <w:lvl w:ilvl="1" w:tplc="76320122">
      <w:numFmt w:val="bullet"/>
      <w:lvlText w:val=""/>
      <w:lvlJc w:val="left"/>
      <w:pPr>
        <w:ind w:left="2007" w:hanging="360"/>
      </w:pPr>
      <w:rPr>
        <w:rFonts w:ascii="Wingdings" w:eastAsia="Times New Roman" w:hAnsi="Wingdings" w:cs="Arial" w:hint="default"/>
        <w:b w:val="0"/>
        <w:u w:val="none"/>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30D46EC7"/>
    <w:multiLevelType w:val="hybridMultilevel"/>
    <w:tmpl w:val="9BA6A7BE"/>
    <w:lvl w:ilvl="0" w:tplc="21AE73B6">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351E7E8D"/>
    <w:multiLevelType w:val="hybridMultilevel"/>
    <w:tmpl w:val="8FA400C4"/>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6" w15:restartNumberingAfterBreak="0">
    <w:nsid w:val="5AF113A4"/>
    <w:multiLevelType w:val="hybridMultilevel"/>
    <w:tmpl w:val="4D04F27C"/>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61066B9F"/>
    <w:multiLevelType w:val="hybridMultilevel"/>
    <w:tmpl w:val="F4E497C4"/>
    <w:lvl w:ilvl="0" w:tplc="0C090005">
      <w:start w:val="1"/>
      <w:numFmt w:val="bullet"/>
      <w:lvlText w:val=""/>
      <w:lvlJc w:val="left"/>
      <w:pPr>
        <w:ind w:left="1918" w:hanging="360"/>
      </w:pPr>
      <w:rPr>
        <w:rFonts w:ascii="Wingdings" w:hAnsi="Wingdings" w:hint="default"/>
      </w:rPr>
    </w:lvl>
    <w:lvl w:ilvl="1" w:tplc="0C090003" w:tentative="1">
      <w:start w:val="1"/>
      <w:numFmt w:val="bullet"/>
      <w:lvlText w:val="o"/>
      <w:lvlJc w:val="left"/>
      <w:pPr>
        <w:ind w:left="2638" w:hanging="360"/>
      </w:pPr>
      <w:rPr>
        <w:rFonts w:ascii="Courier New" w:hAnsi="Courier New" w:cs="Courier New" w:hint="default"/>
      </w:rPr>
    </w:lvl>
    <w:lvl w:ilvl="2" w:tplc="0C090005" w:tentative="1">
      <w:start w:val="1"/>
      <w:numFmt w:val="bullet"/>
      <w:lvlText w:val=""/>
      <w:lvlJc w:val="left"/>
      <w:pPr>
        <w:ind w:left="3358" w:hanging="360"/>
      </w:pPr>
      <w:rPr>
        <w:rFonts w:ascii="Wingdings" w:hAnsi="Wingdings" w:hint="default"/>
      </w:rPr>
    </w:lvl>
    <w:lvl w:ilvl="3" w:tplc="0C090001" w:tentative="1">
      <w:start w:val="1"/>
      <w:numFmt w:val="bullet"/>
      <w:lvlText w:val=""/>
      <w:lvlJc w:val="left"/>
      <w:pPr>
        <w:ind w:left="4078" w:hanging="360"/>
      </w:pPr>
      <w:rPr>
        <w:rFonts w:ascii="Symbol" w:hAnsi="Symbol" w:hint="default"/>
      </w:rPr>
    </w:lvl>
    <w:lvl w:ilvl="4" w:tplc="0C090003" w:tentative="1">
      <w:start w:val="1"/>
      <w:numFmt w:val="bullet"/>
      <w:lvlText w:val="o"/>
      <w:lvlJc w:val="left"/>
      <w:pPr>
        <w:ind w:left="4798" w:hanging="360"/>
      </w:pPr>
      <w:rPr>
        <w:rFonts w:ascii="Courier New" w:hAnsi="Courier New" w:cs="Courier New" w:hint="default"/>
      </w:rPr>
    </w:lvl>
    <w:lvl w:ilvl="5" w:tplc="0C090005" w:tentative="1">
      <w:start w:val="1"/>
      <w:numFmt w:val="bullet"/>
      <w:lvlText w:val=""/>
      <w:lvlJc w:val="left"/>
      <w:pPr>
        <w:ind w:left="5518" w:hanging="360"/>
      </w:pPr>
      <w:rPr>
        <w:rFonts w:ascii="Wingdings" w:hAnsi="Wingdings" w:hint="default"/>
      </w:rPr>
    </w:lvl>
    <w:lvl w:ilvl="6" w:tplc="0C090001" w:tentative="1">
      <w:start w:val="1"/>
      <w:numFmt w:val="bullet"/>
      <w:lvlText w:val=""/>
      <w:lvlJc w:val="left"/>
      <w:pPr>
        <w:ind w:left="6238" w:hanging="360"/>
      </w:pPr>
      <w:rPr>
        <w:rFonts w:ascii="Symbol" w:hAnsi="Symbol" w:hint="default"/>
      </w:rPr>
    </w:lvl>
    <w:lvl w:ilvl="7" w:tplc="0C090003" w:tentative="1">
      <w:start w:val="1"/>
      <w:numFmt w:val="bullet"/>
      <w:lvlText w:val="o"/>
      <w:lvlJc w:val="left"/>
      <w:pPr>
        <w:ind w:left="6958" w:hanging="360"/>
      </w:pPr>
      <w:rPr>
        <w:rFonts w:ascii="Courier New" w:hAnsi="Courier New" w:cs="Courier New" w:hint="default"/>
      </w:rPr>
    </w:lvl>
    <w:lvl w:ilvl="8" w:tplc="0C090005" w:tentative="1">
      <w:start w:val="1"/>
      <w:numFmt w:val="bullet"/>
      <w:lvlText w:val=""/>
      <w:lvlJc w:val="left"/>
      <w:pPr>
        <w:ind w:left="7678" w:hanging="360"/>
      </w:pPr>
      <w:rPr>
        <w:rFonts w:ascii="Wingdings" w:hAnsi="Wingdings" w:hint="default"/>
      </w:rPr>
    </w:lvl>
  </w:abstractNum>
  <w:abstractNum w:abstractNumId="8" w15:restartNumberingAfterBreak="0">
    <w:nsid w:val="63405679"/>
    <w:multiLevelType w:val="hybridMultilevel"/>
    <w:tmpl w:val="C534F798"/>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9" w15:restartNumberingAfterBreak="0">
    <w:nsid w:val="6EA040BB"/>
    <w:multiLevelType w:val="hybridMultilevel"/>
    <w:tmpl w:val="07162CBE"/>
    <w:lvl w:ilvl="0" w:tplc="0C090001">
      <w:start w:val="1"/>
      <w:numFmt w:val="bullet"/>
      <w:lvlText w:val=""/>
      <w:lvlJc w:val="left"/>
      <w:pPr>
        <w:ind w:left="1918" w:hanging="360"/>
      </w:pPr>
      <w:rPr>
        <w:rFonts w:ascii="Symbol" w:hAnsi="Symbol" w:hint="default"/>
      </w:rPr>
    </w:lvl>
    <w:lvl w:ilvl="1" w:tplc="0C090003" w:tentative="1">
      <w:start w:val="1"/>
      <w:numFmt w:val="bullet"/>
      <w:lvlText w:val="o"/>
      <w:lvlJc w:val="left"/>
      <w:pPr>
        <w:ind w:left="2638" w:hanging="360"/>
      </w:pPr>
      <w:rPr>
        <w:rFonts w:ascii="Courier New" w:hAnsi="Courier New" w:cs="Courier New" w:hint="default"/>
      </w:rPr>
    </w:lvl>
    <w:lvl w:ilvl="2" w:tplc="0C090005" w:tentative="1">
      <w:start w:val="1"/>
      <w:numFmt w:val="bullet"/>
      <w:lvlText w:val=""/>
      <w:lvlJc w:val="left"/>
      <w:pPr>
        <w:ind w:left="3358" w:hanging="360"/>
      </w:pPr>
      <w:rPr>
        <w:rFonts w:ascii="Wingdings" w:hAnsi="Wingdings" w:hint="default"/>
      </w:rPr>
    </w:lvl>
    <w:lvl w:ilvl="3" w:tplc="0C090001" w:tentative="1">
      <w:start w:val="1"/>
      <w:numFmt w:val="bullet"/>
      <w:lvlText w:val=""/>
      <w:lvlJc w:val="left"/>
      <w:pPr>
        <w:ind w:left="4078" w:hanging="360"/>
      </w:pPr>
      <w:rPr>
        <w:rFonts w:ascii="Symbol" w:hAnsi="Symbol" w:hint="default"/>
      </w:rPr>
    </w:lvl>
    <w:lvl w:ilvl="4" w:tplc="0C090003" w:tentative="1">
      <w:start w:val="1"/>
      <w:numFmt w:val="bullet"/>
      <w:lvlText w:val="o"/>
      <w:lvlJc w:val="left"/>
      <w:pPr>
        <w:ind w:left="4798" w:hanging="360"/>
      </w:pPr>
      <w:rPr>
        <w:rFonts w:ascii="Courier New" w:hAnsi="Courier New" w:cs="Courier New" w:hint="default"/>
      </w:rPr>
    </w:lvl>
    <w:lvl w:ilvl="5" w:tplc="0C090005" w:tentative="1">
      <w:start w:val="1"/>
      <w:numFmt w:val="bullet"/>
      <w:lvlText w:val=""/>
      <w:lvlJc w:val="left"/>
      <w:pPr>
        <w:ind w:left="5518" w:hanging="360"/>
      </w:pPr>
      <w:rPr>
        <w:rFonts w:ascii="Wingdings" w:hAnsi="Wingdings" w:hint="default"/>
      </w:rPr>
    </w:lvl>
    <w:lvl w:ilvl="6" w:tplc="0C090001" w:tentative="1">
      <w:start w:val="1"/>
      <w:numFmt w:val="bullet"/>
      <w:lvlText w:val=""/>
      <w:lvlJc w:val="left"/>
      <w:pPr>
        <w:ind w:left="6238" w:hanging="360"/>
      </w:pPr>
      <w:rPr>
        <w:rFonts w:ascii="Symbol" w:hAnsi="Symbol" w:hint="default"/>
      </w:rPr>
    </w:lvl>
    <w:lvl w:ilvl="7" w:tplc="0C090003" w:tentative="1">
      <w:start w:val="1"/>
      <w:numFmt w:val="bullet"/>
      <w:lvlText w:val="o"/>
      <w:lvlJc w:val="left"/>
      <w:pPr>
        <w:ind w:left="6958" w:hanging="360"/>
      </w:pPr>
      <w:rPr>
        <w:rFonts w:ascii="Courier New" w:hAnsi="Courier New" w:cs="Courier New" w:hint="default"/>
      </w:rPr>
    </w:lvl>
    <w:lvl w:ilvl="8" w:tplc="0C090005" w:tentative="1">
      <w:start w:val="1"/>
      <w:numFmt w:val="bullet"/>
      <w:lvlText w:val=""/>
      <w:lvlJc w:val="left"/>
      <w:pPr>
        <w:ind w:left="7678" w:hanging="360"/>
      </w:pPr>
      <w:rPr>
        <w:rFonts w:ascii="Wingdings" w:hAnsi="Wingdings" w:hint="default"/>
      </w:rPr>
    </w:lvl>
  </w:abstractNum>
  <w:num w:numId="1" w16cid:durableId="1139037883">
    <w:abstractNumId w:val="0"/>
  </w:num>
  <w:num w:numId="2" w16cid:durableId="1913927239">
    <w:abstractNumId w:val="1"/>
  </w:num>
  <w:num w:numId="3" w16cid:durableId="1223760280">
    <w:abstractNumId w:val="5"/>
  </w:num>
  <w:num w:numId="4" w16cid:durableId="138617023">
    <w:abstractNumId w:val="4"/>
  </w:num>
  <w:num w:numId="5" w16cid:durableId="1867986377">
    <w:abstractNumId w:val="6"/>
  </w:num>
  <w:num w:numId="6" w16cid:durableId="560948378">
    <w:abstractNumId w:val="8"/>
  </w:num>
  <w:num w:numId="7" w16cid:durableId="222450230">
    <w:abstractNumId w:val="9"/>
  </w:num>
  <w:num w:numId="8" w16cid:durableId="1092556469">
    <w:abstractNumId w:val="3"/>
  </w:num>
  <w:num w:numId="9" w16cid:durableId="1138499543">
    <w:abstractNumId w:val="7"/>
  </w:num>
  <w:num w:numId="10" w16cid:durableId="158618729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6"/>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62"/>
    <w:rsid w:val="0001326A"/>
    <w:rsid w:val="000168FD"/>
    <w:rsid w:val="00020317"/>
    <w:rsid w:val="00021417"/>
    <w:rsid w:val="0002197A"/>
    <w:rsid w:val="00021D3F"/>
    <w:rsid w:val="000228E2"/>
    <w:rsid w:val="00022EF8"/>
    <w:rsid w:val="0002656D"/>
    <w:rsid w:val="000270EF"/>
    <w:rsid w:val="000354B4"/>
    <w:rsid w:val="00037248"/>
    <w:rsid w:val="0004163D"/>
    <w:rsid w:val="00041B9F"/>
    <w:rsid w:val="00043063"/>
    <w:rsid w:val="00043A00"/>
    <w:rsid w:val="00046784"/>
    <w:rsid w:val="00050A83"/>
    <w:rsid w:val="000574B5"/>
    <w:rsid w:val="000613B6"/>
    <w:rsid w:val="00061BA7"/>
    <w:rsid w:val="000623C6"/>
    <w:rsid w:val="00063F62"/>
    <w:rsid w:val="00064C50"/>
    <w:rsid w:val="000667F4"/>
    <w:rsid w:val="000700AB"/>
    <w:rsid w:val="000719A7"/>
    <w:rsid w:val="000725DB"/>
    <w:rsid w:val="0007378A"/>
    <w:rsid w:val="00085C96"/>
    <w:rsid w:val="0008782B"/>
    <w:rsid w:val="00090B14"/>
    <w:rsid w:val="00095765"/>
    <w:rsid w:val="00095B6A"/>
    <w:rsid w:val="000969D3"/>
    <w:rsid w:val="000A0DCA"/>
    <w:rsid w:val="000A32A8"/>
    <w:rsid w:val="000A3975"/>
    <w:rsid w:val="000A3E36"/>
    <w:rsid w:val="000A7F73"/>
    <w:rsid w:val="000B1AAC"/>
    <w:rsid w:val="000B2A3C"/>
    <w:rsid w:val="000B4093"/>
    <w:rsid w:val="000B5F39"/>
    <w:rsid w:val="000B7DA6"/>
    <w:rsid w:val="000C3645"/>
    <w:rsid w:val="000C3BDD"/>
    <w:rsid w:val="000C5199"/>
    <w:rsid w:val="000C76F6"/>
    <w:rsid w:val="000D02B0"/>
    <w:rsid w:val="000D1432"/>
    <w:rsid w:val="000D7B27"/>
    <w:rsid w:val="000D7F30"/>
    <w:rsid w:val="000E6E1F"/>
    <w:rsid w:val="000F0F40"/>
    <w:rsid w:val="000F49A2"/>
    <w:rsid w:val="000F4D0C"/>
    <w:rsid w:val="000F61FB"/>
    <w:rsid w:val="00107FAE"/>
    <w:rsid w:val="001115A7"/>
    <w:rsid w:val="00111C62"/>
    <w:rsid w:val="001127D9"/>
    <w:rsid w:val="00113FE9"/>
    <w:rsid w:val="001161F5"/>
    <w:rsid w:val="00122286"/>
    <w:rsid w:val="00125B7C"/>
    <w:rsid w:val="001268CC"/>
    <w:rsid w:val="00126B3F"/>
    <w:rsid w:val="0013508A"/>
    <w:rsid w:val="001367A3"/>
    <w:rsid w:val="00141936"/>
    <w:rsid w:val="0014494F"/>
    <w:rsid w:val="001457DC"/>
    <w:rsid w:val="0014667A"/>
    <w:rsid w:val="00147712"/>
    <w:rsid w:val="00153A37"/>
    <w:rsid w:val="00160839"/>
    <w:rsid w:val="00161FE6"/>
    <w:rsid w:val="001650D4"/>
    <w:rsid w:val="00165E66"/>
    <w:rsid w:val="00166645"/>
    <w:rsid w:val="0016666C"/>
    <w:rsid w:val="00170334"/>
    <w:rsid w:val="00170EFB"/>
    <w:rsid w:val="0017280C"/>
    <w:rsid w:val="00173742"/>
    <w:rsid w:val="00181766"/>
    <w:rsid w:val="0018201E"/>
    <w:rsid w:val="001831DA"/>
    <w:rsid w:val="00194712"/>
    <w:rsid w:val="00195922"/>
    <w:rsid w:val="00197DC1"/>
    <w:rsid w:val="001A383A"/>
    <w:rsid w:val="001A43F5"/>
    <w:rsid w:val="001A762E"/>
    <w:rsid w:val="001B15D9"/>
    <w:rsid w:val="001B29B0"/>
    <w:rsid w:val="001B2DB3"/>
    <w:rsid w:val="001C0A6C"/>
    <w:rsid w:val="001C1128"/>
    <w:rsid w:val="001C2CA3"/>
    <w:rsid w:val="001D2D8A"/>
    <w:rsid w:val="001D63CD"/>
    <w:rsid w:val="001E0403"/>
    <w:rsid w:val="001E09AC"/>
    <w:rsid w:val="001E12DD"/>
    <w:rsid w:val="001E5C07"/>
    <w:rsid w:val="001E6124"/>
    <w:rsid w:val="001F66C9"/>
    <w:rsid w:val="002016B3"/>
    <w:rsid w:val="00201B73"/>
    <w:rsid w:val="002073D1"/>
    <w:rsid w:val="0021057A"/>
    <w:rsid w:val="0022031E"/>
    <w:rsid w:val="002233B0"/>
    <w:rsid w:val="002235B6"/>
    <w:rsid w:val="0022366D"/>
    <w:rsid w:val="00230BAE"/>
    <w:rsid w:val="002361F9"/>
    <w:rsid w:val="002418DB"/>
    <w:rsid w:val="002418F6"/>
    <w:rsid w:val="00243FB3"/>
    <w:rsid w:val="002449C6"/>
    <w:rsid w:val="002453A1"/>
    <w:rsid w:val="0024690C"/>
    <w:rsid w:val="00246C8E"/>
    <w:rsid w:val="00250E7B"/>
    <w:rsid w:val="00261CAC"/>
    <w:rsid w:val="00261DE5"/>
    <w:rsid w:val="00263149"/>
    <w:rsid w:val="00265195"/>
    <w:rsid w:val="00272C53"/>
    <w:rsid w:val="00272CE4"/>
    <w:rsid w:val="0027596E"/>
    <w:rsid w:val="00275A47"/>
    <w:rsid w:val="0027667A"/>
    <w:rsid w:val="0027687D"/>
    <w:rsid w:val="00280472"/>
    <w:rsid w:val="00284A3D"/>
    <w:rsid w:val="00286249"/>
    <w:rsid w:val="00287DE4"/>
    <w:rsid w:val="00294327"/>
    <w:rsid w:val="00295240"/>
    <w:rsid w:val="00295CD9"/>
    <w:rsid w:val="002A166C"/>
    <w:rsid w:val="002A2874"/>
    <w:rsid w:val="002A5544"/>
    <w:rsid w:val="002A5651"/>
    <w:rsid w:val="002A6AA2"/>
    <w:rsid w:val="002B053D"/>
    <w:rsid w:val="002B1AF8"/>
    <w:rsid w:val="002B2A48"/>
    <w:rsid w:val="002B756C"/>
    <w:rsid w:val="002B7EB5"/>
    <w:rsid w:val="002C28C7"/>
    <w:rsid w:val="002D1072"/>
    <w:rsid w:val="002D151D"/>
    <w:rsid w:val="002D1B78"/>
    <w:rsid w:val="002D294E"/>
    <w:rsid w:val="002D2DAD"/>
    <w:rsid w:val="002D4C46"/>
    <w:rsid w:val="002D7B77"/>
    <w:rsid w:val="002E2B96"/>
    <w:rsid w:val="002F0496"/>
    <w:rsid w:val="002F0FA9"/>
    <w:rsid w:val="002F224E"/>
    <w:rsid w:val="002F507E"/>
    <w:rsid w:val="002F5EE9"/>
    <w:rsid w:val="00310DB8"/>
    <w:rsid w:val="003134C8"/>
    <w:rsid w:val="00317A76"/>
    <w:rsid w:val="003218C3"/>
    <w:rsid w:val="00321EE8"/>
    <w:rsid w:val="0032512C"/>
    <w:rsid w:val="003263C1"/>
    <w:rsid w:val="00326B6D"/>
    <w:rsid w:val="00332B2A"/>
    <w:rsid w:val="00333967"/>
    <w:rsid w:val="003400B5"/>
    <w:rsid w:val="0034016D"/>
    <w:rsid w:val="00342E98"/>
    <w:rsid w:val="003458F5"/>
    <w:rsid w:val="00347F8E"/>
    <w:rsid w:val="00357610"/>
    <w:rsid w:val="003578D8"/>
    <w:rsid w:val="00360B7B"/>
    <w:rsid w:val="00370DED"/>
    <w:rsid w:val="003718FC"/>
    <w:rsid w:val="00371CFA"/>
    <w:rsid w:val="0037392A"/>
    <w:rsid w:val="00375050"/>
    <w:rsid w:val="003762DA"/>
    <w:rsid w:val="00376D36"/>
    <w:rsid w:val="00377695"/>
    <w:rsid w:val="00381013"/>
    <w:rsid w:val="003852BB"/>
    <w:rsid w:val="003858C6"/>
    <w:rsid w:val="003876ED"/>
    <w:rsid w:val="00394264"/>
    <w:rsid w:val="00396DFB"/>
    <w:rsid w:val="00396E79"/>
    <w:rsid w:val="003A2BEA"/>
    <w:rsid w:val="003A48C5"/>
    <w:rsid w:val="003B6DAA"/>
    <w:rsid w:val="003C67F5"/>
    <w:rsid w:val="003C682E"/>
    <w:rsid w:val="003C77A1"/>
    <w:rsid w:val="003E558A"/>
    <w:rsid w:val="003E5D96"/>
    <w:rsid w:val="003E6FAB"/>
    <w:rsid w:val="003F5A5B"/>
    <w:rsid w:val="004000E1"/>
    <w:rsid w:val="00405C7C"/>
    <w:rsid w:val="00411665"/>
    <w:rsid w:val="00412E49"/>
    <w:rsid w:val="0041440C"/>
    <w:rsid w:val="00416FF5"/>
    <w:rsid w:val="00417189"/>
    <w:rsid w:val="0041719E"/>
    <w:rsid w:val="00423CF2"/>
    <w:rsid w:val="004250FA"/>
    <w:rsid w:val="004275CB"/>
    <w:rsid w:val="0043193E"/>
    <w:rsid w:val="00431ED9"/>
    <w:rsid w:val="00433188"/>
    <w:rsid w:val="00434F7E"/>
    <w:rsid w:val="004367FD"/>
    <w:rsid w:val="004379AA"/>
    <w:rsid w:val="0044291E"/>
    <w:rsid w:val="004440D6"/>
    <w:rsid w:val="0044443B"/>
    <w:rsid w:val="004502AD"/>
    <w:rsid w:val="004539FC"/>
    <w:rsid w:val="00460099"/>
    <w:rsid w:val="004604B9"/>
    <w:rsid w:val="00461BB9"/>
    <w:rsid w:val="004657B6"/>
    <w:rsid w:val="004657CD"/>
    <w:rsid w:val="004665A9"/>
    <w:rsid w:val="00466C53"/>
    <w:rsid w:val="00467384"/>
    <w:rsid w:val="00474A46"/>
    <w:rsid w:val="00474FF5"/>
    <w:rsid w:val="00480ACC"/>
    <w:rsid w:val="00484CEA"/>
    <w:rsid w:val="0049394F"/>
    <w:rsid w:val="00495C41"/>
    <w:rsid w:val="00497B78"/>
    <w:rsid w:val="004A3DF6"/>
    <w:rsid w:val="004A4622"/>
    <w:rsid w:val="004A642C"/>
    <w:rsid w:val="004B0D61"/>
    <w:rsid w:val="004B1D08"/>
    <w:rsid w:val="004B5AF2"/>
    <w:rsid w:val="004B5E8F"/>
    <w:rsid w:val="004B6B77"/>
    <w:rsid w:val="004C03EE"/>
    <w:rsid w:val="004C050E"/>
    <w:rsid w:val="004C2D5B"/>
    <w:rsid w:val="004C7B58"/>
    <w:rsid w:val="004C7EC2"/>
    <w:rsid w:val="004D5632"/>
    <w:rsid w:val="004E0903"/>
    <w:rsid w:val="004E1C8C"/>
    <w:rsid w:val="004E2549"/>
    <w:rsid w:val="004F2C7B"/>
    <w:rsid w:val="00500E1A"/>
    <w:rsid w:val="00504F1A"/>
    <w:rsid w:val="0050608F"/>
    <w:rsid w:val="005076BB"/>
    <w:rsid w:val="005130C4"/>
    <w:rsid w:val="00515ADA"/>
    <w:rsid w:val="00516A82"/>
    <w:rsid w:val="00516DF4"/>
    <w:rsid w:val="00517F6E"/>
    <w:rsid w:val="00521797"/>
    <w:rsid w:val="00522AB4"/>
    <w:rsid w:val="00523931"/>
    <w:rsid w:val="005248BA"/>
    <w:rsid w:val="00524CFB"/>
    <w:rsid w:val="0053052F"/>
    <w:rsid w:val="0053062E"/>
    <w:rsid w:val="00531348"/>
    <w:rsid w:val="005344CD"/>
    <w:rsid w:val="00537826"/>
    <w:rsid w:val="00540C27"/>
    <w:rsid w:val="00546452"/>
    <w:rsid w:val="00547101"/>
    <w:rsid w:val="005540F3"/>
    <w:rsid w:val="00560908"/>
    <w:rsid w:val="00562301"/>
    <w:rsid w:val="00562D50"/>
    <w:rsid w:val="00570E6F"/>
    <w:rsid w:val="005740C1"/>
    <w:rsid w:val="00574A60"/>
    <w:rsid w:val="00574AB6"/>
    <w:rsid w:val="00581324"/>
    <w:rsid w:val="00582CFA"/>
    <w:rsid w:val="00582F2D"/>
    <w:rsid w:val="005845E9"/>
    <w:rsid w:val="00587AD2"/>
    <w:rsid w:val="00590383"/>
    <w:rsid w:val="00591008"/>
    <w:rsid w:val="00594811"/>
    <w:rsid w:val="00595AC9"/>
    <w:rsid w:val="00596AB8"/>
    <w:rsid w:val="005A05F0"/>
    <w:rsid w:val="005A6852"/>
    <w:rsid w:val="005B2DF0"/>
    <w:rsid w:val="005B3A97"/>
    <w:rsid w:val="005B4226"/>
    <w:rsid w:val="005B50CF"/>
    <w:rsid w:val="005B64D2"/>
    <w:rsid w:val="005B786F"/>
    <w:rsid w:val="005C36E1"/>
    <w:rsid w:val="005C4A5E"/>
    <w:rsid w:val="005C4ED0"/>
    <w:rsid w:val="005E2C53"/>
    <w:rsid w:val="005E65E3"/>
    <w:rsid w:val="005E6943"/>
    <w:rsid w:val="005E791A"/>
    <w:rsid w:val="005E7CBB"/>
    <w:rsid w:val="005F2476"/>
    <w:rsid w:val="005F3A85"/>
    <w:rsid w:val="005F4ED1"/>
    <w:rsid w:val="005F5B15"/>
    <w:rsid w:val="005F6203"/>
    <w:rsid w:val="00600539"/>
    <w:rsid w:val="00601BDB"/>
    <w:rsid w:val="006070C3"/>
    <w:rsid w:val="00610776"/>
    <w:rsid w:val="00626982"/>
    <w:rsid w:val="006308F9"/>
    <w:rsid w:val="006326E7"/>
    <w:rsid w:val="00633B37"/>
    <w:rsid w:val="006348CE"/>
    <w:rsid w:val="006349E4"/>
    <w:rsid w:val="00634AC3"/>
    <w:rsid w:val="00636862"/>
    <w:rsid w:val="00642CB5"/>
    <w:rsid w:val="00643FE0"/>
    <w:rsid w:val="0064519D"/>
    <w:rsid w:val="0065263F"/>
    <w:rsid w:val="00653543"/>
    <w:rsid w:val="00654F15"/>
    <w:rsid w:val="00656365"/>
    <w:rsid w:val="00657977"/>
    <w:rsid w:val="00661F5D"/>
    <w:rsid w:val="0066306D"/>
    <w:rsid w:val="0066357B"/>
    <w:rsid w:val="006650A5"/>
    <w:rsid w:val="00665D47"/>
    <w:rsid w:val="00666E37"/>
    <w:rsid w:val="00667DF2"/>
    <w:rsid w:val="0067064F"/>
    <w:rsid w:val="00673EEE"/>
    <w:rsid w:val="0067417C"/>
    <w:rsid w:val="006762A7"/>
    <w:rsid w:val="00677140"/>
    <w:rsid w:val="0068028D"/>
    <w:rsid w:val="00681721"/>
    <w:rsid w:val="006850C0"/>
    <w:rsid w:val="0069058E"/>
    <w:rsid w:val="0069546E"/>
    <w:rsid w:val="006A1820"/>
    <w:rsid w:val="006A478C"/>
    <w:rsid w:val="006B0395"/>
    <w:rsid w:val="006B1467"/>
    <w:rsid w:val="006B1774"/>
    <w:rsid w:val="006B32D6"/>
    <w:rsid w:val="006B5756"/>
    <w:rsid w:val="006B679C"/>
    <w:rsid w:val="006C013C"/>
    <w:rsid w:val="006C759F"/>
    <w:rsid w:val="006D23C2"/>
    <w:rsid w:val="006D2573"/>
    <w:rsid w:val="006E0E8B"/>
    <w:rsid w:val="006E20C3"/>
    <w:rsid w:val="006E294B"/>
    <w:rsid w:val="006E3DA4"/>
    <w:rsid w:val="006E5BD3"/>
    <w:rsid w:val="006E730E"/>
    <w:rsid w:val="006F15BE"/>
    <w:rsid w:val="006F28D2"/>
    <w:rsid w:val="006F3C5F"/>
    <w:rsid w:val="006F5216"/>
    <w:rsid w:val="006F53AE"/>
    <w:rsid w:val="00702232"/>
    <w:rsid w:val="00705462"/>
    <w:rsid w:val="00706C0E"/>
    <w:rsid w:val="00714A75"/>
    <w:rsid w:val="00715AF5"/>
    <w:rsid w:val="007163E3"/>
    <w:rsid w:val="00720192"/>
    <w:rsid w:val="00720BD7"/>
    <w:rsid w:val="00723FB3"/>
    <w:rsid w:val="00727BD6"/>
    <w:rsid w:val="00732CF3"/>
    <w:rsid w:val="00740BDF"/>
    <w:rsid w:val="00741E3C"/>
    <w:rsid w:val="007421C0"/>
    <w:rsid w:val="00742B4C"/>
    <w:rsid w:val="0074600E"/>
    <w:rsid w:val="00747D25"/>
    <w:rsid w:val="00753867"/>
    <w:rsid w:val="00754458"/>
    <w:rsid w:val="00755120"/>
    <w:rsid w:val="00756A8A"/>
    <w:rsid w:val="00757917"/>
    <w:rsid w:val="00762F1F"/>
    <w:rsid w:val="00766B60"/>
    <w:rsid w:val="0077516E"/>
    <w:rsid w:val="00775885"/>
    <w:rsid w:val="00780B46"/>
    <w:rsid w:val="00780D74"/>
    <w:rsid w:val="00781762"/>
    <w:rsid w:val="00784C94"/>
    <w:rsid w:val="00791AA3"/>
    <w:rsid w:val="00792D75"/>
    <w:rsid w:val="00794D97"/>
    <w:rsid w:val="007978D7"/>
    <w:rsid w:val="007A0650"/>
    <w:rsid w:val="007A28A8"/>
    <w:rsid w:val="007A6BF1"/>
    <w:rsid w:val="007A7296"/>
    <w:rsid w:val="007A76B5"/>
    <w:rsid w:val="007B0A03"/>
    <w:rsid w:val="007B1247"/>
    <w:rsid w:val="007B15AE"/>
    <w:rsid w:val="007B1A9B"/>
    <w:rsid w:val="007B3CC4"/>
    <w:rsid w:val="007B4CCB"/>
    <w:rsid w:val="007B615B"/>
    <w:rsid w:val="007B738A"/>
    <w:rsid w:val="007B75C3"/>
    <w:rsid w:val="007C0FB8"/>
    <w:rsid w:val="007C2798"/>
    <w:rsid w:val="007C7570"/>
    <w:rsid w:val="007D33DB"/>
    <w:rsid w:val="007D3EAD"/>
    <w:rsid w:val="007D63DD"/>
    <w:rsid w:val="007D6AC1"/>
    <w:rsid w:val="007D79E4"/>
    <w:rsid w:val="007E0538"/>
    <w:rsid w:val="007E3132"/>
    <w:rsid w:val="007E4EA3"/>
    <w:rsid w:val="007F07F8"/>
    <w:rsid w:val="007F3E07"/>
    <w:rsid w:val="007F56D9"/>
    <w:rsid w:val="007F6111"/>
    <w:rsid w:val="007F7FC0"/>
    <w:rsid w:val="0080592B"/>
    <w:rsid w:val="008059BB"/>
    <w:rsid w:val="00810C01"/>
    <w:rsid w:val="00814CFF"/>
    <w:rsid w:val="00817D91"/>
    <w:rsid w:val="00823AC4"/>
    <w:rsid w:val="0082418C"/>
    <w:rsid w:val="00826C75"/>
    <w:rsid w:val="0082755C"/>
    <w:rsid w:val="00832F9F"/>
    <w:rsid w:val="00833FD3"/>
    <w:rsid w:val="00835399"/>
    <w:rsid w:val="008354B4"/>
    <w:rsid w:val="00842D7C"/>
    <w:rsid w:val="00844018"/>
    <w:rsid w:val="0084456D"/>
    <w:rsid w:val="00847DE2"/>
    <w:rsid w:val="00857B98"/>
    <w:rsid w:val="00862B37"/>
    <w:rsid w:val="00863D60"/>
    <w:rsid w:val="0086705D"/>
    <w:rsid w:val="00873851"/>
    <w:rsid w:val="00881BAA"/>
    <w:rsid w:val="00881FDC"/>
    <w:rsid w:val="0088286C"/>
    <w:rsid w:val="00883C6F"/>
    <w:rsid w:val="00885A9D"/>
    <w:rsid w:val="00887E6C"/>
    <w:rsid w:val="0089097B"/>
    <w:rsid w:val="00890F58"/>
    <w:rsid w:val="00891A15"/>
    <w:rsid w:val="00893767"/>
    <w:rsid w:val="00893854"/>
    <w:rsid w:val="008977CE"/>
    <w:rsid w:val="008A32AC"/>
    <w:rsid w:val="008A40EA"/>
    <w:rsid w:val="008A585E"/>
    <w:rsid w:val="008A7B80"/>
    <w:rsid w:val="008B1AD3"/>
    <w:rsid w:val="008B41AC"/>
    <w:rsid w:val="008B701D"/>
    <w:rsid w:val="008C0D58"/>
    <w:rsid w:val="008C2DB1"/>
    <w:rsid w:val="008C33E6"/>
    <w:rsid w:val="008D28CE"/>
    <w:rsid w:val="008D3053"/>
    <w:rsid w:val="008D4244"/>
    <w:rsid w:val="008D4EAF"/>
    <w:rsid w:val="008D5BB7"/>
    <w:rsid w:val="008E2DBA"/>
    <w:rsid w:val="008E3426"/>
    <w:rsid w:val="008E3669"/>
    <w:rsid w:val="008E623C"/>
    <w:rsid w:val="008F1284"/>
    <w:rsid w:val="008F54A8"/>
    <w:rsid w:val="008F6339"/>
    <w:rsid w:val="008F6C5D"/>
    <w:rsid w:val="009020DD"/>
    <w:rsid w:val="00902A40"/>
    <w:rsid w:val="009031E4"/>
    <w:rsid w:val="00904E09"/>
    <w:rsid w:val="00907EBB"/>
    <w:rsid w:val="009148CE"/>
    <w:rsid w:val="00915B87"/>
    <w:rsid w:val="009163B2"/>
    <w:rsid w:val="009179AF"/>
    <w:rsid w:val="0092301A"/>
    <w:rsid w:val="00926402"/>
    <w:rsid w:val="00926ABD"/>
    <w:rsid w:val="00927957"/>
    <w:rsid w:val="00943A26"/>
    <w:rsid w:val="00945C2A"/>
    <w:rsid w:val="00950BAF"/>
    <w:rsid w:val="009525EC"/>
    <w:rsid w:val="00962D2F"/>
    <w:rsid w:val="00963ACF"/>
    <w:rsid w:val="00967B3F"/>
    <w:rsid w:val="00970828"/>
    <w:rsid w:val="00970B75"/>
    <w:rsid w:val="00976ECE"/>
    <w:rsid w:val="00977BA4"/>
    <w:rsid w:val="009826CE"/>
    <w:rsid w:val="009849C8"/>
    <w:rsid w:val="00987AD9"/>
    <w:rsid w:val="0099409C"/>
    <w:rsid w:val="00996938"/>
    <w:rsid w:val="009B176A"/>
    <w:rsid w:val="009C48C5"/>
    <w:rsid w:val="009C502E"/>
    <w:rsid w:val="009C63BA"/>
    <w:rsid w:val="009C750A"/>
    <w:rsid w:val="009C7BF1"/>
    <w:rsid w:val="009D020C"/>
    <w:rsid w:val="009D19FC"/>
    <w:rsid w:val="009D27B2"/>
    <w:rsid w:val="009D2880"/>
    <w:rsid w:val="009D31AA"/>
    <w:rsid w:val="009D4604"/>
    <w:rsid w:val="009D4894"/>
    <w:rsid w:val="009E39F8"/>
    <w:rsid w:val="009F0FF1"/>
    <w:rsid w:val="009F1D84"/>
    <w:rsid w:val="009F7FCA"/>
    <w:rsid w:val="00A01FBE"/>
    <w:rsid w:val="00A02AAE"/>
    <w:rsid w:val="00A03E63"/>
    <w:rsid w:val="00A03FF8"/>
    <w:rsid w:val="00A04CCC"/>
    <w:rsid w:val="00A0504A"/>
    <w:rsid w:val="00A06904"/>
    <w:rsid w:val="00A12112"/>
    <w:rsid w:val="00A12BAB"/>
    <w:rsid w:val="00A141CB"/>
    <w:rsid w:val="00A177FC"/>
    <w:rsid w:val="00A20280"/>
    <w:rsid w:val="00A20A97"/>
    <w:rsid w:val="00A23A23"/>
    <w:rsid w:val="00A25806"/>
    <w:rsid w:val="00A26C8C"/>
    <w:rsid w:val="00A32B05"/>
    <w:rsid w:val="00A34635"/>
    <w:rsid w:val="00A42824"/>
    <w:rsid w:val="00A436EC"/>
    <w:rsid w:val="00A5182E"/>
    <w:rsid w:val="00A5386B"/>
    <w:rsid w:val="00A5409F"/>
    <w:rsid w:val="00A55194"/>
    <w:rsid w:val="00A557BD"/>
    <w:rsid w:val="00A5725D"/>
    <w:rsid w:val="00A60AB8"/>
    <w:rsid w:val="00A619C7"/>
    <w:rsid w:val="00A62490"/>
    <w:rsid w:val="00A62621"/>
    <w:rsid w:val="00A62D3F"/>
    <w:rsid w:val="00A6489A"/>
    <w:rsid w:val="00A66AFE"/>
    <w:rsid w:val="00A7220F"/>
    <w:rsid w:val="00A77C04"/>
    <w:rsid w:val="00A807BE"/>
    <w:rsid w:val="00A809DA"/>
    <w:rsid w:val="00A82D5C"/>
    <w:rsid w:val="00A848F4"/>
    <w:rsid w:val="00A849B2"/>
    <w:rsid w:val="00A85022"/>
    <w:rsid w:val="00A85358"/>
    <w:rsid w:val="00A85E3B"/>
    <w:rsid w:val="00A869E6"/>
    <w:rsid w:val="00A9050A"/>
    <w:rsid w:val="00A95974"/>
    <w:rsid w:val="00A959F5"/>
    <w:rsid w:val="00AB0069"/>
    <w:rsid w:val="00AB13FC"/>
    <w:rsid w:val="00AB6C4F"/>
    <w:rsid w:val="00AB784B"/>
    <w:rsid w:val="00AD01D1"/>
    <w:rsid w:val="00AD07D2"/>
    <w:rsid w:val="00AE51E8"/>
    <w:rsid w:val="00AE5C43"/>
    <w:rsid w:val="00AF37D5"/>
    <w:rsid w:val="00AF4189"/>
    <w:rsid w:val="00AF62A9"/>
    <w:rsid w:val="00AF723D"/>
    <w:rsid w:val="00B01556"/>
    <w:rsid w:val="00B0238C"/>
    <w:rsid w:val="00B03507"/>
    <w:rsid w:val="00B102D8"/>
    <w:rsid w:val="00B154D0"/>
    <w:rsid w:val="00B17C62"/>
    <w:rsid w:val="00B27EEB"/>
    <w:rsid w:val="00B27FFA"/>
    <w:rsid w:val="00B33C17"/>
    <w:rsid w:val="00B34D13"/>
    <w:rsid w:val="00B35FB8"/>
    <w:rsid w:val="00B41E1C"/>
    <w:rsid w:val="00B472A5"/>
    <w:rsid w:val="00B50A6A"/>
    <w:rsid w:val="00B51655"/>
    <w:rsid w:val="00B55C9F"/>
    <w:rsid w:val="00B64035"/>
    <w:rsid w:val="00B64893"/>
    <w:rsid w:val="00B64C7B"/>
    <w:rsid w:val="00B658FA"/>
    <w:rsid w:val="00B66CBA"/>
    <w:rsid w:val="00B730E5"/>
    <w:rsid w:val="00B74B37"/>
    <w:rsid w:val="00B75A9C"/>
    <w:rsid w:val="00B82C3D"/>
    <w:rsid w:val="00B84DB5"/>
    <w:rsid w:val="00B85A91"/>
    <w:rsid w:val="00B8613F"/>
    <w:rsid w:val="00B86B55"/>
    <w:rsid w:val="00B87108"/>
    <w:rsid w:val="00B95758"/>
    <w:rsid w:val="00BA24BE"/>
    <w:rsid w:val="00BA2D70"/>
    <w:rsid w:val="00BA39D3"/>
    <w:rsid w:val="00BA744E"/>
    <w:rsid w:val="00BB3F87"/>
    <w:rsid w:val="00BB416E"/>
    <w:rsid w:val="00BB5BAF"/>
    <w:rsid w:val="00BB7175"/>
    <w:rsid w:val="00BC0F6D"/>
    <w:rsid w:val="00BC263C"/>
    <w:rsid w:val="00BC50C1"/>
    <w:rsid w:val="00BC5AA9"/>
    <w:rsid w:val="00BC7428"/>
    <w:rsid w:val="00BC7A77"/>
    <w:rsid w:val="00BD070F"/>
    <w:rsid w:val="00BE314E"/>
    <w:rsid w:val="00BF01F1"/>
    <w:rsid w:val="00BF0C20"/>
    <w:rsid w:val="00BF0F81"/>
    <w:rsid w:val="00BF1299"/>
    <w:rsid w:val="00C0540C"/>
    <w:rsid w:val="00C05D05"/>
    <w:rsid w:val="00C06A8D"/>
    <w:rsid w:val="00C0705D"/>
    <w:rsid w:val="00C07BAD"/>
    <w:rsid w:val="00C10460"/>
    <w:rsid w:val="00C115E1"/>
    <w:rsid w:val="00C12AA3"/>
    <w:rsid w:val="00C1576F"/>
    <w:rsid w:val="00C158A2"/>
    <w:rsid w:val="00C1667E"/>
    <w:rsid w:val="00C21BCB"/>
    <w:rsid w:val="00C245CA"/>
    <w:rsid w:val="00C313AC"/>
    <w:rsid w:val="00C332A4"/>
    <w:rsid w:val="00C36582"/>
    <w:rsid w:val="00C400F5"/>
    <w:rsid w:val="00C43CDE"/>
    <w:rsid w:val="00C448F7"/>
    <w:rsid w:val="00C45162"/>
    <w:rsid w:val="00C4647B"/>
    <w:rsid w:val="00C50A1F"/>
    <w:rsid w:val="00C527B2"/>
    <w:rsid w:val="00C5318B"/>
    <w:rsid w:val="00C56C9C"/>
    <w:rsid w:val="00C6259E"/>
    <w:rsid w:val="00C7346A"/>
    <w:rsid w:val="00C738F3"/>
    <w:rsid w:val="00C75F6D"/>
    <w:rsid w:val="00C762CF"/>
    <w:rsid w:val="00C8484F"/>
    <w:rsid w:val="00C86452"/>
    <w:rsid w:val="00C86B98"/>
    <w:rsid w:val="00C878AC"/>
    <w:rsid w:val="00CA3E2C"/>
    <w:rsid w:val="00CA72A3"/>
    <w:rsid w:val="00CB185A"/>
    <w:rsid w:val="00CC1FBB"/>
    <w:rsid w:val="00CC29FE"/>
    <w:rsid w:val="00CC31E3"/>
    <w:rsid w:val="00CD3138"/>
    <w:rsid w:val="00CE3B1D"/>
    <w:rsid w:val="00CE42A9"/>
    <w:rsid w:val="00CE4812"/>
    <w:rsid w:val="00CE5FC6"/>
    <w:rsid w:val="00CE6AE3"/>
    <w:rsid w:val="00CF0319"/>
    <w:rsid w:val="00CF3075"/>
    <w:rsid w:val="00CF3462"/>
    <w:rsid w:val="00CF373B"/>
    <w:rsid w:val="00CF40C9"/>
    <w:rsid w:val="00D0248C"/>
    <w:rsid w:val="00D047CD"/>
    <w:rsid w:val="00D05D2C"/>
    <w:rsid w:val="00D06CB7"/>
    <w:rsid w:val="00D10D24"/>
    <w:rsid w:val="00D2236E"/>
    <w:rsid w:val="00D231E0"/>
    <w:rsid w:val="00D2648D"/>
    <w:rsid w:val="00D3247B"/>
    <w:rsid w:val="00D377D7"/>
    <w:rsid w:val="00D5253F"/>
    <w:rsid w:val="00D52CAC"/>
    <w:rsid w:val="00D555F9"/>
    <w:rsid w:val="00D55BC3"/>
    <w:rsid w:val="00D56213"/>
    <w:rsid w:val="00D614DF"/>
    <w:rsid w:val="00D66234"/>
    <w:rsid w:val="00D85F00"/>
    <w:rsid w:val="00D9114F"/>
    <w:rsid w:val="00D920FB"/>
    <w:rsid w:val="00D96309"/>
    <w:rsid w:val="00D96726"/>
    <w:rsid w:val="00DA6F5B"/>
    <w:rsid w:val="00DB0479"/>
    <w:rsid w:val="00DB16B9"/>
    <w:rsid w:val="00DB4516"/>
    <w:rsid w:val="00DB4612"/>
    <w:rsid w:val="00DB6C8F"/>
    <w:rsid w:val="00DB739A"/>
    <w:rsid w:val="00DB7968"/>
    <w:rsid w:val="00DC177E"/>
    <w:rsid w:val="00DC2DFC"/>
    <w:rsid w:val="00DC471F"/>
    <w:rsid w:val="00DC5CE8"/>
    <w:rsid w:val="00DC7A7F"/>
    <w:rsid w:val="00DC7EE4"/>
    <w:rsid w:val="00DD4B4E"/>
    <w:rsid w:val="00E00460"/>
    <w:rsid w:val="00E00793"/>
    <w:rsid w:val="00E06910"/>
    <w:rsid w:val="00E15427"/>
    <w:rsid w:val="00E16762"/>
    <w:rsid w:val="00E20578"/>
    <w:rsid w:val="00E21C8C"/>
    <w:rsid w:val="00E222F1"/>
    <w:rsid w:val="00E262C0"/>
    <w:rsid w:val="00E265FA"/>
    <w:rsid w:val="00E31309"/>
    <w:rsid w:val="00E331DE"/>
    <w:rsid w:val="00E34B2B"/>
    <w:rsid w:val="00E359DC"/>
    <w:rsid w:val="00E36743"/>
    <w:rsid w:val="00E368A1"/>
    <w:rsid w:val="00E36E50"/>
    <w:rsid w:val="00E443E4"/>
    <w:rsid w:val="00E50244"/>
    <w:rsid w:val="00E50B0E"/>
    <w:rsid w:val="00E52DA6"/>
    <w:rsid w:val="00E52F57"/>
    <w:rsid w:val="00E53105"/>
    <w:rsid w:val="00E54794"/>
    <w:rsid w:val="00E56164"/>
    <w:rsid w:val="00E570BB"/>
    <w:rsid w:val="00E57FE8"/>
    <w:rsid w:val="00E61C59"/>
    <w:rsid w:val="00E63649"/>
    <w:rsid w:val="00E67054"/>
    <w:rsid w:val="00E74827"/>
    <w:rsid w:val="00E75525"/>
    <w:rsid w:val="00E77601"/>
    <w:rsid w:val="00E77821"/>
    <w:rsid w:val="00E81B11"/>
    <w:rsid w:val="00E8319B"/>
    <w:rsid w:val="00E864AF"/>
    <w:rsid w:val="00E93BAC"/>
    <w:rsid w:val="00E97F61"/>
    <w:rsid w:val="00EA024B"/>
    <w:rsid w:val="00EA1325"/>
    <w:rsid w:val="00EA198C"/>
    <w:rsid w:val="00EA5043"/>
    <w:rsid w:val="00EA5849"/>
    <w:rsid w:val="00EA79C7"/>
    <w:rsid w:val="00EB591A"/>
    <w:rsid w:val="00EB5E39"/>
    <w:rsid w:val="00EC0162"/>
    <w:rsid w:val="00EC36A3"/>
    <w:rsid w:val="00EC4C93"/>
    <w:rsid w:val="00ED24EC"/>
    <w:rsid w:val="00ED27FE"/>
    <w:rsid w:val="00ED29E4"/>
    <w:rsid w:val="00EE107B"/>
    <w:rsid w:val="00EE30B7"/>
    <w:rsid w:val="00EE4F80"/>
    <w:rsid w:val="00EF7145"/>
    <w:rsid w:val="00EF730A"/>
    <w:rsid w:val="00F10B15"/>
    <w:rsid w:val="00F147C2"/>
    <w:rsid w:val="00F1646A"/>
    <w:rsid w:val="00F33C08"/>
    <w:rsid w:val="00F34D3B"/>
    <w:rsid w:val="00F36074"/>
    <w:rsid w:val="00F46306"/>
    <w:rsid w:val="00F46B51"/>
    <w:rsid w:val="00F61824"/>
    <w:rsid w:val="00F62D80"/>
    <w:rsid w:val="00F63503"/>
    <w:rsid w:val="00F63B24"/>
    <w:rsid w:val="00F660A5"/>
    <w:rsid w:val="00F665EF"/>
    <w:rsid w:val="00F677E8"/>
    <w:rsid w:val="00F67F9A"/>
    <w:rsid w:val="00F80D58"/>
    <w:rsid w:val="00F87704"/>
    <w:rsid w:val="00F9020B"/>
    <w:rsid w:val="00F93E35"/>
    <w:rsid w:val="00F944D4"/>
    <w:rsid w:val="00FA09EC"/>
    <w:rsid w:val="00FA1843"/>
    <w:rsid w:val="00FA2299"/>
    <w:rsid w:val="00FA285A"/>
    <w:rsid w:val="00FA7DA5"/>
    <w:rsid w:val="00FA7DFD"/>
    <w:rsid w:val="00FB28D4"/>
    <w:rsid w:val="00FB4A72"/>
    <w:rsid w:val="00FB58A1"/>
    <w:rsid w:val="00FC4B0A"/>
    <w:rsid w:val="00FC4C59"/>
    <w:rsid w:val="00FC7298"/>
    <w:rsid w:val="00FD1203"/>
    <w:rsid w:val="00FD1B8E"/>
    <w:rsid w:val="00FD2EE6"/>
    <w:rsid w:val="00FD382F"/>
    <w:rsid w:val="00FD77A2"/>
    <w:rsid w:val="00FE0C5C"/>
    <w:rsid w:val="00FE12B1"/>
    <w:rsid w:val="00FE3FCC"/>
    <w:rsid w:val="00FE4F0C"/>
    <w:rsid w:val="00FF118B"/>
    <w:rsid w:val="00FF45F2"/>
    <w:rsid w:val="00FF72DC"/>
    <w:rsid w:val="03EADA54"/>
    <w:rsid w:val="1C9E15CC"/>
    <w:rsid w:val="23F2E76A"/>
    <w:rsid w:val="2AED80DD"/>
    <w:rsid w:val="2B07B7A2"/>
    <w:rsid w:val="33EB26C5"/>
    <w:rsid w:val="589B368D"/>
    <w:rsid w:val="69A200BB"/>
    <w:rsid w:val="6AA6F5D9"/>
    <w:rsid w:val="6C8567F5"/>
    <w:rsid w:val="76F9B4AD"/>
    <w:rsid w:val="7C60D78A"/>
    <w:rsid w:val="7D33849A"/>
    <w:rsid w:val="7DFCA7EB"/>
    <w:rsid w:val="7ECF54FB"/>
    <w:rsid w:val="7FD31B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48CA029"/>
  <w15:docId w15:val="{CFCC5320-27BB-428A-82D3-A20BF270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uiPriority w:val="20"/>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4E2549"/>
    <w:rPr>
      <w:color w:val="800080" w:themeColor="followedHyperlink"/>
      <w:u w:val="single"/>
    </w:rPr>
  </w:style>
  <w:style w:type="paragraph" w:styleId="Revision">
    <w:name w:val="Revision"/>
    <w:hidden/>
    <w:uiPriority w:val="99"/>
    <w:semiHidden/>
    <w:rsid w:val="00F1646A"/>
    <w:pPr>
      <w:spacing w:after="0"/>
      <w:ind w:left="0"/>
      <w:jc w:val="left"/>
    </w:pPr>
    <w:rPr>
      <w:rFonts w:ascii="Arial" w:hAnsi="Arial"/>
      <w:sz w:val="22"/>
    </w:rPr>
  </w:style>
  <w:style w:type="character" w:styleId="UnresolvedMention">
    <w:name w:val="Unresolved Mention"/>
    <w:basedOn w:val="DefaultParagraphFont"/>
    <w:uiPriority w:val="99"/>
    <w:semiHidden/>
    <w:unhideWhenUsed/>
    <w:rsid w:val="006C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540808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910647407">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riffith.edu.au/pdf/Student%20Review%20and%20Appeals%20Procedures.pdf" TargetMode="External"/><Relationship Id="rId18" Type="http://schemas.openxmlformats.org/officeDocument/2006/relationships/hyperlink" Target="https://www.griffith.edu.au/student-support/international/student-adviso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licies.griffith.edu.au/pdf/Student%20Review%20and%20Appeals%20Policy.pdf" TargetMode="External"/><Relationship Id="rId17" Type="http://schemas.openxmlformats.org/officeDocument/2006/relationships/hyperlink" Target="https://sharepointpubstor.blob.core.windows.net/policylibrary-prod/Assessment%20Procedure%20for%20Student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arepointpubstor.blob.core.windows.net/policylibrary-prod/Assessment%20Procedure%20for%20Staff.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olicies.griffith.edu.au/pdf/Assessment%20Policy.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griffith.edu.au/pdf/Role%20Statement%20Program%20Director.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s://sharepointpubstor.blob.core.windows.net/policylibrary-prod/Academic%20Progress%20Proced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2%20Redevelopment\Templates\Approved%20Policy%20Library%20Template_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78</Value>
      <Value>519</Value>
      <Value>551</Value>
      <Value>88</Value>
      <Value>70</Value>
      <Value>69</Value>
      <Value>34</Value>
    </TaxCatchAll>
    <PublishOn xmlns="2f261a70-825f-4a37-b7b5-f6ecc2f4c5fa">2021-02-05T09:21:17+00:00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policy specifies the academic standing statuses of Green, Blue, Amber or Red for undergraduate and postgraduate coursework students. An academic standing status can only be attributed once a student has enrolled in at least 20 credit points of study. The policy also specifies the indicators of a student being "at risk" of losing their "good academic standing" status, the University's systematic assessment and response to that risk.</policysummary>
    <PolicyCategoryPath xmlns="2f261a70-825f-4a37-b7b5-f6ecc2f4c5fa">Academic:Learning and Teaching</PolicyCategoryPath>
    <PolicyCategory0 xmlns="2f261a70-825f-4a37-b7b5-f6ecc2f4c5fa">Learning and Teaching</PolicyCategory0>
    <docsort xmlns="2f261a70-825f-4a37-b7b5-f6ecc2f4c5fa">30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Enrolment and Orientation</TermName>
          <TermId xmlns="http://schemas.microsoft.com/office/infopath/2007/PartnerControls">6400745d-52c5-450f-bfdf-cde1f0359e08</TermId>
        </TermInfo>
      </Terms>
    </cb2cae79e6954dd59be5b9155b36b74a>
    <GlossaryValues xmlns="2f261a70-825f-4a37-b7b5-f6ecc2f4c5fa" xsi:nil="true"/>
    <PolicyCategoryParent xmlns="2f261a70-825f-4a37-b7b5-f6ecc2f4c5fa">Academic</PolicyCategoryParent>
    <LastPublished xmlns="2f261a70-825f-4a37-b7b5-f6ecc2f4c5fa" xsi:nil="true"/>
    <doccomments xmlns="2f261a70-825f-4a37-b7b5-f6ecc2f4c5fa">Executive approval by DVC(A) on 23 March 2018 approved
Section 4.6 amended to allow Griffith International to continue the practice of referring overseas students (excluded from their degree program) to the Griffith English Language Institute (GELI) for t
17/10/22 PA advised small admin changes, and review date updated to 2028 as part of Annual Review
09/08/23 Reverting back to 2023 as the review year has not yet been approved by approving authority.
24/02/2024 - Academic Committee 05/2023 approved the rescission of the Academic Standing, Progression and Exclusion Policy (2022/0000815), effective from Trimester 1, 2024.</doccomments>
    <datedeclared xmlns="2f261a70-825f-4a37-b7b5-f6ecc2f4c5fa" xsi:nil="true"/>
    <PrivatePolicy xmlns="2f261a70-825f-4a37-b7b5-f6ecc2f4c5fa">false</PrivatePolicy>
    <policyadvisor xmlns="2f261a70-825f-4a37-b7b5-f6ecc2f4c5fa">
      <UserInfo>
        <DisplayName>Mirela Kaksa-Delic</DisplayName>
        <AccountId>76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680D2-AD3F-4428-A1CA-93493FC2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58071-5E0B-42AF-A593-C65ECD069194}">
  <ds:schemaRefs>
    <ds:schemaRef ds:uri="http://schemas.openxmlformats.org/officeDocument/2006/bibliography"/>
  </ds:schemaRefs>
</ds:datastoreItem>
</file>

<file path=customXml/itemProps3.xml><?xml version="1.0" encoding="utf-8"?>
<ds:datastoreItem xmlns:ds="http://schemas.openxmlformats.org/officeDocument/2006/customXml" ds:itemID="{1521F8F0-6C6E-49F5-9883-4BD0434CBA0B}">
  <ds:schemaRefs>
    <ds:schemaRef ds:uri="http://purl.org/dc/terms/"/>
    <ds:schemaRef ds:uri="http://purl.org/dc/dcmitype/"/>
    <ds:schemaRef ds:uri="http://schemas.microsoft.com/office/2006/documentManagement/types"/>
    <ds:schemaRef ds:uri="http://schemas.microsoft.com/office/2006/metadata/properties"/>
    <ds:schemaRef ds:uri="b40c662e-0380-4817-843d-2c7e10d40c39"/>
    <ds:schemaRef ds:uri="http://purl.org/dc/elements/1.1/"/>
    <ds:schemaRef ds:uri="http://schemas.microsoft.com/office/infopath/2007/PartnerControls"/>
    <ds:schemaRef ds:uri="http://schemas.openxmlformats.org/package/2006/metadata/core-properties"/>
    <ds:schemaRef ds:uri="2f261a70-825f-4a37-b7b5-f6ecc2f4c5fa"/>
    <ds:schemaRef ds:uri="http://www.w3.org/XML/1998/namespace"/>
  </ds:schemaRefs>
</ds:datastoreItem>
</file>

<file path=customXml/itemProps4.xml><?xml version="1.0" encoding="utf-8"?>
<ds:datastoreItem xmlns:ds="http://schemas.openxmlformats.org/officeDocument/2006/customXml" ds:itemID="{9B16BE8B-13B2-490E-949F-642E3F180636}">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Approved Policy Library Template_Policy.dotx</Template>
  <TotalTime>12</TotalTime>
  <Pages>5</Pages>
  <Words>2255</Words>
  <Characters>13075</Characters>
  <Application>Microsoft Office Word</Application>
  <DocSecurity>0</DocSecurity>
  <Lines>108</Lines>
  <Paragraphs>30</Paragraphs>
  <ScaleCrop>false</ScaleCrop>
  <Company>Griffith University</Company>
  <LinksUpToDate>false</LinksUpToDate>
  <CharactersWithSpaces>15300</CharactersWithSpaces>
  <SharedDoc>false</SharedDoc>
  <HLinks>
    <vt:vector size="126" baseType="variant">
      <vt:variant>
        <vt:i4>1441808</vt:i4>
      </vt:variant>
      <vt:variant>
        <vt:i4>60</vt:i4>
      </vt:variant>
      <vt:variant>
        <vt:i4>0</vt:i4>
      </vt:variant>
      <vt:variant>
        <vt:i4>5</vt:i4>
      </vt:variant>
      <vt:variant>
        <vt:lpwstr/>
      </vt:variant>
      <vt:variant>
        <vt:lpwstr>fourpointone</vt:lpwstr>
      </vt:variant>
      <vt:variant>
        <vt:i4>1441808</vt:i4>
      </vt:variant>
      <vt:variant>
        <vt:i4>57</vt:i4>
      </vt:variant>
      <vt:variant>
        <vt:i4>0</vt:i4>
      </vt:variant>
      <vt:variant>
        <vt:i4>5</vt:i4>
      </vt:variant>
      <vt:variant>
        <vt:lpwstr/>
      </vt:variant>
      <vt:variant>
        <vt:lpwstr>fourpointone</vt:lpwstr>
      </vt:variant>
      <vt:variant>
        <vt:i4>983057</vt:i4>
      </vt:variant>
      <vt:variant>
        <vt:i4>54</vt:i4>
      </vt:variant>
      <vt:variant>
        <vt:i4>0</vt:i4>
      </vt:variant>
      <vt:variant>
        <vt:i4>5</vt:i4>
      </vt:variant>
      <vt:variant>
        <vt:lpwstr/>
      </vt:variant>
      <vt:variant>
        <vt:lpwstr>fourpointfour</vt:lpwstr>
      </vt:variant>
      <vt:variant>
        <vt:i4>1441808</vt:i4>
      </vt:variant>
      <vt:variant>
        <vt:i4>51</vt:i4>
      </vt:variant>
      <vt:variant>
        <vt:i4>0</vt:i4>
      </vt:variant>
      <vt:variant>
        <vt:i4>5</vt:i4>
      </vt:variant>
      <vt:variant>
        <vt:lpwstr/>
      </vt:variant>
      <vt:variant>
        <vt:lpwstr>fourpointone</vt:lpwstr>
      </vt:variant>
      <vt:variant>
        <vt:i4>1441808</vt:i4>
      </vt:variant>
      <vt:variant>
        <vt:i4>48</vt:i4>
      </vt:variant>
      <vt:variant>
        <vt:i4>0</vt:i4>
      </vt:variant>
      <vt:variant>
        <vt:i4>5</vt:i4>
      </vt:variant>
      <vt:variant>
        <vt:lpwstr/>
      </vt:variant>
      <vt:variant>
        <vt:lpwstr>fourpointone</vt:lpwstr>
      </vt:variant>
      <vt:variant>
        <vt:i4>7340070</vt:i4>
      </vt:variant>
      <vt:variant>
        <vt:i4>45</vt:i4>
      </vt:variant>
      <vt:variant>
        <vt:i4>0</vt:i4>
      </vt:variant>
      <vt:variant>
        <vt:i4>5</vt:i4>
      </vt:variant>
      <vt:variant>
        <vt:lpwstr>https://www.griffith.edu.au/student-support/international/student-advisory</vt:lpwstr>
      </vt:variant>
      <vt:variant>
        <vt:lpwstr/>
      </vt:variant>
      <vt:variant>
        <vt:i4>1507338</vt:i4>
      </vt:variant>
      <vt:variant>
        <vt:i4>42</vt:i4>
      </vt:variant>
      <vt:variant>
        <vt:i4>0</vt:i4>
      </vt:variant>
      <vt:variant>
        <vt:i4>5</vt:i4>
      </vt:variant>
      <vt:variant>
        <vt:lpwstr/>
      </vt:variant>
      <vt:variant>
        <vt:lpwstr>readmissionfollowingexclusion</vt:lpwstr>
      </vt:variant>
      <vt:variant>
        <vt:i4>7536759</vt:i4>
      </vt:variant>
      <vt:variant>
        <vt:i4>39</vt:i4>
      </vt:variant>
      <vt:variant>
        <vt:i4>0</vt:i4>
      </vt:variant>
      <vt:variant>
        <vt:i4>5</vt:i4>
      </vt:variant>
      <vt:variant>
        <vt:lpwstr/>
      </vt:variant>
      <vt:variant>
        <vt:lpwstr>academicstandingrecord</vt:lpwstr>
      </vt:variant>
      <vt:variant>
        <vt:i4>7340130</vt:i4>
      </vt:variant>
      <vt:variant>
        <vt:i4>36</vt:i4>
      </vt:variant>
      <vt:variant>
        <vt:i4>0</vt:i4>
      </vt:variant>
      <vt:variant>
        <vt:i4>5</vt:i4>
      </vt:variant>
      <vt:variant>
        <vt:lpwstr/>
      </vt:variant>
      <vt:variant>
        <vt:lpwstr>appealagainstexclusion</vt:lpwstr>
      </vt:variant>
      <vt:variant>
        <vt:i4>7274605</vt:i4>
      </vt:variant>
      <vt:variant>
        <vt:i4>33</vt:i4>
      </vt:variant>
      <vt:variant>
        <vt:i4>0</vt:i4>
      </vt:variant>
      <vt:variant>
        <vt:i4>5</vt:i4>
      </vt:variant>
      <vt:variant>
        <vt:lpwstr/>
      </vt:variant>
      <vt:variant>
        <vt:lpwstr>academicstandingofexcluded</vt:lpwstr>
      </vt:variant>
      <vt:variant>
        <vt:i4>8061047</vt:i4>
      </vt:variant>
      <vt:variant>
        <vt:i4>30</vt:i4>
      </vt:variant>
      <vt:variant>
        <vt:i4>0</vt:i4>
      </vt:variant>
      <vt:variant>
        <vt:i4>5</vt:i4>
      </vt:variant>
      <vt:variant>
        <vt:lpwstr/>
      </vt:variant>
      <vt:variant>
        <vt:lpwstr>studentsatrisk</vt:lpwstr>
      </vt:variant>
      <vt:variant>
        <vt:i4>1835036</vt:i4>
      </vt:variant>
      <vt:variant>
        <vt:i4>27</vt:i4>
      </vt:variant>
      <vt:variant>
        <vt:i4>0</vt:i4>
      </vt:variant>
      <vt:variant>
        <vt:i4>5</vt:i4>
      </vt:variant>
      <vt:variant>
        <vt:lpwstr/>
      </vt:variant>
      <vt:variant>
        <vt:lpwstr>introduction</vt:lpwstr>
      </vt:variant>
      <vt:variant>
        <vt:i4>6422647</vt:i4>
      </vt:variant>
      <vt:variant>
        <vt:i4>24</vt:i4>
      </vt:variant>
      <vt:variant>
        <vt:i4>0</vt:i4>
      </vt:variant>
      <vt:variant>
        <vt:i4>5</vt:i4>
      </vt:variant>
      <vt:variant>
        <vt:lpwstr/>
      </vt:variant>
      <vt:variant>
        <vt:lpwstr>definitions</vt:lpwstr>
      </vt:variant>
      <vt:variant>
        <vt:i4>1179674</vt:i4>
      </vt:variant>
      <vt:variant>
        <vt:i4>21</vt:i4>
      </vt:variant>
      <vt:variant>
        <vt:i4>0</vt:i4>
      </vt:variant>
      <vt:variant>
        <vt:i4>5</vt:i4>
      </vt:variant>
      <vt:variant>
        <vt:lpwstr>https://sharepointpubstor.blob.core.windows.net/policylibrary-prod/Assessment Procedure for Students.pdf</vt:lpwstr>
      </vt:variant>
      <vt:variant>
        <vt:lpwstr/>
      </vt:variant>
      <vt:variant>
        <vt:i4>5308483</vt:i4>
      </vt:variant>
      <vt:variant>
        <vt:i4>18</vt:i4>
      </vt:variant>
      <vt:variant>
        <vt:i4>0</vt:i4>
      </vt:variant>
      <vt:variant>
        <vt:i4>5</vt:i4>
      </vt:variant>
      <vt:variant>
        <vt:lpwstr>https://sharepointpubstor.blob.core.windows.net/policylibrary-prod/Assessment Procedure for Staff.pdf</vt:lpwstr>
      </vt:variant>
      <vt:variant>
        <vt:lpwstr/>
      </vt:variant>
      <vt:variant>
        <vt:i4>3997749</vt:i4>
      </vt:variant>
      <vt:variant>
        <vt:i4>15</vt:i4>
      </vt:variant>
      <vt:variant>
        <vt:i4>0</vt:i4>
      </vt:variant>
      <vt:variant>
        <vt:i4>5</vt:i4>
      </vt:variant>
      <vt:variant>
        <vt:lpwstr>https://policies.griffith.edu.au/pdf/Assessment Policy.pdf</vt:lpwstr>
      </vt:variant>
      <vt:variant>
        <vt:lpwstr/>
      </vt:variant>
      <vt:variant>
        <vt:i4>4390984</vt:i4>
      </vt:variant>
      <vt:variant>
        <vt:i4>12</vt:i4>
      </vt:variant>
      <vt:variant>
        <vt:i4>0</vt:i4>
      </vt:variant>
      <vt:variant>
        <vt:i4>5</vt:i4>
      </vt:variant>
      <vt:variant>
        <vt:lpwstr>https://policies.griffith.edu.au/pdf/Role Statement Program Director.pdf</vt:lpwstr>
      </vt:variant>
      <vt:variant>
        <vt:lpwstr/>
      </vt:variant>
      <vt:variant>
        <vt:i4>1704031</vt:i4>
      </vt:variant>
      <vt:variant>
        <vt:i4>9</vt:i4>
      </vt:variant>
      <vt:variant>
        <vt:i4>0</vt:i4>
      </vt:variant>
      <vt:variant>
        <vt:i4>5</vt:i4>
      </vt:variant>
      <vt:variant>
        <vt:lpwstr>https://www.griffith.edu.au/apply/readmission-internal-transfers/readmission</vt:lpwstr>
      </vt:variant>
      <vt:variant>
        <vt:lpwstr/>
      </vt:variant>
      <vt:variant>
        <vt:i4>2621501</vt:i4>
      </vt:variant>
      <vt:variant>
        <vt:i4>6</vt:i4>
      </vt:variant>
      <vt:variant>
        <vt:i4>0</vt:i4>
      </vt:variant>
      <vt:variant>
        <vt:i4>5</vt:i4>
      </vt:variant>
      <vt:variant>
        <vt:lpwstr>https://www.griffith.edu.au/students/student-review-appeal/review-and-appeal-intro</vt:lpwstr>
      </vt:variant>
      <vt:variant>
        <vt:lpwstr/>
      </vt:variant>
      <vt:variant>
        <vt:i4>3473527</vt:i4>
      </vt:variant>
      <vt:variant>
        <vt:i4>3</vt:i4>
      </vt:variant>
      <vt:variant>
        <vt:i4>0</vt:i4>
      </vt:variant>
      <vt:variant>
        <vt:i4>5</vt:i4>
      </vt:variant>
      <vt:variant>
        <vt:lpwstr>https://policies.griffith.edu.au/pdf/Student Review and Appeals Procedures.pdf</vt:lpwstr>
      </vt:variant>
      <vt:variant>
        <vt:lpwstr/>
      </vt:variant>
      <vt:variant>
        <vt:i4>4063330</vt:i4>
      </vt:variant>
      <vt:variant>
        <vt:i4>0</vt:i4>
      </vt:variant>
      <vt:variant>
        <vt:i4>0</vt:i4>
      </vt:variant>
      <vt:variant>
        <vt:i4>5</vt:i4>
      </vt:variant>
      <vt:variant>
        <vt:lpwstr>https://policies.griffith.edu.au/pdf/Student Review and Appeals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Standing, Progression and Exclusion Policy_PriorT1-2024</dc:title>
  <dc:creator>s2167566</dc:creator>
  <cp:keywords>exclusion, academic standing, probation, appeal against probation, exclusion from the University, appeal against exclusion, suspension</cp:keywords>
  <cp:lastModifiedBy>Donna Kalaentzis</cp:lastModifiedBy>
  <cp:revision>22</cp:revision>
  <cp:lastPrinted>2018-03-23T02:29:00Z</cp:lastPrinted>
  <dcterms:created xsi:type="dcterms:W3CDTF">2023-11-27T01:47:00Z</dcterms:created>
  <dcterms:modified xsi:type="dcterms:W3CDTF">2024-02-26T01:39:00Z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20;#Student|673d669b-181a-4d1f-be71-de306a3dff5f</vt:lpwstr>
  </property>
  <property fmtid="{D5CDD505-2E9C-101B-9397-08002B2CF9AE}" pid="3" name="_dlc_policyId">
    <vt:lpwstr>0x010100CCB10AA9A57F62429EA6968F7587FFF2|1453938073</vt:lpwstr>
  </property>
  <property fmtid="{D5CDD505-2E9C-101B-9397-08002B2CF9AE}" pid="4" name="ContentTypeId">
    <vt:lpwstr>0x010100D8585E08B4909F4CA72F2CA699ABA3ED</vt:lpwstr>
  </property>
  <property fmtid="{D5CDD505-2E9C-101B-9397-08002B2CF9AE}" pid="5" name="Category Type">
    <vt:lpwstr>22;#Policy|6ea67854-4618-4b05-bd31-1dfafb0e2b14</vt:lpwstr>
  </property>
  <property fmtid="{D5CDD505-2E9C-101B-9397-08002B2CF9AE}" pid="6" name="ItemRetentionFormula">
    <vt:lpwstr>&lt;formula offset="18" unit="months" /&gt;</vt:lpwstr>
  </property>
  <property fmtid="{D5CDD505-2E9C-101B-9397-08002B2CF9AE}" pid="7" name="_dlc_LastRun">
    <vt:lpwstr>08/25/2012 23:00:07</vt:lpwstr>
  </property>
  <property fmtid="{D5CDD505-2E9C-101B-9397-08002B2CF9AE}" pid="8" name="_dlc_DocIdItemGuid">
    <vt:lpwstr>b821b3f7-750e-4a7a-a0bc-4033560446f6</vt:lpwstr>
  </property>
  <property fmtid="{D5CDD505-2E9C-101B-9397-08002B2CF9AE}" pid="9" name="_dlc_ItemStageId">
    <vt:lpwstr>1</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5000</vt:r8>
  </property>
  <property fmtid="{D5CDD505-2E9C-101B-9397-08002B2CF9AE}" pid="14" name="HTML Link">
    <vt:lpwstr>http://policies.griffith.edu.au/pdf/Academic%20Standing%20Policy.pdf, View PDF Version</vt:lpwstr>
  </property>
  <property fmtid="{D5CDD505-2E9C-101B-9397-08002B2CF9AE}" pid="15" name="policysection">
    <vt:lpwstr>34;#Enrolment and Orientation|6400745d-52c5-450f-bfdf-cde1f0359e08</vt:lpwstr>
  </property>
  <property fmtid="{D5CDD505-2E9C-101B-9397-08002B2CF9AE}" pid="16" name="appauthority">
    <vt:lpwstr>88;#Academic Committee|7e8af15c-aa65-4b9b-bab9-4850413bd480</vt:lpwstr>
  </property>
  <property fmtid="{D5CDD505-2E9C-101B-9397-08002B2CF9AE}" pid="17" name="policycategory">
    <vt:lpwstr>69;#Policy|9279309a-7669-47c5-bf96-cc165d8b3ede</vt:lpwstr>
  </property>
  <property fmtid="{D5CDD505-2E9C-101B-9397-08002B2CF9AE}" pid="18" name="glossaryterms">
    <vt:lpwstr/>
  </property>
  <property fmtid="{D5CDD505-2E9C-101B-9397-08002B2CF9AE}" pid="19" name="officearea">
    <vt:lpwstr>551;#Student Life|10f28419-8eea-4122-9bbc-3c3d69c6fcc4</vt:lpwstr>
  </property>
  <property fmtid="{D5CDD505-2E9C-101B-9397-08002B2CF9AE}" pid="20" name="policyreview">
    <vt:lpwstr>78;#2023|895e1bd4-e176-48a8-a408-81b6fcc49086</vt:lpwstr>
  </property>
  <property fmtid="{D5CDD505-2E9C-101B-9397-08002B2CF9AE}" pid="21" name="policyaudience">
    <vt:lpwstr>70;#Student|ee8ed24e-bfab-45f3-a2fa-94abe1e7357a</vt:lpwstr>
  </property>
  <property fmtid="{D5CDD505-2E9C-101B-9397-08002B2CF9AE}" pid="22" name="source_item_id">
    <vt:lpwstr>185</vt:lpwstr>
  </property>
  <property fmtid="{D5CDD505-2E9C-101B-9397-08002B2CF9AE}" pid="23" name="doccomments">
    <vt:lpwstr>Executive approval by DVC(A) on 23 March 2018 approved
Section 4.6 amended to allow Griffith International to continue the practice of referring overseas students (excluded from their degree program) to the Griffith English Language Institute (GELI) for t</vt:lpwstr>
  </property>
  <property fmtid="{D5CDD505-2E9C-101B-9397-08002B2CF9AE}" pid="24" name="policy-category">
    <vt:lpwstr/>
  </property>
  <property fmtid="{D5CDD505-2E9C-101B-9397-08002B2CF9AE}" pid="25" name="eedb2b835b69435aa9176b937455bd2f">
    <vt:lpwstr>|446e0cdd-d096-4b26-b8f8-0a6485e32142</vt:lpwstr>
  </property>
  <property fmtid="{D5CDD505-2E9C-101B-9397-08002B2CF9AE}" pid="26" name="policy_x002d_category">
    <vt:lpwstr/>
  </property>
  <property fmtid="{D5CDD505-2E9C-101B-9397-08002B2CF9AE}" pid="27" name="DelayPublish">
    <vt:lpwstr>No</vt:lpwstr>
  </property>
  <property fmtid="{D5CDD505-2E9C-101B-9397-08002B2CF9AE}" pid="28" name="Managed_Testing_Field">
    <vt:lpwstr/>
  </property>
  <property fmtid="{D5CDD505-2E9C-101B-9397-08002B2CF9AE}" pid="29" name="MediaServiceImageTags">
    <vt:lpwstr/>
  </property>
  <property fmtid="{D5CDD505-2E9C-101B-9397-08002B2CF9AE}" pid="30" name="MSIP_Label_adaa4be3-f650-4692-881a-64ae220cbceb_SiteId">
    <vt:lpwstr>5a7cc8ab-a4dc-4f9b-bf60-66714049ad62</vt:lpwstr>
  </property>
  <property fmtid="{D5CDD505-2E9C-101B-9397-08002B2CF9AE}" pid="31" name="MSIP_Label_adaa4be3-f650-4692-881a-64ae220cbceb_Name">
    <vt:lpwstr>OFFICIAL  Internal (External sharing)</vt:lpwstr>
  </property>
  <property fmtid="{D5CDD505-2E9C-101B-9397-08002B2CF9AE}" pid="32" name="MSIP_Label_adaa4be3-f650-4692-881a-64ae220cbceb_Method">
    <vt:lpwstr>Standard</vt:lpwstr>
  </property>
  <property fmtid="{D5CDD505-2E9C-101B-9397-08002B2CF9AE}" pid="33" name="MSIP_Label_adaa4be3-f650-4692-881a-64ae220cbceb_ActionId">
    <vt:lpwstr>f78f9455-0c6a-440b-887f-1ea9f0454680</vt:lpwstr>
  </property>
  <property fmtid="{D5CDD505-2E9C-101B-9397-08002B2CF9AE}" pid="34" name="MSIP_Label_adaa4be3-f650-4692-881a-64ae220cbceb_Enabled">
    <vt:lpwstr>true</vt:lpwstr>
  </property>
  <property fmtid="{D5CDD505-2E9C-101B-9397-08002B2CF9AE}" pid="35" name="MSIP_Label_adaa4be3-f650-4692-881a-64ae220cbceb_ContentBits">
    <vt:lpwstr>0</vt:lpwstr>
  </property>
  <property fmtid="{D5CDD505-2E9C-101B-9397-08002B2CF9AE}" pid="36" name="MSIP_Label_adaa4be3-f650-4692-881a-64ae220cbceb_SetDate">
    <vt:lpwstr>2022-09-09T02:54:09Z</vt:lpwstr>
  </property>
</Properties>
</file>