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C7E9" w14:textId="07F4562B" w:rsidR="00B67268" w:rsidRPr="00625955" w:rsidRDefault="009F321D" w:rsidP="260D3BFB">
      <w:pPr>
        <w:pStyle w:val="ContentsHeading1"/>
        <w:pBdr>
          <w:bottom w:val="none" w:sz="0" w:space="0" w:color="auto"/>
        </w:pBdr>
        <w:rPr>
          <w:rFonts w:ascii="Arial" w:hAnsi="Arial" w:cs="Arial"/>
          <w:sz w:val="48"/>
          <w:szCs w:val="48"/>
        </w:rPr>
        <w:sectPr w:rsidR="00B67268" w:rsidRPr="00625955" w:rsidSect="004012C6">
          <w:headerReference w:type="default" r:id="rId11"/>
          <w:footerReference w:type="default" r:id="rId12"/>
          <w:type w:val="continuous"/>
          <w:pgSz w:w="11900" w:h="16840" w:code="9"/>
          <w:pgMar w:top="1985" w:right="680" w:bottom="851" w:left="680" w:header="680" w:footer="454" w:gutter="0"/>
          <w:cols w:space="454"/>
          <w:docGrid w:linePitch="360"/>
        </w:sectPr>
      </w:pPr>
      <w:r>
        <w:rPr>
          <w:rFonts w:ascii="Arial" w:hAnsi="Arial" w:cs="Arial"/>
          <w:sz w:val="48"/>
          <w:szCs w:val="48"/>
        </w:rPr>
        <w:t xml:space="preserve">Academic </w:t>
      </w:r>
      <w:r w:rsidR="00EF4B46">
        <w:rPr>
          <w:rFonts w:ascii="Arial" w:hAnsi="Arial" w:cs="Arial"/>
          <w:sz w:val="48"/>
          <w:szCs w:val="48"/>
        </w:rPr>
        <w:t>Delivery with Other Parties</w:t>
      </w:r>
    </w:p>
    <w:p w14:paraId="60CFCF9C" w14:textId="058FAD48" w:rsidR="00FF315C" w:rsidRPr="00FF315C" w:rsidRDefault="00000000" w:rsidP="00FF315C">
      <w:pPr>
        <w:spacing w:after="0" w:line="240" w:lineRule="auto"/>
        <w:rPr>
          <w:rFonts w:ascii="Copernicus Medium" w:hAnsi="Copernicus Medium"/>
          <w:b/>
          <w:color w:val="E30918"/>
          <w:sz w:val="24"/>
          <w:szCs w:val="24"/>
        </w:rPr>
      </w:pPr>
      <w:hyperlink w:anchor="_1.0_Purpose" w:history="1">
        <w:r w:rsidR="00FF315C" w:rsidRPr="00FF315C">
          <w:rPr>
            <w:rStyle w:val="Hyperlink"/>
            <w:rFonts w:ascii="Copernicus Medium" w:hAnsi="Copernicus Medium"/>
            <w:b/>
            <w:sz w:val="24"/>
            <w:szCs w:val="24"/>
          </w:rPr>
          <w:t>1.0 Purpose</w:t>
        </w:r>
      </w:hyperlink>
    </w:p>
    <w:p w14:paraId="1F5C89C3" w14:textId="34982B30" w:rsidR="00FF315C" w:rsidRPr="00FF315C" w:rsidRDefault="00000000" w:rsidP="00FF315C">
      <w:pPr>
        <w:spacing w:after="0" w:line="240" w:lineRule="auto"/>
        <w:rPr>
          <w:rFonts w:ascii="Copernicus Medium" w:hAnsi="Copernicus Medium"/>
          <w:b/>
          <w:color w:val="E30918"/>
          <w:sz w:val="24"/>
          <w:szCs w:val="24"/>
        </w:rPr>
      </w:pPr>
      <w:hyperlink w:anchor="_2.0_Scope" w:history="1">
        <w:r w:rsidR="00FF315C" w:rsidRPr="00FF315C">
          <w:rPr>
            <w:rStyle w:val="Hyperlink"/>
            <w:rFonts w:ascii="Copernicus Medium" w:hAnsi="Copernicus Medium"/>
            <w:b/>
            <w:sz w:val="24"/>
            <w:szCs w:val="24"/>
          </w:rPr>
          <w:t>2.0 Scope</w:t>
        </w:r>
      </w:hyperlink>
    </w:p>
    <w:p w14:paraId="3C1DBB82" w14:textId="7EF71699" w:rsidR="00FF315C" w:rsidRPr="00FF315C" w:rsidRDefault="00000000" w:rsidP="00FF315C">
      <w:pPr>
        <w:spacing w:after="0" w:line="240" w:lineRule="auto"/>
        <w:rPr>
          <w:rFonts w:ascii="Copernicus Medium" w:hAnsi="Copernicus Medium"/>
          <w:b/>
          <w:color w:val="E30918"/>
          <w:sz w:val="24"/>
          <w:szCs w:val="24"/>
        </w:rPr>
      </w:pPr>
      <w:hyperlink w:anchor="_3.010_Policy_sStatement" w:history="1">
        <w:r w:rsidR="00FF315C" w:rsidRPr="00FF315C">
          <w:rPr>
            <w:rStyle w:val="Hyperlink"/>
            <w:rFonts w:ascii="Copernicus Medium" w:hAnsi="Copernicus Medium"/>
            <w:b/>
            <w:sz w:val="24"/>
            <w:szCs w:val="24"/>
          </w:rPr>
          <w:t>3.0 Policy statement</w:t>
        </w:r>
      </w:hyperlink>
    </w:p>
    <w:p w14:paraId="5BAF3082" w14:textId="21FDBD09" w:rsidR="00FF315C" w:rsidRPr="00101F0F" w:rsidRDefault="00101F0F" w:rsidP="00FF315C">
      <w:pPr>
        <w:spacing w:after="0" w:line="240" w:lineRule="auto"/>
        <w:rPr>
          <w:rStyle w:val="Hyperlink"/>
          <w:rFonts w:ascii="Copernicus Medium" w:hAnsi="Copernicus Medium"/>
          <w:b/>
          <w:sz w:val="24"/>
          <w:szCs w:val="24"/>
        </w:rPr>
      </w:pPr>
      <w:r>
        <w:rPr>
          <w:rFonts w:ascii="Copernicus Medium" w:hAnsi="Copernicus Medium"/>
          <w:b/>
          <w:color w:val="E30918"/>
          <w:sz w:val="24"/>
          <w:szCs w:val="24"/>
        </w:rPr>
        <w:fldChar w:fldCharType="begin"/>
      </w:r>
      <w:r>
        <w:rPr>
          <w:rFonts w:ascii="Copernicus Medium" w:hAnsi="Copernicus Medium"/>
          <w:b/>
          <w:color w:val="E30918"/>
          <w:sz w:val="24"/>
          <w:szCs w:val="24"/>
        </w:rPr>
        <w:instrText xml:space="preserve"> HYPERLINK  \l "_4.0._Roles,_responsibilities" </w:instrText>
      </w:r>
      <w:r>
        <w:rPr>
          <w:rFonts w:ascii="Copernicus Medium" w:hAnsi="Copernicus Medium"/>
          <w:b/>
          <w:color w:val="E30918"/>
          <w:sz w:val="24"/>
          <w:szCs w:val="24"/>
        </w:rPr>
      </w:r>
      <w:r>
        <w:rPr>
          <w:rFonts w:ascii="Copernicus Medium" w:hAnsi="Copernicus Medium"/>
          <w:b/>
          <w:color w:val="E30918"/>
          <w:sz w:val="24"/>
          <w:szCs w:val="24"/>
        </w:rPr>
        <w:fldChar w:fldCharType="separate"/>
      </w:r>
      <w:r w:rsidR="00FF315C" w:rsidRPr="00101F0F">
        <w:rPr>
          <w:rStyle w:val="Hyperlink"/>
          <w:rFonts w:ascii="Copernicus Medium" w:hAnsi="Copernicus Medium"/>
          <w:b/>
          <w:sz w:val="24"/>
          <w:szCs w:val="24"/>
        </w:rPr>
        <w:t>4.0 Roles, responsibilities and delegations</w:t>
      </w:r>
    </w:p>
    <w:p w14:paraId="3BB92C2E" w14:textId="57B571B9" w:rsidR="00AC6BB1" w:rsidRDefault="00101F0F" w:rsidP="00FF315C">
      <w:pPr>
        <w:spacing w:after="0" w:line="240" w:lineRule="auto"/>
        <w:rPr>
          <w:rFonts w:ascii="Copernicus Medium" w:hAnsi="Copernicus Medium"/>
          <w:b/>
          <w:color w:val="E30918"/>
          <w:sz w:val="24"/>
          <w:szCs w:val="24"/>
        </w:rPr>
      </w:pPr>
      <w:r>
        <w:rPr>
          <w:rFonts w:ascii="Copernicus Medium" w:hAnsi="Copernicus Medium"/>
          <w:b/>
          <w:color w:val="E30918"/>
          <w:sz w:val="24"/>
          <w:szCs w:val="24"/>
        </w:rPr>
        <w:fldChar w:fldCharType="end"/>
      </w:r>
      <w:hyperlink w:anchor="_5.0_Definitions" w:history="1">
        <w:r w:rsidR="00FF315C" w:rsidRPr="00FF315C">
          <w:rPr>
            <w:rStyle w:val="Hyperlink"/>
            <w:rFonts w:ascii="Copernicus Medium" w:hAnsi="Copernicus Medium"/>
            <w:b/>
            <w:sz w:val="24"/>
            <w:szCs w:val="24"/>
          </w:rPr>
          <w:t>5.0 Definitions</w:t>
        </w:r>
      </w:hyperlink>
    </w:p>
    <w:p w14:paraId="765BCC2E" w14:textId="7BDFC204" w:rsidR="005C3DBA" w:rsidRPr="00AC6655" w:rsidRDefault="005C3DBA" w:rsidP="00101F0F">
      <w:pPr>
        <w:pStyle w:val="NormalWhite"/>
      </w:pPr>
    </w:p>
    <w:p w14:paraId="2E800012" w14:textId="62861BCA" w:rsidR="00BC55CF" w:rsidRPr="00902125" w:rsidRDefault="00902125" w:rsidP="006234C5">
      <w:pPr>
        <w:pStyle w:val="Heading2"/>
        <w:jc w:val="both"/>
      </w:pPr>
      <w:bookmarkStart w:id="0" w:name="_1.0_Purpose"/>
      <w:bookmarkStart w:id="1" w:name="_Ref20321537"/>
      <w:bookmarkEnd w:id="0"/>
      <w:r w:rsidRPr="00902125">
        <w:t xml:space="preserve">1.0 </w:t>
      </w:r>
      <w:r w:rsidR="00BC55CF" w:rsidRPr="00902125">
        <w:t>Purpose</w:t>
      </w:r>
      <w:bookmarkEnd w:id="1"/>
    </w:p>
    <w:p w14:paraId="2262786E" w14:textId="78056593" w:rsidR="00446006" w:rsidRPr="006234C5" w:rsidRDefault="32108395" w:rsidP="00773229">
      <w:pPr>
        <w:pStyle w:val="NormalWhite"/>
        <w:jc w:val="both"/>
        <w:rPr>
          <w:rFonts w:ascii="Arial" w:eastAsia="Arial" w:hAnsi="Arial" w:cs="Arial"/>
          <w:szCs w:val="20"/>
        </w:rPr>
      </w:pPr>
      <w:r w:rsidRPr="6BFB1071">
        <w:rPr>
          <w:rFonts w:ascii="Arial" w:eastAsia="Arial" w:hAnsi="Arial" w:cs="Arial"/>
          <w:color w:val="000000" w:themeColor="text1"/>
          <w:szCs w:val="20"/>
        </w:rPr>
        <w:t xml:space="preserve">This policy provides </w:t>
      </w:r>
      <w:r w:rsidRPr="00DF2418">
        <w:rPr>
          <w:rFonts w:ascii="Arial" w:eastAsia="Arial" w:hAnsi="Arial" w:cs="Arial"/>
          <w:color w:val="000000" w:themeColor="text1"/>
          <w:szCs w:val="20"/>
        </w:rPr>
        <w:t xml:space="preserve">the </w:t>
      </w:r>
      <w:r w:rsidRPr="00773229">
        <w:rPr>
          <w:rFonts w:ascii="Arial" w:hAnsi="Arial" w:cs="Arial"/>
          <w:color w:val="000000" w:themeColor="text1"/>
        </w:rPr>
        <w:t>principles for development, approval, management, and review of</w:t>
      </w:r>
      <w:r w:rsidRPr="00DF2418">
        <w:rPr>
          <w:rFonts w:ascii="Arial" w:eastAsia="Arial" w:hAnsi="Arial" w:cs="Arial"/>
          <w:color w:val="000000" w:themeColor="text1"/>
          <w:szCs w:val="20"/>
        </w:rPr>
        <w:t xml:space="preserve"> </w:t>
      </w:r>
      <w:r w:rsidRPr="6BFB1071">
        <w:rPr>
          <w:rFonts w:ascii="Arial" w:eastAsia="Arial" w:hAnsi="Arial" w:cs="Arial"/>
          <w:color w:val="000000" w:themeColor="text1"/>
          <w:szCs w:val="20"/>
        </w:rPr>
        <w:t>academic delivery with other domestic parties to ensure that Griffith University meets its obligations as a Higher Education Provider. These requirements and processes are consistent with quality assurance and continuous improvement practices, and ensure students’ learning experiences and outcomes are equivalent regardless of learning and teaching location or delivery arrangements.</w:t>
      </w:r>
      <w:r w:rsidRPr="6BFB1071">
        <w:rPr>
          <w:rFonts w:ascii="Arial" w:eastAsia="Arial" w:hAnsi="Arial" w:cs="Arial"/>
          <w:szCs w:val="20"/>
        </w:rPr>
        <w:t xml:space="preserve"> </w:t>
      </w:r>
    </w:p>
    <w:p w14:paraId="65297E40" w14:textId="61DFADD6" w:rsidR="00F97A5A" w:rsidRPr="00902125" w:rsidRDefault="00902125" w:rsidP="006234C5">
      <w:pPr>
        <w:pStyle w:val="Heading2"/>
        <w:jc w:val="both"/>
      </w:pPr>
      <w:bookmarkStart w:id="2" w:name="_2.0_Scope"/>
      <w:bookmarkStart w:id="3" w:name="_Ref20318879"/>
      <w:bookmarkEnd w:id="2"/>
      <w:r w:rsidRPr="00902125">
        <w:t xml:space="preserve">2.0 </w:t>
      </w:r>
      <w:r w:rsidR="00F97A5A" w:rsidRPr="00902125">
        <w:t>Scope</w:t>
      </w:r>
      <w:bookmarkEnd w:id="3"/>
    </w:p>
    <w:p w14:paraId="0CFD0848" w14:textId="6C185ACD" w:rsidR="00955F93" w:rsidRDefault="00DC56EF" w:rsidP="006234C5">
      <w:pPr>
        <w:jc w:val="both"/>
        <w:rPr>
          <w:rFonts w:ascii="Arial" w:hAnsi="Arial" w:cs="Arial"/>
          <w:shd w:val="clear" w:color="auto" w:fill="FFFFFF"/>
        </w:rPr>
      </w:pPr>
      <w:r w:rsidRPr="4947100B">
        <w:rPr>
          <w:rFonts w:ascii="Arial" w:hAnsi="Arial" w:cs="Arial"/>
          <w:shd w:val="clear" w:color="auto" w:fill="FFFFFF"/>
        </w:rPr>
        <w:t>This policy applies to</w:t>
      </w:r>
      <w:r w:rsidR="005E3991" w:rsidRPr="4947100B">
        <w:rPr>
          <w:rFonts w:ascii="Arial" w:hAnsi="Arial" w:cs="Arial"/>
        </w:rPr>
        <w:t xml:space="preserve"> </w:t>
      </w:r>
      <w:r w:rsidR="003B5D36" w:rsidRPr="4947100B">
        <w:rPr>
          <w:rFonts w:ascii="Arial" w:hAnsi="Arial" w:cs="Arial"/>
        </w:rPr>
        <w:t xml:space="preserve">programs and courses of study that are delivered </w:t>
      </w:r>
      <w:r w:rsidR="007121C8">
        <w:rPr>
          <w:rFonts w:ascii="Arial" w:hAnsi="Arial" w:cs="Arial"/>
        </w:rPr>
        <w:t>by</w:t>
      </w:r>
      <w:r w:rsidR="003B5D36" w:rsidRPr="4947100B">
        <w:rPr>
          <w:rFonts w:ascii="Arial" w:hAnsi="Arial" w:cs="Arial"/>
        </w:rPr>
        <w:t xml:space="preserve"> </w:t>
      </w:r>
      <w:r w:rsidR="00F93E14">
        <w:rPr>
          <w:rFonts w:ascii="Arial" w:hAnsi="Arial" w:cs="Arial"/>
        </w:rPr>
        <w:t>other</w:t>
      </w:r>
      <w:r w:rsidR="001E1E41">
        <w:rPr>
          <w:rFonts w:ascii="Arial" w:hAnsi="Arial" w:cs="Arial"/>
        </w:rPr>
        <w:t xml:space="preserve"> </w:t>
      </w:r>
      <w:r w:rsidR="003B5D36" w:rsidRPr="4947100B">
        <w:rPr>
          <w:rFonts w:ascii="Arial" w:hAnsi="Arial" w:cs="Arial"/>
        </w:rPr>
        <w:t>provider</w:t>
      </w:r>
      <w:r w:rsidR="00F93E14">
        <w:rPr>
          <w:rFonts w:ascii="Arial" w:hAnsi="Arial" w:cs="Arial"/>
        </w:rPr>
        <w:t>s</w:t>
      </w:r>
      <w:r w:rsidR="003B5D36" w:rsidRPr="4947100B">
        <w:rPr>
          <w:rFonts w:ascii="Arial" w:hAnsi="Arial" w:cs="Arial"/>
        </w:rPr>
        <w:t xml:space="preserve"> that </w:t>
      </w:r>
      <w:r w:rsidR="5E02DE28" w:rsidRPr="4947100B">
        <w:rPr>
          <w:rFonts w:ascii="Arial" w:eastAsia="Arial" w:hAnsi="Arial" w:cs="Arial"/>
          <w:color w:val="000000" w:themeColor="text1"/>
          <w:szCs w:val="20"/>
        </w:rPr>
        <w:t>lead</w:t>
      </w:r>
      <w:r w:rsidR="000E1676" w:rsidRPr="4947100B">
        <w:rPr>
          <w:rFonts w:ascii="Arial" w:eastAsia="Arial" w:hAnsi="Arial" w:cs="Arial"/>
          <w:color w:val="000000" w:themeColor="text1"/>
          <w:szCs w:val="20"/>
        </w:rPr>
        <w:t xml:space="preserve"> </w:t>
      </w:r>
      <w:r w:rsidR="001E24A6">
        <w:rPr>
          <w:rFonts w:ascii="Arial" w:eastAsia="Arial" w:hAnsi="Arial" w:cs="Arial"/>
          <w:color w:val="000000" w:themeColor="text1"/>
          <w:szCs w:val="20"/>
        </w:rPr>
        <w:t xml:space="preserve">to the conferral of </w:t>
      </w:r>
      <w:r w:rsidR="00A81BE6">
        <w:rPr>
          <w:rFonts w:ascii="Arial" w:eastAsia="Arial" w:hAnsi="Arial" w:cs="Arial"/>
          <w:color w:val="000000" w:themeColor="text1"/>
          <w:szCs w:val="20"/>
        </w:rPr>
        <w:t xml:space="preserve">an </w:t>
      </w:r>
      <w:r w:rsidR="5E02DE28" w:rsidRPr="4947100B">
        <w:rPr>
          <w:rFonts w:ascii="Arial" w:eastAsia="Arial" w:hAnsi="Arial" w:cs="Arial"/>
          <w:color w:val="000000" w:themeColor="text1"/>
          <w:szCs w:val="20"/>
        </w:rPr>
        <w:t xml:space="preserve">award by </w:t>
      </w:r>
      <w:r w:rsidR="009638DA" w:rsidRPr="4947100B">
        <w:rPr>
          <w:rFonts w:ascii="Arial" w:eastAsia="Arial" w:hAnsi="Arial" w:cs="Arial"/>
          <w:color w:val="000000" w:themeColor="text1"/>
          <w:szCs w:val="20"/>
        </w:rPr>
        <w:t>Griffith University</w:t>
      </w:r>
      <w:r w:rsidR="00700135" w:rsidRPr="4947100B">
        <w:rPr>
          <w:rFonts w:ascii="Arial" w:hAnsi="Arial" w:cs="Arial"/>
        </w:rPr>
        <w:t>.</w:t>
      </w:r>
      <w:r w:rsidR="00A81BE6">
        <w:rPr>
          <w:rFonts w:ascii="Arial" w:hAnsi="Arial" w:cs="Arial"/>
        </w:rPr>
        <w:t xml:space="preserve"> </w:t>
      </w:r>
      <w:r w:rsidR="005901CE" w:rsidRPr="4947100B">
        <w:rPr>
          <w:rFonts w:ascii="Arial" w:hAnsi="Arial" w:cs="Arial"/>
        </w:rPr>
        <w:t xml:space="preserve">This policy encompasses both domestic coursework and transnational </w:t>
      </w:r>
      <w:r w:rsidR="003B27D6" w:rsidRPr="4947100B">
        <w:rPr>
          <w:rFonts w:ascii="Arial" w:hAnsi="Arial" w:cs="Arial"/>
        </w:rPr>
        <w:t>arrangements</w:t>
      </w:r>
      <w:r w:rsidR="005A541B" w:rsidRPr="4947100B">
        <w:rPr>
          <w:rFonts w:ascii="Arial" w:hAnsi="Arial" w:cs="Arial"/>
        </w:rPr>
        <w:t xml:space="preserve">. </w:t>
      </w:r>
      <w:r w:rsidR="00700135" w:rsidRPr="4947100B">
        <w:rPr>
          <w:rFonts w:ascii="Arial" w:hAnsi="Arial" w:cs="Arial"/>
        </w:rPr>
        <w:t xml:space="preserve">Such arrangements </w:t>
      </w:r>
      <w:r w:rsidR="0049598C">
        <w:rPr>
          <w:rFonts w:ascii="Arial" w:hAnsi="Arial" w:cs="Arial"/>
        </w:rPr>
        <w:t xml:space="preserve">with other parties </w:t>
      </w:r>
      <w:r w:rsidR="00700135" w:rsidRPr="4947100B">
        <w:rPr>
          <w:rFonts w:ascii="Arial" w:hAnsi="Arial" w:cs="Arial"/>
        </w:rPr>
        <w:t xml:space="preserve">may include </w:t>
      </w:r>
      <w:r w:rsidR="00820316" w:rsidRPr="4947100B">
        <w:rPr>
          <w:rFonts w:ascii="Arial" w:hAnsi="Arial" w:cs="Arial"/>
        </w:rPr>
        <w:t xml:space="preserve">curriculum design and development, </w:t>
      </w:r>
      <w:r w:rsidR="00851DFA" w:rsidRPr="4947100B">
        <w:rPr>
          <w:rFonts w:ascii="Arial" w:hAnsi="Arial" w:cs="Arial"/>
        </w:rPr>
        <w:t>teaching delivery, assessment, service delivery (</w:t>
      </w:r>
      <w:r w:rsidR="00BE0734">
        <w:rPr>
          <w:rFonts w:ascii="Arial" w:hAnsi="Arial" w:cs="Arial"/>
        </w:rPr>
        <w:t>for example,</w:t>
      </w:r>
      <w:r w:rsidR="00851DFA" w:rsidRPr="4947100B">
        <w:rPr>
          <w:rFonts w:ascii="Arial" w:hAnsi="Arial" w:cs="Arial"/>
        </w:rPr>
        <w:t xml:space="preserve"> student support services)</w:t>
      </w:r>
      <w:r w:rsidR="005677F5" w:rsidRPr="4947100B">
        <w:rPr>
          <w:rFonts w:ascii="Arial" w:hAnsi="Arial" w:cs="Arial"/>
        </w:rPr>
        <w:t xml:space="preserve"> and </w:t>
      </w:r>
      <w:r w:rsidR="00A81BE6">
        <w:rPr>
          <w:rFonts w:ascii="Arial" w:hAnsi="Arial" w:cs="Arial"/>
        </w:rPr>
        <w:t xml:space="preserve">the </w:t>
      </w:r>
      <w:r w:rsidR="005D1772" w:rsidRPr="4947100B">
        <w:rPr>
          <w:rFonts w:ascii="Arial" w:hAnsi="Arial" w:cs="Arial"/>
        </w:rPr>
        <w:t xml:space="preserve">delivery of </w:t>
      </w:r>
      <w:r w:rsidR="005677F5" w:rsidRPr="4947100B">
        <w:rPr>
          <w:rFonts w:ascii="Arial" w:hAnsi="Arial" w:cs="Arial"/>
        </w:rPr>
        <w:t>pathway programs</w:t>
      </w:r>
      <w:r w:rsidR="000B2068" w:rsidRPr="4947100B">
        <w:rPr>
          <w:rFonts w:ascii="Arial" w:hAnsi="Arial" w:cs="Arial"/>
        </w:rPr>
        <w:t xml:space="preserve"> on behalf of Griffith University</w:t>
      </w:r>
      <w:r w:rsidR="005677F5" w:rsidRPr="4947100B">
        <w:rPr>
          <w:rFonts w:ascii="Arial" w:hAnsi="Arial" w:cs="Arial"/>
        </w:rPr>
        <w:t>.</w:t>
      </w:r>
      <w:r w:rsidR="007408F4" w:rsidRPr="4947100B">
        <w:rPr>
          <w:rFonts w:ascii="Arial" w:hAnsi="Arial" w:cs="Arial"/>
        </w:rPr>
        <w:t xml:space="preserve"> </w:t>
      </w:r>
      <w:r w:rsidR="00045859" w:rsidRPr="4947100B">
        <w:rPr>
          <w:rFonts w:ascii="Arial" w:hAnsi="Arial" w:cs="Arial"/>
          <w:shd w:val="clear" w:color="auto" w:fill="FFFFFF"/>
        </w:rPr>
        <w:t xml:space="preserve"> </w:t>
      </w:r>
    </w:p>
    <w:p w14:paraId="1B177383" w14:textId="5BF6C174" w:rsidR="00045859" w:rsidRDefault="00045859" w:rsidP="006234C5">
      <w:pPr>
        <w:jc w:val="both"/>
        <w:rPr>
          <w:rFonts w:ascii="Arial" w:hAnsi="Arial" w:cs="Arial"/>
          <w:shd w:val="clear" w:color="auto" w:fill="FFFFFF"/>
        </w:rPr>
      </w:pPr>
      <w:r w:rsidRPr="2238151F">
        <w:rPr>
          <w:rFonts w:ascii="Arial" w:hAnsi="Arial" w:cs="Arial"/>
          <w:shd w:val="clear" w:color="auto" w:fill="FFFFFF"/>
        </w:rPr>
        <w:t>This policy does not apply to</w:t>
      </w:r>
      <w:r w:rsidR="005677F5" w:rsidRPr="2238151F">
        <w:rPr>
          <w:rFonts w:ascii="Arial" w:hAnsi="Arial" w:cs="Arial"/>
          <w:shd w:val="clear" w:color="auto" w:fill="FFFFFF"/>
        </w:rPr>
        <w:t xml:space="preserve"> </w:t>
      </w:r>
      <w:r w:rsidR="00DD148F" w:rsidRPr="2238151F">
        <w:rPr>
          <w:rFonts w:ascii="Arial" w:hAnsi="Arial" w:cs="Arial"/>
          <w:shd w:val="clear" w:color="auto" w:fill="FFFFFF"/>
        </w:rPr>
        <w:t>w</w:t>
      </w:r>
      <w:r w:rsidR="00931D84" w:rsidRPr="2238151F">
        <w:rPr>
          <w:rFonts w:ascii="Arial" w:hAnsi="Arial" w:cs="Arial"/>
          <w:shd w:val="clear" w:color="auto" w:fill="FFFFFF"/>
        </w:rPr>
        <w:t xml:space="preserve">ork </w:t>
      </w:r>
      <w:r w:rsidR="00DD148F" w:rsidRPr="2238151F">
        <w:rPr>
          <w:rFonts w:ascii="Arial" w:hAnsi="Arial" w:cs="Arial"/>
          <w:shd w:val="clear" w:color="auto" w:fill="FFFFFF"/>
        </w:rPr>
        <w:t>i</w:t>
      </w:r>
      <w:r w:rsidR="00931D84" w:rsidRPr="2238151F">
        <w:rPr>
          <w:rFonts w:ascii="Arial" w:hAnsi="Arial" w:cs="Arial"/>
          <w:shd w:val="clear" w:color="auto" w:fill="FFFFFF"/>
        </w:rPr>
        <w:t xml:space="preserve">ntegrated </w:t>
      </w:r>
      <w:r w:rsidR="00DD148F" w:rsidRPr="2238151F">
        <w:rPr>
          <w:rFonts w:ascii="Arial" w:hAnsi="Arial" w:cs="Arial"/>
          <w:shd w:val="clear" w:color="auto" w:fill="FFFFFF"/>
        </w:rPr>
        <w:t>l</w:t>
      </w:r>
      <w:r w:rsidR="00931D84" w:rsidRPr="2238151F">
        <w:rPr>
          <w:rFonts w:ascii="Arial" w:hAnsi="Arial" w:cs="Arial"/>
          <w:shd w:val="clear" w:color="auto" w:fill="FFFFFF"/>
        </w:rPr>
        <w:t>earning</w:t>
      </w:r>
      <w:r w:rsidR="00DD148F" w:rsidRPr="2238151F">
        <w:rPr>
          <w:rFonts w:ascii="Arial" w:hAnsi="Arial" w:cs="Arial"/>
          <w:shd w:val="clear" w:color="auto" w:fill="FFFFFF"/>
        </w:rPr>
        <w:t xml:space="preserve"> </w:t>
      </w:r>
      <w:r w:rsidR="00521CFF" w:rsidRPr="2238151F">
        <w:rPr>
          <w:rFonts w:ascii="Arial" w:hAnsi="Arial" w:cs="Arial"/>
          <w:shd w:val="clear" w:color="auto" w:fill="FFFFFF"/>
        </w:rPr>
        <w:t xml:space="preserve">arrangements where learning is undertaken in </w:t>
      </w:r>
      <w:r w:rsidR="009B60D3" w:rsidRPr="2238151F">
        <w:rPr>
          <w:rFonts w:ascii="Arial" w:hAnsi="Arial" w:cs="Arial"/>
          <w:shd w:val="clear" w:color="auto" w:fill="FFFFFF"/>
        </w:rPr>
        <w:t xml:space="preserve">a work context, including placements, internships, fieldwork, </w:t>
      </w:r>
      <w:r w:rsidR="00E80957" w:rsidRPr="2238151F">
        <w:rPr>
          <w:rFonts w:ascii="Arial" w:hAnsi="Arial" w:cs="Arial"/>
          <w:shd w:val="clear" w:color="auto" w:fill="FFFFFF"/>
        </w:rPr>
        <w:t>practicums</w:t>
      </w:r>
      <w:r w:rsidR="00960100" w:rsidRPr="2238151F">
        <w:rPr>
          <w:rFonts w:ascii="Arial" w:hAnsi="Arial" w:cs="Arial"/>
          <w:shd w:val="clear" w:color="auto" w:fill="FFFFFF"/>
        </w:rPr>
        <w:t>, industry-partnered projects, simulated work environments and other activities in</w:t>
      </w:r>
      <w:r w:rsidR="006D6E6F" w:rsidRPr="2238151F">
        <w:rPr>
          <w:rFonts w:ascii="Arial" w:hAnsi="Arial" w:cs="Arial"/>
          <w:shd w:val="clear" w:color="auto" w:fill="FFFFFF"/>
        </w:rPr>
        <w:t xml:space="preserve"> other contexts involving industry or community partners</w:t>
      </w:r>
      <w:r w:rsidR="002C6025" w:rsidRPr="2238151F">
        <w:rPr>
          <w:rFonts w:ascii="Arial" w:hAnsi="Arial" w:cs="Arial"/>
          <w:shd w:val="clear" w:color="auto" w:fill="FFFFFF"/>
        </w:rPr>
        <w:t>, n</w:t>
      </w:r>
      <w:r w:rsidR="0024236C" w:rsidRPr="2238151F">
        <w:rPr>
          <w:rFonts w:ascii="Arial" w:hAnsi="Arial" w:cs="Arial"/>
          <w:shd w:val="clear" w:color="auto" w:fill="FFFFFF"/>
        </w:rPr>
        <w:t xml:space="preserve">or does it apply to </w:t>
      </w:r>
      <w:r w:rsidR="00DD148F" w:rsidRPr="2238151F">
        <w:rPr>
          <w:rFonts w:ascii="Arial" w:hAnsi="Arial" w:cs="Arial"/>
          <w:shd w:val="clear" w:color="auto" w:fill="FFFFFF"/>
        </w:rPr>
        <w:t>s</w:t>
      </w:r>
      <w:r w:rsidR="00D53AC2" w:rsidRPr="2238151F">
        <w:rPr>
          <w:rFonts w:ascii="Arial" w:hAnsi="Arial" w:cs="Arial"/>
          <w:shd w:val="clear" w:color="auto" w:fill="FFFFFF"/>
        </w:rPr>
        <w:t xml:space="preserve">tudent </w:t>
      </w:r>
      <w:r w:rsidR="00DD148F" w:rsidRPr="2238151F">
        <w:rPr>
          <w:rFonts w:ascii="Arial" w:hAnsi="Arial" w:cs="Arial"/>
          <w:shd w:val="clear" w:color="auto" w:fill="FFFFFF"/>
        </w:rPr>
        <w:t>m</w:t>
      </w:r>
      <w:r w:rsidR="00D53AC2" w:rsidRPr="2238151F">
        <w:rPr>
          <w:rFonts w:ascii="Arial" w:hAnsi="Arial" w:cs="Arial"/>
          <w:shd w:val="clear" w:color="auto" w:fill="FFFFFF"/>
        </w:rPr>
        <w:t>obility</w:t>
      </w:r>
      <w:r w:rsidR="00DD148F" w:rsidRPr="2238151F">
        <w:rPr>
          <w:rFonts w:ascii="Arial" w:hAnsi="Arial" w:cs="Arial"/>
          <w:shd w:val="clear" w:color="auto" w:fill="FFFFFF"/>
        </w:rPr>
        <w:t xml:space="preserve"> (stud</w:t>
      </w:r>
      <w:r w:rsidR="00A3252D" w:rsidRPr="2238151F">
        <w:rPr>
          <w:rFonts w:ascii="Arial" w:hAnsi="Arial" w:cs="Arial"/>
          <w:shd w:val="clear" w:color="auto" w:fill="FFFFFF"/>
        </w:rPr>
        <w:t>y abroad and student exchange)</w:t>
      </w:r>
      <w:r w:rsidR="00CA4B96" w:rsidRPr="2238151F">
        <w:rPr>
          <w:rFonts w:ascii="Arial" w:hAnsi="Arial" w:cs="Arial"/>
          <w:shd w:val="clear" w:color="auto" w:fill="FFFFFF"/>
        </w:rPr>
        <w:t xml:space="preserve">, </w:t>
      </w:r>
      <w:r w:rsidR="00DD148F" w:rsidRPr="2238151F">
        <w:rPr>
          <w:rFonts w:ascii="Arial" w:hAnsi="Arial" w:cs="Arial"/>
          <w:shd w:val="clear" w:color="auto" w:fill="FFFFFF"/>
        </w:rPr>
        <w:t>a</w:t>
      </w:r>
      <w:r w:rsidR="00CA4B96" w:rsidRPr="2238151F">
        <w:rPr>
          <w:rFonts w:ascii="Arial" w:hAnsi="Arial" w:cs="Arial"/>
          <w:shd w:val="clear" w:color="auto" w:fill="FFFFFF"/>
        </w:rPr>
        <w:t>rticulation</w:t>
      </w:r>
      <w:r w:rsidR="00DD148F" w:rsidRPr="2238151F">
        <w:rPr>
          <w:rFonts w:ascii="Arial" w:hAnsi="Arial" w:cs="Arial"/>
          <w:shd w:val="clear" w:color="auto" w:fill="FFFFFF"/>
        </w:rPr>
        <w:t xml:space="preserve"> </w:t>
      </w:r>
      <w:r w:rsidR="00A3252D" w:rsidRPr="2238151F">
        <w:rPr>
          <w:rFonts w:ascii="Arial" w:hAnsi="Arial" w:cs="Arial"/>
          <w:shd w:val="clear" w:color="auto" w:fill="FFFFFF"/>
        </w:rPr>
        <w:t>arrangements</w:t>
      </w:r>
      <w:r w:rsidR="00CA4B96" w:rsidRPr="2238151F">
        <w:rPr>
          <w:rFonts w:ascii="Arial" w:hAnsi="Arial" w:cs="Arial"/>
          <w:shd w:val="clear" w:color="auto" w:fill="FFFFFF"/>
        </w:rPr>
        <w:t xml:space="preserve">, </w:t>
      </w:r>
      <w:r w:rsidR="00DD148F" w:rsidRPr="2238151F">
        <w:rPr>
          <w:rFonts w:ascii="Arial" w:hAnsi="Arial" w:cs="Arial"/>
          <w:shd w:val="clear" w:color="auto" w:fill="FFFFFF"/>
        </w:rPr>
        <w:t>c</w:t>
      </w:r>
      <w:r w:rsidR="00CA4B96" w:rsidRPr="2238151F">
        <w:rPr>
          <w:rFonts w:ascii="Arial" w:hAnsi="Arial" w:cs="Arial"/>
          <w:shd w:val="clear" w:color="auto" w:fill="FFFFFF"/>
        </w:rPr>
        <w:t xml:space="preserve">redit </w:t>
      </w:r>
      <w:r w:rsidR="00DD148F" w:rsidRPr="2238151F">
        <w:rPr>
          <w:rFonts w:ascii="Arial" w:hAnsi="Arial" w:cs="Arial"/>
          <w:shd w:val="clear" w:color="auto" w:fill="FFFFFF"/>
        </w:rPr>
        <w:t>t</w:t>
      </w:r>
      <w:r w:rsidR="00CA4B96" w:rsidRPr="2238151F">
        <w:rPr>
          <w:rFonts w:ascii="Arial" w:hAnsi="Arial" w:cs="Arial"/>
          <w:shd w:val="clear" w:color="auto" w:fill="FFFFFF"/>
        </w:rPr>
        <w:t>ransfer</w:t>
      </w:r>
      <w:r w:rsidR="00A3252D" w:rsidRPr="2238151F">
        <w:rPr>
          <w:rFonts w:ascii="Arial" w:hAnsi="Arial" w:cs="Arial"/>
          <w:shd w:val="clear" w:color="auto" w:fill="FFFFFF"/>
        </w:rPr>
        <w:t xml:space="preserve"> arrangements</w:t>
      </w:r>
      <w:r w:rsidR="00CA4B96" w:rsidRPr="2238151F">
        <w:rPr>
          <w:rFonts w:ascii="Arial" w:hAnsi="Arial" w:cs="Arial"/>
          <w:shd w:val="clear" w:color="auto" w:fill="FFFFFF"/>
        </w:rPr>
        <w:t xml:space="preserve">, </w:t>
      </w:r>
      <w:r w:rsidR="00DD148F" w:rsidRPr="2238151F">
        <w:rPr>
          <w:rFonts w:ascii="Arial" w:hAnsi="Arial" w:cs="Arial"/>
          <w:shd w:val="clear" w:color="auto" w:fill="FFFFFF"/>
        </w:rPr>
        <w:t>n</w:t>
      </w:r>
      <w:r w:rsidR="00CE735C" w:rsidRPr="2238151F">
        <w:rPr>
          <w:rFonts w:ascii="Arial" w:hAnsi="Arial" w:cs="Arial"/>
          <w:shd w:val="clear" w:color="auto" w:fill="FFFFFF"/>
        </w:rPr>
        <w:t>on-</w:t>
      </w:r>
      <w:r w:rsidR="00DD148F" w:rsidRPr="2238151F">
        <w:rPr>
          <w:rFonts w:ascii="Arial" w:hAnsi="Arial" w:cs="Arial"/>
          <w:shd w:val="clear" w:color="auto" w:fill="FFFFFF"/>
        </w:rPr>
        <w:t>a</w:t>
      </w:r>
      <w:r w:rsidR="00CE735C" w:rsidRPr="2238151F">
        <w:rPr>
          <w:rFonts w:ascii="Arial" w:hAnsi="Arial" w:cs="Arial"/>
          <w:shd w:val="clear" w:color="auto" w:fill="FFFFFF"/>
        </w:rPr>
        <w:t xml:space="preserve">ward </w:t>
      </w:r>
      <w:r w:rsidR="00BB7A95" w:rsidRPr="2238151F">
        <w:rPr>
          <w:rFonts w:ascii="Arial" w:hAnsi="Arial" w:cs="Arial"/>
          <w:shd w:val="clear" w:color="auto" w:fill="FFFFFF"/>
        </w:rPr>
        <w:t>programs</w:t>
      </w:r>
      <w:r w:rsidR="002D3E2F" w:rsidRPr="2238151F">
        <w:rPr>
          <w:rFonts w:ascii="Arial" w:hAnsi="Arial" w:cs="Arial"/>
          <w:shd w:val="clear" w:color="auto" w:fill="FFFFFF"/>
        </w:rPr>
        <w:t xml:space="preserve"> or </w:t>
      </w:r>
      <w:r w:rsidR="009F59AD" w:rsidRPr="2238151F">
        <w:rPr>
          <w:rFonts w:ascii="Arial" w:hAnsi="Arial" w:cs="Arial"/>
          <w:shd w:val="clear" w:color="auto" w:fill="FFFFFF"/>
        </w:rPr>
        <w:t>cross-</w:t>
      </w:r>
      <w:r w:rsidR="00F323B7" w:rsidRPr="2238151F">
        <w:rPr>
          <w:rFonts w:ascii="Arial" w:hAnsi="Arial" w:cs="Arial"/>
          <w:shd w:val="clear" w:color="auto" w:fill="FFFFFF"/>
        </w:rPr>
        <w:t>institutional</w:t>
      </w:r>
      <w:r w:rsidR="009F59AD" w:rsidRPr="2238151F">
        <w:rPr>
          <w:rFonts w:ascii="Arial" w:hAnsi="Arial" w:cs="Arial"/>
          <w:shd w:val="clear" w:color="auto" w:fill="FFFFFF"/>
        </w:rPr>
        <w:t xml:space="preserve"> study</w:t>
      </w:r>
      <w:r w:rsidR="00F323B7" w:rsidRPr="2238151F">
        <w:rPr>
          <w:rFonts w:ascii="Arial" w:hAnsi="Arial" w:cs="Arial"/>
          <w:shd w:val="clear" w:color="auto" w:fill="FFFFFF"/>
        </w:rPr>
        <w:t xml:space="preserve">. </w:t>
      </w:r>
      <w:r w:rsidR="00BE0734">
        <w:rPr>
          <w:rFonts w:ascii="Arial" w:hAnsi="Arial" w:cs="Arial"/>
          <w:shd w:val="clear" w:color="auto" w:fill="FFFFFF"/>
        </w:rPr>
        <w:t>This</w:t>
      </w:r>
      <w:r w:rsidR="00114D22" w:rsidRPr="2238151F">
        <w:rPr>
          <w:rFonts w:ascii="Arial" w:hAnsi="Arial" w:cs="Arial"/>
          <w:shd w:val="clear" w:color="auto" w:fill="FFFFFF"/>
        </w:rPr>
        <w:t xml:space="preserve"> </w:t>
      </w:r>
      <w:r w:rsidR="00D16620" w:rsidRPr="2238151F">
        <w:rPr>
          <w:rFonts w:ascii="Arial" w:hAnsi="Arial" w:cs="Arial"/>
          <w:shd w:val="clear" w:color="auto" w:fill="FFFFFF"/>
        </w:rPr>
        <w:t xml:space="preserve">policy </w:t>
      </w:r>
      <w:r w:rsidR="00BE0734">
        <w:rPr>
          <w:rFonts w:ascii="Arial" w:hAnsi="Arial" w:cs="Arial"/>
          <w:shd w:val="clear" w:color="auto" w:fill="FFFFFF"/>
        </w:rPr>
        <w:t xml:space="preserve">does not </w:t>
      </w:r>
      <w:r w:rsidR="00D16620" w:rsidRPr="2238151F">
        <w:rPr>
          <w:rFonts w:ascii="Arial" w:hAnsi="Arial" w:cs="Arial"/>
          <w:shd w:val="clear" w:color="auto" w:fill="FFFFFF"/>
        </w:rPr>
        <w:t xml:space="preserve">apply to general </w:t>
      </w:r>
      <w:r w:rsidR="00114D22" w:rsidRPr="2238151F">
        <w:rPr>
          <w:rFonts w:ascii="Arial" w:hAnsi="Arial" w:cs="Arial"/>
          <w:shd w:val="clear" w:color="auto" w:fill="FFFFFF"/>
        </w:rPr>
        <w:t>academic</w:t>
      </w:r>
      <w:r w:rsidR="00D16620" w:rsidRPr="2238151F">
        <w:rPr>
          <w:rFonts w:ascii="Arial" w:hAnsi="Arial" w:cs="Arial"/>
          <w:shd w:val="clear" w:color="auto" w:fill="FFFFFF"/>
        </w:rPr>
        <w:t xml:space="preserve"> arrangement</w:t>
      </w:r>
      <w:r w:rsidR="00E61962" w:rsidRPr="2238151F">
        <w:rPr>
          <w:rFonts w:ascii="Arial" w:hAnsi="Arial" w:cs="Arial"/>
          <w:shd w:val="clear" w:color="auto" w:fill="FFFFFF"/>
        </w:rPr>
        <w:t>s</w:t>
      </w:r>
      <w:r w:rsidR="007D53CD">
        <w:rPr>
          <w:rFonts w:ascii="Arial" w:hAnsi="Arial" w:cs="Arial"/>
          <w:shd w:val="clear" w:color="auto" w:fill="FFFFFF"/>
        </w:rPr>
        <w:t xml:space="preserve"> with other parties</w:t>
      </w:r>
      <w:r w:rsidR="000E1AC6" w:rsidRPr="2238151F">
        <w:rPr>
          <w:rFonts w:ascii="Arial" w:hAnsi="Arial" w:cs="Arial"/>
          <w:shd w:val="clear" w:color="auto" w:fill="FFFFFF"/>
        </w:rPr>
        <w:t xml:space="preserve"> such as library resource agreements, </w:t>
      </w:r>
      <w:r w:rsidR="00B47F17" w:rsidRPr="2238151F">
        <w:rPr>
          <w:rFonts w:ascii="Arial" w:hAnsi="Arial" w:cs="Arial"/>
        </w:rPr>
        <w:t xml:space="preserve">or </w:t>
      </w:r>
      <w:r w:rsidR="000F7306" w:rsidRPr="2238151F">
        <w:rPr>
          <w:rFonts w:ascii="Arial" w:hAnsi="Arial" w:cs="Arial"/>
          <w:shd w:val="clear" w:color="auto" w:fill="FFFFFF"/>
        </w:rPr>
        <w:t>service delivery arrangements.</w:t>
      </w:r>
      <w:r w:rsidR="00E1072B" w:rsidRPr="2238151F">
        <w:rPr>
          <w:rFonts w:ascii="Arial" w:hAnsi="Arial" w:cs="Arial"/>
          <w:shd w:val="clear" w:color="auto" w:fill="FFFFFF"/>
        </w:rPr>
        <w:t xml:space="preserve"> </w:t>
      </w:r>
      <w:r w:rsidR="00C55C1E" w:rsidRPr="2238151F">
        <w:rPr>
          <w:rFonts w:ascii="Arial" w:hAnsi="Arial" w:cs="Arial"/>
          <w:shd w:val="clear" w:color="auto" w:fill="FFFFFF"/>
        </w:rPr>
        <w:t xml:space="preserve">Details of such arrangements are </w:t>
      </w:r>
      <w:r w:rsidR="00A3252D" w:rsidRPr="2238151F">
        <w:rPr>
          <w:rFonts w:ascii="Arial" w:hAnsi="Arial" w:cs="Arial"/>
          <w:shd w:val="clear" w:color="auto" w:fill="FFFFFF"/>
        </w:rPr>
        <w:t>governed by their respective policies</w:t>
      </w:r>
      <w:r w:rsidR="5F70B083" w:rsidRPr="2238151F">
        <w:rPr>
          <w:rFonts w:ascii="Arial" w:hAnsi="Arial" w:cs="Arial"/>
          <w:shd w:val="clear" w:color="auto" w:fill="FFFFFF"/>
        </w:rPr>
        <w:t xml:space="preserve"> and procedures</w:t>
      </w:r>
      <w:r w:rsidR="00A3252D" w:rsidRPr="2238151F">
        <w:rPr>
          <w:rFonts w:ascii="Arial" w:hAnsi="Arial" w:cs="Arial"/>
          <w:shd w:val="clear" w:color="auto" w:fill="FFFFFF"/>
        </w:rPr>
        <w:t>.</w:t>
      </w:r>
    </w:p>
    <w:p w14:paraId="3C470086" w14:textId="24DE796A" w:rsidR="00364F6E" w:rsidRDefault="00902125" w:rsidP="00123A9F">
      <w:pPr>
        <w:pStyle w:val="Heading2"/>
        <w:jc w:val="both"/>
      </w:pPr>
      <w:bookmarkStart w:id="4" w:name="_3.010_Policy_sStatement"/>
      <w:bookmarkStart w:id="5" w:name="_Ref20318910"/>
      <w:bookmarkEnd w:id="4"/>
      <w:r w:rsidRPr="00902125">
        <w:t>3.</w:t>
      </w:r>
      <w:r w:rsidR="007C18C9">
        <w:t>0</w:t>
      </w:r>
      <w:r w:rsidRPr="00902125">
        <w:t xml:space="preserve"> </w:t>
      </w:r>
      <w:r w:rsidR="00C91165" w:rsidRPr="00902125">
        <w:t xml:space="preserve">Policy </w:t>
      </w:r>
      <w:r w:rsidR="004E5D9A">
        <w:t>s</w:t>
      </w:r>
      <w:r w:rsidR="00047DEC">
        <w:t xml:space="preserve">tatement </w:t>
      </w:r>
    </w:p>
    <w:p w14:paraId="791AF5F9" w14:textId="236E3D19" w:rsidR="0031424E" w:rsidRPr="00A72F08" w:rsidRDefault="006249F6" w:rsidP="002C6025">
      <w:pPr>
        <w:jc w:val="both"/>
        <w:rPr>
          <w:rFonts w:ascii="Arial" w:hAnsi="Arial" w:cs="Arial"/>
          <w:szCs w:val="20"/>
        </w:rPr>
      </w:pPr>
      <w:r>
        <w:rPr>
          <w:rFonts w:ascii="Arial" w:hAnsi="Arial" w:cs="Arial"/>
          <w:szCs w:val="20"/>
        </w:rPr>
        <w:t>As the primary registered</w:t>
      </w:r>
      <w:r w:rsidR="005153B2">
        <w:rPr>
          <w:rFonts w:ascii="Arial" w:hAnsi="Arial" w:cs="Arial"/>
          <w:szCs w:val="20"/>
        </w:rPr>
        <w:t xml:space="preserve"> </w:t>
      </w:r>
      <w:r w:rsidR="00DE2F56">
        <w:rPr>
          <w:rFonts w:ascii="Arial" w:hAnsi="Arial" w:cs="Arial"/>
          <w:szCs w:val="20"/>
        </w:rPr>
        <w:t xml:space="preserve">education </w:t>
      </w:r>
      <w:r w:rsidR="005153B2">
        <w:rPr>
          <w:rFonts w:ascii="Arial" w:hAnsi="Arial" w:cs="Arial"/>
          <w:szCs w:val="20"/>
        </w:rPr>
        <w:t xml:space="preserve">provider, Griffith </w:t>
      </w:r>
      <w:r w:rsidR="00836CE6">
        <w:rPr>
          <w:rFonts w:ascii="Arial" w:hAnsi="Arial" w:cs="Arial"/>
          <w:szCs w:val="20"/>
        </w:rPr>
        <w:t xml:space="preserve">University is </w:t>
      </w:r>
      <w:r w:rsidR="00EE7B35">
        <w:rPr>
          <w:rFonts w:ascii="Arial" w:hAnsi="Arial" w:cs="Arial"/>
          <w:szCs w:val="20"/>
        </w:rPr>
        <w:t>accountable</w:t>
      </w:r>
      <w:r w:rsidR="005153B2">
        <w:rPr>
          <w:rFonts w:ascii="Arial" w:hAnsi="Arial" w:cs="Arial"/>
          <w:szCs w:val="20"/>
        </w:rPr>
        <w:t xml:space="preserve"> for </w:t>
      </w:r>
      <w:r w:rsidR="009E3E6B">
        <w:rPr>
          <w:rFonts w:ascii="Arial" w:hAnsi="Arial" w:cs="Arial"/>
          <w:szCs w:val="20"/>
        </w:rPr>
        <w:t xml:space="preserve">the quality of education and any services delivered by </w:t>
      </w:r>
      <w:r w:rsidR="008F55E4">
        <w:rPr>
          <w:rFonts w:ascii="Arial" w:hAnsi="Arial" w:cs="Arial"/>
          <w:szCs w:val="20"/>
        </w:rPr>
        <w:t>another</w:t>
      </w:r>
      <w:r w:rsidR="00EE0214">
        <w:rPr>
          <w:rFonts w:ascii="Arial" w:hAnsi="Arial" w:cs="Arial"/>
          <w:szCs w:val="20"/>
        </w:rPr>
        <w:t xml:space="preserve"> provider</w:t>
      </w:r>
      <w:r w:rsidR="002B0EC7">
        <w:rPr>
          <w:rFonts w:ascii="Arial" w:hAnsi="Arial" w:cs="Arial"/>
          <w:szCs w:val="20"/>
        </w:rPr>
        <w:t xml:space="preserve"> on its behalf</w:t>
      </w:r>
      <w:r w:rsidR="00EE0214">
        <w:rPr>
          <w:rFonts w:ascii="Arial" w:hAnsi="Arial" w:cs="Arial"/>
          <w:szCs w:val="20"/>
        </w:rPr>
        <w:t xml:space="preserve">, where these relate to the issue of an Australian </w:t>
      </w:r>
      <w:r w:rsidR="002B0EC7">
        <w:rPr>
          <w:rFonts w:ascii="Arial" w:hAnsi="Arial" w:cs="Arial"/>
          <w:szCs w:val="20"/>
        </w:rPr>
        <w:t>qualification</w:t>
      </w:r>
      <w:r w:rsidR="00C1190C">
        <w:rPr>
          <w:rFonts w:ascii="Arial" w:hAnsi="Arial" w:cs="Arial"/>
          <w:szCs w:val="20"/>
        </w:rPr>
        <w:t xml:space="preserve"> or compliance with the </w:t>
      </w:r>
      <w:r w:rsidR="00B03DC6">
        <w:rPr>
          <w:rFonts w:ascii="Arial" w:hAnsi="Arial" w:cs="Arial"/>
          <w:szCs w:val="20"/>
        </w:rPr>
        <w:t>Higher Education Standards Framework (Threshold Standards) 2021.</w:t>
      </w:r>
      <w:r w:rsidR="002B0EC7">
        <w:rPr>
          <w:rFonts w:ascii="Arial" w:hAnsi="Arial" w:cs="Arial"/>
          <w:szCs w:val="20"/>
        </w:rPr>
        <w:t xml:space="preserve"> </w:t>
      </w:r>
      <w:r w:rsidR="00047DEC" w:rsidRPr="00A72F08">
        <w:rPr>
          <w:rFonts w:ascii="Arial" w:hAnsi="Arial" w:cs="Arial"/>
          <w:szCs w:val="20"/>
        </w:rPr>
        <w:t xml:space="preserve">Griffith’s approach to the </w:t>
      </w:r>
      <w:r w:rsidR="00946D13">
        <w:rPr>
          <w:rFonts w:ascii="Arial" w:hAnsi="Arial" w:cs="Arial"/>
          <w:szCs w:val="20"/>
        </w:rPr>
        <w:t xml:space="preserve">selection of partners as well as the </w:t>
      </w:r>
      <w:r w:rsidR="00047DEC" w:rsidRPr="00A72F08">
        <w:rPr>
          <w:rFonts w:ascii="Arial" w:hAnsi="Arial" w:cs="Arial"/>
          <w:szCs w:val="20"/>
        </w:rPr>
        <w:t xml:space="preserve">development, approval, </w:t>
      </w:r>
      <w:r w:rsidR="007B3964" w:rsidRPr="00A72F08">
        <w:rPr>
          <w:rFonts w:ascii="Arial" w:hAnsi="Arial" w:cs="Arial"/>
          <w:szCs w:val="20"/>
        </w:rPr>
        <w:t>management,</w:t>
      </w:r>
      <w:r w:rsidR="00047DEC" w:rsidRPr="00A72F08">
        <w:rPr>
          <w:rFonts w:ascii="Arial" w:hAnsi="Arial" w:cs="Arial"/>
          <w:szCs w:val="20"/>
        </w:rPr>
        <w:t xml:space="preserve"> and review </w:t>
      </w:r>
      <w:r w:rsidR="00EA68C4" w:rsidRPr="00A72F08">
        <w:rPr>
          <w:rFonts w:ascii="Arial" w:hAnsi="Arial" w:cs="Arial"/>
          <w:szCs w:val="20"/>
        </w:rPr>
        <w:t xml:space="preserve">of </w:t>
      </w:r>
      <w:r w:rsidR="00D50824" w:rsidRPr="00A72F08">
        <w:rPr>
          <w:rFonts w:ascii="Arial" w:hAnsi="Arial" w:cs="Arial"/>
          <w:szCs w:val="20"/>
        </w:rPr>
        <w:t>arrangements</w:t>
      </w:r>
      <w:r w:rsidR="00EA68C4" w:rsidRPr="00A72F08">
        <w:rPr>
          <w:rFonts w:ascii="Arial" w:hAnsi="Arial" w:cs="Arial"/>
          <w:szCs w:val="20"/>
        </w:rPr>
        <w:t xml:space="preserve"> </w:t>
      </w:r>
      <w:r w:rsidR="00195AD0">
        <w:rPr>
          <w:rFonts w:ascii="Arial" w:hAnsi="Arial" w:cs="Arial"/>
          <w:szCs w:val="20"/>
        </w:rPr>
        <w:t xml:space="preserve">for academic delivery with other parties </w:t>
      </w:r>
      <w:r w:rsidR="00EA68C4" w:rsidRPr="00A72F08">
        <w:rPr>
          <w:rFonts w:ascii="Arial" w:hAnsi="Arial" w:cs="Arial"/>
          <w:szCs w:val="20"/>
        </w:rPr>
        <w:t xml:space="preserve">is guided by the Framework for Quality Assurance and the following principles: </w:t>
      </w:r>
    </w:p>
    <w:p w14:paraId="08CDFD6F" w14:textId="54F01123" w:rsidR="00B456CF" w:rsidRPr="008B10A4" w:rsidRDefault="00B456CF" w:rsidP="0052126A">
      <w:pPr>
        <w:pStyle w:val="ListParagraph"/>
        <w:numPr>
          <w:ilvl w:val="0"/>
          <w:numId w:val="27"/>
        </w:numPr>
        <w:spacing w:before="80" w:after="80"/>
        <w:jc w:val="both"/>
        <w:rPr>
          <w:rFonts w:ascii="Arial" w:hAnsi="Arial" w:cs="Arial"/>
        </w:rPr>
      </w:pPr>
      <w:r w:rsidRPr="260D3BFB">
        <w:rPr>
          <w:rFonts w:ascii="Arial" w:hAnsi="Arial" w:cs="Arial"/>
        </w:rPr>
        <w:t xml:space="preserve">Programs, </w:t>
      </w:r>
      <w:r w:rsidR="00CC4265" w:rsidRPr="260D3BFB">
        <w:rPr>
          <w:rFonts w:ascii="Arial" w:hAnsi="Arial" w:cs="Arial"/>
        </w:rPr>
        <w:t>courses,</w:t>
      </w:r>
      <w:r w:rsidRPr="260D3BFB">
        <w:rPr>
          <w:rFonts w:ascii="Arial" w:hAnsi="Arial" w:cs="Arial"/>
        </w:rPr>
        <w:t xml:space="preserve"> </w:t>
      </w:r>
      <w:r w:rsidR="006960B8" w:rsidRPr="260D3BFB">
        <w:rPr>
          <w:rFonts w:ascii="Arial" w:hAnsi="Arial" w:cs="Arial"/>
        </w:rPr>
        <w:t xml:space="preserve">and services </w:t>
      </w:r>
      <w:r w:rsidRPr="260D3BFB">
        <w:rPr>
          <w:rFonts w:ascii="Arial" w:hAnsi="Arial" w:cs="Arial"/>
        </w:rPr>
        <w:t xml:space="preserve">delivered by </w:t>
      </w:r>
      <w:r w:rsidR="00195AD0">
        <w:rPr>
          <w:rFonts w:ascii="Arial" w:hAnsi="Arial" w:cs="Arial"/>
        </w:rPr>
        <w:t>another</w:t>
      </w:r>
      <w:r w:rsidRPr="260D3BFB">
        <w:rPr>
          <w:rFonts w:ascii="Arial" w:hAnsi="Arial" w:cs="Arial"/>
        </w:rPr>
        <w:t xml:space="preserve"> provider are of </w:t>
      </w:r>
      <w:r w:rsidR="006960B8" w:rsidRPr="260D3BFB">
        <w:rPr>
          <w:rFonts w:ascii="Arial" w:hAnsi="Arial" w:cs="Arial"/>
        </w:rPr>
        <w:t xml:space="preserve">an </w:t>
      </w:r>
      <w:r w:rsidRPr="260D3BFB">
        <w:rPr>
          <w:rFonts w:ascii="Arial" w:hAnsi="Arial" w:cs="Arial"/>
        </w:rPr>
        <w:t>equivalent standard to those delivered by Griffith.</w:t>
      </w:r>
    </w:p>
    <w:p w14:paraId="149832D2" w14:textId="5E5A7821" w:rsidR="00C6706E" w:rsidRPr="008B10A4" w:rsidRDefault="00903885" w:rsidP="0052126A">
      <w:pPr>
        <w:pStyle w:val="ListParagraph"/>
        <w:numPr>
          <w:ilvl w:val="0"/>
          <w:numId w:val="27"/>
        </w:numPr>
        <w:spacing w:before="80" w:after="80"/>
        <w:jc w:val="both"/>
        <w:rPr>
          <w:rFonts w:ascii="Arial" w:hAnsi="Arial" w:cs="Arial"/>
          <w:szCs w:val="20"/>
        </w:rPr>
      </w:pPr>
      <w:r>
        <w:rPr>
          <w:rFonts w:ascii="Arial" w:hAnsi="Arial" w:cs="Arial"/>
          <w:color w:val="000000" w:themeColor="text1"/>
          <w:szCs w:val="20"/>
        </w:rPr>
        <w:t>A</w:t>
      </w:r>
      <w:r w:rsidR="00D50824" w:rsidRPr="008B10A4">
        <w:rPr>
          <w:rFonts w:ascii="Arial" w:hAnsi="Arial" w:cs="Arial"/>
          <w:color w:val="000000" w:themeColor="text1"/>
          <w:szCs w:val="20"/>
        </w:rPr>
        <w:t>rrangements</w:t>
      </w:r>
      <w:r w:rsidR="00D3372E" w:rsidRPr="008B10A4">
        <w:rPr>
          <w:rFonts w:ascii="Arial" w:hAnsi="Arial" w:cs="Arial"/>
          <w:szCs w:val="20"/>
        </w:rPr>
        <w:t xml:space="preserve"> </w:t>
      </w:r>
      <w:r>
        <w:rPr>
          <w:rFonts w:ascii="Arial" w:hAnsi="Arial" w:cs="Arial"/>
          <w:szCs w:val="20"/>
        </w:rPr>
        <w:t xml:space="preserve">for academic delivery by another party </w:t>
      </w:r>
      <w:r w:rsidR="008B5354" w:rsidRPr="008B10A4">
        <w:rPr>
          <w:rFonts w:ascii="Arial" w:hAnsi="Arial" w:cs="Arial"/>
          <w:szCs w:val="20"/>
        </w:rPr>
        <w:t>are</w:t>
      </w:r>
      <w:r w:rsidR="001A11AF" w:rsidRPr="008B10A4">
        <w:rPr>
          <w:rFonts w:ascii="Arial" w:hAnsi="Arial" w:cs="Arial"/>
          <w:szCs w:val="20"/>
        </w:rPr>
        <w:t xml:space="preserve"> </w:t>
      </w:r>
      <w:r w:rsidR="003C5BDF" w:rsidRPr="008B10A4">
        <w:rPr>
          <w:rFonts w:ascii="Arial" w:hAnsi="Arial" w:cs="Arial"/>
          <w:szCs w:val="20"/>
        </w:rPr>
        <w:t>align</w:t>
      </w:r>
      <w:r w:rsidR="008B5354" w:rsidRPr="008B10A4">
        <w:rPr>
          <w:rFonts w:ascii="Arial" w:hAnsi="Arial" w:cs="Arial"/>
          <w:szCs w:val="20"/>
        </w:rPr>
        <w:t>ed</w:t>
      </w:r>
      <w:r w:rsidR="003C5BDF" w:rsidRPr="008B10A4">
        <w:rPr>
          <w:rFonts w:ascii="Arial" w:hAnsi="Arial" w:cs="Arial"/>
          <w:szCs w:val="20"/>
        </w:rPr>
        <w:t xml:space="preserve"> with and </w:t>
      </w:r>
      <w:r w:rsidR="00E54C68" w:rsidRPr="008B10A4">
        <w:rPr>
          <w:rFonts w:ascii="Arial" w:hAnsi="Arial" w:cs="Arial"/>
          <w:szCs w:val="20"/>
        </w:rPr>
        <w:t xml:space="preserve">support the achievement of the University’s </w:t>
      </w:r>
      <w:r w:rsidR="004D1D3E" w:rsidRPr="008B10A4">
        <w:rPr>
          <w:rFonts w:ascii="Arial" w:hAnsi="Arial" w:cs="Arial"/>
          <w:szCs w:val="20"/>
        </w:rPr>
        <w:t>s</w:t>
      </w:r>
      <w:r w:rsidR="00E54C68" w:rsidRPr="008B10A4">
        <w:rPr>
          <w:rFonts w:ascii="Arial" w:hAnsi="Arial" w:cs="Arial"/>
          <w:szCs w:val="20"/>
        </w:rPr>
        <w:t xml:space="preserve">trategic </w:t>
      </w:r>
      <w:r w:rsidR="004D1D3E" w:rsidRPr="008B10A4">
        <w:rPr>
          <w:rFonts w:ascii="Arial" w:hAnsi="Arial" w:cs="Arial"/>
          <w:szCs w:val="20"/>
        </w:rPr>
        <w:t>objectives</w:t>
      </w:r>
      <w:r w:rsidR="00F36259" w:rsidRPr="008B10A4">
        <w:rPr>
          <w:rFonts w:ascii="Arial" w:hAnsi="Arial" w:cs="Arial"/>
          <w:szCs w:val="20"/>
        </w:rPr>
        <w:t>.</w:t>
      </w:r>
    </w:p>
    <w:p w14:paraId="3DE783B8" w14:textId="77777777" w:rsidR="00D84DD2" w:rsidRPr="008B10A4" w:rsidRDefault="00D84DD2" w:rsidP="0052126A">
      <w:pPr>
        <w:pStyle w:val="ListParagraph"/>
        <w:numPr>
          <w:ilvl w:val="0"/>
          <w:numId w:val="27"/>
        </w:numPr>
        <w:spacing w:before="80" w:after="80"/>
        <w:jc w:val="both"/>
        <w:rPr>
          <w:rFonts w:ascii="Arial" w:hAnsi="Arial" w:cs="Arial"/>
        </w:rPr>
      </w:pPr>
      <w:r w:rsidRPr="008B10A4">
        <w:rPr>
          <w:rFonts w:ascii="Arial" w:hAnsi="Arial" w:cs="Arial"/>
        </w:rPr>
        <w:t>Compliance is maintained with all relevant legislative and regulatory requirements.</w:t>
      </w:r>
    </w:p>
    <w:p w14:paraId="75B4F332" w14:textId="46ABB2E5" w:rsidR="00D84DD2" w:rsidRPr="008B10A4" w:rsidRDefault="008F0A0E" w:rsidP="0052126A">
      <w:pPr>
        <w:pStyle w:val="ListParagraph"/>
        <w:numPr>
          <w:ilvl w:val="0"/>
          <w:numId w:val="27"/>
        </w:numPr>
        <w:spacing w:before="80" w:after="80"/>
        <w:jc w:val="both"/>
        <w:rPr>
          <w:rFonts w:ascii="Arial" w:hAnsi="Arial" w:cs="Arial"/>
          <w:szCs w:val="20"/>
        </w:rPr>
      </w:pPr>
      <w:r>
        <w:rPr>
          <w:rFonts w:ascii="Arial" w:hAnsi="Arial" w:cs="Arial"/>
          <w:color w:val="000000" w:themeColor="text1"/>
          <w:szCs w:val="20"/>
        </w:rPr>
        <w:t>Arrangements for the delivery with other parties</w:t>
      </w:r>
      <w:r w:rsidR="00D84DD2" w:rsidRPr="008B10A4">
        <w:rPr>
          <w:rFonts w:ascii="Arial" w:hAnsi="Arial" w:cs="Arial"/>
          <w:color w:val="000000" w:themeColor="text1"/>
          <w:szCs w:val="20"/>
        </w:rPr>
        <w:t xml:space="preserve"> </w:t>
      </w:r>
      <w:r w:rsidR="00D84DD2" w:rsidRPr="008B10A4">
        <w:rPr>
          <w:rFonts w:ascii="Arial" w:hAnsi="Arial" w:cs="Arial"/>
          <w:szCs w:val="20"/>
        </w:rPr>
        <w:t xml:space="preserve">are consistent with other Griffith University policies and procedures. </w:t>
      </w:r>
    </w:p>
    <w:p w14:paraId="65F9F34B" w14:textId="6D696A59" w:rsidR="008457C9" w:rsidRPr="00EA75CB" w:rsidRDefault="00D84DD2" w:rsidP="0052126A">
      <w:pPr>
        <w:pStyle w:val="ListParagraph"/>
        <w:numPr>
          <w:ilvl w:val="0"/>
          <w:numId w:val="27"/>
        </w:numPr>
        <w:spacing w:before="80" w:after="80"/>
        <w:jc w:val="both"/>
        <w:rPr>
          <w:rFonts w:ascii="Arial" w:hAnsi="Arial" w:cs="Arial"/>
          <w:szCs w:val="20"/>
        </w:rPr>
      </w:pPr>
      <w:r w:rsidRPr="008B10A4">
        <w:rPr>
          <w:rFonts w:ascii="Arial" w:hAnsi="Arial" w:cs="Arial"/>
          <w:szCs w:val="20"/>
        </w:rPr>
        <w:t>Appropriate levels of resources are committed to the activity to ensure that the necessary management and quality oversight is sustained. This includes human and learning resources.</w:t>
      </w:r>
    </w:p>
    <w:p w14:paraId="3265F1FD" w14:textId="698BE781" w:rsidR="00D75026" w:rsidRDefault="00D84DD2" w:rsidP="0052126A">
      <w:pPr>
        <w:pStyle w:val="ListParagraph"/>
        <w:numPr>
          <w:ilvl w:val="0"/>
          <w:numId w:val="27"/>
        </w:numPr>
        <w:spacing w:before="80" w:after="80"/>
        <w:jc w:val="both"/>
        <w:rPr>
          <w:rFonts w:ascii="Arial" w:hAnsi="Arial" w:cs="Arial"/>
          <w:szCs w:val="20"/>
        </w:rPr>
      </w:pPr>
      <w:r w:rsidRPr="008B10A4">
        <w:rPr>
          <w:rFonts w:ascii="Arial" w:hAnsi="Arial" w:cs="Arial"/>
          <w:szCs w:val="20"/>
        </w:rPr>
        <w:lastRenderedPageBreak/>
        <w:t xml:space="preserve">The risks of each </w:t>
      </w:r>
      <w:r w:rsidRPr="008B10A4">
        <w:rPr>
          <w:rFonts w:ascii="Arial" w:hAnsi="Arial" w:cs="Arial"/>
          <w:color w:val="000000" w:themeColor="text1"/>
          <w:szCs w:val="20"/>
        </w:rPr>
        <w:t>arrangement</w:t>
      </w:r>
      <w:r w:rsidRPr="008B10A4">
        <w:rPr>
          <w:rFonts w:ascii="Arial" w:hAnsi="Arial" w:cs="Arial"/>
          <w:szCs w:val="20"/>
        </w:rPr>
        <w:t xml:space="preserve"> </w:t>
      </w:r>
      <w:r w:rsidR="00321E2D">
        <w:rPr>
          <w:rFonts w:ascii="Arial" w:hAnsi="Arial" w:cs="Arial"/>
          <w:szCs w:val="20"/>
        </w:rPr>
        <w:t xml:space="preserve">for academic delivery with another party </w:t>
      </w:r>
      <w:r w:rsidRPr="008B10A4">
        <w:rPr>
          <w:rFonts w:ascii="Arial" w:hAnsi="Arial" w:cs="Arial"/>
          <w:szCs w:val="20"/>
        </w:rPr>
        <w:t>are assessed at the outset and appropriate and proportionate safeguards and mitigating actions are identified and established.</w:t>
      </w:r>
      <w:r w:rsidR="00371240" w:rsidRPr="008B10A4">
        <w:rPr>
          <w:rFonts w:ascii="Arial" w:hAnsi="Arial" w:cs="Arial"/>
          <w:szCs w:val="20"/>
        </w:rPr>
        <w:t xml:space="preserve"> </w:t>
      </w:r>
    </w:p>
    <w:p w14:paraId="0FA4F920" w14:textId="0B4C25FF" w:rsidR="00D75026" w:rsidRDefault="00D84DD2" w:rsidP="0052126A">
      <w:pPr>
        <w:pStyle w:val="ListParagraph"/>
        <w:numPr>
          <w:ilvl w:val="0"/>
          <w:numId w:val="27"/>
        </w:numPr>
        <w:spacing w:before="80" w:after="80"/>
        <w:jc w:val="both"/>
        <w:rPr>
          <w:rFonts w:ascii="Arial" w:hAnsi="Arial" w:cs="Arial"/>
          <w:szCs w:val="20"/>
        </w:rPr>
      </w:pPr>
      <w:r w:rsidRPr="00D75026">
        <w:rPr>
          <w:rFonts w:ascii="Arial" w:hAnsi="Arial" w:cs="Arial"/>
          <w:szCs w:val="20"/>
        </w:rPr>
        <w:t>Effective management and quality assurance arrangements are put in place</w:t>
      </w:r>
      <w:r w:rsidR="001C6E82">
        <w:rPr>
          <w:rFonts w:ascii="Arial" w:hAnsi="Arial" w:cs="Arial"/>
          <w:szCs w:val="20"/>
        </w:rPr>
        <w:t>,</w:t>
      </w:r>
      <w:r w:rsidRPr="00D75026">
        <w:rPr>
          <w:rFonts w:ascii="Arial" w:hAnsi="Arial" w:cs="Arial"/>
          <w:szCs w:val="20"/>
        </w:rPr>
        <w:t xml:space="preserve"> commensurate with the scale and nature of the </w:t>
      </w:r>
      <w:r w:rsidRPr="00D75026">
        <w:rPr>
          <w:rFonts w:ascii="Arial" w:hAnsi="Arial" w:cs="Arial"/>
          <w:color w:val="000000" w:themeColor="text1"/>
          <w:szCs w:val="20"/>
        </w:rPr>
        <w:t>arrangement</w:t>
      </w:r>
      <w:r w:rsidRPr="00D75026">
        <w:rPr>
          <w:rFonts w:ascii="Arial" w:hAnsi="Arial" w:cs="Arial"/>
          <w:szCs w:val="20"/>
        </w:rPr>
        <w:t>. Academic quality, equivalency and regulatory compliance are reviewed on a periodic basis.</w:t>
      </w:r>
    </w:p>
    <w:p w14:paraId="2D7F21EC" w14:textId="3978E2F9" w:rsidR="00D75026" w:rsidRPr="00D75026" w:rsidRDefault="00563DFE" w:rsidP="0052126A">
      <w:pPr>
        <w:pStyle w:val="ListParagraph"/>
        <w:numPr>
          <w:ilvl w:val="0"/>
          <w:numId w:val="27"/>
        </w:numPr>
        <w:spacing w:before="80" w:after="80"/>
        <w:jc w:val="both"/>
        <w:rPr>
          <w:rFonts w:ascii="Arial" w:hAnsi="Arial" w:cs="Arial"/>
          <w:szCs w:val="20"/>
        </w:rPr>
      </w:pPr>
      <w:r>
        <w:rPr>
          <w:rFonts w:ascii="Arial" w:hAnsi="Arial" w:cs="Arial"/>
          <w:szCs w:val="20"/>
        </w:rPr>
        <w:t>Academic a</w:t>
      </w:r>
      <w:r w:rsidR="00D84DD2" w:rsidRPr="00D75026">
        <w:rPr>
          <w:rFonts w:ascii="Arial" w:hAnsi="Arial" w:cs="Arial"/>
          <w:szCs w:val="20"/>
        </w:rPr>
        <w:t>rrangements</w:t>
      </w:r>
      <w:r>
        <w:rPr>
          <w:rFonts w:ascii="Arial" w:hAnsi="Arial" w:cs="Arial"/>
          <w:szCs w:val="20"/>
        </w:rPr>
        <w:t xml:space="preserve"> for delivery with other parties</w:t>
      </w:r>
      <w:r w:rsidR="00D84DD2" w:rsidRPr="00D75026">
        <w:rPr>
          <w:rFonts w:ascii="Arial" w:hAnsi="Arial" w:cs="Arial"/>
          <w:szCs w:val="20"/>
        </w:rPr>
        <w:t xml:space="preserve"> are formalised in a legally binding agreement.</w:t>
      </w:r>
    </w:p>
    <w:p w14:paraId="6671A49C" w14:textId="1843B71E" w:rsidR="003D4F0A" w:rsidRDefault="00D84DD2" w:rsidP="0052126A">
      <w:pPr>
        <w:pStyle w:val="ListParagraph"/>
        <w:numPr>
          <w:ilvl w:val="0"/>
          <w:numId w:val="27"/>
        </w:numPr>
        <w:spacing w:before="80" w:after="80"/>
        <w:jc w:val="both"/>
        <w:rPr>
          <w:rFonts w:ascii="Arial" w:hAnsi="Arial" w:cs="Arial"/>
        </w:rPr>
      </w:pPr>
      <w:r w:rsidRPr="260D3BFB">
        <w:rPr>
          <w:rFonts w:ascii="Arial" w:hAnsi="Arial" w:cs="Arial"/>
        </w:rPr>
        <w:t xml:space="preserve">Accountability for the </w:t>
      </w:r>
      <w:r w:rsidR="001E554B">
        <w:rPr>
          <w:rFonts w:ascii="Arial" w:hAnsi="Arial" w:cs="Arial"/>
          <w:color w:val="000000" w:themeColor="text1"/>
        </w:rPr>
        <w:t>academic delivery with other parties</w:t>
      </w:r>
      <w:r w:rsidR="001E554B">
        <w:rPr>
          <w:rFonts w:ascii="Arial" w:hAnsi="Arial" w:cs="Arial"/>
        </w:rPr>
        <w:t xml:space="preserve"> </w:t>
      </w:r>
      <w:r w:rsidR="00C87BBD">
        <w:rPr>
          <w:rFonts w:ascii="Arial" w:hAnsi="Arial" w:cs="Arial"/>
        </w:rPr>
        <w:t xml:space="preserve">is </w:t>
      </w:r>
      <w:r w:rsidRPr="260D3BFB">
        <w:rPr>
          <w:rFonts w:ascii="Arial" w:hAnsi="Arial" w:cs="Arial"/>
        </w:rPr>
        <w:t>clearly defined and assured via the appropriate academic governance structures.</w:t>
      </w:r>
    </w:p>
    <w:p w14:paraId="7D235CE0" w14:textId="78D4BEFB" w:rsidR="002459CA" w:rsidRPr="006609F8" w:rsidRDefault="00EA6BEB" w:rsidP="0052126A">
      <w:pPr>
        <w:pStyle w:val="ListParagraph"/>
        <w:numPr>
          <w:ilvl w:val="0"/>
          <w:numId w:val="27"/>
        </w:numPr>
        <w:spacing w:before="80" w:after="80"/>
        <w:jc w:val="both"/>
        <w:rPr>
          <w:rFonts w:ascii="Arial" w:hAnsi="Arial" w:cs="Arial"/>
        </w:rPr>
      </w:pPr>
      <w:r w:rsidRPr="003D4F0A">
        <w:rPr>
          <w:rFonts w:ascii="Arial" w:hAnsi="Arial" w:cs="Arial"/>
        </w:rPr>
        <w:t>W</w:t>
      </w:r>
      <w:r w:rsidR="0034397A" w:rsidRPr="003D4F0A">
        <w:rPr>
          <w:rFonts w:ascii="Arial" w:hAnsi="Arial" w:cs="Arial"/>
        </w:rPr>
        <w:t xml:space="preserve">hen establishing </w:t>
      </w:r>
      <w:r w:rsidR="00205F74">
        <w:rPr>
          <w:rFonts w:ascii="Arial" w:hAnsi="Arial" w:cs="Arial"/>
        </w:rPr>
        <w:t xml:space="preserve">an </w:t>
      </w:r>
      <w:r w:rsidR="0034397A" w:rsidRPr="003D4F0A">
        <w:rPr>
          <w:rFonts w:ascii="Arial" w:hAnsi="Arial" w:cs="Arial"/>
        </w:rPr>
        <w:t>a</w:t>
      </w:r>
      <w:r w:rsidR="00EF7E6E" w:rsidRPr="003D4F0A">
        <w:rPr>
          <w:rFonts w:ascii="Arial" w:hAnsi="Arial" w:cs="Arial"/>
        </w:rPr>
        <w:t>greement with international parties</w:t>
      </w:r>
      <w:r w:rsidRPr="003D4F0A">
        <w:rPr>
          <w:rFonts w:ascii="Arial" w:hAnsi="Arial" w:cs="Arial"/>
        </w:rPr>
        <w:t>, consideration is given</w:t>
      </w:r>
      <w:r w:rsidR="00EF7E6E" w:rsidRPr="003D4F0A">
        <w:rPr>
          <w:rFonts w:ascii="Arial" w:hAnsi="Arial" w:cs="Arial"/>
        </w:rPr>
        <w:t xml:space="preserve"> </w:t>
      </w:r>
      <w:r w:rsidR="0034397A" w:rsidRPr="003D4F0A">
        <w:rPr>
          <w:rFonts w:ascii="Arial" w:hAnsi="Arial" w:cs="Arial"/>
        </w:rPr>
        <w:t>to</w:t>
      </w:r>
      <w:r w:rsidR="002459CA" w:rsidRPr="006609F8">
        <w:rPr>
          <w:rFonts w:ascii="Arial" w:hAnsi="Arial" w:cs="Arial"/>
        </w:rPr>
        <w:t xml:space="preserve"> different laws within countries, noting that some laws will be different to those in Australia. </w:t>
      </w:r>
      <w:r w:rsidR="006E58A5" w:rsidRPr="003D4F0A">
        <w:rPr>
          <w:rFonts w:ascii="Arial" w:hAnsi="Arial" w:cs="Arial"/>
        </w:rPr>
        <w:t xml:space="preserve">Griffith ensures the </w:t>
      </w:r>
      <w:r w:rsidR="003D4F0A">
        <w:rPr>
          <w:rFonts w:ascii="Arial" w:hAnsi="Arial" w:cs="Arial"/>
        </w:rPr>
        <w:t xml:space="preserve">agreement </w:t>
      </w:r>
      <w:r w:rsidR="006E58A5" w:rsidRPr="006609F8">
        <w:rPr>
          <w:rFonts w:ascii="Arial" w:hAnsi="Arial" w:cs="Arial"/>
        </w:rPr>
        <w:t xml:space="preserve">is enforceable in the </w:t>
      </w:r>
      <w:r w:rsidR="003D4F0A">
        <w:rPr>
          <w:rFonts w:ascii="Arial" w:hAnsi="Arial" w:cs="Arial"/>
        </w:rPr>
        <w:t xml:space="preserve">relevant international </w:t>
      </w:r>
      <w:r w:rsidR="006E58A5" w:rsidRPr="006609F8">
        <w:rPr>
          <w:rFonts w:ascii="Arial" w:hAnsi="Arial" w:cs="Arial"/>
        </w:rPr>
        <w:t>jurisdiction</w:t>
      </w:r>
      <w:r w:rsidR="003D4F0A">
        <w:rPr>
          <w:rFonts w:ascii="Arial" w:hAnsi="Arial" w:cs="Arial"/>
        </w:rPr>
        <w:t>.</w:t>
      </w:r>
    </w:p>
    <w:p w14:paraId="420C9BE0" w14:textId="7C668E90" w:rsidR="000C67E1" w:rsidRDefault="00110E07" w:rsidP="000D7893">
      <w:pPr>
        <w:pStyle w:val="Heading2"/>
      </w:pPr>
      <w:bookmarkStart w:id="6" w:name="_4.0._Roles,_responsibilities"/>
      <w:bookmarkStart w:id="7" w:name="_Ref20320732"/>
      <w:bookmarkEnd w:id="5"/>
      <w:bookmarkEnd w:id="6"/>
      <w:r>
        <w:t>4</w:t>
      </w:r>
      <w:r w:rsidR="000C67E1">
        <w:t>.0. Roles</w:t>
      </w:r>
      <w:r w:rsidR="006B13BE">
        <w:t xml:space="preserve">, responsibilities and delegations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23"/>
      </w:tblGrid>
      <w:tr w:rsidR="002C2DF2" w:rsidRPr="00BA6219" w14:paraId="692D0CE7" w14:textId="77777777">
        <w:trPr>
          <w:trHeight w:val="454"/>
        </w:trPr>
        <w:tc>
          <w:tcPr>
            <w:tcW w:w="1438" w:type="pct"/>
            <w:tcBorders>
              <w:bottom w:val="single" w:sz="8" w:space="0" w:color="E30918"/>
            </w:tcBorders>
            <w:shd w:val="clear" w:color="auto" w:fill="auto"/>
          </w:tcPr>
          <w:p w14:paraId="49C80B0B" w14:textId="77777777" w:rsidR="002C2DF2" w:rsidRPr="00FC5552" w:rsidRDefault="002C2DF2" w:rsidP="0052126A">
            <w:pPr>
              <w:spacing w:before="120" w:after="120"/>
              <w:rPr>
                <w:rFonts w:ascii="Arial" w:hAnsi="Arial" w:cs="Arial"/>
                <w:b/>
                <w:bCs/>
                <w:color w:val="000000" w:themeColor="text1"/>
                <w:sz w:val="24"/>
                <w:szCs w:val="24"/>
              </w:rPr>
            </w:pPr>
            <w:r>
              <w:rPr>
                <w:rFonts w:ascii="Arial" w:hAnsi="Arial" w:cs="Arial"/>
                <w:b/>
                <w:bCs/>
                <w:color w:val="E30918"/>
                <w:sz w:val="24"/>
                <w:szCs w:val="24"/>
              </w:rPr>
              <w:t xml:space="preserve">ROLE </w:t>
            </w:r>
          </w:p>
        </w:tc>
        <w:tc>
          <w:tcPr>
            <w:tcW w:w="3562" w:type="pct"/>
            <w:tcBorders>
              <w:bottom w:val="single" w:sz="8" w:space="0" w:color="E30918"/>
            </w:tcBorders>
            <w:shd w:val="clear" w:color="auto" w:fill="auto"/>
          </w:tcPr>
          <w:p w14:paraId="1A5C7CD1" w14:textId="77777777" w:rsidR="002C2DF2" w:rsidRPr="00BA6219" w:rsidRDefault="002C2DF2" w:rsidP="0052126A">
            <w:pPr>
              <w:spacing w:before="120" w:after="120"/>
              <w:rPr>
                <w:rFonts w:cs="Arial"/>
                <w:color w:val="000000" w:themeColor="text1"/>
                <w:szCs w:val="20"/>
              </w:rPr>
            </w:pPr>
            <w:r>
              <w:rPr>
                <w:rFonts w:ascii="Arial" w:hAnsi="Arial" w:cs="Arial"/>
                <w:b/>
                <w:bCs/>
                <w:color w:val="E30918"/>
                <w:sz w:val="24"/>
                <w:szCs w:val="24"/>
              </w:rPr>
              <w:t>RESPONSIBILITY</w:t>
            </w:r>
          </w:p>
        </w:tc>
      </w:tr>
      <w:tr w:rsidR="002C2DF2" w14:paraId="7FA93E72" w14:textId="77777777" w:rsidTr="00D51A82">
        <w:tc>
          <w:tcPr>
            <w:tcW w:w="1438" w:type="pct"/>
            <w:tcBorders>
              <w:top w:val="single" w:sz="8" w:space="0" w:color="E30918"/>
            </w:tcBorders>
            <w:shd w:val="clear" w:color="auto" w:fill="F2F2F2" w:themeFill="background1" w:themeFillShade="F2"/>
          </w:tcPr>
          <w:p w14:paraId="0054F5DB" w14:textId="69AA51A0" w:rsidR="002C2DF2" w:rsidRPr="000209B9" w:rsidRDefault="006823B0" w:rsidP="0052126A">
            <w:pPr>
              <w:spacing w:before="120" w:after="120"/>
              <w:rPr>
                <w:rFonts w:ascii="Arial" w:hAnsi="Arial" w:cs="Arial"/>
                <w:szCs w:val="20"/>
              </w:rPr>
            </w:pPr>
            <w:r>
              <w:rPr>
                <w:rFonts w:ascii="Arial" w:hAnsi="Arial" w:cs="Arial"/>
                <w:szCs w:val="20"/>
              </w:rPr>
              <w:t>DVC(E)</w:t>
            </w:r>
          </w:p>
        </w:tc>
        <w:tc>
          <w:tcPr>
            <w:tcW w:w="3562" w:type="pct"/>
            <w:tcBorders>
              <w:top w:val="single" w:sz="8" w:space="0" w:color="E30918"/>
            </w:tcBorders>
            <w:shd w:val="clear" w:color="auto" w:fill="F2F2F2" w:themeFill="background1" w:themeFillShade="F2"/>
          </w:tcPr>
          <w:p w14:paraId="63C351D8" w14:textId="77777777" w:rsidR="002C2DF2" w:rsidRDefault="00664A18" w:rsidP="0052126A">
            <w:pPr>
              <w:pStyle w:val="ListParagraph"/>
              <w:numPr>
                <w:ilvl w:val="0"/>
                <w:numId w:val="19"/>
              </w:numPr>
              <w:spacing w:before="120" w:after="120"/>
              <w:jc w:val="both"/>
              <w:rPr>
                <w:rFonts w:ascii="Arial" w:hAnsi="Arial" w:cs="Arial"/>
                <w:szCs w:val="20"/>
              </w:rPr>
            </w:pPr>
            <w:r w:rsidRPr="009323C1">
              <w:rPr>
                <w:rFonts w:ascii="Arial" w:hAnsi="Arial" w:cs="Arial"/>
                <w:szCs w:val="20"/>
              </w:rPr>
              <w:t xml:space="preserve">Approve and sign </w:t>
            </w:r>
            <w:r w:rsidR="0003751A" w:rsidRPr="009323C1">
              <w:rPr>
                <w:rFonts w:ascii="Arial" w:hAnsi="Arial" w:cs="Arial"/>
                <w:szCs w:val="20"/>
              </w:rPr>
              <w:t>agreement</w:t>
            </w:r>
          </w:p>
          <w:p w14:paraId="5668704E" w14:textId="5DBF7229" w:rsidR="00DD7DA1" w:rsidRPr="009323C1" w:rsidRDefault="00DD7DA1" w:rsidP="0052126A">
            <w:pPr>
              <w:pStyle w:val="ListParagraph"/>
              <w:numPr>
                <w:ilvl w:val="0"/>
                <w:numId w:val="19"/>
              </w:numPr>
              <w:spacing w:before="120" w:after="120"/>
              <w:jc w:val="both"/>
              <w:rPr>
                <w:rFonts w:ascii="Arial" w:hAnsi="Arial" w:cs="Arial"/>
                <w:szCs w:val="20"/>
              </w:rPr>
            </w:pPr>
            <w:r>
              <w:rPr>
                <w:rFonts w:ascii="Arial" w:hAnsi="Arial" w:cs="Arial"/>
                <w:szCs w:val="20"/>
              </w:rPr>
              <w:t>Terminate agreement, if deemed necessary</w:t>
            </w:r>
          </w:p>
        </w:tc>
      </w:tr>
      <w:tr w:rsidR="002C2DF2" w14:paraId="09D5ACEB" w14:textId="77777777">
        <w:tc>
          <w:tcPr>
            <w:tcW w:w="1438" w:type="pct"/>
          </w:tcPr>
          <w:p w14:paraId="1ACD8909" w14:textId="3BF55911" w:rsidR="002C2DF2" w:rsidRPr="000209B9" w:rsidRDefault="00411C87" w:rsidP="0052126A">
            <w:pPr>
              <w:spacing w:before="120" w:after="120"/>
              <w:rPr>
                <w:rFonts w:ascii="Arial" w:hAnsi="Arial" w:cs="Arial"/>
                <w:szCs w:val="20"/>
              </w:rPr>
            </w:pPr>
            <w:r>
              <w:rPr>
                <w:rFonts w:ascii="Arial" w:hAnsi="Arial" w:cs="Arial"/>
                <w:szCs w:val="20"/>
              </w:rPr>
              <w:t xml:space="preserve">Group </w:t>
            </w:r>
            <w:r w:rsidR="00DC3272">
              <w:rPr>
                <w:rFonts w:ascii="Arial" w:hAnsi="Arial" w:cs="Arial"/>
                <w:szCs w:val="20"/>
              </w:rPr>
              <w:t xml:space="preserve">Dean </w:t>
            </w:r>
            <w:r w:rsidR="00DC3272" w:rsidRPr="00900977">
              <w:rPr>
                <w:rFonts w:ascii="Arial" w:hAnsi="Arial" w:cs="Arial"/>
                <w:szCs w:val="20"/>
              </w:rPr>
              <w:t>(</w:t>
            </w:r>
            <w:r w:rsidR="00DC3272" w:rsidRPr="006609F8">
              <w:rPr>
                <w:rFonts w:ascii="Arial" w:hAnsi="Arial" w:cs="Arial"/>
                <w:szCs w:val="20"/>
              </w:rPr>
              <w:t>Academic</w:t>
            </w:r>
            <w:r w:rsidR="00DC3272" w:rsidRPr="00900977">
              <w:rPr>
                <w:rFonts w:ascii="Arial" w:hAnsi="Arial" w:cs="Arial"/>
                <w:szCs w:val="20"/>
              </w:rPr>
              <w:t>)</w:t>
            </w:r>
          </w:p>
        </w:tc>
        <w:tc>
          <w:tcPr>
            <w:tcW w:w="3562" w:type="pct"/>
          </w:tcPr>
          <w:p w14:paraId="4F5F3DE9" w14:textId="10A97A0D" w:rsidR="002C2DF2" w:rsidRPr="00B6183B" w:rsidRDefault="00DC3272" w:rsidP="0052126A">
            <w:pPr>
              <w:pStyle w:val="ListParagraph"/>
              <w:numPr>
                <w:ilvl w:val="0"/>
                <w:numId w:val="19"/>
              </w:numPr>
              <w:spacing w:before="120" w:after="120"/>
              <w:jc w:val="both"/>
              <w:rPr>
                <w:rFonts w:ascii="Arial" w:hAnsi="Arial" w:cs="Arial"/>
                <w:strike/>
                <w:szCs w:val="20"/>
              </w:rPr>
            </w:pPr>
            <w:r w:rsidRPr="009323C1">
              <w:rPr>
                <w:rFonts w:ascii="Arial" w:hAnsi="Arial" w:cs="Arial"/>
                <w:szCs w:val="20"/>
              </w:rPr>
              <w:t xml:space="preserve">Make recommendation </w:t>
            </w:r>
            <w:r w:rsidR="009323C1" w:rsidRPr="009323C1">
              <w:rPr>
                <w:rFonts w:ascii="Arial" w:hAnsi="Arial" w:cs="Arial"/>
                <w:szCs w:val="20"/>
              </w:rPr>
              <w:t xml:space="preserve">to </w:t>
            </w:r>
            <w:r w:rsidR="006823B0">
              <w:rPr>
                <w:rFonts w:ascii="Arial" w:hAnsi="Arial" w:cs="Arial"/>
                <w:szCs w:val="20"/>
              </w:rPr>
              <w:t>DVC(E)</w:t>
            </w:r>
            <w:r w:rsidR="009323C1">
              <w:rPr>
                <w:rFonts w:ascii="Arial" w:hAnsi="Arial" w:cs="Arial"/>
                <w:szCs w:val="20"/>
              </w:rPr>
              <w:t xml:space="preserve"> on </w:t>
            </w:r>
            <w:r w:rsidR="000209B0">
              <w:rPr>
                <w:rFonts w:ascii="Arial" w:hAnsi="Arial" w:cs="Arial"/>
                <w:szCs w:val="20"/>
              </w:rPr>
              <w:t>entering into an agreement</w:t>
            </w:r>
          </w:p>
          <w:p w14:paraId="16B518EB" w14:textId="0C9A4AFD" w:rsidR="003E75AC" w:rsidRPr="00484E6F" w:rsidRDefault="003E75AC" w:rsidP="0052126A">
            <w:pPr>
              <w:pStyle w:val="ListParagraph"/>
              <w:numPr>
                <w:ilvl w:val="0"/>
                <w:numId w:val="19"/>
              </w:numPr>
              <w:spacing w:before="120" w:after="120"/>
              <w:jc w:val="both"/>
              <w:rPr>
                <w:rFonts w:ascii="Arial" w:hAnsi="Arial" w:cs="Arial"/>
                <w:strike/>
              </w:rPr>
            </w:pPr>
            <w:r>
              <w:rPr>
                <w:rFonts w:ascii="Arial" w:hAnsi="Arial" w:cs="Arial"/>
              </w:rPr>
              <w:t xml:space="preserve">Ensure </w:t>
            </w:r>
            <w:r w:rsidR="7AD65ADB" w:rsidRPr="6BFB1071">
              <w:rPr>
                <w:rFonts w:ascii="Arial" w:hAnsi="Arial" w:cs="Arial"/>
              </w:rPr>
              <w:t>other</w:t>
            </w:r>
            <w:r>
              <w:rPr>
                <w:rFonts w:ascii="Arial" w:hAnsi="Arial" w:cs="Arial"/>
              </w:rPr>
              <w:t xml:space="preserve"> parties are operating as intended and within the bounds of the agreement</w:t>
            </w:r>
          </w:p>
          <w:p w14:paraId="5A0EEE37" w14:textId="084E2420" w:rsidR="000012E0" w:rsidRPr="009323C1" w:rsidRDefault="000012E0" w:rsidP="0052126A">
            <w:pPr>
              <w:pStyle w:val="ListParagraph"/>
              <w:numPr>
                <w:ilvl w:val="0"/>
                <w:numId w:val="19"/>
              </w:numPr>
              <w:spacing w:before="120" w:after="120"/>
              <w:jc w:val="both"/>
              <w:rPr>
                <w:rFonts w:ascii="Arial" w:hAnsi="Arial" w:cs="Arial"/>
                <w:szCs w:val="20"/>
              </w:rPr>
            </w:pPr>
            <w:r w:rsidRPr="4947100B">
              <w:rPr>
                <w:rFonts w:ascii="Arial" w:hAnsi="Arial" w:cs="Arial"/>
              </w:rPr>
              <w:t>Initiate and monitor corrective action in event of breach of agreement</w:t>
            </w:r>
          </w:p>
        </w:tc>
      </w:tr>
      <w:tr w:rsidR="00AE231E" w14:paraId="36902D2E" w14:textId="77777777" w:rsidTr="00D51A82">
        <w:tc>
          <w:tcPr>
            <w:tcW w:w="1438" w:type="pct"/>
            <w:shd w:val="clear" w:color="auto" w:fill="F2F2F2" w:themeFill="background1" w:themeFillShade="F2"/>
          </w:tcPr>
          <w:p w14:paraId="38FF11B8" w14:textId="6D662D79" w:rsidR="00AE231E" w:rsidRDefault="00AE231E" w:rsidP="0052126A">
            <w:pPr>
              <w:spacing w:before="120" w:after="120"/>
              <w:rPr>
                <w:rFonts w:ascii="Arial" w:hAnsi="Arial" w:cs="Arial"/>
                <w:szCs w:val="20"/>
              </w:rPr>
            </w:pPr>
            <w:r>
              <w:rPr>
                <w:rFonts w:ascii="Arial" w:hAnsi="Arial" w:cs="Arial"/>
                <w:szCs w:val="20"/>
              </w:rPr>
              <w:t>Academic lead</w:t>
            </w:r>
          </w:p>
        </w:tc>
        <w:tc>
          <w:tcPr>
            <w:tcW w:w="3562" w:type="pct"/>
            <w:shd w:val="clear" w:color="auto" w:fill="F2F2F2" w:themeFill="background1" w:themeFillShade="F2"/>
          </w:tcPr>
          <w:p w14:paraId="0A413FA1" w14:textId="77777777" w:rsidR="00E60847" w:rsidRPr="006609F8" w:rsidRDefault="0003378E" w:rsidP="0052126A">
            <w:pPr>
              <w:pStyle w:val="ListParagraph"/>
              <w:numPr>
                <w:ilvl w:val="0"/>
                <w:numId w:val="19"/>
              </w:numPr>
              <w:spacing w:before="120" w:after="120"/>
              <w:jc w:val="both"/>
            </w:pPr>
            <w:r w:rsidRPr="4947100B">
              <w:rPr>
                <w:rFonts w:ascii="Arial" w:hAnsi="Arial" w:cs="Arial"/>
              </w:rPr>
              <w:t>Initiate</w:t>
            </w:r>
            <w:r w:rsidR="00D2446B" w:rsidRPr="4947100B">
              <w:rPr>
                <w:rFonts w:ascii="Arial" w:hAnsi="Arial" w:cs="Arial"/>
              </w:rPr>
              <w:t>, lead</w:t>
            </w:r>
            <w:r w:rsidRPr="4947100B">
              <w:rPr>
                <w:rFonts w:ascii="Arial" w:hAnsi="Arial" w:cs="Arial"/>
              </w:rPr>
              <w:t xml:space="preserve"> and manage agreement</w:t>
            </w:r>
          </w:p>
          <w:p w14:paraId="2C579231" w14:textId="7FB64A34" w:rsidR="00772E49" w:rsidRPr="009323C1" w:rsidRDefault="00AC43D0" w:rsidP="0052126A">
            <w:pPr>
              <w:pStyle w:val="ListParagraph"/>
              <w:numPr>
                <w:ilvl w:val="0"/>
                <w:numId w:val="19"/>
              </w:numPr>
              <w:spacing w:before="120" w:after="120"/>
              <w:jc w:val="both"/>
            </w:pPr>
            <w:r w:rsidRPr="006609F8">
              <w:rPr>
                <w:rFonts w:ascii="Arial" w:hAnsi="Arial" w:cs="Arial"/>
              </w:rPr>
              <w:t>Identify and recommend where corrective action in event of breach of agreement is required</w:t>
            </w:r>
          </w:p>
        </w:tc>
      </w:tr>
      <w:tr w:rsidR="0003751A" w14:paraId="7899CD17" w14:textId="77777777">
        <w:tc>
          <w:tcPr>
            <w:tcW w:w="1438" w:type="pct"/>
          </w:tcPr>
          <w:p w14:paraId="613B140B" w14:textId="08BF8C38" w:rsidR="0003751A" w:rsidRDefault="00AE231E" w:rsidP="0052126A">
            <w:pPr>
              <w:spacing w:before="120" w:after="120"/>
              <w:rPr>
                <w:rFonts w:ascii="Arial" w:hAnsi="Arial" w:cs="Arial"/>
                <w:szCs w:val="20"/>
              </w:rPr>
            </w:pPr>
            <w:r w:rsidRPr="0003751A">
              <w:rPr>
                <w:rFonts w:ascii="Arial" w:hAnsi="Arial" w:cs="Arial"/>
                <w:szCs w:val="20"/>
              </w:rPr>
              <w:t>Student Credentials</w:t>
            </w:r>
          </w:p>
        </w:tc>
        <w:tc>
          <w:tcPr>
            <w:tcW w:w="3562" w:type="pct"/>
          </w:tcPr>
          <w:p w14:paraId="327CCB8E" w14:textId="1665B62A" w:rsidR="0003751A" w:rsidRPr="00B6183B" w:rsidRDefault="00BD08D1" w:rsidP="0052126A">
            <w:pPr>
              <w:pStyle w:val="ListParagraph"/>
              <w:numPr>
                <w:ilvl w:val="0"/>
                <w:numId w:val="19"/>
              </w:numPr>
              <w:spacing w:before="120" w:after="120"/>
              <w:jc w:val="both"/>
              <w:rPr>
                <w:rFonts w:ascii="Arial" w:hAnsi="Arial" w:cs="Arial"/>
                <w:strike/>
                <w:szCs w:val="20"/>
              </w:rPr>
            </w:pPr>
            <w:r w:rsidRPr="4947100B">
              <w:rPr>
                <w:rFonts w:ascii="Arial" w:hAnsi="Arial" w:cs="Arial"/>
              </w:rPr>
              <w:t xml:space="preserve">Register new agreement and delivery site with </w:t>
            </w:r>
            <w:r w:rsidR="00495F0A" w:rsidRPr="4947100B">
              <w:rPr>
                <w:rFonts w:ascii="Arial" w:hAnsi="Arial" w:cs="Arial"/>
              </w:rPr>
              <w:t>CRICOS and TEQSA</w:t>
            </w:r>
          </w:p>
        </w:tc>
      </w:tr>
      <w:tr w:rsidR="00687604" w14:paraId="06992815" w14:textId="77777777" w:rsidTr="00BE479E">
        <w:tc>
          <w:tcPr>
            <w:tcW w:w="1438" w:type="pct"/>
            <w:shd w:val="clear" w:color="auto" w:fill="F2F2F2" w:themeFill="background1" w:themeFillShade="F2"/>
          </w:tcPr>
          <w:p w14:paraId="38ACAFFB" w14:textId="1D8E01CA" w:rsidR="00687604" w:rsidRDefault="00687604" w:rsidP="0052126A">
            <w:pPr>
              <w:spacing w:before="120" w:after="120"/>
              <w:rPr>
                <w:rFonts w:ascii="Arial" w:hAnsi="Arial" w:cs="Arial"/>
                <w:szCs w:val="20"/>
              </w:rPr>
            </w:pPr>
            <w:r>
              <w:rPr>
                <w:rFonts w:ascii="Arial" w:hAnsi="Arial" w:cs="Arial"/>
                <w:szCs w:val="20"/>
              </w:rPr>
              <w:t>Programs Committee</w:t>
            </w:r>
          </w:p>
        </w:tc>
        <w:tc>
          <w:tcPr>
            <w:tcW w:w="3562" w:type="pct"/>
            <w:shd w:val="clear" w:color="auto" w:fill="F2F2F2" w:themeFill="background1" w:themeFillShade="F2"/>
          </w:tcPr>
          <w:p w14:paraId="53E801C8" w14:textId="50BC0011" w:rsidR="00687604" w:rsidRPr="00B6183B" w:rsidRDefault="00BA08AB" w:rsidP="0052126A">
            <w:pPr>
              <w:pStyle w:val="ListParagraph"/>
              <w:numPr>
                <w:ilvl w:val="0"/>
                <w:numId w:val="19"/>
              </w:numPr>
              <w:spacing w:before="120" w:after="120"/>
              <w:jc w:val="both"/>
              <w:rPr>
                <w:rFonts w:ascii="Arial" w:hAnsi="Arial" w:cs="Arial"/>
              </w:rPr>
            </w:pPr>
            <w:r>
              <w:rPr>
                <w:rFonts w:ascii="Arial" w:hAnsi="Arial" w:cs="Arial"/>
              </w:rPr>
              <w:t>Monitor</w:t>
            </w:r>
            <w:r w:rsidR="00DE4A93">
              <w:rPr>
                <w:rFonts w:ascii="Arial" w:hAnsi="Arial" w:cs="Arial"/>
              </w:rPr>
              <w:t xml:space="preserve"> and review the quality of a program or course </w:t>
            </w:r>
            <w:r w:rsidR="06E39F3E" w:rsidRPr="5913E833">
              <w:rPr>
                <w:rFonts w:ascii="Arial" w:hAnsi="Arial" w:cs="Arial"/>
              </w:rPr>
              <w:t>delivered by another party</w:t>
            </w:r>
            <w:r w:rsidR="00DE4A93">
              <w:rPr>
                <w:rFonts w:ascii="Arial" w:hAnsi="Arial" w:cs="Arial"/>
              </w:rPr>
              <w:t xml:space="preserve"> through annual revie</w:t>
            </w:r>
            <w:r w:rsidR="003E75AC">
              <w:rPr>
                <w:rFonts w:ascii="Arial" w:hAnsi="Arial" w:cs="Arial"/>
              </w:rPr>
              <w:t>w</w:t>
            </w:r>
          </w:p>
        </w:tc>
      </w:tr>
    </w:tbl>
    <w:p w14:paraId="487B4E14" w14:textId="77777777" w:rsidR="0096568E" w:rsidRPr="00CF4227" w:rsidRDefault="0096568E" w:rsidP="000D7893">
      <w:pPr>
        <w:pStyle w:val="Heading2"/>
        <w:rPr>
          <w:sz w:val="8"/>
          <w:szCs w:val="2"/>
        </w:rPr>
      </w:pPr>
      <w:bookmarkStart w:id="8" w:name="_5.0_Definitions"/>
      <w:bookmarkEnd w:id="8"/>
    </w:p>
    <w:p w14:paraId="1096EF61" w14:textId="65C16CE4" w:rsidR="00FB6309" w:rsidRDefault="00110E07" w:rsidP="000D7893">
      <w:pPr>
        <w:pStyle w:val="Heading2"/>
      </w:pPr>
      <w:r>
        <w:t>5</w:t>
      </w:r>
      <w:r w:rsidR="003E0B6D" w:rsidRPr="00902125">
        <w:t>.0 Definitions</w:t>
      </w:r>
      <w:bookmarkEnd w:id="7"/>
    </w:p>
    <w:p w14:paraId="5FB545A1" w14:textId="435E2DC2" w:rsidR="00D86ECF" w:rsidRPr="00473324" w:rsidRDefault="00D86ECF" w:rsidP="004C218A">
      <w:pPr>
        <w:jc w:val="both"/>
        <w:rPr>
          <w:rFonts w:ascii="Arial" w:hAnsi="Arial" w:cs="Arial"/>
          <w:lang w:eastAsia="en-GB"/>
        </w:rPr>
      </w:pPr>
      <w:r>
        <w:rPr>
          <w:rFonts w:ascii="Arial" w:hAnsi="Arial" w:cs="Arial"/>
          <w:b/>
          <w:bCs/>
          <w:szCs w:val="20"/>
        </w:rPr>
        <w:t xml:space="preserve">Arrangement for Academic Delivery with Other Parties </w:t>
      </w:r>
      <w:r w:rsidRPr="00611031">
        <w:rPr>
          <w:rFonts w:ascii="Arial" w:hAnsi="Arial" w:cs="Arial"/>
          <w:szCs w:val="20"/>
        </w:rPr>
        <w:t xml:space="preserve">is a legally binding </w:t>
      </w:r>
      <w:r>
        <w:rPr>
          <w:rFonts w:ascii="Arial" w:hAnsi="Arial" w:cs="Arial"/>
          <w:szCs w:val="20"/>
        </w:rPr>
        <w:t>agreement/contract</w:t>
      </w:r>
      <w:r w:rsidRPr="00611031">
        <w:rPr>
          <w:rFonts w:ascii="Arial" w:hAnsi="Arial" w:cs="Arial"/>
          <w:szCs w:val="20"/>
        </w:rPr>
        <w:t xml:space="preserve"> entered into by a registered provider and another party (in Australia or overseas) that covers </w:t>
      </w:r>
      <w:r w:rsidRPr="00611031">
        <w:rPr>
          <w:rFonts w:ascii="Arial" w:hAnsi="Arial" w:cs="Arial"/>
          <w:lang w:eastAsia="en-GB"/>
        </w:rPr>
        <w:t xml:space="preserve">all relevant aspects relating to the scope and extent of the </w:t>
      </w:r>
      <w:r w:rsidRPr="00473324">
        <w:rPr>
          <w:rFonts w:ascii="Arial" w:hAnsi="Arial" w:cs="Arial"/>
          <w:lang w:eastAsia="en-GB"/>
        </w:rPr>
        <w:t>functions being undertaken by the third party and the registered provider.</w:t>
      </w:r>
    </w:p>
    <w:p w14:paraId="1BFE0568" w14:textId="6C0506AC" w:rsidR="000D7893" w:rsidRDefault="008103BA" w:rsidP="004C218A">
      <w:pPr>
        <w:jc w:val="both"/>
        <w:rPr>
          <w:rFonts w:ascii="Arial" w:hAnsi="Arial" w:cs="Arial"/>
          <w:b/>
        </w:rPr>
      </w:pPr>
      <w:r>
        <w:rPr>
          <w:rFonts w:ascii="Arial" w:hAnsi="Arial" w:cs="Arial"/>
          <w:b/>
        </w:rPr>
        <w:t>Articulation</w:t>
      </w:r>
      <w:r w:rsidR="00C854DC">
        <w:rPr>
          <w:rFonts w:ascii="Arial" w:hAnsi="Arial" w:cs="Arial"/>
          <w:b/>
        </w:rPr>
        <w:t xml:space="preserve"> </w:t>
      </w:r>
      <w:r w:rsidR="00C57C6F" w:rsidRPr="00BA38FA">
        <w:rPr>
          <w:rFonts w:ascii="Arial" w:hAnsi="Arial" w:cs="Arial"/>
          <w:b/>
          <w:bCs/>
          <w:szCs w:val="20"/>
        </w:rPr>
        <w:t>arrangement</w:t>
      </w:r>
      <w:r w:rsidR="00C57C6F">
        <w:rPr>
          <w:rFonts w:ascii="Arial" w:hAnsi="Arial" w:cs="Arial"/>
          <w:sz w:val="23"/>
          <w:szCs w:val="23"/>
        </w:rPr>
        <w:t xml:space="preserve"> </w:t>
      </w:r>
      <w:r w:rsidR="00C57C6F" w:rsidRPr="00C57C6F">
        <w:rPr>
          <w:rFonts w:ascii="Arial" w:hAnsi="Arial" w:cs="Arial"/>
          <w:szCs w:val="20"/>
        </w:rPr>
        <w:t>enables students to progress from a completed qualification to another with admission and/or credit in a defined qualification pathway.</w:t>
      </w:r>
    </w:p>
    <w:p w14:paraId="198AE68A" w14:textId="104F2BEF" w:rsidR="009C51CB" w:rsidRDefault="008103BA" w:rsidP="004C218A">
      <w:pPr>
        <w:jc w:val="both"/>
        <w:rPr>
          <w:rFonts w:ascii="Arial" w:hAnsi="Arial" w:cs="Arial"/>
          <w:b/>
        </w:rPr>
      </w:pPr>
      <w:r>
        <w:rPr>
          <w:rFonts w:ascii="Arial" w:hAnsi="Arial" w:cs="Arial"/>
          <w:b/>
        </w:rPr>
        <w:t>Credit</w:t>
      </w:r>
      <w:r w:rsidR="00F22F9C">
        <w:rPr>
          <w:rFonts w:ascii="Arial" w:hAnsi="Arial" w:cs="Arial"/>
          <w:b/>
        </w:rPr>
        <w:t xml:space="preserve"> </w:t>
      </w:r>
      <w:r w:rsidR="00E52FCE" w:rsidRPr="00B916FD">
        <w:rPr>
          <w:rFonts w:ascii="Arial" w:hAnsi="Arial" w:cs="Arial"/>
          <w:bCs/>
        </w:rPr>
        <w:t>is the value assigned for the recognition of equivalence in content and learning outcomes between different types of learning</w:t>
      </w:r>
      <w:r w:rsidR="00B916FD" w:rsidRPr="00B916FD">
        <w:rPr>
          <w:rFonts w:ascii="Arial" w:hAnsi="Arial" w:cs="Arial"/>
          <w:bCs/>
        </w:rPr>
        <w:t>.</w:t>
      </w:r>
    </w:p>
    <w:p w14:paraId="646F35E0" w14:textId="050DFD95" w:rsidR="008103BA" w:rsidRDefault="008103BA" w:rsidP="004C218A">
      <w:pPr>
        <w:jc w:val="both"/>
        <w:rPr>
          <w:rFonts w:ascii="Arial" w:hAnsi="Arial" w:cs="Arial"/>
          <w:b/>
        </w:rPr>
      </w:pPr>
      <w:r>
        <w:rPr>
          <w:rFonts w:ascii="Arial" w:hAnsi="Arial" w:cs="Arial"/>
          <w:b/>
        </w:rPr>
        <w:t>Cross-institutional study</w:t>
      </w:r>
      <w:r w:rsidR="00B2426B" w:rsidRPr="00B2426B">
        <w:rPr>
          <w:rFonts w:ascii="Arial" w:hAnsi="Arial" w:cs="Arial"/>
          <w:b/>
          <w:szCs w:val="20"/>
        </w:rPr>
        <w:t xml:space="preserve"> </w:t>
      </w:r>
      <w:r w:rsidR="002D41FC">
        <w:rPr>
          <w:rFonts w:ascii="Arial" w:hAnsi="Arial" w:cs="Arial"/>
          <w:szCs w:val="20"/>
        </w:rPr>
        <w:t>is when</w:t>
      </w:r>
      <w:r w:rsidR="00B2426B" w:rsidRPr="00B2426B">
        <w:rPr>
          <w:rFonts w:ascii="Arial" w:hAnsi="Arial" w:cs="Arial"/>
          <w:szCs w:val="20"/>
        </w:rPr>
        <w:t xml:space="preserve"> a student undertaking a program at one University, enrols in one or more courses at another University for the purpose of completing the program at the first (home) University. Cross-Institutional students are out-going if their home University is Griffith, or incoming if their home University is another institution.</w:t>
      </w:r>
    </w:p>
    <w:p w14:paraId="5DD1FDEA" w14:textId="409939DA" w:rsidR="003603C9" w:rsidRPr="00611031" w:rsidRDefault="003603C9" w:rsidP="004C218A">
      <w:pPr>
        <w:jc w:val="both"/>
        <w:rPr>
          <w:rFonts w:ascii="Arial" w:hAnsi="Arial" w:cs="Arial"/>
          <w:b/>
        </w:rPr>
      </w:pPr>
      <w:r>
        <w:rPr>
          <w:rFonts w:ascii="Arial" w:hAnsi="Arial" w:cs="Arial"/>
          <w:b/>
        </w:rPr>
        <w:t xml:space="preserve">Domestic </w:t>
      </w:r>
      <w:r w:rsidR="007C7128" w:rsidRPr="007C7128">
        <w:rPr>
          <w:rFonts w:ascii="Arial" w:hAnsi="Arial" w:cs="Arial"/>
          <w:bCs/>
        </w:rPr>
        <w:t>refers to partner institutions that reside within Australia</w:t>
      </w:r>
      <w:r w:rsidR="007C7128">
        <w:rPr>
          <w:rFonts w:ascii="Arial" w:hAnsi="Arial" w:cs="Arial"/>
          <w:bCs/>
        </w:rPr>
        <w:t>.</w:t>
      </w:r>
    </w:p>
    <w:p w14:paraId="200C2696" w14:textId="39C2E54A" w:rsidR="00A745C3" w:rsidRPr="00A745C3" w:rsidRDefault="008103BA" w:rsidP="004C218A">
      <w:pPr>
        <w:jc w:val="both"/>
        <w:rPr>
          <w:rFonts w:ascii="Arial" w:hAnsi="Arial" w:cs="Arial"/>
          <w:szCs w:val="20"/>
        </w:rPr>
      </w:pPr>
      <w:r w:rsidRPr="00A75C40">
        <w:rPr>
          <w:rFonts w:ascii="Arial" w:hAnsi="Arial" w:cs="Arial"/>
          <w:b/>
          <w:bCs/>
          <w:szCs w:val="20"/>
        </w:rPr>
        <w:lastRenderedPageBreak/>
        <w:t xml:space="preserve">Non-award </w:t>
      </w:r>
      <w:r w:rsidR="00386894">
        <w:rPr>
          <w:rFonts w:ascii="Arial" w:hAnsi="Arial" w:cs="Arial"/>
          <w:b/>
          <w:bCs/>
          <w:szCs w:val="20"/>
        </w:rPr>
        <w:t>program</w:t>
      </w:r>
      <w:r w:rsidR="00386894">
        <w:rPr>
          <w:rFonts w:ascii="Arial" w:hAnsi="Arial" w:cs="Arial"/>
          <w:szCs w:val="20"/>
        </w:rPr>
        <w:t xml:space="preserve"> </w:t>
      </w:r>
      <w:r w:rsidR="00A75C40" w:rsidRPr="00A75C40">
        <w:rPr>
          <w:rFonts w:ascii="Arial" w:hAnsi="Arial" w:cs="Arial"/>
          <w:szCs w:val="20"/>
        </w:rPr>
        <w:t>is the generic term indicating programs of study which do not lead to the award of a degree.</w:t>
      </w:r>
    </w:p>
    <w:p w14:paraId="407D4A7F" w14:textId="19C6785D" w:rsidR="00B916FD" w:rsidRDefault="00B916FD" w:rsidP="004C218A">
      <w:pPr>
        <w:jc w:val="both"/>
        <w:rPr>
          <w:rFonts w:ascii="Arial" w:hAnsi="Arial" w:cs="Arial"/>
          <w:color w:val="202124"/>
        </w:rPr>
      </w:pPr>
      <w:r w:rsidRPr="00473324">
        <w:rPr>
          <w:rFonts w:ascii="Arial" w:hAnsi="Arial" w:cs="Arial"/>
          <w:b/>
          <w:bCs/>
          <w:lang w:eastAsia="en-GB"/>
        </w:rPr>
        <w:t>Transnational</w:t>
      </w:r>
      <w:r w:rsidR="007A1DA9" w:rsidRPr="00473324">
        <w:rPr>
          <w:rFonts w:ascii="Arial" w:hAnsi="Arial" w:cs="Arial"/>
          <w:b/>
          <w:bCs/>
          <w:lang w:eastAsia="en-GB"/>
        </w:rPr>
        <w:t xml:space="preserve"> </w:t>
      </w:r>
      <w:r w:rsidR="004C0740" w:rsidRPr="00473324">
        <w:rPr>
          <w:rFonts w:ascii="Arial" w:hAnsi="Arial" w:cs="Arial"/>
          <w:b/>
          <w:bCs/>
          <w:color w:val="202124"/>
        </w:rPr>
        <w:t xml:space="preserve">arrangement </w:t>
      </w:r>
      <w:r w:rsidR="005A3C5E" w:rsidRPr="00473324">
        <w:rPr>
          <w:rFonts w:ascii="Arial" w:hAnsi="Arial" w:cs="Arial"/>
          <w:color w:val="202124"/>
        </w:rPr>
        <w:t xml:space="preserve">is </w:t>
      </w:r>
      <w:r w:rsidR="00295CD4" w:rsidRPr="00473324">
        <w:rPr>
          <w:rFonts w:ascii="Arial" w:hAnsi="Arial" w:cs="Arial"/>
          <w:color w:val="202124"/>
        </w:rPr>
        <w:t xml:space="preserve">an agreement for education </w:t>
      </w:r>
      <w:r w:rsidR="005A3C5E" w:rsidRPr="00473324">
        <w:rPr>
          <w:rFonts w:ascii="Arial" w:hAnsi="Arial" w:cs="Arial"/>
          <w:color w:val="202124"/>
        </w:rPr>
        <w:t>delivered in a country other than Australia</w:t>
      </w:r>
      <w:r w:rsidR="00F66FC3" w:rsidRPr="00473324">
        <w:rPr>
          <w:rFonts w:ascii="Arial" w:hAnsi="Arial" w:cs="Arial"/>
          <w:color w:val="202124"/>
        </w:rPr>
        <w:t>.</w:t>
      </w:r>
    </w:p>
    <w:p w14:paraId="57188A35" w14:textId="61743169" w:rsidR="00626CC4" w:rsidRPr="005A3C5E" w:rsidRDefault="00626CC4" w:rsidP="004C218A">
      <w:pPr>
        <w:jc w:val="both"/>
        <w:rPr>
          <w:rFonts w:ascii="Arial" w:hAnsi="Arial" w:cs="Arial"/>
          <w:lang w:eastAsia="en-GB"/>
        </w:rPr>
        <w:sectPr w:rsidR="00626CC4" w:rsidRPr="005A3C5E" w:rsidSect="004012C6">
          <w:headerReference w:type="even" r:id="rId13"/>
          <w:headerReference w:type="default" r:id="rId14"/>
          <w:footerReference w:type="default" r:id="rId15"/>
          <w:headerReference w:type="first" r:id="rId16"/>
          <w:type w:val="continuous"/>
          <w:pgSz w:w="11900" w:h="16840" w:code="9"/>
          <w:pgMar w:top="1985" w:right="1021" w:bottom="1021" w:left="1021" w:header="680" w:footer="454" w:gutter="0"/>
          <w:cols w:space="454"/>
          <w:docGrid w:linePitch="360"/>
        </w:sectPr>
      </w:pPr>
      <w:r w:rsidRPr="00626CC4">
        <w:rPr>
          <w:rFonts w:ascii="Arial" w:hAnsi="Arial" w:cs="Arial"/>
          <w:b/>
          <w:bCs/>
          <w:color w:val="202124"/>
        </w:rPr>
        <w:t>Work integrated learning (WIL)</w:t>
      </w:r>
      <w:r>
        <w:rPr>
          <w:rFonts w:ascii="Arial" w:hAnsi="Arial" w:cs="Arial"/>
          <w:color w:val="202124"/>
        </w:rPr>
        <w:t xml:space="preserve"> </w:t>
      </w:r>
      <w:r w:rsidR="007E4508" w:rsidRPr="007E4508">
        <w:rPr>
          <w:rFonts w:ascii="Arial" w:hAnsi="Arial" w:cs="Arial"/>
          <w:lang w:eastAsia="en-GB"/>
        </w:rPr>
        <w:t xml:space="preserve">includes service learning, and activities normally involve students interacting with industry and community within a work context or similar situation. </w:t>
      </w:r>
    </w:p>
    <w:tbl>
      <w:tblPr>
        <w:tblStyle w:val="TableGrid"/>
        <w:tblpPr w:leftFromText="180" w:rightFromText="180" w:vertAnchor="page" w:horzAnchor="margin" w:tblpY="19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CB102C" w:rsidRPr="00CB102C" w14:paraId="7B3FD078" w14:textId="77777777" w:rsidTr="006464C6">
        <w:tc>
          <w:tcPr>
            <w:tcW w:w="1222" w:type="pct"/>
            <w:shd w:val="clear" w:color="auto" w:fill="595959" w:themeFill="text1" w:themeFillTint="A6"/>
          </w:tcPr>
          <w:p w14:paraId="48544CF1" w14:textId="77777777" w:rsidR="006D1A97" w:rsidRPr="00FC5552" w:rsidRDefault="006D1A97" w:rsidP="006464C6">
            <w:pPr>
              <w:spacing w:before="120" w:after="120"/>
              <w:rPr>
                <w:rFonts w:ascii="Arial" w:hAnsi="Arial" w:cs="Arial"/>
                <w:b/>
                <w:bCs/>
                <w:color w:val="FFFFFF" w:themeColor="background1"/>
                <w:sz w:val="24"/>
                <w:szCs w:val="24"/>
              </w:rPr>
            </w:pPr>
            <w:r w:rsidRPr="00FC5552">
              <w:rPr>
                <w:rFonts w:ascii="Arial" w:hAnsi="Arial" w:cs="Arial"/>
                <w:b/>
                <w:bCs/>
                <w:caps/>
                <w:color w:val="FFFFFF" w:themeColor="background1"/>
                <w:sz w:val="24"/>
                <w:szCs w:val="24"/>
              </w:rPr>
              <w:lastRenderedPageBreak/>
              <w:t>INFORMATION</w:t>
            </w:r>
          </w:p>
        </w:tc>
        <w:tc>
          <w:tcPr>
            <w:tcW w:w="3778" w:type="pct"/>
            <w:shd w:val="clear" w:color="auto" w:fill="595959" w:themeFill="text1" w:themeFillTint="A6"/>
          </w:tcPr>
          <w:p w14:paraId="65189603" w14:textId="77777777" w:rsidR="006D1A97" w:rsidRPr="00FC5552" w:rsidRDefault="006D1A97" w:rsidP="006464C6">
            <w:pPr>
              <w:spacing w:before="120" w:after="120"/>
              <w:jc w:val="right"/>
              <w:rPr>
                <w:rFonts w:ascii="Arial" w:hAnsi="Arial" w:cs="Arial"/>
                <w:color w:val="FFFFFF" w:themeColor="background1"/>
              </w:rPr>
            </w:pPr>
            <w:r w:rsidRPr="00FC5552">
              <w:rPr>
                <w:rFonts w:ascii="Arial" w:hAnsi="Arial" w:cs="Arial"/>
                <w:color w:val="FFFFFF" w:themeColor="background1"/>
              </w:rPr>
              <w:t>Printable version (PDF) Downloadable version (Word)</w:t>
            </w:r>
          </w:p>
        </w:tc>
      </w:tr>
      <w:tr w:rsidR="006D1A97" w14:paraId="732F5140" w14:textId="77777777" w:rsidTr="006464C6">
        <w:tc>
          <w:tcPr>
            <w:tcW w:w="1222" w:type="pct"/>
            <w:shd w:val="clear" w:color="auto" w:fill="auto"/>
          </w:tcPr>
          <w:p w14:paraId="5A2D9490" w14:textId="77777777" w:rsidR="006D1A97" w:rsidRPr="000209B9" w:rsidRDefault="006D1A97" w:rsidP="004C218A">
            <w:pPr>
              <w:spacing w:before="120" w:after="120"/>
              <w:rPr>
                <w:rFonts w:ascii="Arial" w:hAnsi="Arial" w:cs="Arial"/>
                <w:szCs w:val="20"/>
              </w:rPr>
            </w:pPr>
            <w:r w:rsidRPr="000209B9">
              <w:rPr>
                <w:rFonts w:ascii="Arial" w:hAnsi="Arial" w:cs="Arial"/>
                <w:szCs w:val="20"/>
              </w:rPr>
              <w:t>Title</w:t>
            </w:r>
          </w:p>
        </w:tc>
        <w:tc>
          <w:tcPr>
            <w:tcW w:w="3778" w:type="pct"/>
            <w:shd w:val="clear" w:color="auto" w:fill="auto"/>
          </w:tcPr>
          <w:p w14:paraId="21A933A7" w14:textId="2FF42DBB" w:rsidR="006D1A97" w:rsidRPr="000209B9" w:rsidRDefault="00354465" w:rsidP="004C218A">
            <w:pPr>
              <w:spacing w:before="120" w:after="120"/>
              <w:rPr>
                <w:rFonts w:ascii="Arial" w:hAnsi="Arial" w:cs="Arial"/>
                <w:szCs w:val="20"/>
              </w:rPr>
            </w:pPr>
            <w:r>
              <w:rPr>
                <w:rFonts w:ascii="Arial" w:hAnsi="Arial" w:cs="Arial"/>
                <w:szCs w:val="20"/>
              </w:rPr>
              <w:t xml:space="preserve">Academic </w:t>
            </w:r>
            <w:r w:rsidR="00B042F6">
              <w:rPr>
                <w:rFonts w:ascii="Arial" w:hAnsi="Arial" w:cs="Arial"/>
                <w:szCs w:val="20"/>
              </w:rPr>
              <w:t xml:space="preserve">Delivery with Other Parties </w:t>
            </w:r>
            <w:r>
              <w:rPr>
                <w:rFonts w:ascii="Arial" w:hAnsi="Arial" w:cs="Arial"/>
                <w:szCs w:val="20"/>
              </w:rPr>
              <w:t>Policy</w:t>
            </w:r>
          </w:p>
        </w:tc>
      </w:tr>
      <w:tr w:rsidR="006D1A97" w14:paraId="3397A4DD" w14:textId="77777777" w:rsidTr="006464C6">
        <w:tc>
          <w:tcPr>
            <w:tcW w:w="1222" w:type="pct"/>
            <w:shd w:val="clear" w:color="auto" w:fill="E6E7E8"/>
          </w:tcPr>
          <w:p w14:paraId="794CFE4E" w14:textId="77777777" w:rsidR="006D1A97" w:rsidRPr="000209B9" w:rsidRDefault="006D1A97" w:rsidP="004C218A">
            <w:pPr>
              <w:spacing w:before="120" w:after="120"/>
              <w:rPr>
                <w:rFonts w:ascii="Arial" w:hAnsi="Arial" w:cs="Arial"/>
                <w:szCs w:val="20"/>
              </w:rPr>
            </w:pPr>
            <w:r w:rsidRPr="000209B9">
              <w:rPr>
                <w:rFonts w:ascii="Arial" w:hAnsi="Arial" w:cs="Arial"/>
                <w:szCs w:val="20"/>
              </w:rPr>
              <w:t>Document number</w:t>
            </w:r>
          </w:p>
        </w:tc>
        <w:tc>
          <w:tcPr>
            <w:tcW w:w="3778" w:type="pct"/>
            <w:shd w:val="clear" w:color="auto" w:fill="E6E7E8"/>
          </w:tcPr>
          <w:p w14:paraId="19C4F27F" w14:textId="33645206" w:rsidR="006D1A97" w:rsidRPr="000209B9" w:rsidRDefault="005140CC" w:rsidP="004C218A">
            <w:pPr>
              <w:spacing w:before="120" w:after="120"/>
              <w:rPr>
                <w:rFonts w:ascii="Arial" w:hAnsi="Arial" w:cs="Arial"/>
                <w:szCs w:val="20"/>
              </w:rPr>
            </w:pPr>
            <w:r w:rsidRPr="005140CC">
              <w:rPr>
                <w:rFonts w:ascii="Arial" w:eastAsia="Arial" w:hAnsi="Arial" w:cs="Arial"/>
                <w:color w:val="000000" w:themeColor="text1"/>
                <w:szCs w:val="20"/>
                <w:u w:color="F04E45"/>
              </w:rPr>
              <w:t>2023/0000427</w:t>
            </w:r>
          </w:p>
        </w:tc>
      </w:tr>
      <w:tr w:rsidR="006D1A97" w14:paraId="0CF1FDA4" w14:textId="77777777" w:rsidTr="006464C6">
        <w:tc>
          <w:tcPr>
            <w:tcW w:w="1222" w:type="pct"/>
            <w:shd w:val="clear" w:color="auto" w:fill="auto"/>
          </w:tcPr>
          <w:p w14:paraId="5B9C8B00" w14:textId="77777777" w:rsidR="006D1A97" w:rsidRPr="000209B9" w:rsidRDefault="006D1A97" w:rsidP="004C218A">
            <w:pPr>
              <w:spacing w:before="120" w:after="120"/>
              <w:rPr>
                <w:rFonts w:ascii="Arial" w:hAnsi="Arial" w:cs="Arial"/>
                <w:szCs w:val="20"/>
              </w:rPr>
            </w:pPr>
            <w:r w:rsidRPr="000209B9">
              <w:rPr>
                <w:rFonts w:ascii="Arial" w:hAnsi="Arial" w:cs="Arial"/>
                <w:szCs w:val="20"/>
              </w:rPr>
              <w:t>Purpose</w:t>
            </w:r>
          </w:p>
        </w:tc>
        <w:tc>
          <w:tcPr>
            <w:tcW w:w="3778" w:type="pct"/>
            <w:shd w:val="clear" w:color="auto" w:fill="auto"/>
          </w:tcPr>
          <w:p w14:paraId="1F8D5B3D" w14:textId="1D31FDE9" w:rsidR="006D1A97" w:rsidRPr="00E200A6" w:rsidRDefault="54D153D8" w:rsidP="00773229">
            <w:pPr>
              <w:pStyle w:val="NormalWhite"/>
              <w:spacing w:before="120"/>
            </w:pPr>
            <w:r w:rsidRPr="6BFB1071">
              <w:rPr>
                <w:rFonts w:ascii="Arial" w:eastAsia="Arial" w:hAnsi="Arial" w:cs="Arial"/>
                <w:color w:val="000000" w:themeColor="text1"/>
                <w:szCs w:val="20"/>
              </w:rPr>
              <w:t xml:space="preserve">This policy provides </w:t>
            </w:r>
            <w:r w:rsidRPr="00E51397">
              <w:rPr>
                <w:rFonts w:ascii="Arial" w:eastAsia="Arial" w:hAnsi="Arial" w:cs="Arial"/>
                <w:color w:val="000000" w:themeColor="text1"/>
                <w:szCs w:val="20"/>
              </w:rPr>
              <w:t xml:space="preserve">the </w:t>
            </w:r>
            <w:r w:rsidRPr="00773229">
              <w:rPr>
                <w:rFonts w:ascii="Arial" w:hAnsi="Arial" w:cs="Arial"/>
                <w:color w:val="000000" w:themeColor="text1"/>
              </w:rPr>
              <w:t>principles for development, approval, management, and review of</w:t>
            </w:r>
            <w:r w:rsidRPr="00E51397">
              <w:rPr>
                <w:rFonts w:ascii="Arial" w:eastAsia="Arial" w:hAnsi="Arial" w:cs="Arial"/>
                <w:color w:val="000000" w:themeColor="text1"/>
                <w:szCs w:val="20"/>
              </w:rPr>
              <w:t xml:space="preserve"> academic delivery with other domestic parties to ensure that Griffith University meets its obligations as a Higher Education Provider. These requirements and processes are consistent with quality assurance and continuous improvement practices, and ensure students’ learning experiences and outcomes are equivalent regardless of learning and teaching location or delivery arrangements.</w:t>
            </w:r>
          </w:p>
        </w:tc>
      </w:tr>
      <w:tr w:rsidR="006D1A97" w14:paraId="43F34308" w14:textId="77777777" w:rsidTr="006464C6">
        <w:tc>
          <w:tcPr>
            <w:tcW w:w="1222" w:type="pct"/>
            <w:shd w:val="clear" w:color="auto" w:fill="E6E7E8"/>
          </w:tcPr>
          <w:p w14:paraId="3A9C452F" w14:textId="77777777" w:rsidR="006D1A97" w:rsidRPr="000209B9" w:rsidRDefault="006D1A97" w:rsidP="004C218A">
            <w:pPr>
              <w:spacing w:before="120" w:after="120"/>
              <w:rPr>
                <w:rFonts w:ascii="Arial" w:hAnsi="Arial" w:cs="Arial"/>
                <w:szCs w:val="20"/>
              </w:rPr>
            </w:pPr>
            <w:r w:rsidRPr="000209B9">
              <w:rPr>
                <w:rFonts w:ascii="Arial" w:hAnsi="Arial" w:cs="Arial"/>
                <w:szCs w:val="20"/>
              </w:rPr>
              <w:t>Audience</w:t>
            </w:r>
          </w:p>
        </w:tc>
        <w:tc>
          <w:tcPr>
            <w:tcW w:w="3778" w:type="pct"/>
            <w:shd w:val="clear" w:color="auto" w:fill="E6E7E8"/>
          </w:tcPr>
          <w:p w14:paraId="1816F64A" w14:textId="2DC8CA43" w:rsidR="006D1A97" w:rsidRPr="00EE646E" w:rsidRDefault="00865BF4" w:rsidP="004C218A">
            <w:pPr>
              <w:spacing w:before="120" w:after="120"/>
              <w:rPr>
                <w:rFonts w:ascii="Arial" w:hAnsi="Arial" w:cs="Arial"/>
                <w:szCs w:val="20"/>
              </w:rPr>
            </w:pPr>
            <w:r>
              <w:rPr>
                <w:rFonts w:ascii="Arial" w:hAnsi="Arial" w:cs="Arial"/>
                <w:szCs w:val="20"/>
              </w:rPr>
              <w:t>Staff</w:t>
            </w:r>
          </w:p>
        </w:tc>
      </w:tr>
      <w:tr w:rsidR="006D1A97" w14:paraId="4B686D95" w14:textId="77777777" w:rsidTr="006464C6">
        <w:tc>
          <w:tcPr>
            <w:tcW w:w="1222" w:type="pct"/>
            <w:shd w:val="clear" w:color="auto" w:fill="auto"/>
          </w:tcPr>
          <w:p w14:paraId="665F750D" w14:textId="77777777" w:rsidR="006D1A97" w:rsidRPr="000209B9" w:rsidRDefault="006D1A97" w:rsidP="004C218A">
            <w:pPr>
              <w:spacing w:before="120" w:after="120"/>
              <w:rPr>
                <w:rFonts w:ascii="Arial" w:hAnsi="Arial" w:cs="Arial"/>
                <w:szCs w:val="20"/>
              </w:rPr>
            </w:pPr>
            <w:r w:rsidRPr="000209B9">
              <w:rPr>
                <w:rFonts w:ascii="Arial" w:hAnsi="Arial" w:cs="Arial"/>
                <w:szCs w:val="20"/>
              </w:rPr>
              <w:t>Category</w:t>
            </w:r>
          </w:p>
        </w:tc>
        <w:tc>
          <w:tcPr>
            <w:tcW w:w="3778" w:type="pct"/>
            <w:shd w:val="clear" w:color="auto" w:fill="auto"/>
          </w:tcPr>
          <w:p w14:paraId="771A6A2E" w14:textId="5F7CE95D" w:rsidR="006D1A97" w:rsidRPr="000209B9" w:rsidRDefault="00865BF4" w:rsidP="004C218A">
            <w:pPr>
              <w:spacing w:before="120" w:after="120"/>
              <w:rPr>
                <w:rFonts w:ascii="Arial" w:hAnsi="Arial" w:cs="Arial"/>
                <w:szCs w:val="20"/>
              </w:rPr>
            </w:pPr>
            <w:r>
              <w:rPr>
                <w:rFonts w:ascii="Arial" w:hAnsi="Arial" w:cs="Arial"/>
                <w:szCs w:val="20"/>
              </w:rPr>
              <w:t>Academic</w:t>
            </w:r>
          </w:p>
        </w:tc>
      </w:tr>
      <w:tr w:rsidR="006D1A97" w14:paraId="5003F038" w14:textId="77777777" w:rsidTr="006464C6">
        <w:tc>
          <w:tcPr>
            <w:tcW w:w="1222" w:type="pct"/>
            <w:shd w:val="clear" w:color="auto" w:fill="E6E7E8"/>
          </w:tcPr>
          <w:p w14:paraId="0040C52D" w14:textId="65A3D833" w:rsidR="006D1A97" w:rsidRPr="000209B9" w:rsidRDefault="006D1A97" w:rsidP="004C218A">
            <w:pPr>
              <w:spacing w:before="120" w:after="120"/>
              <w:rPr>
                <w:rFonts w:ascii="Arial" w:hAnsi="Arial" w:cs="Arial"/>
                <w:szCs w:val="20"/>
              </w:rPr>
            </w:pPr>
            <w:r w:rsidRPr="000209B9">
              <w:rPr>
                <w:rFonts w:ascii="Arial" w:hAnsi="Arial" w:cs="Arial"/>
                <w:szCs w:val="20"/>
              </w:rPr>
              <w:t>Sub</w:t>
            </w:r>
            <w:r w:rsidR="00AB30DD" w:rsidRPr="000209B9">
              <w:rPr>
                <w:rFonts w:ascii="Arial" w:hAnsi="Arial" w:cs="Arial"/>
                <w:szCs w:val="20"/>
              </w:rPr>
              <w:t>category</w:t>
            </w:r>
          </w:p>
        </w:tc>
        <w:tc>
          <w:tcPr>
            <w:tcW w:w="3778" w:type="pct"/>
            <w:shd w:val="clear" w:color="auto" w:fill="E6E7E8"/>
          </w:tcPr>
          <w:p w14:paraId="4FD8ECDE" w14:textId="19720F15" w:rsidR="00AB79FC" w:rsidRPr="00865BF4" w:rsidRDefault="00865BF4" w:rsidP="004C218A">
            <w:pPr>
              <w:spacing w:before="120" w:after="120"/>
              <w:rPr>
                <w:rFonts w:ascii="Arial" w:hAnsi="Arial" w:cs="Arial"/>
                <w:szCs w:val="20"/>
              </w:rPr>
            </w:pPr>
            <w:r w:rsidRPr="00865BF4">
              <w:rPr>
                <w:rFonts w:ascii="Arial" w:hAnsi="Arial" w:cs="Arial"/>
                <w:szCs w:val="20"/>
              </w:rPr>
              <w:t>Learning and Teaching</w:t>
            </w:r>
          </w:p>
        </w:tc>
      </w:tr>
      <w:tr w:rsidR="007837D8" w14:paraId="2215AE91" w14:textId="77777777" w:rsidTr="006464C6">
        <w:tc>
          <w:tcPr>
            <w:tcW w:w="1222" w:type="pct"/>
            <w:shd w:val="clear" w:color="auto" w:fill="auto"/>
          </w:tcPr>
          <w:p w14:paraId="126EA693" w14:textId="2E19AE03" w:rsidR="007837D8" w:rsidRPr="00B306C2" w:rsidRDefault="007837D8" w:rsidP="004C218A">
            <w:pPr>
              <w:spacing w:before="120" w:after="120"/>
              <w:rPr>
                <w:rFonts w:ascii="Arial" w:hAnsi="Arial" w:cs="Arial"/>
                <w:szCs w:val="20"/>
              </w:rPr>
            </w:pPr>
            <w:r w:rsidRPr="00EE646E">
              <w:rPr>
                <w:rFonts w:ascii="Arial" w:hAnsi="Arial" w:cs="Arial"/>
                <w:szCs w:val="20"/>
              </w:rPr>
              <w:t>Approval date</w:t>
            </w:r>
          </w:p>
        </w:tc>
        <w:tc>
          <w:tcPr>
            <w:tcW w:w="3778" w:type="pct"/>
            <w:shd w:val="clear" w:color="auto" w:fill="auto"/>
          </w:tcPr>
          <w:p w14:paraId="39F90A87" w14:textId="03BE49B8" w:rsidR="007837D8" w:rsidRPr="00EE646E" w:rsidRDefault="00917CA4" w:rsidP="004C218A">
            <w:pPr>
              <w:spacing w:before="120" w:after="120"/>
              <w:rPr>
                <w:rFonts w:ascii="Arial" w:hAnsi="Arial" w:cs="Arial"/>
                <w:szCs w:val="20"/>
              </w:rPr>
            </w:pPr>
            <w:r>
              <w:rPr>
                <w:rFonts w:ascii="Arial" w:hAnsi="Arial" w:cs="Arial"/>
                <w:szCs w:val="20"/>
              </w:rPr>
              <w:t>14 March 2023</w:t>
            </w:r>
          </w:p>
        </w:tc>
      </w:tr>
      <w:tr w:rsidR="006D1A97" w14:paraId="4B3B6DDA" w14:textId="77777777" w:rsidTr="006464C6">
        <w:tc>
          <w:tcPr>
            <w:tcW w:w="1222" w:type="pct"/>
            <w:shd w:val="clear" w:color="auto" w:fill="auto"/>
          </w:tcPr>
          <w:p w14:paraId="422367F7" w14:textId="77777777" w:rsidR="006D1A97" w:rsidRPr="00EE646E" w:rsidRDefault="006D1A97" w:rsidP="004C218A">
            <w:pPr>
              <w:spacing w:before="120" w:after="120"/>
              <w:rPr>
                <w:rFonts w:ascii="Arial" w:hAnsi="Arial" w:cs="Arial"/>
                <w:szCs w:val="20"/>
              </w:rPr>
            </w:pPr>
            <w:r w:rsidRPr="00EE646E">
              <w:rPr>
                <w:rFonts w:ascii="Arial" w:hAnsi="Arial" w:cs="Arial"/>
                <w:szCs w:val="20"/>
              </w:rPr>
              <w:t>Effective date</w:t>
            </w:r>
          </w:p>
        </w:tc>
        <w:tc>
          <w:tcPr>
            <w:tcW w:w="3778" w:type="pct"/>
            <w:shd w:val="clear" w:color="auto" w:fill="auto"/>
          </w:tcPr>
          <w:p w14:paraId="63583D7A" w14:textId="75D676D4" w:rsidR="006D1A97" w:rsidRPr="00EE646E" w:rsidRDefault="004254B3" w:rsidP="004C218A">
            <w:pPr>
              <w:spacing w:before="120" w:after="120"/>
              <w:rPr>
                <w:rFonts w:ascii="Arial" w:hAnsi="Arial" w:cs="Arial"/>
                <w:szCs w:val="20"/>
              </w:rPr>
            </w:pPr>
            <w:r>
              <w:rPr>
                <w:rFonts w:ascii="Arial" w:hAnsi="Arial" w:cs="Arial"/>
                <w:szCs w:val="20"/>
              </w:rPr>
              <w:t>Trimester 2, 2023</w:t>
            </w:r>
          </w:p>
        </w:tc>
      </w:tr>
      <w:tr w:rsidR="006D1A97" w14:paraId="76DDC947" w14:textId="77777777" w:rsidTr="006464C6">
        <w:tc>
          <w:tcPr>
            <w:tcW w:w="1222" w:type="pct"/>
            <w:shd w:val="clear" w:color="auto" w:fill="E6E7E8"/>
          </w:tcPr>
          <w:p w14:paraId="41F219B0" w14:textId="77777777" w:rsidR="006D1A97" w:rsidRPr="000209B9" w:rsidRDefault="006D1A97" w:rsidP="004C218A">
            <w:pPr>
              <w:spacing w:before="120" w:after="120"/>
              <w:rPr>
                <w:rFonts w:ascii="Arial" w:hAnsi="Arial" w:cs="Arial"/>
                <w:szCs w:val="20"/>
              </w:rPr>
            </w:pPr>
            <w:r w:rsidRPr="000209B9">
              <w:rPr>
                <w:rFonts w:ascii="Arial" w:hAnsi="Arial" w:cs="Arial"/>
                <w:szCs w:val="20"/>
              </w:rPr>
              <w:t>Review date</w:t>
            </w:r>
          </w:p>
        </w:tc>
        <w:tc>
          <w:tcPr>
            <w:tcW w:w="3778" w:type="pct"/>
            <w:shd w:val="clear" w:color="auto" w:fill="E6E7E8"/>
          </w:tcPr>
          <w:p w14:paraId="7FD05870" w14:textId="382AFA59" w:rsidR="006D1A97" w:rsidRPr="000209B9" w:rsidRDefault="00354465" w:rsidP="004C218A">
            <w:pPr>
              <w:spacing w:before="120" w:after="120"/>
              <w:rPr>
                <w:rFonts w:ascii="Arial" w:hAnsi="Arial" w:cs="Arial"/>
                <w:szCs w:val="20"/>
              </w:rPr>
            </w:pPr>
            <w:r>
              <w:rPr>
                <w:rFonts w:ascii="Arial" w:hAnsi="Arial" w:cs="Arial"/>
                <w:szCs w:val="20"/>
              </w:rPr>
              <w:t>2028</w:t>
            </w:r>
          </w:p>
        </w:tc>
      </w:tr>
      <w:tr w:rsidR="006D1A97" w14:paraId="72CC8086" w14:textId="77777777" w:rsidTr="006464C6">
        <w:tc>
          <w:tcPr>
            <w:tcW w:w="1222" w:type="pct"/>
            <w:shd w:val="clear" w:color="auto" w:fill="auto"/>
          </w:tcPr>
          <w:p w14:paraId="357FAE17" w14:textId="28F73799" w:rsidR="006D1A97" w:rsidRPr="000209B9" w:rsidRDefault="00AA227D" w:rsidP="004C218A">
            <w:pPr>
              <w:spacing w:before="120" w:after="120"/>
              <w:rPr>
                <w:rFonts w:ascii="Arial" w:hAnsi="Arial" w:cs="Arial"/>
                <w:szCs w:val="20"/>
              </w:rPr>
            </w:pPr>
            <w:r w:rsidRPr="000209B9">
              <w:rPr>
                <w:rFonts w:ascii="Arial" w:hAnsi="Arial" w:cs="Arial"/>
                <w:szCs w:val="20"/>
              </w:rPr>
              <w:t xml:space="preserve">Policy </w:t>
            </w:r>
            <w:r w:rsidR="005E4006" w:rsidRPr="000209B9">
              <w:rPr>
                <w:rFonts w:ascii="Arial" w:hAnsi="Arial" w:cs="Arial"/>
                <w:szCs w:val="20"/>
              </w:rPr>
              <w:t>a</w:t>
            </w:r>
            <w:r w:rsidRPr="000209B9">
              <w:rPr>
                <w:rFonts w:ascii="Arial" w:hAnsi="Arial" w:cs="Arial"/>
                <w:szCs w:val="20"/>
              </w:rPr>
              <w:t>dvisor</w:t>
            </w:r>
          </w:p>
        </w:tc>
        <w:tc>
          <w:tcPr>
            <w:tcW w:w="3778" w:type="pct"/>
            <w:shd w:val="clear" w:color="auto" w:fill="auto"/>
          </w:tcPr>
          <w:p w14:paraId="7E468796" w14:textId="7D53E983" w:rsidR="006D1A97" w:rsidRPr="000209B9" w:rsidRDefault="00865BF4" w:rsidP="004C218A">
            <w:pPr>
              <w:spacing w:before="120" w:after="120"/>
              <w:rPr>
                <w:rFonts w:ascii="Arial" w:hAnsi="Arial" w:cs="Arial"/>
                <w:szCs w:val="20"/>
              </w:rPr>
            </w:pPr>
            <w:r>
              <w:rPr>
                <w:rFonts w:ascii="Arial" w:hAnsi="Arial" w:cs="Arial"/>
                <w:szCs w:val="20"/>
              </w:rPr>
              <w:t>Director, Student Credentials</w:t>
            </w:r>
          </w:p>
        </w:tc>
      </w:tr>
      <w:tr w:rsidR="006D1A97" w14:paraId="5F52FDBC" w14:textId="77777777" w:rsidTr="006464C6">
        <w:tc>
          <w:tcPr>
            <w:tcW w:w="1222" w:type="pct"/>
            <w:shd w:val="clear" w:color="auto" w:fill="E6E7E8"/>
          </w:tcPr>
          <w:p w14:paraId="2A6B7869" w14:textId="77777777" w:rsidR="006D1A97" w:rsidRPr="000209B9" w:rsidRDefault="006D1A97" w:rsidP="004C218A">
            <w:pPr>
              <w:spacing w:before="120" w:after="120"/>
              <w:rPr>
                <w:rFonts w:ascii="Arial" w:hAnsi="Arial" w:cs="Arial"/>
                <w:szCs w:val="20"/>
              </w:rPr>
            </w:pPr>
            <w:r w:rsidRPr="000209B9">
              <w:rPr>
                <w:rFonts w:ascii="Arial" w:hAnsi="Arial" w:cs="Arial"/>
                <w:szCs w:val="20"/>
              </w:rPr>
              <w:t>Approving authority</w:t>
            </w:r>
          </w:p>
        </w:tc>
        <w:tc>
          <w:tcPr>
            <w:tcW w:w="3778" w:type="pct"/>
            <w:shd w:val="clear" w:color="auto" w:fill="E6E7E8"/>
          </w:tcPr>
          <w:p w14:paraId="77F724FD" w14:textId="5D0068A7" w:rsidR="008B48A8" w:rsidRPr="000209B9" w:rsidRDefault="005140CC" w:rsidP="004C218A">
            <w:pPr>
              <w:spacing w:before="120" w:after="120"/>
              <w:rPr>
                <w:rFonts w:ascii="Arial" w:hAnsi="Arial" w:cs="Arial"/>
                <w:szCs w:val="20"/>
              </w:rPr>
            </w:pPr>
            <w:r>
              <w:rPr>
                <w:rFonts w:ascii="Arial" w:hAnsi="Arial" w:cs="Arial"/>
                <w:szCs w:val="20"/>
              </w:rPr>
              <w:t>Academic Committee</w:t>
            </w:r>
          </w:p>
        </w:tc>
      </w:tr>
      <w:tr w:rsidR="000F0241" w14:paraId="497B9451" w14:textId="77777777" w:rsidTr="000F0241">
        <w:tc>
          <w:tcPr>
            <w:tcW w:w="1222" w:type="pct"/>
            <w:shd w:val="clear" w:color="auto" w:fill="FFFFFF" w:themeFill="background1"/>
          </w:tcPr>
          <w:p w14:paraId="51C7DC45" w14:textId="77777777" w:rsidR="000F0241" w:rsidRPr="000209B9" w:rsidRDefault="000F0241" w:rsidP="006464C6">
            <w:pPr>
              <w:spacing w:before="120" w:after="120"/>
              <w:rPr>
                <w:rFonts w:ascii="Arial" w:hAnsi="Arial" w:cs="Arial"/>
                <w:szCs w:val="20"/>
              </w:rPr>
            </w:pPr>
          </w:p>
        </w:tc>
        <w:tc>
          <w:tcPr>
            <w:tcW w:w="3778" w:type="pct"/>
            <w:shd w:val="clear" w:color="auto" w:fill="FFFFFF" w:themeFill="background1"/>
          </w:tcPr>
          <w:p w14:paraId="7B5A1243" w14:textId="77777777" w:rsidR="000F0241" w:rsidRDefault="000F0241" w:rsidP="006464C6">
            <w:pPr>
              <w:spacing w:before="120" w:after="120"/>
              <w:rPr>
                <w:rFonts w:ascii="Arial" w:hAnsi="Arial" w:cs="Arial"/>
                <w:szCs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363A85" w14:paraId="10B6998B" w14:textId="77777777" w:rsidTr="006464C6">
        <w:trPr>
          <w:tblHeader/>
        </w:trPr>
        <w:tc>
          <w:tcPr>
            <w:tcW w:w="5000" w:type="pct"/>
            <w:gridSpan w:val="2"/>
            <w:shd w:val="clear" w:color="auto" w:fill="595959" w:themeFill="text1" w:themeFillTint="A6"/>
          </w:tcPr>
          <w:p w14:paraId="1E57286D" w14:textId="2CDBEC96" w:rsidR="00363A85" w:rsidRPr="000209B9" w:rsidRDefault="00363A85" w:rsidP="000E2A8A">
            <w:pPr>
              <w:spacing w:before="120" w:after="120"/>
              <w:rPr>
                <w:rFonts w:ascii="Arial" w:hAnsi="Arial" w:cs="Arial"/>
              </w:rPr>
            </w:pPr>
            <w:r w:rsidRPr="00FC5552">
              <w:rPr>
                <w:rFonts w:ascii="Arial" w:hAnsi="Arial" w:cs="Arial"/>
                <w:b/>
                <w:bCs/>
                <w:caps/>
                <w:color w:val="FFFFFF" w:themeColor="background1"/>
                <w:sz w:val="24"/>
                <w:szCs w:val="24"/>
              </w:rPr>
              <w:lastRenderedPageBreak/>
              <w:t>RELATED POLICY DOCUMENTS AND supporting documents</w:t>
            </w:r>
          </w:p>
        </w:tc>
      </w:tr>
      <w:tr w:rsidR="00BD083F" w14:paraId="6B2D8946" w14:textId="77777777" w:rsidTr="006464C6">
        <w:trPr>
          <w:tblHeader/>
        </w:trPr>
        <w:tc>
          <w:tcPr>
            <w:tcW w:w="1222" w:type="pct"/>
            <w:shd w:val="clear" w:color="auto" w:fill="auto"/>
          </w:tcPr>
          <w:p w14:paraId="4EA57448" w14:textId="7F3F95B5" w:rsidR="00A24E55" w:rsidRPr="000209B9" w:rsidRDefault="00A24E55" w:rsidP="000E2A8A">
            <w:pPr>
              <w:spacing w:before="120" w:after="120"/>
              <w:rPr>
                <w:rFonts w:ascii="Arial" w:hAnsi="Arial" w:cs="Arial"/>
                <w:szCs w:val="20"/>
              </w:rPr>
            </w:pPr>
            <w:r w:rsidRPr="000209B9">
              <w:rPr>
                <w:rFonts w:ascii="Arial" w:hAnsi="Arial" w:cs="Arial"/>
                <w:szCs w:val="20"/>
              </w:rPr>
              <w:t xml:space="preserve">Legislation </w:t>
            </w:r>
          </w:p>
        </w:tc>
        <w:tc>
          <w:tcPr>
            <w:tcW w:w="3778" w:type="pct"/>
            <w:shd w:val="clear" w:color="auto" w:fill="auto"/>
          </w:tcPr>
          <w:p w14:paraId="70987005" w14:textId="77777777" w:rsidR="00A24E55" w:rsidRDefault="00000000" w:rsidP="000E2A8A">
            <w:pPr>
              <w:spacing w:before="120" w:after="120"/>
              <w:rPr>
                <w:rStyle w:val="Hyperlink"/>
                <w:rFonts w:ascii="Arial" w:hAnsi="Arial" w:cs="Arial"/>
              </w:rPr>
            </w:pPr>
            <w:hyperlink r:id="rId17" w:history="1">
              <w:r w:rsidR="004254B3" w:rsidRPr="000F0241">
                <w:rPr>
                  <w:rStyle w:val="Hyperlink"/>
                  <w:rFonts w:ascii="Arial" w:hAnsi="Arial" w:cs="Arial"/>
                </w:rPr>
                <w:t>Higher Education Standards Framework (Threshold Standards) 2021</w:t>
              </w:r>
            </w:hyperlink>
          </w:p>
          <w:p w14:paraId="3C6AE059" w14:textId="29E881BF" w:rsidR="001C4515" w:rsidRPr="00BB5561" w:rsidRDefault="00000000" w:rsidP="000E2A8A">
            <w:pPr>
              <w:spacing w:before="120" w:after="120"/>
              <w:rPr>
                <w:rFonts w:ascii="Arial" w:hAnsi="Arial" w:cs="Arial"/>
                <w:szCs w:val="20"/>
              </w:rPr>
            </w:pPr>
            <w:hyperlink r:id="rId18" w:history="1">
              <w:r w:rsidR="00BB5561" w:rsidRPr="00FC288E">
                <w:rPr>
                  <w:rStyle w:val="Hyperlink"/>
                  <w:rFonts w:ascii="Arial" w:hAnsi="Arial" w:cs="Arial"/>
                  <w:szCs w:val="20"/>
                </w:rPr>
                <w:t>National Code of Practice for Providers of Education and Training to Overseas Students 2018</w:t>
              </w:r>
            </w:hyperlink>
          </w:p>
        </w:tc>
      </w:tr>
      <w:tr w:rsidR="00BD083F" w14:paraId="39FA95E6" w14:textId="77777777" w:rsidTr="006464C6">
        <w:trPr>
          <w:tblHeader/>
        </w:trPr>
        <w:tc>
          <w:tcPr>
            <w:tcW w:w="1222" w:type="pct"/>
            <w:shd w:val="clear" w:color="auto" w:fill="E6E7E8"/>
          </w:tcPr>
          <w:p w14:paraId="406D83D7" w14:textId="77777777" w:rsidR="00AA227D" w:rsidRPr="000209B9" w:rsidRDefault="00AA227D" w:rsidP="000E2A8A">
            <w:pPr>
              <w:spacing w:before="120" w:after="120"/>
              <w:rPr>
                <w:rFonts w:ascii="Arial" w:hAnsi="Arial" w:cs="Arial"/>
                <w:szCs w:val="20"/>
              </w:rPr>
            </w:pPr>
            <w:r w:rsidRPr="000209B9">
              <w:rPr>
                <w:rFonts w:ascii="Arial" w:hAnsi="Arial" w:cs="Arial"/>
                <w:szCs w:val="20"/>
              </w:rPr>
              <w:t>Policy</w:t>
            </w:r>
          </w:p>
        </w:tc>
        <w:tc>
          <w:tcPr>
            <w:tcW w:w="3778" w:type="pct"/>
            <w:shd w:val="clear" w:color="auto" w:fill="E6E7E8"/>
          </w:tcPr>
          <w:p w14:paraId="0FF0BD1B" w14:textId="7E352289" w:rsidR="00216D6F" w:rsidRPr="00EF5919" w:rsidRDefault="00EF5919" w:rsidP="00216D6F">
            <w:pPr>
              <w:spacing w:before="120" w:after="120"/>
              <w:rPr>
                <w:rStyle w:val="Hyperlink"/>
                <w:rFonts w:ascii="Arial" w:hAnsi="Arial" w:cs="Arial"/>
                <w:szCs w:val="20"/>
              </w:rPr>
            </w:pPr>
            <w:r>
              <w:rPr>
                <w:rFonts w:ascii="Arial" w:hAnsi="Arial" w:cs="Arial"/>
                <w:szCs w:val="20"/>
              </w:rPr>
              <w:fldChar w:fldCharType="begin"/>
            </w:r>
            <w:r>
              <w:rPr>
                <w:rFonts w:ascii="Arial" w:hAnsi="Arial" w:cs="Arial"/>
                <w:szCs w:val="20"/>
              </w:rPr>
              <w:instrText>HYPERLINK "https://sharepointpubstor.blob.core.windows.net/policylibrary-prod/Admission%20Policy.pdf"</w:instrText>
            </w:r>
            <w:r>
              <w:rPr>
                <w:rFonts w:ascii="Arial" w:hAnsi="Arial" w:cs="Arial"/>
                <w:szCs w:val="20"/>
              </w:rPr>
            </w:r>
            <w:r>
              <w:rPr>
                <w:rFonts w:ascii="Arial" w:hAnsi="Arial" w:cs="Arial"/>
                <w:szCs w:val="20"/>
              </w:rPr>
              <w:fldChar w:fldCharType="separate"/>
            </w:r>
            <w:r w:rsidR="00216D6F" w:rsidRPr="00EF5919">
              <w:rPr>
                <w:rStyle w:val="Hyperlink"/>
                <w:rFonts w:ascii="Arial" w:hAnsi="Arial" w:cs="Arial"/>
                <w:szCs w:val="20"/>
              </w:rPr>
              <w:t>Admission Policy</w:t>
            </w:r>
          </w:p>
          <w:p w14:paraId="72FBFA57" w14:textId="59E7C1B7" w:rsidR="0087667C" w:rsidRPr="003B789E" w:rsidRDefault="00EF5919" w:rsidP="000E2A8A">
            <w:pPr>
              <w:spacing w:before="120" w:after="120"/>
              <w:rPr>
                <w:rFonts w:ascii="Arial" w:hAnsi="Arial" w:cs="Arial"/>
                <w:color w:val="000000" w:themeColor="text1"/>
                <w:szCs w:val="20"/>
              </w:rPr>
            </w:pPr>
            <w:r>
              <w:rPr>
                <w:rFonts w:ascii="Arial" w:hAnsi="Arial" w:cs="Arial"/>
                <w:szCs w:val="20"/>
              </w:rPr>
              <w:fldChar w:fldCharType="end"/>
            </w:r>
            <w:hyperlink r:id="rId19" w:history="1">
              <w:r w:rsidR="0087667C" w:rsidRPr="008253EA">
                <w:rPr>
                  <w:rStyle w:val="Hyperlink"/>
                  <w:rFonts w:ascii="Arial" w:hAnsi="Arial" w:cs="Arial"/>
                  <w:szCs w:val="20"/>
                </w:rPr>
                <w:t>Assessment Policy</w:t>
              </w:r>
            </w:hyperlink>
          </w:p>
          <w:p w14:paraId="47BFCAE0" w14:textId="77777777" w:rsidR="0087667C" w:rsidRPr="00B6183B" w:rsidRDefault="00000000" w:rsidP="000E2A8A">
            <w:pPr>
              <w:spacing w:before="120" w:after="120"/>
              <w:rPr>
                <w:rFonts w:ascii="Arial" w:hAnsi="Arial" w:cs="Arial"/>
                <w:szCs w:val="20"/>
              </w:rPr>
            </w:pPr>
            <w:hyperlink r:id="rId20" w:history="1">
              <w:r w:rsidR="0087667C" w:rsidRPr="00B6183B">
                <w:rPr>
                  <w:rStyle w:val="Hyperlink"/>
                  <w:rFonts w:ascii="Arial" w:hAnsi="Arial" w:cs="Arial"/>
                  <w:szCs w:val="20"/>
                </w:rPr>
                <w:t>Credit and Recognition of Prior Learning Policy</w:t>
              </w:r>
            </w:hyperlink>
          </w:p>
          <w:p w14:paraId="23D6C32D" w14:textId="77777777" w:rsidR="0087667C" w:rsidRDefault="00000000" w:rsidP="000E2A8A">
            <w:pPr>
              <w:spacing w:before="120" w:after="120"/>
              <w:rPr>
                <w:rFonts w:ascii="Arial" w:hAnsi="Arial" w:cs="Arial"/>
                <w:szCs w:val="20"/>
              </w:rPr>
            </w:pPr>
            <w:hyperlink r:id="rId21" w:history="1">
              <w:r w:rsidR="0087667C" w:rsidRPr="0051591B">
                <w:rPr>
                  <w:rStyle w:val="Hyperlink"/>
                  <w:rFonts w:ascii="Arial" w:hAnsi="Arial" w:cs="Arial"/>
                  <w:szCs w:val="20"/>
                </w:rPr>
                <w:t>Due Diligence for Transnational Program Partnerships Policy</w:t>
              </w:r>
            </w:hyperlink>
          </w:p>
          <w:p w14:paraId="010A59FC" w14:textId="77777777" w:rsidR="0087667C" w:rsidRPr="007606F8" w:rsidRDefault="00000000" w:rsidP="000E2A8A">
            <w:pPr>
              <w:spacing w:before="120" w:after="120"/>
              <w:rPr>
                <w:rStyle w:val="Hyperlink"/>
                <w:rFonts w:ascii="Arial" w:hAnsi="Arial" w:cs="Arial"/>
              </w:rPr>
            </w:pPr>
            <w:hyperlink r:id="rId22" w:history="1">
              <w:r w:rsidR="0087667C" w:rsidRPr="007606F8">
                <w:rPr>
                  <w:rStyle w:val="Hyperlink"/>
                  <w:rFonts w:ascii="Arial" w:hAnsi="Arial" w:cs="Arial"/>
                </w:rPr>
                <w:t>Griffith Global Mobility Policy</w:t>
              </w:r>
            </w:hyperlink>
          </w:p>
          <w:p w14:paraId="052ADAB6" w14:textId="77777777" w:rsidR="0087667C" w:rsidRDefault="00000000" w:rsidP="000E2A8A">
            <w:pPr>
              <w:spacing w:before="120" w:after="120"/>
              <w:rPr>
                <w:rStyle w:val="Hyperlink"/>
                <w:rFonts w:ascii="Arial" w:hAnsi="Arial" w:cs="Arial"/>
              </w:rPr>
            </w:pPr>
            <w:hyperlink r:id="rId23" w:history="1">
              <w:r w:rsidR="0087667C" w:rsidRPr="00571546">
                <w:rPr>
                  <w:rStyle w:val="Hyperlink"/>
                  <w:rFonts w:ascii="Arial" w:hAnsi="Arial" w:cs="Arial"/>
                </w:rPr>
                <w:t>Procurement and Supply Policy</w:t>
              </w:r>
            </w:hyperlink>
          </w:p>
          <w:p w14:paraId="58153A81" w14:textId="77777777" w:rsidR="0087667C" w:rsidRDefault="0087667C" w:rsidP="000E2A8A">
            <w:pPr>
              <w:spacing w:before="120" w:after="120"/>
              <w:rPr>
                <w:rFonts w:ascii="Arial" w:hAnsi="Arial" w:cs="Arial"/>
                <w:color w:val="E30918"/>
                <w:szCs w:val="20"/>
                <w:u w:val="single"/>
              </w:rPr>
            </w:pPr>
            <w:r>
              <w:rPr>
                <w:rFonts w:ascii="Arial" w:hAnsi="Arial" w:cs="Arial"/>
                <w:color w:val="E30918"/>
                <w:szCs w:val="20"/>
                <w:u w:val="single"/>
              </w:rPr>
              <w:t xml:space="preserve">Program and Course Policy </w:t>
            </w:r>
          </w:p>
          <w:p w14:paraId="417249A7" w14:textId="4B6427F7" w:rsidR="0087667C" w:rsidRPr="000209B9" w:rsidRDefault="00000000" w:rsidP="000E2A8A">
            <w:pPr>
              <w:spacing w:before="120" w:after="120"/>
              <w:rPr>
                <w:rFonts w:ascii="Arial" w:hAnsi="Arial" w:cs="Arial"/>
                <w:color w:val="E30918"/>
                <w:szCs w:val="20"/>
                <w:u w:val="single"/>
              </w:rPr>
            </w:pPr>
            <w:hyperlink r:id="rId24" w:history="1">
              <w:r w:rsidR="0087667C" w:rsidRPr="00182336">
                <w:rPr>
                  <w:rStyle w:val="Hyperlink"/>
                  <w:rFonts w:ascii="Arial" w:hAnsi="Arial" w:cs="Arial"/>
                  <w:szCs w:val="20"/>
                  <w:lang w:val="en-GB" w:eastAsia="en-US"/>
                </w:rPr>
                <w:t xml:space="preserve">Risk </w:t>
              </w:r>
              <w:r w:rsidR="00182336" w:rsidRPr="00182336">
                <w:rPr>
                  <w:rStyle w:val="Hyperlink"/>
                  <w:rFonts w:ascii="Arial" w:hAnsi="Arial" w:cs="Arial"/>
                  <w:szCs w:val="20"/>
                  <w:lang w:val="en-GB" w:eastAsia="en-US"/>
                </w:rPr>
                <w:t xml:space="preserve">and Resilience Management </w:t>
              </w:r>
              <w:r w:rsidR="0087667C" w:rsidRPr="00182336">
                <w:rPr>
                  <w:rStyle w:val="Hyperlink"/>
                  <w:rFonts w:ascii="Arial" w:hAnsi="Arial" w:cs="Arial"/>
                  <w:szCs w:val="20"/>
                  <w:lang w:val="en-GB" w:eastAsia="en-US"/>
                </w:rPr>
                <w:t>Policy</w:t>
              </w:r>
            </w:hyperlink>
          </w:p>
          <w:p w14:paraId="57E2FC6C" w14:textId="4F952B7A" w:rsidR="00DF0C6D" w:rsidRPr="000209B9" w:rsidRDefault="00000000" w:rsidP="000E2A8A">
            <w:pPr>
              <w:spacing w:before="120" w:after="120"/>
              <w:rPr>
                <w:rFonts w:ascii="Arial" w:hAnsi="Arial" w:cs="Arial"/>
                <w:color w:val="E30918"/>
                <w:szCs w:val="20"/>
                <w:u w:val="single"/>
              </w:rPr>
            </w:pPr>
            <w:hyperlink r:id="rId25" w:history="1">
              <w:r w:rsidR="0087667C" w:rsidRPr="0048150A">
                <w:rPr>
                  <w:rStyle w:val="Hyperlink"/>
                  <w:rFonts w:ascii="Arial" w:hAnsi="Arial" w:cs="Arial"/>
                </w:rPr>
                <w:t>Work Integrated Learning at Griffith Policy</w:t>
              </w:r>
            </w:hyperlink>
          </w:p>
        </w:tc>
      </w:tr>
      <w:tr w:rsidR="00BD083F" w14:paraId="4F2E48CD" w14:textId="77777777" w:rsidTr="006464C6">
        <w:trPr>
          <w:tblHeader/>
        </w:trPr>
        <w:tc>
          <w:tcPr>
            <w:tcW w:w="1222" w:type="pct"/>
            <w:shd w:val="clear" w:color="auto" w:fill="auto"/>
          </w:tcPr>
          <w:p w14:paraId="04ABE946" w14:textId="722603BD" w:rsidR="00AA227D" w:rsidRPr="000209B9" w:rsidRDefault="00AA227D" w:rsidP="000E2A8A">
            <w:pPr>
              <w:spacing w:before="120" w:after="120"/>
              <w:rPr>
                <w:rFonts w:ascii="Arial" w:hAnsi="Arial" w:cs="Arial"/>
                <w:szCs w:val="20"/>
              </w:rPr>
            </w:pPr>
            <w:r w:rsidRPr="000209B9">
              <w:rPr>
                <w:rFonts w:ascii="Arial" w:hAnsi="Arial" w:cs="Arial"/>
                <w:szCs w:val="20"/>
              </w:rPr>
              <w:t>Procedure</w:t>
            </w:r>
          </w:p>
        </w:tc>
        <w:tc>
          <w:tcPr>
            <w:tcW w:w="3778" w:type="pct"/>
            <w:shd w:val="clear" w:color="auto" w:fill="auto"/>
          </w:tcPr>
          <w:p w14:paraId="227F9849" w14:textId="41230D0A" w:rsidR="004263AD" w:rsidRPr="004263AD" w:rsidRDefault="00000000" w:rsidP="000E2A8A">
            <w:pPr>
              <w:spacing w:before="120" w:after="120"/>
              <w:rPr>
                <w:rFonts w:ascii="Arial" w:hAnsi="Arial" w:cs="Arial"/>
              </w:rPr>
            </w:pPr>
            <w:hyperlink r:id="rId26" w:history="1">
              <w:r w:rsidR="004263AD" w:rsidRPr="00A4758E">
                <w:rPr>
                  <w:rStyle w:val="Hyperlink"/>
                  <w:rFonts w:ascii="Arial" w:hAnsi="Arial" w:cs="Arial"/>
                </w:rPr>
                <w:t>Academic Delivery with Other Parties – Domestic Coursework Procedure</w:t>
              </w:r>
            </w:hyperlink>
          </w:p>
          <w:p w14:paraId="48C4D29F" w14:textId="77777777" w:rsidR="0087667C" w:rsidRDefault="00000000" w:rsidP="000E2A8A">
            <w:pPr>
              <w:spacing w:before="120" w:after="120"/>
              <w:rPr>
                <w:rStyle w:val="Hyperlink"/>
              </w:rPr>
            </w:pPr>
            <w:hyperlink r:id="rId27" w:history="1">
              <w:r w:rsidR="0087667C" w:rsidRPr="00634816">
                <w:rPr>
                  <w:rStyle w:val="Hyperlink"/>
                  <w:rFonts w:ascii="Arial" w:hAnsi="Arial" w:cs="Arial"/>
                  <w:szCs w:val="20"/>
                </w:rPr>
                <w:t>Course Approval Procedure</w:t>
              </w:r>
            </w:hyperlink>
          </w:p>
          <w:p w14:paraId="0841C5EC" w14:textId="4915AAA5" w:rsidR="0087667C" w:rsidRPr="00703667" w:rsidRDefault="00000000" w:rsidP="000E2A8A">
            <w:pPr>
              <w:spacing w:before="120" w:after="120"/>
              <w:rPr>
                <w:rFonts w:ascii="Arial" w:hAnsi="Arial" w:cs="Arial"/>
                <w:color w:val="E30918"/>
                <w:szCs w:val="20"/>
                <w:u w:val="single"/>
              </w:rPr>
            </w:pPr>
            <w:hyperlink r:id="rId28" w:history="1">
              <w:r w:rsidR="0087667C" w:rsidRPr="00703667">
                <w:rPr>
                  <w:rStyle w:val="Hyperlink"/>
                  <w:rFonts w:ascii="Arial" w:hAnsi="Arial" w:cs="Arial"/>
                </w:rPr>
                <w:t>Griffith Credentials Planning, Approval and Review Procedure</w:t>
              </w:r>
            </w:hyperlink>
          </w:p>
          <w:p w14:paraId="5E52B145" w14:textId="22ECF079" w:rsidR="0087667C" w:rsidRPr="00BA0818" w:rsidRDefault="00000000" w:rsidP="000E2A8A">
            <w:pPr>
              <w:spacing w:before="120" w:after="120"/>
              <w:rPr>
                <w:rFonts w:ascii="Arial" w:hAnsi="Arial" w:cs="Arial"/>
                <w:szCs w:val="20"/>
                <w:highlight w:val="yellow"/>
              </w:rPr>
            </w:pPr>
            <w:hyperlink r:id="rId29" w:history="1">
              <w:r w:rsidR="0087667C" w:rsidRPr="00D36F91">
                <w:rPr>
                  <w:rStyle w:val="Hyperlink"/>
                  <w:rFonts w:ascii="Arial" w:hAnsi="Arial" w:cs="Arial"/>
                  <w:szCs w:val="20"/>
                </w:rPr>
                <w:t>Planning, Developing and Approving Transnational Programs Procedure</w:t>
              </w:r>
            </w:hyperlink>
          </w:p>
          <w:p w14:paraId="2567894C" w14:textId="77777777" w:rsidR="0087667C" w:rsidRDefault="00000000" w:rsidP="000E2A8A">
            <w:pPr>
              <w:spacing w:before="120" w:after="120"/>
              <w:rPr>
                <w:rStyle w:val="Hyperlink"/>
                <w:rFonts w:ascii="Arial" w:hAnsi="Arial" w:cs="Arial"/>
                <w:szCs w:val="20"/>
              </w:rPr>
            </w:pPr>
            <w:hyperlink r:id="rId30" w:history="1">
              <w:r w:rsidR="0087667C" w:rsidRPr="00821B31">
                <w:rPr>
                  <w:rStyle w:val="Hyperlink"/>
                  <w:rFonts w:ascii="Arial" w:hAnsi="Arial" w:cs="Arial"/>
                  <w:szCs w:val="20"/>
                </w:rPr>
                <w:t>Program and Course Review Procedure</w:t>
              </w:r>
            </w:hyperlink>
          </w:p>
          <w:p w14:paraId="5220CB91" w14:textId="100AEB4C" w:rsidR="00821B31" w:rsidRPr="0087667C" w:rsidRDefault="00000000" w:rsidP="000E2A8A">
            <w:pPr>
              <w:spacing w:before="120" w:after="120"/>
              <w:rPr>
                <w:rFonts w:ascii="Arial" w:hAnsi="Arial" w:cs="Arial"/>
                <w:szCs w:val="20"/>
              </w:rPr>
            </w:pPr>
            <w:hyperlink r:id="rId31" w:history="1">
              <w:r w:rsidR="0087667C" w:rsidRPr="00634816">
                <w:rPr>
                  <w:rStyle w:val="Hyperlink"/>
                  <w:rFonts w:ascii="Arial" w:hAnsi="Arial" w:cs="Arial"/>
                  <w:szCs w:val="20"/>
                </w:rPr>
                <w:t>Program Approval Procedure</w:t>
              </w:r>
            </w:hyperlink>
          </w:p>
        </w:tc>
      </w:tr>
      <w:tr w:rsidR="00BD083F" w:rsidRPr="009F66F7" w14:paraId="404524B8" w14:textId="77777777" w:rsidTr="00992958">
        <w:trPr>
          <w:tblHeader/>
        </w:trPr>
        <w:tc>
          <w:tcPr>
            <w:tcW w:w="1222" w:type="pct"/>
            <w:shd w:val="clear" w:color="auto" w:fill="E7E6E6" w:themeFill="background2"/>
          </w:tcPr>
          <w:p w14:paraId="072FB676" w14:textId="10B7B1A0" w:rsidR="00AA227D" w:rsidRPr="003757C4" w:rsidRDefault="00AA227D" w:rsidP="000E2A8A">
            <w:pPr>
              <w:spacing w:before="120" w:after="120"/>
              <w:rPr>
                <w:rFonts w:ascii="Arial" w:hAnsi="Arial" w:cs="Arial"/>
                <w:szCs w:val="20"/>
              </w:rPr>
            </w:pPr>
            <w:r w:rsidRPr="003757C4">
              <w:rPr>
                <w:rFonts w:ascii="Arial" w:hAnsi="Arial" w:cs="Arial"/>
                <w:szCs w:val="20"/>
              </w:rPr>
              <w:t>Form</w:t>
            </w:r>
          </w:p>
        </w:tc>
        <w:tc>
          <w:tcPr>
            <w:tcW w:w="3778" w:type="pct"/>
            <w:shd w:val="clear" w:color="auto" w:fill="E7E6E6" w:themeFill="background2"/>
          </w:tcPr>
          <w:p w14:paraId="209FBDA1" w14:textId="77777777" w:rsidR="00493DC1" w:rsidRPr="008176FF" w:rsidRDefault="00000000" w:rsidP="00493DC1">
            <w:pPr>
              <w:spacing w:before="120" w:after="120"/>
              <w:rPr>
                <w:rFonts w:ascii="Arial" w:hAnsi="Arial" w:cs="Arial"/>
                <w:szCs w:val="20"/>
                <w:lang w:eastAsia="en-GB"/>
              </w:rPr>
            </w:pPr>
            <w:hyperlink r:id="rId32" w:history="1">
              <w:r w:rsidR="00493DC1" w:rsidRPr="009706A1">
                <w:rPr>
                  <w:rStyle w:val="Hyperlink"/>
                  <w:rFonts w:ascii="Arial" w:hAnsi="Arial" w:cs="Arial"/>
                  <w:szCs w:val="20"/>
                  <w:lang w:eastAsia="en-GB"/>
                </w:rPr>
                <w:t>Academic Delivery with Other Parties – Domestic Coursework Due Diligence Checklist</w:t>
              </w:r>
            </w:hyperlink>
          </w:p>
          <w:p w14:paraId="2B3A8DAD" w14:textId="77777777" w:rsidR="00493DC1" w:rsidRPr="008176FF" w:rsidRDefault="00000000" w:rsidP="00493DC1">
            <w:pPr>
              <w:spacing w:before="120" w:after="120"/>
              <w:rPr>
                <w:rFonts w:ascii="Arial" w:hAnsi="Arial" w:cs="Arial"/>
                <w:szCs w:val="20"/>
                <w:lang w:eastAsia="en-GB"/>
              </w:rPr>
            </w:pPr>
            <w:hyperlink r:id="rId33" w:history="1">
              <w:r w:rsidR="00493DC1" w:rsidRPr="000653DB">
                <w:rPr>
                  <w:rStyle w:val="Hyperlink"/>
                  <w:rFonts w:ascii="Arial" w:hAnsi="Arial" w:cs="Arial"/>
                  <w:szCs w:val="20"/>
                  <w:lang w:eastAsia="en-GB"/>
                </w:rPr>
                <w:t>Academic Delivery with Other Parties – Domestic Coursework Risk Assessment Template</w:t>
              </w:r>
            </w:hyperlink>
          </w:p>
          <w:p w14:paraId="0059E491" w14:textId="2495C787" w:rsidR="00493DC1" w:rsidRPr="008176FF" w:rsidRDefault="00000000" w:rsidP="00493DC1">
            <w:pPr>
              <w:spacing w:before="120" w:after="120"/>
              <w:rPr>
                <w:rFonts w:ascii="Arial" w:hAnsi="Arial" w:cs="Arial"/>
                <w:szCs w:val="20"/>
                <w:lang w:eastAsia="en-GB"/>
              </w:rPr>
            </w:pPr>
            <w:hyperlink r:id="rId34" w:history="1">
              <w:r w:rsidR="00493DC1" w:rsidRPr="00EA75CB">
                <w:rPr>
                  <w:rStyle w:val="Hyperlink"/>
                  <w:rFonts w:ascii="Arial" w:hAnsi="Arial" w:cs="Arial"/>
                  <w:szCs w:val="20"/>
                  <w:lang w:eastAsia="en-GB"/>
                </w:rPr>
                <w:t>Academic Delivery with Other Parties – Domestic Coursework Term Sheet</w:t>
              </w:r>
            </w:hyperlink>
          </w:p>
          <w:p w14:paraId="13A2436E" w14:textId="77777777" w:rsidR="00493DC1" w:rsidRDefault="00000000" w:rsidP="00493DC1">
            <w:pPr>
              <w:spacing w:before="120" w:after="120"/>
              <w:rPr>
                <w:rFonts w:ascii="Arial" w:hAnsi="Arial" w:cs="Arial"/>
                <w:szCs w:val="20"/>
                <w:lang w:eastAsia="en-GB"/>
              </w:rPr>
            </w:pPr>
            <w:hyperlink r:id="rId35" w:history="1">
              <w:r w:rsidR="00493DC1" w:rsidRPr="003B6EAB">
                <w:rPr>
                  <w:rStyle w:val="Hyperlink"/>
                  <w:rFonts w:ascii="Arial" w:hAnsi="Arial" w:cs="Arial"/>
                  <w:szCs w:val="20"/>
                  <w:lang w:eastAsia="en-GB"/>
                </w:rPr>
                <w:t>Academic Delivery with Other Parties – Domestic Coursework Annual Review Template</w:t>
              </w:r>
            </w:hyperlink>
          </w:p>
          <w:p w14:paraId="29F2EBFB" w14:textId="77777777" w:rsidR="00493DC1" w:rsidRDefault="00000000" w:rsidP="00493DC1">
            <w:pPr>
              <w:spacing w:before="120" w:after="120"/>
              <w:rPr>
                <w:rFonts w:ascii="Arial" w:hAnsi="Arial" w:cs="Arial"/>
                <w:szCs w:val="20"/>
                <w:lang w:eastAsia="en-GB"/>
              </w:rPr>
            </w:pPr>
            <w:hyperlink r:id="rId36" w:history="1">
              <w:r w:rsidR="00493DC1" w:rsidRPr="005378ED">
                <w:rPr>
                  <w:rStyle w:val="Hyperlink"/>
                  <w:rFonts w:ascii="Arial" w:hAnsi="Arial" w:cs="Arial"/>
                  <w:szCs w:val="20"/>
                  <w:lang w:eastAsia="en-GB"/>
                </w:rPr>
                <w:t>Academic Delivery with Other Parties – Domestic Coursework Renewal Checklist</w:t>
              </w:r>
            </w:hyperlink>
          </w:p>
          <w:p w14:paraId="200D7B6F" w14:textId="04CF90CE" w:rsidR="001D10B7" w:rsidRPr="00FC288E" w:rsidRDefault="00000000" w:rsidP="00493DC1">
            <w:pPr>
              <w:spacing w:before="120" w:after="120"/>
              <w:rPr>
                <w:rFonts w:ascii="Arial" w:hAnsi="Arial" w:cs="Arial"/>
                <w:highlight w:val="yellow"/>
                <w:lang w:eastAsia="en-GB"/>
              </w:rPr>
            </w:pPr>
            <w:hyperlink r:id="rId37" w:history="1">
              <w:r w:rsidR="001D10B7" w:rsidRPr="008C07F9">
                <w:rPr>
                  <w:rStyle w:val="Hyperlink"/>
                  <w:rFonts w:ascii="Arial" w:hAnsi="Arial" w:cs="Arial"/>
                  <w:lang w:eastAsia="en-GB"/>
                </w:rPr>
                <w:t xml:space="preserve">International </w:t>
              </w:r>
              <w:r w:rsidR="008C07F9" w:rsidRPr="008C07F9">
                <w:rPr>
                  <w:rStyle w:val="Hyperlink"/>
                  <w:rFonts w:ascii="Arial" w:hAnsi="Arial" w:cs="Arial"/>
                  <w:lang w:eastAsia="en-GB"/>
                </w:rPr>
                <w:t xml:space="preserve">Engagement </w:t>
              </w:r>
              <w:r w:rsidR="001D10B7" w:rsidRPr="008C07F9">
                <w:rPr>
                  <w:rStyle w:val="Hyperlink"/>
                  <w:rFonts w:ascii="Arial" w:hAnsi="Arial" w:cs="Arial"/>
                  <w:lang w:eastAsia="en-GB"/>
                </w:rPr>
                <w:t>Checking Tool</w:t>
              </w:r>
            </w:hyperlink>
          </w:p>
        </w:tc>
      </w:tr>
    </w:tbl>
    <w:p w14:paraId="680A8379" w14:textId="03BA350E" w:rsidR="00DA3C93" w:rsidRPr="00DA3C93" w:rsidRDefault="00DA3C93" w:rsidP="00101F0F">
      <w:pPr>
        <w:tabs>
          <w:tab w:val="left" w:pos="8550"/>
        </w:tabs>
        <w:rPr>
          <w:szCs w:val="20"/>
        </w:rPr>
      </w:pPr>
    </w:p>
    <w:sectPr w:rsidR="00DA3C93" w:rsidRPr="00DA3C93" w:rsidSect="004012C6">
      <w:pgSz w:w="11900"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E9F4" w14:textId="77777777" w:rsidR="004012C6" w:rsidRDefault="004012C6" w:rsidP="00F45E9C">
      <w:r>
        <w:separator/>
      </w:r>
    </w:p>
  </w:endnote>
  <w:endnote w:type="continuationSeparator" w:id="0">
    <w:p w14:paraId="1907DABB" w14:textId="77777777" w:rsidR="004012C6" w:rsidRDefault="004012C6" w:rsidP="00F45E9C">
      <w:r>
        <w:continuationSeparator/>
      </w:r>
    </w:p>
  </w:endnote>
  <w:endnote w:type="continuationNotice" w:id="1">
    <w:p w14:paraId="1E20A551" w14:textId="77777777" w:rsidR="004012C6" w:rsidRDefault="00401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notTrueType/>
    <w:pitch w:val="variable"/>
    <w:sig w:usb0="800000AF" w:usb1="4000204A" w:usb2="00000000" w:usb3="00000000" w:csb0="00000111"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Yu Mincho">
    <w:altName w:val="Yu Gothic"/>
    <w:charset w:val="80"/>
    <w:family w:val="roman"/>
    <w:pitch w:val="variable"/>
    <w:sig w:usb0="800002E7" w:usb1="2AC7FCFF" w:usb2="00000012" w:usb3="00000000" w:csb0="0002009F" w:csb1="00000000"/>
  </w:font>
  <w:font w:name="FoundrySterling-Book">
    <w:altName w:val="Courier New"/>
    <w:panose1 w:val="02000503040000020004"/>
    <w:charset w:val="4D"/>
    <w:family w:val="auto"/>
    <w:notTrueType/>
    <w:pitch w:val="variable"/>
    <w:sig w:usb0="800000AF" w:usb1="5000205B" w:usb2="00000000" w:usb3="00000000" w:csb0="00000001" w:csb1="00000000"/>
  </w:font>
  <w:font w:name="Lucida Grande">
    <w:altName w:val="Segoe UI"/>
    <w:charset w:val="00"/>
    <w:family w:val="auto"/>
    <w:pitch w:val="variable"/>
    <w:sig w:usb0="E1001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3C91732" w14:textId="1F4D5405" w:rsidR="00363A85" w:rsidRDefault="00363A85" w:rsidP="00363A85">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v:group id="Group 3" style="position:absolute;margin-left:0;margin-top:-231.75pt;width:280.7pt;height:280.65pt;z-index:251661312;mso-position-horizontal:left;mso-position-horizontal-relative:page;mso-width-relative:margin;mso-height-relative:margin" coordsize="39606,39598" o:spid="_x0000_s1026" w14:anchorId="6E6F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8457C9" w:rsidRPr="008457C9">
          <w:rPr>
            <w:rFonts w:asciiTheme="minorHAnsi" w:hAnsiTheme="minorHAnsi" w:cstheme="minorHAnsi"/>
            <w:color w:val="70787B"/>
            <w:sz w:val="15"/>
            <w:szCs w:val="15"/>
          </w:rPr>
          <w:t xml:space="preserve"> </w:t>
        </w:r>
        <w:r w:rsidR="008457C9">
          <w:rPr>
            <w:rFonts w:asciiTheme="minorHAnsi" w:hAnsiTheme="minorHAnsi" w:cstheme="minorHAnsi"/>
            <w:color w:val="70787B"/>
            <w:sz w:val="15"/>
            <w:szCs w:val="15"/>
          </w:rPr>
          <w:t>Academic Delivery with Other Parties</w:t>
        </w:r>
        <w:r w:rsidR="00643DF5">
          <w:rPr>
            <w:rFonts w:asciiTheme="minorHAnsi" w:hAnsiTheme="minorHAnsi" w:cstheme="minorHAnsi"/>
            <w:color w:val="70787B"/>
            <w:sz w:val="15"/>
            <w:szCs w:val="15"/>
          </w:rPr>
          <w:t xml:space="preserve"> Policy</w:t>
        </w:r>
        <w:r w:rsidRPr="000209B9">
          <w:rPr>
            <w:rFonts w:asciiTheme="minorHAnsi" w:hAnsiTheme="minorHAnsi" w:cstheme="minorHAnsi"/>
            <w:color w:val="70787B"/>
            <w:sz w:val="15"/>
            <w:szCs w:val="15"/>
          </w:rPr>
          <w:t xml:space="preserve"> | </w:t>
        </w:r>
        <w:r w:rsidR="006609F8">
          <w:rPr>
            <w:rFonts w:asciiTheme="minorHAnsi" w:hAnsiTheme="minorHAnsi" w:cstheme="minorHAnsi"/>
            <w:color w:val="70787B"/>
            <w:sz w:val="15"/>
            <w:szCs w:val="15"/>
          </w:rPr>
          <w:t xml:space="preserve">March </w:t>
        </w:r>
        <w:r w:rsidR="00643DF5">
          <w:rPr>
            <w:rFonts w:asciiTheme="minorHAnsi" w:hAnsiTheme="minorHAnsi" w:cstheme="minorHAnsi"/>
            <w:color w:val="70787B"/>
            <w:sz w:val="15"/>
            <w:szCs w:val="15"/>
          </w:rPr>
          <w:t>2023</w:t>
        </w:r>
        <w:r w:rsidRPr="000209B9">
          <w:rPr>
            <w:rFonts w:asciiTheme="minorHAnsi" w:hAnsiTheme="minorHAnsi" w:cstheme="minorHAnsi"/>
            <w:color w:val="70787B"/>
            <w:sz w:val="15"/>
            <w:szCs w:val="15"/>
          </w:rPr>
          <w:t xml:space="preserve"> </w:t>
        </w:r>
      </w:p>
      <w:p w14:paraId="148BAFEF" w14:textId="0C0B3F39" w:rsidR="00363A85" w:rsidRPr="000209B9" w:rsidRDefault="00363A8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C218A">
          <w:rPr>
            <w:rFonts w:asciiTheme="minorHAnsi" w:hAnsiTheme="minorHAnsi" w:cstheme="minorHAnsi"/>
            <w:color w:val="70787B"/>
            <w:sz w:val="15"/>
            <w:szCs w:val="15"/>
          </w:rPr>
          <w:t>2023/0000</w:t>
        </w:r>
        <w:r w:rsidR="005140CC">
          <w:rPr>
            <w:rFonts w:asciiTheme="minorHAnsi" w:hAnsiTheme="minorHAnsi" w:cstheme="minorHAnsi"/>
            <w:color w:val="70787B"/>
            <w:sz w:val="15"/>
            <w:szCs w:val="15"/>
          </w:rPr>
          <w:t>427</w:t>
        </w:r>
      </w:p>
      <w:p w14:paraId="72E352E7" w14:textId="4DE92456" w:rsidR="00363A85" w:rsidRDefault="00363A85"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27D8B772" w14:textId="60CA913E" w:rsidR="00EC76B1" w:rsidRDefault="00643DF5"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Academic </w:t>
        </w:r>
        <w:r w:rsidR="00821CB2">
          <w:rPr>
            <w:rFonts w:asciiTheme="minorHAnsi" w:hAnsiTheme="minorHAnsi" w:cstheme="minorHAnsi"/>
            <w:color w:val="70787B"/>
            <w:sz w:val="15"/>
            <w:szCs w:val="15"/>
          </w:rPr>
          <w:t>Delivery with Other Parties</w:t>
        </w:r>
        <w:r>
          <w:rPr>
            <w:rFonts w:asciiTheme="minorHAnsi" w:hAnsiTheme="minorHAnsi" w:cstheme="minorHAnsi"/>
            <w:color w:val="70787B"/>
            <w:sz w:val="15"/>
            <w:szCs w:val="15"/>
          </w:rPr>
          <w:t xml:space="preserve"> Policy</w:t>
        </w:r>
        <w:r w:rsidR="00EC76B1" w:rsidRPr="000209B9">
          <w:rPr>
            <w:rFonts w:asciiTheme="minorHAnsi" w:hAnsiTheme="minorHAnsi" w:cstheme="minorHAnsi"/>
            <w:color w:val="70787B"/>
            <w:sz w:val="15"/>
            <w:szCs w:val="15"/>
          </w:rPr>
          <w:t xml:space="preserve"> | </w:t>
        </w:r>
        <w:r w:rsidR="008457C9">
          <w:rPr>
            <w:rFonts w:asciiTheme="minorHAnsi" w:hAnsiTheme="minorHAnsi" w:cstheme="minorHAnsi"/>
            <w:color w:val="70787B"/>
            <w:sz w:val="15"/>
            <w:szCs w:val="15"/>
          </w:rPr>
          <w:t>March</w:t>
        </w:r>
        <w:r w:rsidR="00EC76B1" w:rsidRPr="000209B9">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r w:rsidR="00EC76B1" w:rsidRPr="000209B9">
          <w:rPr>
            <w:rFonts w:asciiTheme="minorHAnsi" w:hAnsiTheme="minorHAnsi" w:cstheme="minorHAnsi"/>
            <w:color w:val="70787B"/>
            <w:sz w:val="15"/>
            <w:szCs w:val="15"/>
          </w:rPr>
          <w:t xml:space="preserve"> </w:t>
        </w:r>
      </w:p>
      <w:p w14:paraId="40026289" w14:textId="7A793873" w:rsidR="00EC76B1" w:rsidRPr="000209B9" w:rsidRDefault="00EC76B1" w:rsidP="00363A8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140CC">
          <w:rPr>
            <w:rFonts w:asciiTheme="minorHAnsi" w:hAnsiTheme="minorHAnsi" w:cstheme="minorHAnsi"/>
            <w:color w:val="70787B"/>
            <w:sz w:val="15"/>
            <w:szCs w:val="15"/>
          </w:rPr>
          <w:t>2023/0000427</w:t>
        </w:r>
      </w:p>
      <w:p w14:paraId="368AFE9B" w14:textId="77777777" w:rsidR="00EC76B1" w:rsidRDefault="00EC76B1" w:rsidP="00363A85">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F0E2" w14:textId="77777777" w:rsidR="004012C6" w:rsidRDefault="004012C6" w:rsidP="00F45E9C">
      <w:r>
        <w:separator/>
      </w:r>
    </w:p>
  </w:footnote>
  <w:footnote w:type="continuationSeparator" w:id="0">
    <w:p w14:paraId="35761CBD" w14:textId="77777777" w:rsidR="004012C6" w:rsidRDefault="004012C6" w:rsidP="00F45E9C">
      <w:r>
        <w:continuationSeparator/>
      </w:r>
    </w:p>
  </w:footnote>
  <w:footnote w:type="continuationNotice" w:id="1">
    <w:p w14:paraId="263B95B7" w14:textId="77777777" w:rsidR="004012C6" w:rsidRDefault="004012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37ABA484" w:rsidR="00F45E9C" w:rsidRPr="00577FA9" w:rsidRDefault="00D87683" w:rsidP="00D87683">
    <w:pPr>
      <w:pStyle w:val="Header"/>
      <w:ind w:right="50"/>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1"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ascii="Arial" w:hAnsi="Arial" w:cs="Arial"/>
        <w:b/>
        <w:bCs/>
        <w:noProof/>
        <w:color w:val="70787B"/>
        <w:sz w:val="52"/>
        <w:szCs w:val="52"/>
      </w:rPr>
      <mc:AlternateContent>
        <mc:Choice Requires="wps">
          <w:drawing>
            <wp:anchor distT="0" distB="0" distL="114300" distR="114300" simplePos="0" relativeHeight="251658240"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00CC69B4" w:rsidRPr="00577FA9">
      <w:rPr>
        <w:rFonts w:ascii="Arial" w:hAnsi="Arial"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3B5B" w14:textId="562ABD20" w:rsidR="00665E59" w:rsidRDefault="00665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35D9C2E6" w:rsidR="00D87683" w:rsidRPr="00577FA9" w:rsidRDefault="00D87683" w:rsidP="00D87683">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2"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4B6B" w14:textId="017890FD" w:rsidR="00665E59" w:rsidRDefault="00665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AB5"/>
    <w:multiLevelType w:val="hybridMultilevel"/>
    <w:tmpl w:val="667AB6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F5432"/>
    <w:multiLevelType w:val="hybridMultilevel"/>
    <w:tmpl w:val="34CAA0C0"/>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A5C7B"/>
    <w:multiLevelType w:val="hybridMultilevel"/>
    <w:tmpl w:val="39E0CB4E"/>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2051F"/>
    <w:multiLevelType w:val="hybridMultilevel"/>
    <w:tmpl w:val="3FF884CE"/>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7668D"/>
    <w:multiLevelType w:val="hybridMultilevel"/>
    <w:tmpl w:val="E966806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02F5A"/>
    <w:multiLevelType w:val="hybridMultilevel"/>
    <w:tmpl w:val="781EB34E"/>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D2E5DD9"/>
    <w:multiLevelType w:val="multilevel"/>
    <w:tmpl w:val="4D28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93FA2"/>
    <w:multiLevelType w:val="hybridMultilevel"/>
    <w:tmpl w:val="CC94DD3E"/>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A4E5875"/>
    <w:multiLevelType w:val="hybridMultilevel"/>
    <w:tmpl w:val="9AA2E036"/>
    <w:lvl w:ilvl="0" w:tplc="BEA4178E">
      <w:start w:val="1"/>
      <w:numFmt w:val="bullet"/>
      <w:lvlText w:val=""/>
      <w:lvlJc w:val="left"/>
      <w:pPr>
        <w:ind w:left="720" w:hanging="360"/>
      </w:pPr>
      <w:rPr>
        <w:rFonts w:ascii="Wingdings" w:hAnsi="Wingdings"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66CA5"/>
    <w:multiLevelType w:val="hybridMultilevel"/>
    <w:tmpl w:val="76484096"/>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1D2B3589"/>
    <w:multiLevelType w:val="hybridMultilevel"/>
    <w:tmpl w:val="F29AB6A8"/>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332C93"/>
    <w:multiLevelType w:val="hybridMultilevel"/>
    <w:tmpl w:val="1AEC111C"/>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65D0517"/>
    <w:multiLevelType w:val="hybridMultilevel"/>
    <w:tmpl w:val="44EC922E"/>
    <w:lvl w:ilvl="0" w:tplc="BEA4178E">
      <w:start w:val="1"/>
      <w:numFmt w:val="bullet"/>
      <w:lvlText w:val=""/>
      <w:lvlJc w:val="left"/>
      <w:pPr>
        <w:ind w:left="1146" w:hanging="360"/>
      </w:pPr>
      <w:rPr>
        <w:rFonts w:ascii="Wingdings" w:hAnsi="Wingdings" w:hint="default"/>
        <w:color w:val="E309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49C0C4E"/>
    <w:multiLevelType w:val="hybridMultilevel"/>
    <w:tmpl w:val="894E1F6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A248E"/>
    <w:multiLevelType w:val="hybridMultilevel"/>
    <w:tmpl w:val="03427250"/>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CE67FE"/>
    <w:multiLevelType w:val="hybridMultilevel"/>
    <w:tmpl w:val="90D0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163A6"/>
    <w:multiLevelType w:val="multilevel"/>
    <w:tmpl w:val="63ECD2E6"/>
    <w:lvl w:ilvl="0">
      <w:start w:val="3"/>
      <w:numFmt w:val="decimal"/>
      <w:lvlText w:val="%1"/>
      <w:lvlJc w:val="left"/>
      <w:pPr>
        <w:ind w:left="400" w:hanging="400"/>
      </w:pPr>
      <w:rPr>
        <w:rFonts w:hint="default"/>
        <w:color w:val="auto"/>
      </w:rPr>
    </w:lvl>
    <w:lvl w:ilvl="1">
      <w:start w:val="1"/>
      <w:numFmt w:val="decimal"/>
      <w:lvlText w:val="%1.%2"/>
      <w:lvlJc w:val="left"/>
      <w:pPr>
        <w:ind w:left="613" w:hanging="400"/>
      </w:pPr>
      <w:rPr>
        <w:rFonts w:hint="default"/>
        <w:color w:val="auto"/>
      </w:rPr>
    </w:lvl>
    <w:lvl w:ilvl="2">
      <w:start w:val="7"/>
      <w:numFmt w:val="decimal"/>
      <w:lvlText w:val="%1.%2.%3"/>
      <w:lvlJc w:val="left"/>
      <w:pPr>
        <w:ind w:left="1146" w:hanging="720"/>
      </w:pPr>
      <w:rPr>
        <w:rFonts w:hint="default"/>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8" w15:restartNumberingAfterBreak="0">
    <w:nsid w:val="4DB44A18"/>
    <w:multiLevelType w:val="multilevel"/>
    <w:tmpl w:val="785CE6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2C4012"/>
    <w:multiLevelType w:val="hybridMultilevel"/>
    <w:tmpl w:val="64161400"/>
    <w:lvl w:ilvl="0" w:tplc="BEA4178E">
      <w:start w:val="1"/>
      <w:numFmt w:val="bullet"/>
      <w:lvlText w:val=""/>
      <w:lvlJc w:val="left"/>
      <w:pPr>
        <w:ind w:left="502"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4068F2"/>
    <w:multiLevelType w:val="hybridMultilevel"/>
    <w:tmpl w:val="D42A09A4"/>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4F77DA"/>
    <w:multiLevelType w:val="hybridMultilevel"/>
    <w:tmpl w:val="5FD2869A"/>
    <w:lvl w:ilvl="0" w:tplc="BEA4178E">
      <w:start w:val="1"/>
      <w:numFmt w:val="bullet"/>
      <w:lvlText w:val=""/>
      <w:lvlJc w:val="left"/>
      <w:pPr>
        <w:ind w:left="720" w:hanging="360"/>
      </w:pPr>
      <w:rPr>
        <w:rFonts w:ascii="Wingdings" w:hAnsi="Wingdings" w:hint="default"/>
        <w:color w:val="E30918"/>
      </w:rPr>
    </w:lvl>
    <w:lvl w:ilvl="1" w:tplc="6212A2CA">
      <w:start w:val="19"/>
      <w:numFmt w:val="bullet"/>
      <w:lvlText w:val="-"/>
      <w:lvlJc w:val="left"/>
      <w:pPr>
        <w:ind w:left="1789"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E2373"/>
    <w:multiLevelType w:val="multilevel"/>
    <w:tmpl w:val="785CE6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877141"/>
    <w:multiLevelType w:val="hybridMultilevel"/>
    <w:tmpl w:val="5182542A"/>
    <w:lvl w:ilvl="0" w:tplc="BEA4178E">
      <w:start w:val="1"/>
      <w:numFmt w:val="bullet"/>
      <w:lvlText w:val=""/>
      <w:lvlJc w:val="left"/>
      <w:pPr>
        <w:ind w:left="1146" w:hanging="360"/>
      </w:pPr>
      <w:rPr>
        <w:rFonts w:ascii="Wingdings" w:hAnsi="Wingdings" w:hint="default"/>
        <w:color w:val="E30918"/>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13B3E14"/>
    <w:multiLevelType w:val="hybridMultilevel"/>
    <w:tmpl w:val="A53A1B60"/>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16D64"/>
    <w:multiLevelType w:val="multilevel"/>
    <w:tmpl w:val="D084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E5526"/>
    <w:multiLevelType w:val="hybridMultilevel"/>
    <w:tmpl w:val="AD2CE93C"/>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3B76C7"/>
    <w:multiLevelType w:val="hybridMultilevel"/>
    <w:tmpl w:val="2934F6A4"/>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5115325">
    <w:abstractNumId w:val="15"/>
  </w:num>
  <w:num w:numId="2" w16cid:durableId="200165514">
    <w:abstractNumId w:val="28"/>
  </w:num>
  <w:num w:numId="3" w16cid:durableId="1345353227">
    <w:abstractNumId w:val="21"/>
  </w:num>
  <w:num w:numId="4" w16cid:durableId="1211771532">
    <w:abstractNumId w:val="27"/>
  </w:num>
  <w:num w:numId="5" w16cid:durableId="1664699410">
    <w:abstractNumId w:val="9"/>
  </w:num>
  <w:num w:numId="6" w16cid:durableId="205455516">
    <w:abstractNumId w:val="11"/>
  </w:num>
  <w:num w:numId="7" w16cid:durableId="575214278">
    <w:abstractNumId w:val="23"/>
  </w:num>
  <w:num w:numId="8" w16cid:durableId="1239317523">
    <w:abstractNumId w:val="12"/>
  </w:num>
  <w:num w:numId="9" w16cid:durableId="924916811">
    <w:abstractNumId w:val="7"/>
  </w:num>
  <w:num w:numId="10" w16cid:durableId="643775058">
    <w:abstractNumId w:val="5"/>
  </w:num>
  <w:num w:numId="11" w16cid:durableId="140584555">
    <w:abstractNumId w:val="4"/>
  </w:num>
  <w:num w:numId="12" w16cid:durableId="2087335288">
    <w:abstractNumId w:val="3"/>
  </w:num>
  <w:num w:numId="13" w16cid:durableId="1616715565">
    <w:abstractNumId w:val="13"/>
  </w:num>
  <w:num w:numId="14" w16cid:durableId="483469618">
    <w:abstractNumId w:val="17"/>
  </w:num>
  <w:num w:numId="15" w16cid:durableId="820390637">
    <w:abstractNumId w:val="16"/>
  </w:num>
  <w:num w:numId="16" w16cid:durableId="1857570446">
    <w:abstractNumId w:val="26"/>
  </w:num>
  <w:num w:numId="17" w16cid:durableId="1800563553">
    <w:abstractNumId w:val="0"/>
  </w:num>
  <w:num w:numId="18" w16cid:durableId="1744062675">
    <w:abstractNumId w:val="1"/>
  </w:num>
  <w:num w:numId="19" w16cid:durableId="589002788">
    <w:abstractNumId w:val="19"/>
  </w:num>
  <w:num w:numId="20" w16cid:durableId="1814134399">
    <w:abstractNumId w:val="22"/>
  </w:num>
  <w:num w:numId="21" w16cid:durableId="243299788">
    <w:abstractNumId w:val="20"/>
  </w:num>
  <w:num w:numId="22" w16cid:durableId="504517958">
    <w:abstractNumId w:val="14"/>
  </w:num>
  <w:num w:numId="23" w16cid:durableId="882979928">
    <w:abstractNumId w:val="18"/>
  </w:num>
  <w:num w:numId="24" w16cid:durableId="2023125647">
    <w:abstractNumId w:val="10"/>
  </w:num>
  <w:num w:numId="25" w16cid:durableId="952632650">
    <w:abstractNumId w:val="2"/>
  </w:num>
  <w:num w:numId="26" w16cid:durableId="1524712925">
    <w:abstractNumId w:val="24"/>
  </w:num>
  <w:num w:numId="27" w16cid:durableId="569776116">
    <w:abstractNumId w:val="8"/>
  </w:num>
  <w:num w:numId="28" w16cid:durableId="88551981">
    <w:abstractNumId w:val="25"/>
  </w:num>
  <w:num w:numId="29" w16cid:durableId="2741848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2E0"/>
    <w:rsid w:val="00001814"/>
    <w:rsid w:val="000024C5"/>
    <w:rsid w:val="000111FD"/>
    <w:rsid w:val="0001254D"/>
    <w:rsid w:val="00016D08"/>
    <w:rsid w:val="000206C8"/>
    <w:rsid w:val="000209B0"/>
    <w:rsid w:val="000209B9"/>
    <w:rsid w:val="00020F51"/>
    <w:rsid w:val="000214B8"/>
    <w:rsid w:val="00023997"/>
    <w:rsid w:val="00025866"/>
    <w:rsid w:val="000261E3"/>
    <w:rsid w:val="0002706D"/>
    <w:rsid w:val="0003378E"/>
    <w:rsid w:val="00035ACC"/>
    <w:rsid w:val="00035FC1"/>
    <w:rsid w:val="00036C39"/>
    <w:rsid w:val="000372F6"/>
    <w:rsid w:val="0003751A"/>
    <w:rsid w:val="00037E6F"/>
    <w:rsid w:val="000408E3"/>
    <w:rsid w:val="00040BB8"/>
    <w:rsid w:val="00041B5B"/>
    <w:rsid w:val="00042E2C"/>
    <w:rsid w:val="00045859"/>
    <w:rsid w:val="00045D5F"/>
    <w:rsid w:val="00047DEC"/>
    <w:rsid w:val="00047E6F"/>
    <w:rsid w:val="00050910"/>
    <w:rsid w:val="00051573"/>
    <w:rsid w:val="00051715"/>
    <w:rsid w:val="00051ED4"/>
    <w:rsid w:val="00052B20"/>
    <w:rsid w:val="00052E7B"/>
    <w:rsid w:val="0005347C"/>
    <w:rsid w:val="00053A5F"/>
    <w:rsid w:val="000549BD"/>
    <w:rsid w:val="00054DB4"/>
    <w:rsid w:val="000576DF"/>
    <w:rsid w:val="000615F6"/>
    <w:rsid w:val="000674C0"/>
    <w:rsid w:val="000705CA"/>
    <w:rsid w:val="00071436"/>
    <w:rsid w:val="00074D4D"/>
    <w:rsid w:val="0007515C"/>
    <w:rsid w:val="00081FC0"/>
    <w:rsid w:val="0008232C"/>
    <w:rsid w:val="0008328C"/>
    <w:rsid w:val="000858E8"/>
    <w:rsid w:val="00087B28"/>
    <w:rsid w:val="00092BBE"/>
    <w:rsid w:val="0009438A"/>
    <w:rsid w:val="000959A2"/>
    <w:rsid w:val="00096ABF"/>
    <w:rsid w:val="000A2F0A"/>
    <w:rsid w:val="000A4EB6"/>
    <w:rsid w:val="000A63B9"/>
    <w:rsid w:val="000A716C"/>
    <w:rsid w:val="000A7699"/>
    <w:rsid w:val="000B2068"/>
    <w:rsid w:val="000B2A51"/>
    <w:rsid w:val="000B36E4"/>
    <w:rsid w:val="000B3767"/>
    <w:rsid w:val="000B7D0C"/>
    <w:rsid w:val="000C5A04"/>
    <w:rsid w:val="000C67E1"/>
    <w:rsid w:val="000C74E1"/>
    <w:rsid w:val="000D12BD"/>
    <w:rsid w:val="000D395D"/>
    <w:rsid w:val="000D5843"/>
    <w:rsid w:val="000D75F3"/>
    <w:rsid w:val="000D7893"/>
    <w:rsid w:val="000E1676"/>
    <w:rsid w:val="000E1747"/>
    <w:rsid w:val="000E1AC6"/>
    <w:rsid w:val="000E2A8A"/>
    <w:rsid w:val="000E44D8"/>
    <w:rsid w:val="000E46B1"/>
    <w:rsid w:val="000E46E9"/>
    <w:rsid w:val="000E4CBE"/>
    <w:rsid w:val="000E5D52"/>
    <w:rsid w:val="000E5D83"/>
    <w:rsid w:val="000E7627"/>
    <w:rsid w:val="000F0241"/>
    <w:rsid w:val="000F0714"/>
    <w:rsid w:val="000F0B20"/>
    <w:rsid w:val="000F3F11"/>
    <w:rsid w:val="000F6955"/>
    <w:rsid w:val="000F7306"/>
    <w:rsid w:val="001010A1"/>
    <w:rsid w:val="00101F0F"/>
    <w:rsid w:val="00102763"/>
    <w:rsid w:val="00102D19"/>
    <w:rsid w:val="001032A8"/>
    <w:rsid w:val="001040E4"/>
    <w:rsid w:val="00105063"/>
    <w:rsid w:val="0010768E"/>
    <w:rsid w:val="00110E07"/>
    <w:rsid w:val="00114D22"/>
    <w:rsid w:val="00120AF9"/>
    <w:rsid w:val="001218DB"/>
    <w:rsid w:val="00122CF0"/>
    <w:rsid w:val="00123696"/>
    <w:rsid w:val="00123A9F"/>
    <w:rsid w:val="001254E2"/>
    <w:rsid w:val="001256AB"/>
    <w:rsid w:val="0013141E"/>
    <w:rsid w:val="001342E0"/>
    <w:rsid w:val="001366E0"/>
    <w:rsid w:val="001369AA"/>
    <w:rsid w:val="00137187"/>
    <w:rsid w:val="0014091F"/>
    <w:rsid w:val="00140E32"/>
    <w:rsid w:val="0014618D"/>
    <w:rsid w:val="00147A35"/>
    <w:rsid w:val="00147B11"/>
    <w:rsid w:val="00152D7D"/>
    <w:rsid w:val="001537D5"/>
    <w:rsid w:val="0015453E"/>
    <w:rsid w:val="00154868"/>
    <w:rsid w:val="00160AD8"/>
    <w:rsid w:val="00162972"/>
    <w:rsid w:val="0016314E"/>
    <w:rsid w:val="00163473"/>
    <w:rsid w:val="00164EFF"/>
    <w:rsid w:val="00167AA8"/>
    <w:rsid w:val="001735D3"/>
    <w:rsid w:val="0017412E"/>
    <w:rsid w:val="00175465"/>
    <w:rsid w:val="00176109"/>
    <w:rsid w:val="00180673"/>
    <w:rsid w:val="00180A28"/>
    <w:rsid w:val="00181BF5"/>
    <w:rsid w:val="00182336"/>
    <w:rsid w:val="00183701"/>
    <w:rsid w:val="00191CEB"/>
    <w:rsid w:val="00192ACD"/>
    <w:rsid w:val="0019334F"/>
    <w:rsid w:val="001957E9"/>
    <w:rsid w:val="00195AD0"/>
    <w:rsid w:val="001A0DF5"/>
    <w:rsid w:val="001A11AF"/>
    <w:rsid w:val="001A138A"/>
    <w:rsid w:val="001A1ABF"/>
    <w:rsid w:val="001A1FEC"/>
    <w:rsid w:val="001A3A01"/>
    <w:rsid w:val="001A3D4F"/>
    <w:rsid w:val="001A6550"/>
    <w:rsid w:val="001A6931"/>
    <w:rsid w:val="001B1A39"/>
    <w:rsid w:val="001B25A7"/>
    <w:rsid w:val="001B70A5"/>
    <w:rsid w:val="001C4515"/>
    <w:rsid w:val="001C6E82"/>
    <w:rsid w:val="001D0C8A"/>
    <w:rsid w:val="001D0DB6"/>
    <w:rsid w:val="001D10B7"/>
    <w:rsid w:val="001D2660"/>
    <w:rsid w:val="001D42E4"/>
    <w:rsid w:val="001D4694"/>
    <w:rsid w:val="001D7855"/>
    <w:rsid w:val="001D792D"/>
    <w:rsid w:val="001E01FB"/>
    <w:rsid w:val="001E08B2"/>
    <w:rsid w:val="001E1E41"/>
    <w:rsid w:val="001E24A6"/>
    <w:rsid w:val="001E2809"/>
    <w:rsid w:val="001E3096"/>
    <w:rsid w:val="001E391B"/>
    <w:rsid w:val="001E4F43"/>
    <w:rsid w:val="001E554B"/>
    <w:rsid w:val="001E6438"/>
    <w:rsid w:val="001E7F6A"/>
    <w:rsid w:val="001F026F"/>
    <w:rsid w:val="001F0923"/>
    <w:rsid w:val="001F21E0"/>
    <w:rsid w:val="001F6DA8"/>
    <w:rsid w:val="001F7972"/>
    <w:rsid w:val="002003B9"/>
    <w:rsid w:val="0020066E"/>
    <w:rsid w:val="002015FA"/>
    <w:rsid w:val="00201E7C"/>
    <w:rsid w:val="002043F8"/>
    <w:rsid w:val="002055AC"/>
    <w:rsid w:val="00205F74"/>
    <w:rsid w:val="00206312"/>
    <w:rsid w:val="00206666"/>
    <w:rsid w:val="0021626F"/>
    <w:rsid w:val="00216D6F"/>
    <w:rsid w:val="00217594"/>
    <w:rsid w:val="002205EB"/>
    <w:rsid w:val="00220C4E"/>
    <w:rsid w:val="002237FF"/>
    <w:rsid w:val="002241DB"/>
    <w:rsid w:val="00224219"/>
    <w:rsid w:val="00224B0B"/>
    <w:rsid w:val="002258A4"/>
    <w:rsid w:val="00231E7F"/>
    <w:rsid w:val="00235CA9"/>
    <w:rsid w:val="0023609F"/>
    <w:rsid w:val="0024236C"/>
    <w:rsid w:val="00242A8C"/>
    <w:rsid w:val="00244248"/>
    <w:rsid w:val="002459CA"/>
    <w:rsid w:val="00245E8D"/>
    <w:rsid w:val="00246601"/>
    <w:rsid w:val="00246CB4"/>
    <w:rsid w:val="00247A00"/>
    <w:rsid w:val="00250E33"/>
    <w:rsid w:val="00250F04"/>
    <w:rsid w:val="00257E43"/>
    <w:rsid w:val="00260514"/>
    <w:rsid w:val="00260F48"/>
    <w:rsid w:val="002622BC"/>
    <w:rsid w:val="0027360B"/>
    <w:rsid w:val="002743A5"/>
    <w:rsid w:val="00274597"/>
    <w:rsid w:val="0027526D"/>
    <w:rsid w:val="00280DC6"/>
    <w:rsid w:val="00281674"/>
    <w:rsid w:val="00282291"/>
    <w:rsid w:val="00282DA2"/>
    <w:rsid w:val="0028385A"/>
    <w:rsid w:val="00284AD3"/>
    <w:rsid w:val="00292052"/>
    <w:rsid w:val="002925C5"/>
    <w:rsid w:val="002939A5"/>
    <w:rsid w:val="002955A3"/>
    <w:rsid w:val="00295CD4"/>
    <w:rsid w:val="002A1393"/>
    <w:rsid w:val="002A1DE8"/>
    <w:rsid w:val="002A78A0"/>
    <w:rsid w:val="002B02ED"/>
    <w:rsid w:val="002B0EC7"/>
    <w:rsid w:val="002B100C"/>
    <w:rsid w:val="002B5AE6"/>
    <w:rsid w:val="002C0695"/>
    <w:rsid w:val="002C2DF2"/>
    <w:rsid w:val="002C43B4"/>
    <w:rsid w:val="002C4450"/>
    <w:rsid w:val="002C6025"/>
    <w:rsid w:val="002C7C50"/>
    <w:rsid w:val="002C7D18"/>
    <w:rsid w:val="002D3E2F"/>
    <w:rsid w:val="002D41FC"/>
    <w:rsid w:val="002D64A4"/>
    <w:rsid w:val="002E0E98"/>
    <w:rsid w:val="002E1C61"/>
    <w:rsid w:val="002E4FA8"/>
    <w:rsid w:val="002F03E0"/>
    <w:rsid w:val="002F13EA"/>
    <w:rsid w:val="002F3AD1"/>
    <w:rsid w:val="002F5132"/>
    <w:rsid w:val="002F52A9"/>
    <w:rsid w:val="002F79FB"/>
    <w:rsid w:val="003045F8"/>
    <w:rsid w:val="00304E6C"/>
    <w:rsid w:val="00306DC1"/>
    <w:rsid w:val="0031424E"/>
    <w:rsid w:val="00321E2D"/>
    <w:rsid w:val="00322FF9"/>
    <w:rsid w:val="003238E5"/>
    <w:rsid w:val="00325150"/>
    <w:rsid w:val="00330200"/>
    <w:rsid w:val="003305EC"/>
    <w:rsid w:val="00332215"/>
    <w:rsid w:val="00332EC1"/>
    <w:rsid w:val="003339EB"/>
    <w:rsid w:val="00333B53"/>
    <w:rsid w:val="0033638F"/>
    <w:rsid w:val="00336776"/>
    <w:rsid w:val="00337644"/>
    <w:rsid w:val="00343395"/>
    <w:rsid w:val="0034397A"/>
    <w:rsid w:val="00344E2F"/>
    <w:rsid w:val="003504C4"/>
    <w:rsid w:val="00350CB0"/>
    <w:rsid w:val="00350DE3"/>
    <w:rsid w:val="00352033"/>
    <w:rsid w:val="00354465"/>
    <w:rsid w:val="00354BBE"/>
    <w:rsid w:val="00355914"/>
    <w:rsid w:val="0035785E"/>
    <w:rsid w:val="003603C9"/>
    <w:rsid w:val="00360E39"/>
    <w:rsid w:val="00363A85"/>
    <w:rsid w:val="00363FCF"/>
    <w:rsid w:val="00364F6E"/>
    <w:rsid w:val="003664F0"/>
    <w:rsid w:val="00366D8C"/>
    <w:rsid w:val="00370E3F"/>
    <w:rsid w:val="00371240"/>
    <w:rsid w:val="003724F7"/>
    <w:rsid w:val="003757C4"/>
    <w:rsid w:val="0037638F"/>
    <w:rsid w:val="0037658D"/>
    <w:rsid w:val="00376FB2"/>
    <w:rsid w:val="0038052F"/>
    <w:rsid w:val="00381C70"/>
    <w:rsid w:val="00381CF7"/>
    <w:rsid w:val="00382F39"/>
    <w:rsid w:val="00386894"/>
    <w:rsid w:val="003873FF"/>
    <w:rsid w:val="00392F82"/>
    <w:rsid w:val="0039693D"/>
    <w:rsid w:val="003B0C9A"/>
    <w:rsid w:val="003B1D32"/>
    <w:rsid w:val="003B27D6"/>
    <w:rsid w:val="003B45C8"/>
    <w:rsid w:val="003B5D36"/>
    <w:rsid w:val="003B5F77"/>
    <w:rsid w:val="003B709A"/>
    <w:rsid w:val="003B72D8"/>
    <w:rsid w:val="003B789E"/>
    <w:rsid w:val="003C140F"/>
    <w:rsid w:val="003C20B4"/>
    <w:rsid w:val="003C4CA3"/>
    <w:rsid w:val="003C590D"/>
    <w:rsid w:val="003C5BDF"/>
    <w:rsid w:val="003C62AB"/>
    <w:rsid w:val="003C6A66"/>
    <w:rsid w:val="003C7C85"/>
    <w:rsid w:val="003D0FE4"/>
    <w:rsid w:val="003D306A"/>
    <w:rsid w:val="003D418D"/>
    <w:rsid w:val="003D4707"/>
    <w:rsid w:val="003D4A4D"/>
    <w:rsid w:val="003D4F0A"/>
    <w:rsid w:val="003D51F2"/>
    <w:rsid w:val="003D5267"/>
    <w:rsid w:val="003D56C7"/>
    <w:rsid w:val="003D5B12"/>
    <w:rsid w:val="003D6EAF"/>
    <w:rsid w:val="003D7CEC"/>
    <w:rsid w:val="003E0B6D"/>
    <w:rsid w:val="003E1E69"/>
    <w:rsid w:val="003E3F19"/>
    <w:rsid w:val="003E514B"/>
    <w:rsid w:val="003E75AC"/>
    <w:rsid w:val="003F0F50"/>
    <w:rsid w:val="003F1067"/>
    <w:rsid w:val="003F2781"/>
    <w:rsid w:val="003F76A3"/>
    <w:rsid w:val="004012C6"/>
    <w:rsid w:val="00403EC2"/>
    <w:rsid w:val="00411C87"/>
    <w:rsid w:val="004127D7"/>
    <w:rsid w:val="00413A8A"/>
    <w:rsid w:val="004144E6"/>
    <w:rsid w:val="00414B79"/>
    <w:rsid w:val="00423383"/>
    <w:rsid w:val="004254B3"/>
    <w:rsid w:val="004263AD"/>
    <w:rsid w:val="004274B8"/>
    <w:rsid w:val="00430902"/>
    <w:rsid w:val="00431C99"/>
    <w:rsid w:val="00433ECE"/>
    <w:rsid w:val="00434850"/>
    <w:rsid w:val="00441014"/>
    <w:rsid w:val="004415B7"/>
    <w:rsid w:val="004430BB"/>
    <w:rsid w:val="00446006"/>
    <w:rsid w:val="00446119"/>
    <w:rsid w:val="00446EA0"/>
    <w:rsid w:val="00447A34"/>
    <w:rsid w:val="0045292D"/>
    <w:rsid w:val="00452F4C"/>
    <w:rsid w:val="00454F28"/>
    <w:rsid w:val="004558CC"/>
    <w:rsid w:val="00457151"/>
    <w:rsid w:val="0045788D"/>
    <w:rsid w:val="00463053"/>
    <w:rsid w:val="00464423"/>
    <w:rsid w:val="0046594E"/>
    <w:rsid w:val="0046602C"/>
    <w:rsid w:val="00467CE8"/>
    <w:rsid w:val="00470DC3"/>
    <w:rsid w:val="004723ED"/>
    <w:rsid w:val="00473324"/>
    <w:rsid w:val="00473800"/>
    <w:rsid w:val="00473A7E"/>
    <w:rsid w:val="0048150A"/>
    <w:rsid w:val="00482996"/>
    <w:rsid w:val="00484E6F"/>
    <w:rsid w:val="00493DC1"/>
    <w:rsid w:val="0049418F"/>
    <w:rsid w:val="0049598C"/>
    <w:rsid w:val="00495F0A"/>
    <w:rsid w:val="00497377"/>
    <w:rsid w:val="00497655"/>
    <w:rsid w:val="004A4018"/>
    <w:rsid w:val="004A4E62"/>
    <w:rsid w:val="004A6E71"/>
    <w:rsid w:val="004B25E1"/>
    <w:rsid w:val="004B2876"/>
    <w:rsid w:val="004B38E1"/>
    <w:rsid w:val="004B4E9D"/>
    <w:rsid w:val="004B70A9"/>
    <w:rsid w:val="004C0740"/>
    <w:rsid w:val="004C1D95"/>
    <w:rsid w:val="004C218A"/>
    <w:rsid w:val="004C49E3"/>
    <w:rsid w:val="004C6B05"/>
    <w:rsid w:val="004D0EE6"/>
    <w:rsid w:val="004D11FC"/>
    <w:rsid w:val="004D1D3E"/>
    <w:rsid w:val="004D27D9"/>
    <w:rsid w:val="004D2BE0"/>
    <w:rsid w:val="004D4D86"/>
    <w:rsid w:val="004D736E"/>
    <w:rsid w:val="004D7998"/>
    <w:rsid w:val="004E4B0F"/>
    <w:rsid w:val="004E5D9A"/>
    <w:rsid w:val="004E755C"/>
    <w:rsid w:val="004F2961"/>
    <w:rsid w:val="004F31E6"/>
    <w:rsid w:val="004F3E9A"/>
    <w:rsid w:val="004F4B65"/>
    <w:rsid w:val="004F54FF"/>
    <w:rsid w:val="00500023"/>
    <w:rsid w:val="00501864"/>
    <w:rsid w:val="0050279F"/>
    <w:rsid w:val="0050415F"/>
    <w:rsid w:val="0050430C"/>
    <w:rsid w:val="00505E86"/>
    <w:rsid w:val="0050717A"/>
    <w:rsid w:val="00507AB2"/>
    <w:rsid w:val="005104A1"/>
    <w:rsid w:val="00510727"/>
    <w:rsid w:val="00511137"/>
    <w:rsid w:val="00512164"/>
    <w:rsid w:val="005140CC"/>
    <w:rsid w:val="005153B2"/>
    <w:rsid w:val="0051591B"/>
    <w:rsid w:val="00520FE2"/>
    <w:rsid w:val="0052126A"/>
    <w:rsid w:val="00521AE9"/>
    <w:rsid w:val="00521CFF"/>
    <w:rsid w:val="00522D62"/>
    <w:rsid w:val="00525C75"/>
    <w:rsid w:val="00526989"/>
    <w:rsid w:val="00527A39"/>
    <w:rsid w:val="00532F01"/>
    <w:rsid w:val="005333E1"/>
    <w:rsid w:val="00535BF8"/>
    <w:rsid w:val="0053643C"/>
    <w:rsid w:val="00541665"/>
    <w:rsid w:val="0054183B"/>
    <w:rsid w:val="005418E0"/>
    <w:rsid w:val="00541F5A"/>
    <w:rsid w:val="0054556E"/>
    <w:rsid w:val="00545FF8"/>
    <w:rsid w:val="00546FD3"/>
    <w:rsid w:val="00547ADF"/>
    <w:rsid w:val="00553B87"/>
    <w:rsid w:val="0055651E"/>
    <w:rsid w:val="00557E43"/>
    <w:rsid w:val="00560079"/>
    <w:rsid w:val="00560FF5"/>
    <w:rsid w:val="00561679"/>
    <w:rsid w:val="00562FB0"/>
    <w:rsid w:val="00563DFE"/>
    <w:rsid w:val="00564685"/>
    <w:rsid w:val="005649EC"/>
    <w:rsid w:val="00565AA1"/>
    <w:rsid w:val="005677F5"/>
    <w:rsid w:val="005703AB"/>
    <w:rsid w:val="00571546"/>
    <w:rsid w:val="005715CE"/>
    <w:rsid w:val="00572715"/>
    <w:rsid w:val="00572AA9"/>
    <w:rsid w:val="005738ED"/>
    <w:rsid w:val="00573A3D"/>
    <w:rsid w:val="005758D8"/>
    <w:rsid w:val="00577B5E"/>
    <w:rsid w:val="00577FA9"/>
    <w:rsid w:val="00581DFE"/>
    <w:rsid w:val="005853E4"/>
    <w:rsid w:val="005859FB"/>
    <w:rsid w:val="0058624C"/>
    <w:rsid w:val="005901CE"/>
    <w:rsid w:val="00590C60"/>
    <w:rsid w:val="005922C0"/>
    <w:rsid w:val="005969E9"/>
    <w:rsid w:val="005A03C1"/>
    <w:rsid w:val="005A09EF"/>
    <w:rsid w:val="005A1207"/>
    <w:rsid w:val="005A351A"/>
    <w:rsid w:val="005A3C5E"/>
    <w:rsid w:val="005A541B"/>
    <w:rsid w:val="005A5430"/>
    <w:rsid w:val="005A612B"/>
    <w:rsid w:val="005B05FF"/>
    <w:rsid w:val="005B0E7B"/>
    <w:rsid w:val="005B5914"/>
    <w:rsid w:val="005B5C34"/>
    <w:rsid w:val="005C15C5"/>
    <w:rsid w:val="005C3DBA"/>
    <w:rsid w:val="005C5C61"/>
    <w:rsid w:val="005D1772"/>
    <w:rsid w:val="005D1F36"/>
    <w:rsid w:val="005D2AA5"/>
    <w:rsid w:val="005D5855"/>
    <w:rsid w:val="005D6FC4"/>
    <w:rsid w:val="005D7AE0"/>
    <w:rsid w:val="005E116A"/>
    <w:rsid w:val="005E1C51"/>
    <w:rsid w:val="005E2BCC"/>
    <w:rsid w:val="005E3991"/>
    <w:rsid w:val="005E4006"/>
    <w:rsid w:val="005E62A7"/>
    <w:rsid w:val="005F01BC"/>
    <w:rsid w:val="005F2B02"/>
    <w:rsid w:val="00604125"/>
    <w:rsid w:val="0061087E"/>
    <w:rsid w:val="00611031"/>
    <w:rsid w:val="00611E7C"/>
    <w:rsid w:val="00612D59"/>
    <w:rsid w:val="00614512"/>
    <w:rsid w:val="00615533"/>
    <w:rsid w:val="00617EB0"/>
    <w:rsid w:val="00620C28"/>
    <w:rsid w:val="006234C5"/>
    <w:rsid w:val="006249F6"/>
    <w:rsid w:val="00625955"/>
    <w:rsid w:val="00626CC4"/>
    <w:rsid w:val="00633586"/>
    <w:rsid w:val="00633A41"/>
    <w:rsid w:val="00634816"/>
    <w:rsid w:val="0063650A"/>
    <w:rsid w:val="00636A3E"/>
    <w:rsid w:val="006403B3"/>
    <w:rsid w:val="00643CBE"/>
    <w:rsid w:val="00643DF5"/>
    <w:rsid w:val="006464C6"/>
    <w:rsid w:val="0064696D"/>
    <w:rsid w:val="00647006"/>
    <w:rsid w:val="006474AC"/>
    <w:rsid w:val="006477BD"/>
    <w:rsid w:val="00650F00"/>
    <w:rsid w:val="006530D4"/>
    <w:rsid w:val="0065542A"/>
    <w:rsid w:val="00655DB7"/>
    <w:rsid w:val="00656607"/>
    <w:rsid w:val="006609F8"/>
    <w:rsid w:val="00660D22"/>
    <w:rsid w:val="006616B3"/>
    <w:rsid w:val="006626D7"/>
    <w:rsid w:val="00664664"/>
    <w:rsid w:val="00664A18"/>
    <w:rsid w:val="00665E59"/>
    <w:rsid w:val="006669F7"/>
    <w:rsid w:val="00667F87"/>
    <w:rsid w:val="00671A4C"/>
    <w:rsid w:val="00672327"/>
    <w:rsid w:val="006724AD"/>
    <w:rsid w:val="0067327D"/>
    <w:rsid w:val="0067366D"/>
    <w:rsid w:val="00674A86"/>
    <w:rsid w:val="00674AC7"/>
    <w:rsid w:val="00676E5C"/>
    <w:rsid w:val="006823B0"/>
    <w:rsid w:val="00683E5F"/>
    <w:rsid w:val="00686AED"/>
    <w:rsid w:val="00687604"/>
    <w:rsid w:val="006903EA"/>
    <w:rsid w:val="00690697"/>
    <w:rsid w:val="0069476E"/>
    <w:rsid w:val="00695174"/>
    <w:rsid w:val="00696054"/>
    <w:rsid w:val="006960B8"/>
    <w:rsid w:val="00697E15"/>
    <w:rsid w:val="006A0B81"/>
    <w:rsid w:val="006A4F70"/>
    <w:rsid w:val="006A79D8"/>
    <w:rsid w:val="006B13BE"/>
    <w:rsid w:val="006B1FA2"/>
    <w:rsid w:val="006B4716"/>
    <w:rsid w:val="006B48FE"/>
    <w:rsid w:val="006B5B53"/>
    <w:rsid w:val="006B5D3A"/>
    <w:rsid w:val="006C182A"/>
    <w:rsid w:val="006C2418"/>
    <w:rsid w:val="006C50AB"/>
    <w:rsid w:val="006D073F"/>
    <w:rsid w:val="006D1A97"/>
    <w:rsid w:val="006D6A20"/>
    <w:rsid w:val="006D6E6F"/>
    <w:rsid w:val="006E0CD8"/>
    <w:rsid w:val="006E1A2D"/>
    <w:rsid w:val="006E1C5B"/>
    <w:rsid w:val="006E222F"/>
    <w:rsid w:val="006E28FD"/>
    <w:rsid w:val="006E2DC7"/>
    <w:rsid w:val="006E3604"/>
    <w:rsid w:val="006E4CA4"/>
    <w:rsid w:val="006E58A5"/>
    <w:rsid w:val="006E60D5"/>
    <w:rsid w:val="006E76A5"/>
    <w:rsid w:val="006F031D"/>
    <w:rsid w:val="006F6391"/>
    <w:rsid w:val="006F65A5"/>
    <w:rsid w:val="00700135"/>
    <w:rsid w:val="00701F3E"/>
    <w:rsid w:val="00702795"/>
    <w:rsid w:val="00703667"/>
    <w:rsid w:val="00703BA3"/>
    <w:rsid w:val="00704A2C"/>
    <w:rsid w:val="00707E82"/>
    <w:rsid w:val="00710002"/>
    <w:rsid w:val="0071121B"/>
    <w:rsid w:val="00711AFF"/>
    <w:rsid w:val="007121C8"/>
    <w:rsid w:val="0071388E"/>
    <w:rsid w:val="00714908"/>
    <w:rsid w:val="007176E3"/>
    <w:rsid w:val="007205AB"/>
    <w:rsid w:val="00720AE7"/>
    <w:rsid w:val="0072491E"/>
    <w:rsid w:val="00727345"/>
    <w:rsid w:val="0073375C"/>
    <w:rsid w:val="007408F4"/>
    <w:rsid w:val="00742899"/>
    <w:rsid w:val="007445D9"/>
    <w:rsid w:val="00747FE3"/>
    <w:rsid w:val="007527C8"/>
    <w:rsid w:val="00754EE3"/>
    <w:rsid w:val="0075505C"/>
    <w:rsid w:val="0075730D"/>
    <w:rsid w:val="007606F8"/>
    <w:rsid w:val="00761065"/>
    <w:rsid w:val="0076122F"/>
    <w:rsid w:val="007625FA"/>
    <w:rsid w:val="00766C7C"/>
    <w:rsid w:val="007706AB"/>
    <w:rsid w:val="00771F35"/>
    <w:rsid w:val="0077276D"/>
    <w:rsid w:val="00772E49"/>
    <w:rsid w:val="00773229"/>
    <w:rsid w:val="007735D0"/>
    <w:rsid w:val="00773B30"/>
    <w:rsid w:val="0077631B"/>
    <w:rsid w:val="00776C5D"/>
    <w:rsid w:val="00780C97"/>
    <w:rsid w:val="0078194C"/>
    <w:rsid w:val="007837D8"/>
    <w:rsid w:val="00784315"/>
    <w:rsid w:val="007866BC"/>
    <w:rsid w:val="00787219"/>
    <w:rsid w:val="0078723E"/>
    <w:rsid w:val="0078767D"/>
    <w:rsid w:val="00790D7E"/>
    <w:rsid w:val="007912F8"/>
    <w:rsid w:val="0079386C"/>
    <w:rsid w:val="007964EC"/>
    <w:rsid w:val="00797551"/>
    <w:rsid w:val="007A1DA9"/>
    <w:rsid w:val="007A21EF"/>
    <w:rsid w:val="007A3046"/>
    <w:rsid w:val="007A3BEF"/>
    <w:rsid w:val="007A578C"/>
    <w:rsid w:val="007B23FB"/>
    <w:rsid w:val="007B3964"/>
    <w:rsid w:val="007B685A"/>
    <w:rsid w:val="007B77EE"/>
    <w:rsid w:val="007C00D0"/>
    <w:rsid w:val="007C18C9"/>
    <w:rsid w:val="007C6456"/>
    <w:rsid w:val="007C7128"/>
    <w:rsid w:val="007C744D"/>
    <w:rsid w:val="007C7D4A"/>
    <w:rsid w:val="007D1B00"/>
    <w:rsid w:val="007D20B6"/>
    <w:rsid w:val="007D2C38"/>
    <w:rsid w:val="007D2D56"/>
    <w:rsid w:val="007D53CD"/>
    <w:rsid w:val="007D7148"/>
    <w:rsid w:val="007D74FD"/>
    <w:rsid w:val="007E10F8"/>
    <w:rsid w:val="007E27AE"/>
    <w:rsid w:val="007E3A5A"/>
    <w:rsid w:val="007E4508"/>
    <w:rsid w:val="007E5C6E"/>
    <w:rsid w:val="007E7482"/>
    <w:rsid w:val="007F0604"/>
    <w:rsid w:val="007F195D"/>
    <w:rsid w:val="007F1C81"/>
    <w:rsid w:val="007F2F3C"/>
    <w:rsid w:val="007F46D9"/>
    <w:rsid w:val="007F4BEF"/>
    <w:rsid w:val="007F6902"/>
    <w:rsid w:val="00807345"/>
    <w:rsid w:val="008075B2"/>
    <w:rsid w:val="008103BA"/>
    <w:rsid w:val="008108E4"/>
    <w:rsid w:val="00810E66"/>
    <w:rsid w:val="00812AC7"/>
    <w:rsid w:val="00813D87"/>
    <w:rsid w:val="00820316"/>
    <w:rsid w:val="00820E10"/>
    <w:rsid w:val="00821366"/>
    <w:rsid w:val="00821B31"/>
    <w:rsid w:val="00821CB2"/>
    <w:rsid w:val="00822013"/>
    <w:rsid w:val="00823301"/>
    <w:rsid w:val="00825110"/>
    <w:rsid w:val="008253EA"/>
    <w:rsid w:val="008267C5"/>
    <w:rsid w:val="00827F21"/>
    <w:rsid w:val="00830E02"/>
    <w:rsid w:val="00831703"/>
    <w:rsid w:val="00832FA8"/>
    <w:rsid w:val="00834839"/>
    <w:rsid w:val="00834860"/>
    <w:rsid w:val="00836CE6"/>
    <w:rsid w:val="00843997"/>
    <w:rsid w:val="0084508A"/>
    <w:rsid w:val="008457C9"/>
    <w:rsid w:val="0084695A"/>
    <w:rsid w:val="00850DA9"/>
    <w:rsid w:val="00851DFA"/>
    <w:rsid w:val="0085287F"/>
    <w:rsid w:val="008542C4"/>
    <w:rsid w:val="00854ED8"/>
    <w:rsid w:val="0086273D"/>
    <w:rsid w:val="00862BBA"/>
    <w:rsid w:val="00863385"/>
    <w:rsid w:val="00864D27"/>
    <w:rsid w:val="00865BF4"/>
    <w:rsid w:val="00871013"/>
    <w:rsid w:val="0087667C"/>
    <w:rsid w:val="00886B4C"/>
    <w:rsid w:val="008930BE"/>
    <w:rsid w:val="00897780"/>
    <w:rsid w:val="00897D51"/>
    <w:rsid w:val="008A0FEC"/>
    <w:rsid w:val="008A6A28"/>
    <w:rsid w:val="008B10A4"/>
    <w:rsid w:val="008B1D75"/>
    <w:rsid w:val="008B44AB"/>
    <w:rsid w:val="008B48A8"/>
    <w:rsid w:val="008B5354"/>
    <w:rsid w:val="008B625E"/>
    <w:rsid w:val="008B6476"/>
    <w:rsid w:val="008B6C22"/>
    <w:rsid w:val="008C068C"/>
    <w:rsid w:val="008C07F9"/>
    <w:rsid w:val="008C2A06"/>
    <w:rsid w:val="008C4EBB"/>
    <w:rsid w:val="008C56C6"/>
    <w:rsid w:val="008C5ECE"/>
    <w:rsid w:val="008C62C0"/>
    <w:rsid w:val="008C75CB"/>
    <w:rsid w:val="008C7EE6"/>
    <w:rsid w:val="008D14C7"/>
    <w:rsid w:val="008D42F8"/>
    <w:rsid w:val="008D4F2B"/>
    <w:rsid w:val="008D4FA2"/>
    <w:rsid w:val="008E4C9F"/>
    <w:rsid w:val="008E5BDC"/>
    <w:rsid w:val="008E5D69"/>
    <w:rsid w:val="008E6AA5"/>
    <w:rsid w:val="008E7228"/>
    <w:rsid w:val="008E787A"/>
    <w:rsid w:val="008F0702"/>
    <w:rsid w:val="008F0A0E"/>
    <w:rsid w:val="008F3039"/>
    <w:rsid w:val="008F40B3"/>
    <w:rsid w:val="008F42AC"/>
    <w:rsid w:val="008F55E4"/>
    <w:rsid w:val="008F5D03"/>
    <w:rsid w:val="008F62F0"/>
    <w:rsid w:val="0090074A"/>
    <w:rsid w:val="00900977"/>
    <w:rsid w:val="009015E4"/>
    <w:rsid w:val="00902125"/>
    <w:rsid w:val="00902AED"/>
    <w:rsid w:val="00903885"/>
    <w:rsid w:val="00905CAD"/>
    <w:rsid w:val="0090633E"/>
    <w:rsid w:val="00907FFA"/>
    <w:rsid w:val="00911012"/>
    <w:rsid w:val="0091111B"/>
    <w:rsid w:val="00911A75"/>
    <w:rsid w:val="00911B41"/>
    <w:rsid w:val="0091205A"/>
    <w:rsid w:val="00912993"/>
    <w:rsid w:val="009146B9"/>
    <w:rsid w:val="00914C99"/>
    <w:rsid w:val="00917CA4"/>
    <w:rsid w:val="00920159"/>
    <w:rsid w:val="009222F0"/>
    <w:rsid w:val="009224EE"/>
    <w:rsid w:val="00923761"/>
    <w:rsid w:val="009252DB"/>
    <w:rsid w:val="0092536E"/>
    <w:rsid w:val="0092637C"/>
    <w:rsid w:val="00926581"/>
    <w:rsid w:val="00927386"/>
    <w:rsid w:val="00931BEC"/>
    <w:rsid w:val="00931D84"/>
    <w:rsid w:val="009323C1"/>
    <w:rsid w:val="00932E9E"/>
    <w:rsid w:val="00933D23"/>
    <w:rsid w:val="009342A1"/>
    <w:rsid w:val="00936E6D"/>
    <w:rsid w:val="0093776D"/>
    <w:rsid w:val="00940D74"/>
    <w:rsid w:val="009459B4"/>
    <w:rsid w:val="00945B70"/>
    <w:rsid w:val="00946A96"/>
    <w:rsid w:val="00946B2D"/>
    <w:rsid w:val="00946D13"/>
    <w:rsid w:val="0095107B"/>
    <w:rsid w:val="0095175D"/>
    <w:rsid w:val="00953AB7"/>
    <w:rsid w:val="00954BD7"/>
    <w:rsid w:val="00954F24"/>
    <w:rsid w:val="00955F93"/>
    <w:rsid w:val="00960100"/>
    <w:rsid w:val="00960E56"/>
    <w:rsid w:val="009638DA"/>
    <w:rsid w:val="0096474B"/>
    <w:rsid w:val="0096568E"/>
    <w:rsid w:val="00971BE8"/>
    <w:rsid w:val="0097437D"/>
    <w:rsid w:val="00974E55"/>
    <w:rsid w:val="009753E4"/>
    <w:rsid w:val="00980F8E"/>
    <w:rsid w:val="00983524"/>
    <w:rsid w:val="0098395E"/>
    <w:rsid w:val="00983C8A"/>
    <w:rsid w:val="00985EEE"/>
    <w:rsid w:val="0098690D"/>
    <w:rsid w:val="0098747B"/>
    <w:rsid w:val="00990C3D"/>
    <w:rsid w:val="00990CD9"/>
    <w:rsid w:val="0099187B"/>
    <w:rsid w:val="00992958"/>
    <w:rsid w:val="009956F1"/>
    <w:rsid w:val="0099689E"/>
    <w:rsid w:val="00997D62"/>
    <w:rsid w:val="009A18E5"/>
    <w:rsid w:val="009B0013"/>
    <w:rsid w:val="009B3179"/>
    <w:rsid w:val="009B5340"/>
    <w:rsid w:val="009B60D3"/>
    <w:rsid w:val="009B6301"/>
    <w:rsid w:val="009B7685"/>
    <w:rsid w:val="009C123C"/>
    <w:rsid w:val="009C3D6A"/>
    <w:rsid w:val="009C51CB"/>
    <w:rsid w:val="009C552B"/>
    <w:rsid w:val="009C5B79"/>
    <w:rsid w:val="009D0265"/>
    <w:rsid w:val="009D1858"/>
    <w:rsid w:val="009D4375"/>
    <w:rsid w:val="009D50B5"/>
    <w:rsid w:val="009D5290"/>
    <w:rsid w:val="009E2F2F"/>
    <w:rsid w:val="009E3E6B"/>
    <w:rsid w:val="009E4501"/>
    <w:rsid w:val="009F15CB"/>
    <w:rsid w:val="009F283D"/>
    <w:rsid w:val="009F313A"/>
    <w:rsid w:val="009F321D"/>
    <w:rsid w:val="009F59AD"/>
    <w:rsid w:val="009F6603"/>
    <w:rsid w:val="009F66F7"/>
    <w:rsid w:val="00A00E08"/>
    <w:rsid w:val="00A011BA"/>
    <w:rsid w:val="00A02C49"/>
    <w:rsid w:val="00A04082"/>
    <w:rsid w:val="00A11045"/>
    <w:rsid w:val="00A127BD"/>
    <w:rsid w:val="00A129A7"/>
    <w:rsid w:val="00A12B2C"/>
    <w:rsid w:val="00A12C2C"/>
    <w:rsid w:val="00A1311D"/>
    <w:rsid w:val="00A14538"/>
    <w:rsid w:val="00A17952"/>
    <w:rsid w:val="00A226E1"/>
    <w:rsid w:val="00A23A2B"/>
    <w:rsid w:val="00A24E55"/>
    <w:rsid w:val="00A25175"/>
    <w:rsid w:val="00A25AA1"/>
    <w:rsid w:val="00A27519"/>
    <w:rsid w:val="00A27C95"/>
    <w:rsid w:val="00A3252D"/>
    <w:rsid w:val="00A345AA"/>
    <w:rsid w:val="00A34E79"/>
    <w:rsid w:val="00A3685D"/>
    <w:rsid w:val="00A40D57"/>
    <w:rsid w:val="00A45021"/>
    <w:rsid w:val="00A45F15"/>
    <w:rsid w:val="00A465F8"/>
    <w:rsid w:val="00A4758E"/>
    <w:rsid w:val="00A50C42"/>
    <w:rsid w:val="00A50ED4"/>
    <w:rsid w:val="00A50FA5"/>
    <w:rsid w:val="00A5181D"/>
    <w:rsid w:val="00A54BD3"/>
    <w:rsid w:val="00A56222"/>
    <w:rsid w:val="00A60321"/>
    <w:rsid w:val="00A60598"/>
    <w:rsid w:val="00A62D83"/>
    <w:rsid w:val="00A63331"/>
    <w:rsid w:val="00A64338"/>
    <w:rsid w:val="00A65908"/>
    <w:rsid w:val="00A67AEF"/>
    <w:rsid w:val="00A70886"/>
    <w:rsid w:val="00A723E5"/>
    <w:rsid w:val="00A72F08"/>
    <w:rsid w:val="00A734E4"/>
    <w:rsid w:val="00A73D31"/>
    <w:rsid w:val="00A745C3"/>
    <w:rsid w:val="00A75128"/>
    <w:rsid w:val="00A75C40"/>
    <w:rsid w:val="00A7785F"/>
    <w:rsid w:val="00A816B8"/>
    <w:rsid w:val="00A81BE6"/>
    <w:rsid w:val="00A84A2C"/>
    <w:rsid w:val="00A84C38"/>
    <w:rsid w:val="00A84CEC"/>
    <w:rsid w:val="00A85E78"/>
    <w:rsid w:val="00A8677D"/>
    <w:rsid w:val="00A86ACD"/>
    <w:rsid w:val="00A8726C"/>
    <w:rsid w:val="00A905B6"/>
    <w:rsid w:val="00A91E18"/>
    <w:rsid w:val="00A93A98"/>
    <w:rsid w:val="00A95F56"/>
    <w:rsid w:val="00A961AC"/>
    <w:rsid w:val="00AA227D"/>
    <w:rsid w:val="00AA3A1F"/>
    <w:rsid w:val="00AA4460"/>
    <w:rsid w:val="00AA481F"/>
    <w:rsid w:val="00AA6C02"/>
    <w:rsid w:val="00AB125F"/>
    <w:rsid w:val="00AB23F4"/>
    <w:rsid w:val="00AB30DD"/>
    <w:rsid w:val="00AB3F58"/>
    <w:rsid w:val="00AB49DE"/>
    <w:rsid w:val="00AB5659"/>
    <w:rsid w:val="00AB79FC"/>
    <w:rsid w:val="00AC1EA8"/>
    <w:rsid w:val="00AC22CB"/>
    <w:rsid w:val="00AC25B5"/>
    <w:rsid w:val="00AC43D0"/>
    <w:rsid w:val="00AC4CC4"/>
    <w:rsid w:val="00AC6655"/>
    <w:rsid w:val="00AC6BB1"/>
    <w:rsid w:val="00AC799D"/>
    <w:rsid w:val="00AD12FC"/>
    <w:rsid w:val="00AD7700"/>
    <w:rsid w:val="00AE0C69"/>
    <w:rsid w:val="00AE231E"/>
    <w:rsid w:val="00AE2970"/>
    <w:rsid w:val="00AE3DD2"/>
    <w:rsid w:val="00AE4EA8"/>
    <w:rsid w:val="00AF34F0"/>
    <w:rsid w:val="00AF3B1E"/>
    <w:rsid w:val="00AF3BF1"/>
    <w:rsid w:val="00AF4034"/>
    <w:rsid w:val="00AF5BF6"/>
    <w:rsid w:val="00B01642"/>
    <w:rsid w:val="00B03A41"/>
    <w:rsid w:val="00B03DC6"/>
    <w:rsid w:val="00B042F6"/>
    <w:rsid w:val="00B04BAA"/>
    <w:rsid w:val="00B05940"/>
    <w:rsid w:val="00B126C4"/>
    <w:rsid w:val="00B12E6A"/>
    <w:rsid w:val="00B17881"/>
    <w:rsid w:val="00B178F2"/>
    <w:rsid w:val="00B2426B"/>
    <w:rsid w:val="00B24D1D"/>
    <w:rsid w:val="00B24DEC"/>
    <w:rsid w:val="00B25419"/>
    <w:rsid w:val="00B2570E"/>
    <w:rsid w:val="00B25A19"/>
    <w:rsid w:val="00B268D5"/>
    <w:rsid w:val="00B306C2"/>
    <w:rsid w:val="00B34AA7"/>
    <w:rsid w:val="00B404C3"/>
    <w:rsid w:val="00B41CCA"/>
    <w:rsid w:val="00B42C79"/>
    <w:rsid w:val="00B42E1F"/>
    <w:rsid w:val="00B4330B"/>
    <w:rsid w:val="00B43C60"/>
    <w:rsid w:val="00B456CF"/>
    <w:rsid w:val="00B4684A"/>
    <w:rsid w:val="00B47F17"/>
    <w:rsid w:val="00B520DD"/>
    <w:rsid w:val="00B52DD2"/>
    <w:rsid w:val="00B53615"/>
    <w:rsid w:val="00B537B4"/>
    <w:rsid w:val="00B56A28"/>
    <w:rsid w:val="00B6183B"/>
    <w:rsid w:val="00B61EBD"/>
    <w:rsid w:val="00B67268"/>
    <w:rsid w:val="00B71C29"/>
    <w:rsid w:val="00B7239F"/>
    <w:rsid w:val="00B72DA7"/>
    <w:rsid w:val="00B7719C"/>
    <w:rsid w:val="00B82E6D"/>
    <w:rsid w:val="00B847D5"/>
    <w:rsid w:val="00B85A83"/>
    <w:rsid w:val="00B85B68"/>
    <w:rsid w:val="00B86634"/>
    <w:rsid w:val="00B90033"/>
    <w:rsid w:val="00B916FD"/>
    <w:rsid w:val="00B91A10"/>
    <w:rsid w:val="00B92407"/>
    <w:rsid w:val="00B9263A"/>
    <w:rsid w:val="00B93435"/>
    <w:rsid w:val="00B954C5"/>
    <w:rsid w:val="00B96BD4"/>
    <w:rsid w:val="00B96E4A"/>
    <w:rsid w:val="00BA0818"/>
    <w:rsid w:val="00BA08AB"/>
    <w:rsid w:val="00BA2DFB"/>
    <w:rsid w:val="00BA38FA"/>
    <w:rsid w:val="00BA5B5E"/>
    <w:rsid w:val="00BA60E9"/>
    <w:rsid w:val="00BA729F"/>
    <w:rsid w:val="00BA74AF"/>
    <w:rsid w:val="00BA7F01"/>
    <w:rsid w:val="00BB0B5E"/>
    <w:rsid w:val="00BB315D"/>
    <w:rsid w:val="00BB332B"/>
    <w:rsid w:val="00BB407A"/>
    <w:rsid w:val="00BB5561"/>
    <w:rsid w:val="00BB66B5"/>
    <w:rsid w:val="00BB7A95"/>
    <w:rsid w:val="00BC1D6B"/>
    <w:rsid w:val="00BC2B8C"/>
    <w:rsid w:val="00BC3ED3"/>
    <w:rsid w:val="00BC55CF"/>
    <w:rsid w:val="00BD02C4"/>
    <w:rsid w:val="00BD083F"/>
    <w:rsid w:val="00BD08D1"/>
    <w:rsid w:val="00BD0D2B"/>
    <w:rsid w:val="00BE0734"/>
    <w:rsid w:val="00BE2654"/>
    <w:rsid w:val="00BE36D7"/>
    <w:rsid w:val="00BE479E"/>
    <w:rsid w:val="00BE58DF"/>
    <w:rsid w:val="00BF01F5"/>
    <w:rsid w:val="00BF4C05"/>
    <w:rsid w:val="00BF55E5"/>
    <w:rsid w:val="00C0149A"/>
    <w:rsid w:val="00C05E56"/>
    <w:rsid w:val="00C114A7"/>
    <w:rsid w:val="00C1190C"/>
    <w:rsid w:val="00C16500"/>
    <w:rsid w:val="00C22824"/>
    <w:rsid w:val="00C26794"/>
    <w:rsid w:val="00C27D8E"/>
    <w:rsid w:val="00C30403"/>
    <w:rsid w:val="00C30DB9"/>
    <w:rsid w:val="00C311BE"/>
    <w:rsid w:val="00C31DE9"/>
    <w:rsid w:val="00C31ECA"/>
    <w:rsid w:val="00C33CC5"/>
    <w:rsid w:val="00C35604"/>
    <w:rsid w:val="00C40554"/>
    <w:rsid w:val="00C43588"/>
    <w:rsid w:val="00C439FB"/>
    <w:rsid w:val="00C44A1B"/>
    <w:rsid w:val="00C50808"/>
    <w:rsid w:val="00C510C1"/>
    <w:rsid w:val="00C53BCA"/>
    <w:rsid w:val="00C55C1E"/>
    <w:rsid w:val="00C55C1F"/>
    <w:rsid w:val="00C5755D"/>
    <w:rsid w:val="00C57C6F"/>
    <w:rsid w:val="00C61357"/>
    <w:rsid w:val="00C62824"/>
    <w:rsid w:val="00C64307"/>
    <w:rsid w:val="00C64897"/>
    <w:rsid w:val="00C655EF"/>
    <w:rsid w:val="00C66737"/>
    <w:rsid w:val="00C6706E"/>
    <w:rsid w:val="00C67FF5"/>
    <w:rsid w:val="00C72BBA"/>
    <w:rsid w:val="00C74FCB"/>
    <w:rsid w:val="00C75622"/>
    <w:rsid w:val="00C75C92"/>
    <w:rsid w:val="00C80F2E"/>
    <w:rsid w:val="00C82295"/>
    <w:rsid w:val="00C854DC"/>
    <w:rsid w:val="00C85E33"/>
    <w:rsid w:val="00C862BC"/>
    <w:rsid w:val="00C87BBD"/>
    <w:rsid w:val="00C87FBA"/>
    <w:rsid w:val="00C901B5"/>
    <w:rsid w:val="00C91165"/>
    <w:rsid w:val="00C911A4"/>
    <w:rsid w:val="00C96814"/>
    <w:rsid w:val="00CA2E3D"/>
    <w:rsid w:val="00CA3424"/>
    <w:rsid w:val="00CA4B96"/>
    <w:rsid w:val="00CA74F9"/>
    <w:rsid w:val="00CB102C"/>
    <w:rsid w:val="00CB3EFE"/>
    <w:rsid w:val="00CB5A81"/>
    <w:rsid w:val="00CB61FB"/>
    <w:rsid w:val="00CB6BFA"/>
    <w:rsid w:val="00CC4265"/>
    <w:rsid w:val="00CC43B2"/>
    <w:rsid w:val="00CC6904"/>
    <w:rsid w:val="00CC69B4"/>
    <w:rsid w:val="00CC75B8"/>
    <w:rsid w:val="00CD3E8E"/>
    <w:rsid w:val="00CD445B"/>
    <w:rsid w:val="00CD47CE"/>
    <w:rsid w:val="00CD49F2"/>
    <w:rsid w:val="00CD4DCE"/>
    <w:rsid w:val="00CD6D22"/>
    <w:rsid w:val="00CD7836"/>
    <w:rsid w:val="00CE0988"/>
    <w:rsid w:val="00CE0A50"/>
    <w:rsid w:val="00CE4484"/>
    <w:rsid w:val="00CE735C"/>
    <w:rsid w:val="00CF0A7A"/>
    <w:rsid w:val="00CF149A"/>
    <w:rsid w:val="00CF2098"/>
    <w:rsid w:val="00CF26AB"/>
    <w:rsid w:val="00CF2EBA"/>
    <w:rsid w:val="00CF3822"/>
    <w:rsid w:val="00CF4227"/>
    <w:rsid w:val="00CF58E4"/>
    <w:rsid w:val="00CF773F"/>
    <w:rsid w:val="00D12617"/>
    <w:rsid w:val="00D16620"/>
    <w:rsid w:val="00D17674"/>
    <w:rsid w:val="00D17A75"/>
    <w:rsid w:val="00D2051F"/>
    <w:rsid w:val="00D20DE3"/>
    <w:rsid w:val="00D2446B"/>
    <w:rsid w:val="00D318B2"/>
    <w:rsid w:val="00D31975"/>
    <w:rsid w:val="00D32038"/>
    <w:rsid w:val="00D3372E"/>
    <w:rsid w:val="00D33770"/>
    <w:rsid w:val="00D33E0C"/>
    <w:rsid w:val="00D3465C"/>
    <w:rsid w:val="00D35A2C"/>
    <w:rsid w:val="00D36F91"/>
    <w:rsid w:val="00D44766"/>
    <w:rsid w:val="00D44C22"/>
    <w:rsid w:val="00D45C20"/>
    <w:rsid w:val="00D46753"/>
    <w:rsid w:val="00D47405"/>
    <w:rsid w:val="00D501EC"/>
    <w:rsid w:val="00D50824"/>
    <w:rsid w:val="00D5114B"/>
    <w:rsid w:val="00D51A82"/>
    <w:rsid w:val="00D53AC2"/>
    <w:rsid w:val="00D57AC5"/>
    <w:rsid w:val="00D60876"/>
    <w:rsid w:val="00D619CC"/>
    <w:rsid w:val="00D6208A"/>
    <w:rsid w:val="00D62509"/>
    <w:rsid w:val="00D632FA"/>
    <w:rsid w:val="00D638B9"/>
    <w:rsid w:val="00D63E30"/>
    <w:rsid w:val="00D66192"/>
    <w:rsid w:val="00D6694E"/>
    <w:rsid w:val="00D66ECF"/>
    <w:rsid w:val="00D67F1F"/>
    <w:rsid w:val="00D67FA4"/>
    <w:rsid w:val="00D725A0"/>
    <w:rsid w:val="00D7295A"/>
    <w:rsid w:val="00D733C4"/>
    <w:rsid w:val="00D75026"/>
    <w:rsid w:val="00D8422D"/>
    <w:rsid w:val="00D84DD2"/>
    <w:rsid w:val="00D855AA"/>
    <w:rsid w:val="00D857E9"/>
    <w:rsid w:val="00D86597"/>
    <w:rsid w:val="00D86ECF"/>
    <w:rsid w:val="00D87683"/>
    <w:rsid w:val="00D87A3F"/>
    <w:rsid w:val="00D94CAD"/>
    <w:rsid w:val="00D94F19"/>
    <w:rsid w:val="00D95767"/>
    <w:rsid w:val="00D95AA7"/>
    <w:rsid w:val="00D9636C"/>
    <w:rsid w:val="00DA30B7"/>
    <w:rsid w:val="00DA348D"/>
    <w:rsid w:val="00DA3C93"/>
    <w:rsid w:val="00DB24EA"/>
    <w:rsid w:val="00DB46CC"/>
    <w:rsid w:val="00DB471C"/>
    <w:rsid w:val="00DB5CCB"/>
    <w:rsid w:val="00DC03B4"/>
    <w:rsid w:val="00DC0D79"/>
    <w:rsid w:val="00DC3272"/>
    <w:rsid w:val="00DC56EF"/>
    <w:rsid w:val="00DD148F"/>
    <w:rsid w:val="00DD1624"/>
    <w:rsid w:val="00DD1B8E"/>
    <w:rsid w:val="00DD2CA9"/>
    <w:rsid w:val="00DD7190"/>
    <w:rsid w:val="00DD72B2"/>
    <w:rsid w:val="00DD7DA1"/>
    <w:rsid w:val="00DE207C"/>
    <w:rsid w:val="00DE2F56"/>
    <w:rsid w:val="00DE4A93"/>
    <w:rsid w:val="00DE69DA"/>
    <w:rsid w:val="00DE745A"/>
    <w:rsid w:val="00DF0C6D"/>
    <w:rsid w:val="00DF116C"/>
    <w:rsid w:val="00DF173D"/>
    <w:rsid w:val="00DF2418"/>
    <w:rsid w:val="00DF2436"/>
    <w:rsid w:val="00E00AD2"/>
    <w:rsid w:val="00E02A2F"/>
    <w:rsid w:val="00E036DA"/>
    <w:rsid w:val="00E039C4"/>
    <w:rsid w:val="00E03AEB"/>
    <w:rsid w:val="00E04B09"/>
    <w:rsid w:val="00E1072B"/>
    <w:rsid w:val="00E109FE"/>
    <w:rsid w:val="00E12C50"/>
    <w:rsid w:val="00E149BA"/>
    <w:rsid w:val="00E14ADF"/>
    <w:rsid w:val="00E15077"/>
    <w:rsid w:val="00E166AD"/>
    <w:rsid w:val="00E17726"/>
    <w:rsid w:val="00E200A6"/>
    <w:rsid w:val="00E21235"/>
    <w:rsid w:val="00E21FF3"/>
    <w:rsid w:val="00E225C6"/>
    <w:rsid w:val="00E22B6F"/>
    <w:rsid w:val="00E26CC5"/>
    <w:rsid w:val="00E26E66"/>
    <w:rsid w:val="00E30300"/>
    <w:rsid w:val="00E34CBE"/>
    <w:rsid w:val="00E376D9"/>
    <w:rsid w:val="00E40567"/>
    <w:rsid w:val="00E406BB"/>
    <w:rsid w:val="00E428E6"/>
    <w:rsid w:val="00E43894"/>
    <w:rsid w:val="00E43E09"/>
    <w:rsid w:val="00E4799F"/>
    <w:rsid w:val="00E51397"/>
    <w:rsid w:val="00E5239B"/>
    <w:rsid w:val="00E52FCE"/>
    <w:rsid w:val="00E54C68"/>
    <w:rsid w:val="00E5631A"/>
    <w:rsid w:val="00E56750"/>
    <w:rsid w:val="00E56A3A"/>
    <w:rsid w:val="00E573DD"/>
    <w:rsid w:val="00E60847"/>
    <w:rsid w:val="00E61154"/>
    <w:rsid w:val="00E61962"/>
    <w:rsid w:val="00E64467"/>
    <w:rsid w:val="00E72EEE"/>
    <w:rsid w:val="00E74121"/>
    <w:rsid w:val="00E76633"/>
    <w:rsid w:val="00E80957"/>
    <w:rsid w:val="00E82190"/>
    <w:rsid w:val="00E84FFA"/>
    <w:rsid w:val="00E86FBC"/>
    <w:rsid w:val="00E87D35"/>
    <w:rsid w:val="00E9083A"/>
    <w:rsid w:val="00E90954"/>
    <w:rsid w:val="00E912C0"/>
    <w:rsid w:val="00E926B1"/>
    <w:rsid w:val="00EA00C0"/>
    <w:rsid w:val="00EA155C"/>
    <w:rsid w:val="00EA268C"/>
    <w:rsid w:val="00EA32A1"/>
    <w:rsid w:val="00EA4010"/>
    <w:rsid w:val="00EA458D"/>
    <w:rsid w:val="00EA6390"/>
    <w:rsid w:val="00EA6454"/>
    <w:rsid w:val="00EA68C4"/>
    <w:rsid w:val="00EA6BEB"/>
    <w:rsid w:val="00EA6BF8"/>
    <w:rsid w:val="00EA6D4D"/>
    <w:rsid w:val="00EA75CB"/>
    <w:rsid w:val="00EA7F66"/>
    <w:rsid w:val="00EB4022"/>
    <w:rsid w:val="00EB4820"/>
    <w:rsid w:val="00EB67EB"/>
    <w:rsid w:val="00EB7633"/>
    <w:rsid w:val="00EB789F"/>
    <w:rsid w:val="00EB7A4C"/>
    <w:rsid w:val="00EC0BCC"/>
    <w:rsid w:val="00EC4E46"/>
    <w:rsid w:val="00EC59C2"/>
    <w:rsid w:val="00EC6CF2"/>
    <w:rsid w:val="00EC76B1"/>
    <w:rsid w:val="00ED12B6"/>
    <w:rsid w:val="00ED2B84"/>
    <w:rsid w:val="00ED3630"/>
    <w:rsid w:val="00ED3AD9"/>
    <w:rsid w:val="00EE0214"/>
    <w:rsid w:val="00EE02E1"/>
    <w:rsid w:val="00EE19A8"/>
    <w:rsid w:val="00EE1A84"/>
    <w:rsid w:val="00EE3E34"/>
    <w:rsid w:val="00EE421A"/>
    <w:rsid w:val="00EE44D9"/>
    <w:rsid w:val="00EE646E"/>
    <w:rsid w:val="00EE659B"/>
    <w:rsid w:val="00EE7B35"/>
    <w:rsid w:val="00EF083E"/>
    <w:rsid w:val="00EF0A3A"/>
    <w:rsid w:val="00EF0E11"/>
    <w:rsid w:val="00EF0FC1"/>
    <w:rsid w:val="00EF2D1C"/>
    <w:rsid w:val="00EF3262"/>
    <w:rsid w:val="00EF4B46"/>
    <w:rsid w:val="00EF4F3F"/>
    <w:rsid w:val="00EF5919"/>
    <w:rsid w:val="00EF5E66"/>
    <w:rsid w:val="00EF7E6E"/>
    <w:rsid w:val="00F014A2"/>
    <w:rsid w:val="00F02DBB"/>
    <w:rsid w:val="00F035C0"/>
    <w:rsid w:val="00F04200"/>
    <w:rsid w:val="00F042BF"/>
    <w:rsid w:val="00F06B1A"/>
    <w:rsid w:val="00F13467"/>
    <w:rsid w:val="00F13E06"/>
    <w:rsid w:val="00F1449F"/>
    <w:rsid w:val="00F2176F"/>
    <w:rsid w:val="00F22F9C"/>
    <w:rsid w:val="00F23F2C"/>
    <w:rsid w:val="00F2442C"/>
    <w:rsid w:val="00F26917"/>
    <w:rsid w:val="00F313C8"/>
    <w:rsid w:val="00F3151F"/>
    <w:rsid w:val="00F315C0"/>
    <w:rsid w:val="00F323B7"/>
    <w:rsid w:val="00F325ED"/>
    <w:rsid w:val="00F34B73"/>
    <w:rsid w:val="00F34EEE"/>
    <w:rsid w:val="00F36259"/>
    <w:rsid w:val="00F37A9B"/>
    <w:rsid w:val="00F41226"/>
    <w:rsid w:val="00F41E90"/>
    <w:rsid w:val="00F436C4"/>
    <w:rsid w:val="00F43EA8"/>
    <w:rsid w:val="00F45E9C"/>
    <w:rsid w:val="00F465B0"/>
    <w:rsid w:val="00F46993"/>
    <w:rsid w:val="00F53069"/>
    <w:rsid w:val="00F555A9"/>
    <w:rsid w:val="00F5679E"/>
    <w:rsid w:val="00F65E11"/>
    <w:rsid w:val="00F66FC3"/>
    <w:rsid w:val="00F673C0"/>
    <w:rsid w:val="00F67CC6"/>
    <w:rsid w:val="00F801FF"/>
    <w:rsid w:val="00F8109D"/>
    <w:rsid w:val="00F814A4"/>
    <w:rsid w:val="00F816F2"/>
    <w:rsid w:val="00F839BD"/>
    <w:rsid w:val="00F84E4E"/>
    <w:rsid w:val="00F92F84"/>
    <w:rsid w:val="00F93E14"/>
    <w:rsid w:val="00F963EB"/>
    <w:rsid w:val="00F97A5A"/>
    <w:rsid w:val="00FA0F55"/>
    <w:rsid w:val="00FA1219"/>
    <w:rsid w:val="00FA4549"/>
    <w:rsid w:val="00FA64E1"/>
    <w:rsid w:val="00FA7136"/>
    <w:rsid w:val="00FB0914"/>
    <w:rsid w:val="00FB19B9"/>
    <w:rsid w:val="00FB353A"/>
    <w:rsid w:val="00FB60AE"/>
    <w:rsid w:val="00FB6309"/>
    <w:rsid w:val="00FB6927"/>
    <w:rsid w:val="00FB7F8C"/>
    <w:rsid w:val="00FC11A6"/>
    <w:rsid w:val="00FC12BD"/>
    <w:rsid w:val="00FC1E46"/>
    <w:rsid w:val="00FC23AC"/>
    <w:rsid w:val="00FC25DD"/>
    <w:rsid w:val="00FC288E"/>
    <w:rsid w:val="00FC4968"/>
    <w:rsid w:val="00FC4EBB"/>
    <w:rsid w:val="00FC5552"/>
    <w:rsid w:val="00FD3DF2"/>
    <w:rsid w:val="00FD4F36"/>
    <w:rsid w:val="00FD5A49"/>
    <w:rsid w:val="00FE0943"/>
    <w:rsid w:val="00FE16F1"/>
    <w:rsid w:val="00FE28CF"/>
    <w:rsid w:val="00FE32D8"/>
    <w:rsid w:val="00FE425B"/>
    <w:rsid w:val="00FE505D"/>
    <w:rsid w:val="00FE7AC6"/>
    <w:rsid w:val="00FF145A"/>
    <w:rsid w:val="00FF2EC0"/>
    <w:rsid w:val="00FF315C"/>
    <w:rsid w:val="00FF5957"/>
    <w:rsid w:val="00FF7169"/>
    <w:rsid w:val="06912876"/>
    <w:rsid w:val="06E39F3E"/>
    <w:rsid w:val="0BE1CD4F"/>
    <w:rsid w:val="1C5A3B95"/>
    <w:rsid w:val="1C65B7C7"/>
    <w:rsid w:val="2238151F"/>
    <w:rsid w:val="22E82D20"/>
    <w:rsid w:val="260D3BFB"/>
    <w:rsid w:val="32108395"/>
    <w:rsid w:val="36F1DC3B"/>
    <w:rsid w:val="375DED30"/>
    <w:rsid w:val="37C5828B"/>
    <w:rsid w:val="44819013"/>
    <w:rsid w:val="4947100B"/>
    <w:rsid w:val="54D153D8"/>
    <w:rsid w:val="57F8BE65"/>
    <w:rsid w:val="584E5C63"/>
    <w:rsid w:val="5913E833"/>
    <w:rsid w:val="5CABB5E7"/>
    <w:rsid w:val="5E02DE28"/>
    <w:rsid w:val="5F5BC2DC"/>
    <w:rsid w:val="5F70B083"/>
    <w:rsid w:val="658CC40B"/>
    <w:rsid w:val="6BFB1071"/>
    <w:rsid w:val="70839A08"/>
    <w:rsid w:val="718C11B0"/>
    <w:rsid w:val="746FF76B"/>
    <w:rsid w:val="78E2761D"/>
    <w:rsid w:val="7AD65AD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A2A28DA9-40C9-4750-BA8D-C396A80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1546"/>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NormalWeb">
    <w:name w:val="Normal (Web)"/>
    <w:basedOn w:val="Normal"/>
    <w:uiPriority w:val="99"/>
    <w:unhideWhenUsed/>
    <w:rsid w:val="008B6C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erate">
    <w:name w:val="enumerate"/>
    <w:basedOn w:val="DefaultParagraphFont"/>
    <w:rsid w:val="00C862BC"/>
  </w:style>
  <w:style w:type="character" w:styleId="CommentReference">
    <w:name w:val="annotation reference"/>
    <w:basedOn w:val="DefaultParagraphFont"/>
    <w:uiPriority w:val="99"/>
    <w:semiHidden/>
    <w:unhideWhenUsed/>
    <w:rsid w:val="003B45C8"/>
    <w:rPr>
      <w:sz w:val="16"/>
      <w:szCs w:val="16"/>
    </w:rPr>
  </w:style>
  <w:style w:type="paragraph" w:styleId="CommentText">
    <w:name w:val="annotation text"/>
    <w:basedOn w:val="Normal"/>
    <w:link w:val="CommentTextChar"/>
    <w:uiPriority w:val="99"/>
    <w:unhideWhenUsed/>
    <w:rsid w:val="003B45C8"/>
    <w:pPr>
      <w:spacing w:line="240" w:lineRule="auto"/>
    </w:pPr>
    <w:rPr>
      <w:szCs w:val="20"/>
    </w:rPr>
  </w:style>
  <w:style w:type="character" w:customStyle="1" w:styleId="CommentTextChar">
    <w:name w:val="Comment Text Char"/>
    <w:basedOn w:val="DefaultParagraphFont"/>
    <w:link w:val="CommentText"/>
    <w:uiPriority w:val="99"/>
    <w:rsid w:val="003B45C8"/>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3B45C8"/>
    <w:rPr>
      <w:b/>
      <w:bCs/>
    </w:rPr>
  </w:style>
  <w:style w:type="character" w:customStyle="1" w:styleId="CommentSubjectChar">
    <w:name w:val="Comment Subject Char"/>
    <w:basedOn w:val="CommentTextChar"/>
    <w:link w:val="CommentSubject"/>
    <w:uiPriority w:val="99"/>
    <w:semiHidden/>
    <w:rsid w:val="003B45C8"/>
    <w:rPr>
      <w:rFonts w:ascii="Foundry Sterling Book" w:hAnsi="Foundry Sterling Book"/>
      <w:b/>
      <w:bCs/>
      <w:sz w:val="20"/>
      <w:szCs w:val="20"/>
      <w:lang w:eastAsia="en-AU"/>
    </w:rPr>
  </w:style>
  <w:style w:type="paragraph" w:styleId="Revision">
    <w:name w:val="Revision"/>
    <w:hidden/>
    <w:uiPriority w:val="99"/>
    <w:semiHidden/>
    <w:rsid w:val="00501864"/>
    <w:rPr>
      <w:rFonts w:ascii="Foundry Sterling Book" w:hAnsi="Foundry Sterling Book"/>
      <w:sz w:val="20"/>
      <w:szCs w:val="22"/>
      <w:lang w:eastAsia="en-AU"/>
    </w:rPr>
  </w:style>
  <w:style w:type="character" w:styleId="Mention">
    <w:name w:val="Mention"/>
    <w:basedOn w:val="DefaultParagraphFont"/>
    <w:uiPriority w:val="99"/>
    <w:rsid w:val="00501864"/>
    <w:rPr>
      <w:color w:val="2B579A"/>
      <w:shd w:val="clear" w:color="auto" w:fill="E1DFDD"/>
    </w:rPr>
  </w:style>
  <w:style w:type="character" w:customStyle="1" w:styleId="apple-converted-space">
    <w:name w:val="apple-converted-space"/>
    <w:basedOn w:val="DefaultParagraphFont"/>
    <w:rsid w:val="007A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92358361">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287013193">
      <w:bodyDiv w:val="1"/>
      <w:marLeft w:val="0"/>
      <w:marRight w:val="0"/>
      <w:marTop w:val="0"/>
      <w:marBottom w:val="0"/>
      <w:divBdr>
        <w:top w:val="none" w:sz="0" w:space="0" w:color="auto"/>
        <w:left w:val="none" w:sz="0" w:space="0" w:color="auto"/>
        <w:bottom w:val="none" w:sz="0" w:space="0" w:color="auto"/>
        <w:right w:val="none" w:sz="0" w:space="0" w:color="auto"/>
      </w:divBdr>
    </w:div>
    <w:div w:id="287123938">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27952216">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26796253">
      <w:bodyDiv w:val="1"/>
      <w:marLeft w:val="0"/>
      <w:marRight w:val="0"/>
      <w:marTop w:val="0"/>
      <w:marBottom w:val="0"/>
      <w:divBdr>
        <w:top w:val="none" w:sz="0" w:space="0" w:color="auto"/>
        <w:left w:val="none" w:sz="0" w:space="0" w:color="auto"/>
        <w:bottom w:val="none" w:sz="0" w:space="0" w:color="auto"/>
        <w:right w:val="none" w:sz="0" w:space="0" w:color="auto"/>
      </w:divBdr>
    </w:div>
    <w:div w:id="610824343">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12735167">
      <w:bodyDiv w:val="1"/>
      <w:marLeft w:val="0"/>
      <w:marRight w:val="0"/>
      <w:marTop w:val="0"/>
      <w:marBottom w:val="0"/>
      <w:divBdr>
        <w:top w:val="none" w:sz="0" w:space="0" w:color="auto"/>
        <w:left w:val="none" w:sz="0" w:space="0" w:color="auto"/>
        <w:bottom w:val="none" w:sz="0" w:space="0" w:color="auto"/>
        <w:right w:val="none" w:sz="0" w:space="0" w:color="auto"/>
      </w:divBdr>
    </w:div>
    <w:div w:id="793061956">
      <w:bodyDiv w:val="1"/>
      <w:marLeft w:val="0"/>
      <w:marRight w:val="0"/>
      <w:marTop w:val="0"/>
      <w:marBottom w:val="0"/>
      <w:divBdr>
        <w:top w:val="none" w:sz="0" w:space="0" w:color="auto"/>
        <w:left w:val="none" w:sz="0" w:space="0" w:color="auto"/>
        <w:bottom w:val="none" w:sz="0" w:space="0" w:color="auto"/>
        <w:right w:val="none" w:sz="0" w:space="0" w:color="auto"/>
      </w:divBdr>
      <w:divsChild>
        <w:div w:id="183400594">
          <w:marLeft w:val="0"/>
          <w:marRight w:val="0"/>
          <w:marTop w:val="0"/>
          <w:marBottom w:val="0"/>
          <w:divBdr>
            <w:top w:val="none" w:sz="0" w:space="0" w:color="auto"/>
            <w:left w:val="none" w:sz="0" w:space="0" w:color="auto"/>
            <w:bottom w:val="none" w:sz="0" w:space="0" w:color="auto"/>
            <w:right w:val="none" w:sz="0" w:space="0" w:color="auto"/>
          </w:divBdr>
          <w:divsChild>
            <w:div w:id="1267348724">
              <w:marLeft w:val="0"/>
              <w:marRight w:val="0"/>
              <w:marTop w:val="0"/>
              <w:marBottom w:val="0"/>
              <w:divBdr>
                <w:top w:val="none" w:sz="0" w:space="0" w:color="auto"/>
                <w:left w:val="none" w:sz="0" w:space="0" w:color="auto"/>
                <w:bottom w:val="none" w:sz="0" w:space="0" w:color="auto"/>
                <w:right w:val="none" w:sz="0" w:space="0" w:color="auto"/>
              </w:divBdr>
              <w:divsChild>
                <w:div w:id="20019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824398722">
      <w:bodyDiv w:val="1"/>
      <w:marLeft w:val="0"/>
      <w:marRight w:val="0"/>
      <w:marTop w:val="0"/>
      <w:marBottom w:val="0"/>
      <w:divBdr>
        <w:top w:val="none" w:sz="0" w:space="0" w:color="auto"/>
        <w:left w:val="none" w:sz="0" w:space="0" w:color="auto"/>
        <w:bottom w:val="none" w:sz="0" w:space="0" w:color="auto"/>
        <w:right w:val="none" w:sz="0" w:space="0" w:color="auto"/>
      </w:divBdr>
    </w:div>
    <w:div w:id="1028681385">
      <w:bodyDiv w:val="1"/>
      <w:marLeft w:val="0"/>
      <w:marRight w:val="0"/>
      <w:marTop w:val="0"/>
      <w:marBottom w:val="0"/>
      <w:divBdr>
        <w:top w:val="none" w:sz="0" w:space="0" w:color="auto"/>
        <w:left w:val="none" w:sz="0" w:space="0" w:color="auto"/>
        <w:bottom w:val="none" w:sz="0" w:space="0" w:color="auto"/>
        <w:right w:val="none" w:sz="0" w:space="0" w:color="auto"/>
      </w:divBdr>
      <w:divsChild>
        <w:div w:id="436565836">
          <w:marLeft w:val="0"/>
          <w:marRight w:val="0"/>
          <w:marTop w:val="0"/>
          <w:marBottom w:val="0"/>
          <w:divBdr>
            <w:top w:val="none" w:sz="0" w:space="0" w:color="auto"/>
            <w:left w:val="none" w:sz="0" w:space="0" w:color="auto"/>
            <w:bottom w:val="none" w:sz="0" w:space="0" w:color="auto"/>
            <w:right w:val="none" w:sz="0" w:space="0" w:color="auto"/>
          </w:divBdr>
          <w:divsChild>
            <w:div w:id="594246415">
              <w:marLeft w:val="0"/>
              <w:marRight w:val="0"/>
              <w:marTop w:val="0"/>
              <w:marBottom w:val="0"/>
              <w:divBdr>
                <w:top w:val="none" w:sz="0" w:space="0" w:color="auto"/>
                <w:left w:val="none" w:sz="0" w:space="0" w:color="auto"/>
                <w:bottom w:val="none" w:sz="0" w:space="0" w:color="auto"/>
                <w:right w:val="none" w:sz="0" w:space="0" w:color="auto"/>
              </w:divBdr>
              <w:divsChild>
                <w:div w:id="12276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86506140">
      <w:bodyDiv w:val="1"/>
      <w:marLeft w:val="0"/>
      <w:marRight w:val="0"/>
      <w:marTop w:val="0"/>
      <w:marBottom w:val="0"/>
      <w:divBdr>
        <w:top w:val="none" w:sz="0" w:space="0" w:color="auto"/>
        <w:left w:val="none" w:sz="0" w:space="0" w:color="auto"/>
        <w:bottom w:val="none" w:sz="0" w:space="0" w:color="auto"/>
        <w:right w:val="none" w:sz="0" w:space="0" w:color="auto"/>
      </w:divBdr>
    </w:div>
    <w:div w:id="1560632312">
      <w:bodyDiv w:val="1"/>
      <w:marLeft w:val="0"/>
      <w:marRight w:val="0"/>
      <w:marTop w:val="0"/>
      <w:marBottom w:val="0"/>
      <w:divBdr>
        <w:top w:val="none" w:sz="0" w:space="0" w:color="auto"/>
        <w:left w:val="none" w:sz="0" w:space="0" w:color="auto"/>
        <w:bottom w:val="none" w:sz="0" w:space="0" w:color="auto"/>
        <w:right w:val="none" w:sz="0" w:space="0" w:color="auto"/>
      </w:divBdr>
      <w:divsChild>
        <w:div w:id="745422951">
          <w:marLeft w:val="0"/>
          <w:marRight w:val="0"/>
          <w:marTop w:val="0"/>
          <w:marBottom w:val="0"/>
          <w:divBdr>
            <w:top w:val="none" w:sz="0" w:space="0" w:color="auto"/>
            <w:left w:val="none" w:sz="0" w:space="0" w:color="auto"/>
            <w:bottom w:val="none" w:sz="0" w:space="0" w:color="auto"/>
            <w:right w:val="none" w:sz="0" w:space="0" w:color="auto"/>
          </w:divBdr>
          <w:divsChild>
            <w:div w:id="1396928514">
              <w:marLeft w:val="0"/>
              <w:marRight w:val="0"/>
              <w:marTop w:val="0"/>
              <w:marBottom w:val="0"/>
              <w:divBdr>
                <w:top w:val="none" w:sz="0" w:space="0" w:color="auto"/>
                <w:left w:val="none" w:sz="0" w:space="0" w:color="auto"/>
                <w:bottom w:val="none" w:sz="0" w:space="0" w:color="auto"/>
                <w:right w:val="none" w:sz="0" w:space="0" w:color="auto"/>
              </w:divBdr>
              <w:divsChild>
                <w:div w:id="2143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2761">
          <w:marLeft w:val="0"/>
          <w:marRight w:val="0"/>
          <w:marTop w:val="0"/>
          <w:marBottom w:val="0"/>
          <w:divBdr>
            <w:top w:val="none" w:sz="0" w:space="0" w:color="auto"/>
            <w:left w:val="none" w:sz="0" w:space="0" w:color="auto"/>
            <w:bottom w:val="none" w:sz="0" w:space="0" w:color="auto"/>
            <w:right w:val="none" w:sz="0" w:space="0" w:color="auto"/>
          </w:divBdr>
          <w:divsChild>
            <w:div w:id="2072726579">
              <w:marLeft w:val="0"/>
              <w:marRight w:val="0"/>
              <w:marTop w:val="0"/>
              <w:marBottom w:val="0"/>
              <w:divBdr>
                <w:top w:val="none" w:sz="0" w:space="0" w:color="auto"/>
                <w:left w:val="none" w:sz="0" w:space="0" w:color="auto"/>
                <w:bottom w:val="none" w:sz="0" w:space="0" w:color="auto"/>
                <w:right w:val="none" w:sz="0" w:space="0" w:color="auto"/>
              </w:divBdr>
              <w:divsChild>
                <w:div w:id="841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2845">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29405749">
      <w:bodyDiv w:val="1"/>
      <w:marLeft w:val="0"/>
      <w:marRight w:val="0"/>
      <w:marTop w:val="0"/>
      <w:marBottom w:val="0"/>
      <w:divBdr>
        <w:top w:val="none" w:sz="0" w:space="0" w:color="auto"/>
        <w:left w:val="none" w:sz="0" w:space="0" w:color="auto"/>
        <w:bottom w:val="none" w:sz="0" w:space="0" w:color="auto"/>
        <w:right w:val="none" w:sz="0" w:space="0" w:color="auto"/>
      </w:divBdr>
      <w:divsChild>
        <w:div w:id="1959531111">
          <w:marLeft w:val="0"/>
          <w:marRight w:val="0"/>
          <w:marTop w:val="0"/>
          <w:marBottom w:val="0"/>
          <w:divBdr>
            <w:top w:val="none" w:sz="0" w:space="0" w:color="auto"/>
            <w:left w:val="none" w:sz="0" w:space="0" w:color="auto"/>
            <w:bottom w:val="none" w:sz="0" w:space="0" w:color="auto"/>
            <w:right w:val="none" w:sz="0" w:space="0" w:color="auto"/>
          </w:divBdr>
          <w:divsChild>
            <w:div w:id="278881867">
              <w:marLeft w:val="0"/>
              <w:marRight w:val="0"/>
              <w:marTop w:val="0"/>
              <w:marBottom w:val="0"/>
              <w:divBdr>
                <w:top w:val="none" w:sz="0" w:space="0" w:color="auto"/>
                <w:left w:val="none" w:sz="0" w:space="0" w:color="auto"/>
                <w:bottom w:val="none" w:sz="0" w:space="0" w:color="auto"/>
                <w:right w:val="none" w:sz="0" w:space="0" w:color="auto"/>
              </w:divBdr>
              <w:divsChild>
                <w:div w:id="9537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8178">
      <w:bodyDiv w:val="1"/>
      <w:marLeft w:val="0"/>
      <w:marRight w:val="0"/>
      <w:marTop w:val="0"/>
      <w:marBottom w:val="0"/>
      <w:divBdr>
        <w:top w:val="none" w:sz="0" w:space="0" w:color="auto"/>
        <w:left w:val="none" w:sz="0" w:space="0" w:color="auto"/>
        <w:bottom w:val="none" w:sz="0" w:space="0" w:color="auto"/>
        <w:right w:val="none" w:sz="0" w:space="0" w:color="auto"/>
      </w:divBdr>
      <w:divsChild>
        <w:div w:id="822967648">
          <w:marLeft w:val="0"/>
          <w:marRight w:val="0"/>
          <w:marTop w:val="0"/>
          <w:marBottom w:val="0"/>
          <w:divBdr>
            <w:top w:val="none" w:sz="0" w:space="0" w:color="auto"/>
            <w:left w:val="none" w:sz="0" w:space="0" w:color="auto"/>
            <w:bottom w:val="none" w:sz="0" w:space="0" w:color="auto"/>
            <w:right w:val="none" w:sz="0" w:space="0" w:color="auto"/>
          </w:divBdr>
          <w:divsChild>
            <w:div w:id="335770543">
              <w:marLeft w:val="0"/>
              <w:marRight w:val="0"/>
              <w:marTop w:val="0"/>
              <w:marBottom w:val="0"/>
              <w:divBdr>
                <w:top w:val="none" w:sz="0" w:space="0" w:color="auto"/>
                <w:left w:val="none" w:sz="0" w:space="0" w:color="auto"/>
                <w:bottom w:val="none" w:sz="0" w:space="0" w:color="auto"/>
                <w:right w:val="none" w:sz="0" w:space="0" w:color="auto"/>
              </w:divBdr>
              <w:divsChild>
                <w:div w:id="1756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gov.au/Details/F2017L01182" TargetMode="External"/><Relationship Id="rId26" Type="http://schemas.openxmlformats.org/officeDocument/2006/relationships/hyperlink" Target="https://sharepointpubstor.blob.core.windows.net/policylibrary-prod/Academic%20Delivery%20with%20Other%20Parties%20-%20Domestic%20Coursework%20Procedur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harepointpubstor.blob.core.windows.net/policylibrary-prod/Due%20Diligence%20for%20Transnational%20Program%20Partnerships%20Policy.pdf" TargetMode="External"/><Relationship Id="rId34" Type="http://schemas.openxmlformats.org/officeDocument/2006/relationships/hyperlink" Target="https://griffitheduau.sharepoint.com/:w:/s/TPAsupport/EbuaPgnxr2FNvPnwgBNum7sBLQTOoO_CJo-cs31pfgUI-Q?e=3KIj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au/Details/F2022C00105" TargetMode="External"/><Relationship Id="rId25" Type="http://schemas.openxmlformats.org/officeDocument/2006/relationships/hyperlink" Target="https://sharepointpubstor.blob.core.windows.net/policylibrary-prod/Work%20Integrated%20Learning%20at%20Griffith.pdf" TargetMode="External"/><Relationship Id="rId33" Type="http://schemas.openxmlformats.org/officeDocument/2006/relationships/hyperlink" Target="https://griffitheduau.sharepoint.com/:x:/s/TPAsupport/EfB4sEJoCf9Gqd1nFRXHtT8Bg4OXFm1UkkubJXID6o45rw?e=QQipj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sharepointpubstor.blob.core.windows.net/policylibrary-prod/Credit%20and%20Recognition%20of%20Prior%20Learning%20Policy.pdf" TargetMode="External"/><Relationship Id="rId29" Type="http://schemas.openxmlformats.org/officeDocument/2006/relationships/hyperlink" Target="https://sharepointpubstor.blob.core.windows.net/policylibrary-prod/Planning%20Developing%20and%20Approving%20Transnational%20Programs%20Proced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harepointpubstor.blob.core.windows.net/policylibrary-prod/Risk%20and%20Resilience%20Management%20Policy.pdf" TargetMode="External"/><Relationship Id="rId32" Type="http://schemas.openxmlformats.org/officeDocument/2006/relationships/hyperlink" Target="https://griffitheduau.sharepoint.com/:w:/s/TPAsupport/ET3dJvxLprdHlhldMuEM-pAByjrGuPkyO6W7MeYrqv4Avw?e=23DbhT" TargetMode="External"/><Relationship Id="rId37" Type="http://schemas.openxmlformats.org/officeDocument/2006/relationships/hyperlink" Target="https://griffitheduau.sharepoint.com/sites/CFI-HUB/SitePages/International-Engagement-Checking-Tool.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harepointpubstor.blob.core.windows.net/policylibrary-prod/Procurement%20and%20Supply%20Policy.pdf" TargetMode="External"/><Relationship Id="rId28" Type="http://schemas.openxmlformats.org/officeDocument/2006/relationships/hyperlink" Target="https://sharepointpubstor.blob.core.windows.net/policylibrary-prod/Griffith%20Credentials%20Planning%20Approval%20and%20Review%20Procedure.pdf" TargetMode="External"/><Relationship Id="rId36" Type="http://schemas.openxmlformats.org/officeDocument/2006/relationships/hyperlink" Target="https://griffitheduau.sharepoint.com/:w:/s/TPAsupport/EZb6X0PU2OJMu3XfWFADINMBOmwyhr77oRGpYGNlyPI34Q?e=KlVvvo" TargetMode="External"/><Relationship Id="rId10" Type="http://schemas.openxmlformats.org/officeDocument/2006/relationships/endnotes" Target="endnotes.xml"/><Relationship Id="rId19" Type="http://schemas.openxmlformats.org/officeDocument/2006/relationships/hyperlink" Target="https://sharepointpubstor.blob.core.windows.net/policylibrary-prod/Assessment%20Policy.pdf" TargetMode="External"/><Relationship Id="rId31" Type="http://schemas.openxmlformats.org/officeDocument/2006/relationships/hyperlink" Target="https://sharepointpubstor.blob.core.windows.net/policylibrary-prod/Procedure%20for%20Approval%20of%20New%20Programs%20and%20Changes%20to%20Progra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sharepointpubstor.blob.core.windows.net/policylibrary-prod/Griffith%20Global%20Mobility%20Policy.pdf" TargetMode="External"/><Relationship Id="rId27" Type="http://schemas.openxmlformats.org/officeDocument/2006/relationships/hyperlink" Target="https://sharepointpubstor.blob.core.windows.net/policylibrary-prod/Procedure%20for%20Approval%20of%20Courses%20and%20Changes%20to%20Existing%20Courses.pdf" TargetMode="External"/><Relationship Id="rId30" Type="http://schemas.openxmlformats.org/officeDocument/2006/relationships/hyperlink" Target="https://sharepointpubstor.blob.core.windows.net/policylibrary-prod/Procedure%20for%20Program%20and%20Course%20Review.pdf" TargetMode="External"/><Relationship Id="rId35" Type="http://schemas.openxmlformats.org/officeDocument/2006/relationships/hyperlink" Target="https://griffitheduau.sharepoint.com/:w:/s/TPAsupport/EaryoElOXsxChpFHUwPJB0MBSjNayZjGqehRHaGVeR2Spw?e=twXBO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Liz Burd</DisplayName>
        <AccountId>19</AccountId>
        <AccountType/>
      </UserInfo>
      <UserInfo>
        <DisplayName>Jodie Davis</DisplayName>
        <AccountId>75</AccountId>
        <AccountType/>
      </UserInfo>
      <UserInfo>
        <DisplayName>Georgina Ma</DisplayName>
        <AccountId>11</AccountId>
        <AccountType/>
      </UserInfo>
    </SharedWithUsers>
    <TaxCatchAll xmlns="b40c662e-0380-4817-843d-2c7e10d40c39">
      <Value>558</Value>
      <Value>77</Value>
      <Value>518</Value>
      <Value>551</Value>
      <Value>88</Value>
      <Value>69</Value>
    </TaxCatchAll>
    <PublishOn xmlns="2f261a70-825f-4a37-b7b5-f6ecc2f4c5fa">2023-03-17T05:32:26+00:00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 xsi:nil="true"/>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2023-03-16T14:00:00+00:00</LastPublished>
    <doccomments xmlns="2f261a70-825f-4a37-b7b5-f6ecc2f4c5fa">14/11/2023 -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26/03/2024 - Standing COO editorial updates - under Related Policy Documents - Student Administration Policy has been rescinded replaced with Admission Policy.</doccomments>
    <datedeclared xmlns="2f261a70-825f-4a37-b7b5-f6ecc2f4c5fa">2023-03-13T14:00:00+00:00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835D0F4C-674E-4255-A3AF-8CB513CC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17</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 template</vt:lpstr>
    </vt:vector>
  </TitlesOfParts>
  <Company/>
  <LinksUpToDate>false</LinksUpToDate>
  <CharactersWithSpaces>11402</CharactersWithSpaces>
  <SharedDoc>false</SharedDoc>
  <HLinks>
    <vt:vector size="156" baseType="variant">
      <vt:variant>
        <vt:i4>5505089</vt:i4>
      </vt:variant>
      <vt:variant>
        <vt:i4>75</vt:i4>
      </vt:variant>
      <vt:variant>
        <vt:i4>0</vt:i4>
      </vt:variant>
      <vt:variant>
        <vt:i4>5</vt:i4>
      </vt:variant>
      <vt:variant>
        <vt:lpwstr>https://griffitheduau.sharepoint.com/sites/CFI-HUB/SitePages/International-Engagement-Checking-Tool.aspx</vt:lpwstr>
      </vt:variant>
      <vt:variant>
        <vt:lpwstr/>
      </vt:variant>
      <vt:variant>
        <vt:i4>6029330</vt:i4>
      </vt:variant>
      <vt:variant>
        <vt:i4>72</vt:i4>
      </vt:variant>
      <vt:variant>
        <vt:i4>0</vt:i4>
      </vt:variant>
      <vt:variant>
        <vt:i4>5</vt:i4>
      </vt:variant>
      <vt:variant>
        <vt:lpwstr>https://griffitheduau.sharepoint.com/:w:/s/TPAsupport/EZb6X0PU2OJMu3XfWFADINMBOmwyhr77oRGpYGNlyPI34Q?e=KlVvvo</vt:lpwstr>
      </vt:variant>
      <vt:variant>
        <vt:lpwstr/>
      </vt:variant>
      <vt:variant>
        <vt:i4>5963782</vt:i4>
      </vt:variant>
      <vt:variant>
        <vt:i4>69</vt:i4>
      </vt:variant>
      <vt:variant>
        <vt:i4>0</vt:i4>
      </vt:variant>
      <vt:variant>
        <vt:i4>5</vt:i4>
      </vt:variant>
      <vt:variant>
        <vt:lpwstr>https://griffitheduau.sharepoint.com/:w:/s/TPAsupport/EaryoElOXsxChpFHUwPJB0MBSjNayZjGqehRHaGVeR2Spw?e=twXBOY</vt:lpwstr>
      </vt:variant>
      <vt:variant>
        <vt:lpwstr/>
      </vt:variant>
      <vt:variant>
        <vt:i4>4980822</vt:i4>
      </vt:variant>
      <vt:variant>
        <vt:i4>66</vt:i4>
      </vt:variant>
      <vt:variant>
        <vt:i4>0</vt:i4>
      </vt:variant>
      <vt:variant>
        <vt:i4>5</vt:i4>
      </vt:variant>
      <vt:variant>
        <vt:lpwstr>https://griffitheduau.sharepoint.com/:x:/s/TPAsupport/EfB4sEJoCf9Gqd1nFRXHtT8Bg4OXFm1UkkubJXID6o45rw?e=QQipjD</vt:lpwstr>
      </vt:variant>
      <vt:variant>
        <vt:lpwstr/>
      </vt:variant>
      <vt:variant>
        <vt:i4>5701715</vt:i4>
      </vt:variant>
      <vt:variant>
        <vt:i4>63</vt:i4>
      </vt:variant>
      <vt:variant>
        <vt:i4>0</vt:i4>
      </vt:variant>
      <vt:variant>
        <vt:i4>5</vt:i4>
      </vt:variant>
      <vt:variant>
        <vt:lpwstr>https://griffitheduau.sharepoint.com/:w:/s/TPAsupport/ET3dJvxLprdHlhldMuEM-pAByjrGuPkyO6W7MeYrqv4Avw?e=23DbhT</vt:lpwstr>
      </vt:variant>
      <vt:variant>
        <vt:lpwstr/>
      </vt:variant>
      <vt:variant>
        <vt:i4>1376256</vt:i4>
      </vt:variant>
      <vt:variant>
        <vt:i4>60</vt:i4>
      </vt:variant>
      <vt:variant>
        <vt:i4>0</vt:i4>
      </vt:variant>
      <vt:variant>
        <vt:i4>5</vt:i4>
      </vt:variant>
      <vt:variant>
        <vt:lpwstr>https://sharepointpubstor.blob.core.windows.net/policylibrary-prod/Procedure for Approval of New Programs and Changes to Programs.pdf</vt:lpwstr>
      </vt:variant>
      <vt:variant>
        <vt:lpwstr/>
      </vt:variant>
      <vt:variant>
        <vt:i4>7340140</vt:i4>
      </vt:variant>
      <vt:variant>
        <vt:i4>57</vt:i4>
      </vt:variant>
      <vt:variant>
        <vt:i4>0</vt:i4>
      </vt:variant>
      <vt:variant>
        <vt:i4>5</vt:i4>
      </vt:variant>
      <vt:variant>
        <vt:lpwstr>https://sharepointpubstor.blob.core.windows.net/policylibrary-prod/Procedure for Program and Course Review.pdf</vt:lpwstr>
      </vt:variant>
      <vt:variant>
        <vt:lpwstr/>
      </vt:variant>
      <vt:variant>
        <vt:i4>458816</vt:i4>
      </vt:variant>
      <vt:variant>
        <vt:i4>54</vt:i4>
      </vt:variant>
      <vt:variant>
        <vt:i4>0</vt:i4>
      </vt:variant>
      <vt:variant>
        <vt:i4>5</vt:i4>
      </vt:variant>
      <vt:variant>
        <vt:lpwstr>https://sharepointpubstor.blob.core.windows.net/policylibrary-prod/Planning Developing and Approving Transnational Programs Procedure.pdf</vt:lpwstr>
      </vt:variant>
      <vt:variant>
        <vt:lpwstr/>
      </vt:variant>
      <vt:variant>
        <vt:i4>3670141</vt:i4>
      </vt:variant>
      <vt:variant>
        <vt:i4>51</vt:i4>
      </vt:variant>
      <vt:variant>
        <vt:i4>0</vt:i4>
      </vt:variant>
      <vt:variant>
        <vt:i4>5</vt:i4>
      </vt:variant>
      <vt:variant>
        <vt:lpwstr>https://sharepointpubstor.blob.core.windows.net/policylibrary-prod/Griffith Credentials Planning Approval and Review Procedure.pdf</vt:lpwstr>
      </vt:variant>
      <vt:variant>
        <vt:lpwstr/>
      </vt:variant>
      <vt:variant>
        <vt:i4>5242956</vt:i4>
      </vt:variant>
      <vt:variant>
        <vt:i4>48</vt:i4>
      </vt:variant>
      <vt:variant>
        <vt:i4>0</vt:i4>
      </vt:variant>
      <vt:variant>
        <vt:i4>5</vt:i4>
      </vt:variant>
      <vt:variant>
        <vt:lpwstr>https://sharepointpubstor.blob.core.windows.net/policylibrary-prod/Procedure for Approval of Courses and Changes to Existing Courses.pdf</vt:lpwstr>
      </vt:variant>
      <vt:variant>
        <vt:lpwstr/>
      </vt:variant>
      <vt:variant>
        <vt:i4>393223</vt:i4>
      </vt:variant>
      <vt:variant>
        <vt:i4>45</vt:i4>
      </vt:variant>
      <vt:variant>
        <vt:i4>0</vt:i4>
      </vt:variant>
      <vt:variant>
        <vt:i4>5</vt:i4>
      </vt:variant>
      <vt:variant>
        <vt:lpwstr>https://sharepointpubstor.blob.core.windows.net/policylibrary-prod/Non Award Students Guidelines.pdf</vt:lpwstr>
      </vt:variant>
      <vt:variant>
        <vt:lpwstr/>
      </vt:variant>
      <vt:variant>
        <vt:i4>6291498</vt:i4>
      </vt:variant>
      <vt:variant>
        <vt:i4>42</vt:i4>
      </vt:variant>
      <vt:variant>
        <vt:i4>0</vt:i4>
      </vt:variant>
      <vt:variant>
        <vt:i4>5</vt:i4>
      </vt:variant>
      <vt:variant>
        <vt:lpwstr>https://sharepointpubstor.blob.core.windows.net/policylibrary-prod/Work Integrated Learning at Griffith.pdf</vt:lpwstr>
      </vt:variant>
      <vt:variant>
        <vt:lpwstr/>
      </vt:variant>
      <vt:variant>
        <vt:i4>327760</vt:i4>
      </vt:variant>
      <vt:variant>
        <vt:i4>39</vt:i4>
      </vt:variant>
      <vt:variant>
        <vt:i4>0</vt:i4>
      </vt:variant>
      <vt:variant>
        <vt:i4>5</vt:i4>
      </vt:variant>
      <vt:variant>
        <vt:lpwstr>https://sharepointpubstor.blob.core.windows.net/policylibrary-prod/Student Administration Policy.pdf</vt:lpwstr>
      </vt:variant>
      <vt:variant>
        <vt:lpwstr/>
      </vt:variant>
      <vt:variant>
        <vt:i4>786496</vt:i4>
      </vt:variant>
      <vt:variant>
        <vt:i4>36</vt:i4>
      </vt:variant>
      <vt:variant>
        <vt:i4>0</vt:i4>
      </vt:variant>
      <vt:variant>
        <vt:i4>5</vt:i4>
      </vt:variant>
      <vt:variant>
        <vt:lpwstr>https://sharepointpubstor.blob.core.windows.net/policylibrary-prod/Risk and Resilience Management Policy.pdf</vt:lpwstr>
      </vt:variant>
      <vt:variant>
        <vt:lpwstr/>
      </vt:variant>
      <vt:variant>
        <vt:i4>1966090</vt:i4>
      </vt:variant>
      <vt:variant>
        <vt:i4>33</vt:i4>
      </vt:variant>
      <vt:variant>
        <vt:i4>0</vt:i4>
      </vt:variant>
      <vt:variant>
        <vt:i4>5</vt:i4>
      </vt:variant>
      <vt:variant>
        <vt:lpwstr>https://sharepointpubstor.blob.core.windows.net/policylibrary-prod/Procurement and Supply Policy.pdf</vt:lpwstr>
      </vt:variant>
      <vt:variant>
        <vt:lpwstr/>
      </vt:variant>
      <vt:variant>
        <vt:i4>2293810</vt:i4>
      </vt:variant>
      <vt:variant>
        <vt:i4>30</vt:i4>
      </vt:variant>
      <vt:variant>
        <vt:i4>0</vt:i4>
      </vt:variant>
      <vt:variant>
        <vt:i4>5</vt:i4>
      </vt:variant>
      <vt:variant>
        <vt:lpwstr>https://sharepointpubstor.blob.core.windows.net/policylibrary-prod/Griffith Global Mobility Policy.pdf</vt:lpwstr>
      </vt:variant>
      <vt:variant>
        <vt:lpwstr/>
      </vt:variant>
      <vt:variant>
        <vt:i4>7405601</vt:i4>
      </vt:variant>
      <vt:variant>
        <vt:i4>27</vt:i4>
      </vt:variant>
      <vt:variant>
        <vt:i4>0</vt:i4>
      </vt:variant>
      <vt:variant>
        <vt:i4>5</vt:i4>
      </vt:variant>
      <vt:variant>
        <vt:lpwstr>https://sharepointpubstor.blob.core.windows.net/policylibrary-prod/Due Diligence for Transnational Program Partnerships Policy.pdf</vt:lpwstr>
      </vt:variant>
      <vt:variant>
        <vt:lpwstr/>
      </vt:variant>
      <vt:variant>
        <vt:i4>3407980</vt:i4>
      </vt:variant>
      <vt:variant>
        <vt:i4>24</vt:i4>
      </vt:variant>
      <vt:variant>
        <vt:i4>0</vt:i4>
      </vt:variant>
      <vt:variant>
        <vt:i4>5</vt:i4>
      </vt:variant>
      <vt:variant>
        <vt:lpwstr>https://sharepointpubstor.blob.core.windows.net/policylibrary-prod/Credit and Recognition of Prior Learning Policy.pdf</vt:lpwstr>
      </vt:variant>
      <vt:variant>
        <vt:lpwstr/>
      </vt:variant>
      <vt:variant>
        <vt:i4>524300</vt:i4>
      </vt:variant>
      <vt:variant>
        <vt:i4>21</vt:i4>
      </vt:variant>
      <vt:variant>
        <vt:i4>0</vt:i4>
      </vt:variant>
      <vt:variant>
        <vt:i4>5</vt:i4>
      </vt:variant>
      <vt:variant>
        <vt:lpwstr>https://sharepointpubstor.blob.core.windows.net/policylibrary-prod/Assessment Policy.pdf</vt:lpwstr>
      </vt:variant>
      <vt:variant>
        <vt:lpwstr/>
      </vt:variant>
      <vt:variant>
        <vt:i4>7405600</vt:i4>
      </vt:variant>
      <vt:variant>
        <vt:i4>18</vt:i4>
      </vt:variant>
      <vt:variant>
        <vt:i4>0</vt:i4>
      </vt:variant>
      <vt:variant>
        <vt:i4>5</vt:i4>
      </vt:variant>
      <vt:variant>
        <vt:lpwstr>https://www.legislation.gov.au/Details/F2017L01182</vt:lpwstr>
      </vt:variant>
      <vt:variant>
        <vt:lpwstr/>
      </vt:variant>
      <vt:variant>
        <vt:i4>7536677</vt:i4>
      </vt:variant>
      <vt:variant>
        <vt:i4>15</vt:i4>
      </vt:variant>
      <vt:variant>
        <vt:i4>0</vt:i4>
      </vt:variant>
      <vt:variant>
        <vt:i4>5</vt:i4>
      </vt:variant>
      <vt:variant>
        <vt:lpwstr>https://www.legislation.gov.au/Details/F2022C00105</vt:lpwstr>
      </vt:variant>
      <vt:variant>
        <vt:lpwstr/>
      </vt:variant>
      <vt:variant>
        <vt:i4>65612</vt:i4>
      </vt:variant>
      <vt:variant>
        <vt:i4>12</vt:i4>
      </vt:variant>
      <vt:variant>
        <vt:i4>0</vt:i4>
      </vt:variant>
      <vt:variant>
        <vt:i4>5</vt:i4>
      </vt:variant>
      <vt:variant>
        <vt:lpwstr/>
      </vt:variant>
      <vt:variant>
        <vt:lpwstr>_5.0_Definitions</vt:lpwstr>
      </vt:variant>
      <vt:variant>
        <vt:i4>8323094</vt:i4>
      </vt:variant>
      <vt:variant>
        <vt:i4>9</vt:i4>
      </vt:variant>
      <vt:variant>
        <vt:i4>0</vt:i4>
      </vt:variant>
      <vt:variant>
        <vt:i4>5</vt:i4>
      </vt:variant>
      <vt:variant>
        <vt:lpwstr/>
      </vt:variant>
      <vt:variant>
        <vt:lpwstr>_4.0._Roles,_responsibilities</vt:lpwstr>
      </vt:variant>
      <vt:variant>
        <vt:i4>7667728</vt:i4>
      </vt:variant>
      <vt:variant>
        <vt:i4>6</vt:i4>
      </vt:variant>
      <vt:variant>
        <vt:i4>0</vt:i4>
      </vt:variant>
      <vt:variant>
        <vt:i4>5</vt:i4>
      </vt:variant>
      <vt:variant>
        <vt:lpwstr/>
      </vt:variant>
      <vt:variant>
        <vt:lpwstr>_3.010_Policy_sStatement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Delivery with Other Parties Policy</dc:title>
  <dc:subject/>
  <dc:creator>Rebecca Voisey</dc:creator>
  <cp:keywords/>
  <dc:description/>
  <cp:lastModifiedBy>Donna Kalaentzis</cp:lastModifiedBy>
  <cp:revision>27</cp:revision>
  <cp:lastPrinted>2019-10-03T14:35:00Z</cp:lastPrinted>
  <dcterms:created xsi:type="dcterms:W3CDTF">2023-02-13T02:31:00Z</dcterms:created>
  <dcterms:modified xsi:type="dcterms:W3CDTF">2024-03-26T05:58:00Z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2022-11-29T23:38:11Z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68048196-559b-4010-9a83-34ff13fce4bd</vt:lpwstr>
  </property>
  <property fmtid="{D5CDD505-2E9C-101B-9397-08002B2CF9AE}" pid="16" name="MSIP_Label_adaa4be3-f650-4692-881a-64ae220cbceb_ContentBits">
    <vt:lpwstr>0</vt:lpwstr>
  </property>
  <property fmtid="{D5CDD505-2E9C-101B-9397-08002B2CF9AE}" pid="17" name="xd_Signature">
    <vt:bool>false</vt:bool>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y fmtid="{D5CDD505-2E9C-101B-9397-08002B2CF9AE}" pid="21" name="MediaServiceImageTags">
    <vt:lpwstr/>
  </property>
  <property fmtid="{D5CDD505-2E9C-101B-9397-08002B2CF9AE}" pid="22" name="policysection">
    <vt:lpwstr/>
  </property>
  <property fmtid="{D5CDD505-2E9C-101B-9397-08002B2CF9AE}" pid="23" name="appauthority">
    <vt:lpwstr>88;#Academic Committee|7e8af15c-aa65-4b9b-bab9-4850413bd480</vt:lpwstr>
  </property>
  <property fmtid="{D5CDD505-2E9C-101B-9397-08002B2CF9AE}" pid="24" name="policycategory">
    <vt:lpwstr>69;#Policy|9279309a-7669-47c5-bf96-cc165d8b3ede</vt:lpwstr>
  </property>
  <property fmtid="{D5CDD505-2E9C-101B-9397-08002B2CF9AE}" pid="25" name="officearea">
    <vt:lpwstr>551;#Student Life|10f28419-8eea-4122-9bbc-3c3d69c6fcc4</vt:lpwstr>
  </property>
  <property fmtid="{D5CDD505-2E9C-101B-9397-08002B2CF9AE}" pid="26" name="policy-category">
    <vt:lpwstr>518;#Learning and Teaching|446e0cdd-d096-4b26-b8f8-0a6485e32142</vt:lpwstr>
  </property>
  <property fmtid="{D5CDD505-2E9C-101B-9397-08002B2CF9AE}" pid="27" name="glossaryterms">
    <vt:lpwstr/>
  </property>
  <property fmtid="{D5CDD505-2E9C-101B-9397-08002B2CF9AE}" pid="28" name="policyreview">
    <vt:lpwstr>558;#2028|3482dbca-7716-46bb-b113-935721929a44</vt:lpwstr>
  </property>
  <property fmtid="{D5CDD505-2E9C-101B-9397-08002B2CF9AE}" pid="29" name="policyaudience">
    <vt:lpwstr>77;#Staff|45ee306d-49ae-43fa-a3ef-02f70754fd2d</vt:lpwstr>
  </property>
  <property fmtid="{D5CDD505-2E9C-101B-9397-08002B2CF9AE}" pid="30" name="Managed_Testing_Field">
    <vt:lpwstr/>
  </property>
</Properties>
</file>