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074F7" w14:textId="3D47378D" w:rsidR="00F97581" w:rsidRPr="00185F7A" w:rsidRDefault="00A47215" w:rsidP="00F97581">
      <w:pPr>
        <w:pStyle w:val="ContentsHeading1"/>
        <w:pBdr>
          <w:bottom w:val="none" w:sz="0" w:space="0" w:color="auto"/>
        </w:pBdr>
        <w:rPr>
          <w:rFonts w:ascii="Arial" w:hAnsi="Arial" w:cs="Arial"/>
          <w:sz w:val="48"/>
          <w:szCs w:val="48"/>
        </w:rPr>
      </w:pPr>
      <w:bookmarkStart w:id="0" w:name="_Ref20320710"/>
      <w:r w:rsidRPr="00185F7A">
        <w:rPr>
          <w:rFonts w:ascii="Arial" w:hAnsi="Arial" w:cs="Arial"/>
          <w:sz w:val="48"/>
          <w:szCs w:val="48"/>
        </w:rPr>
        <w:t xml:space="preserve">Academic </w:t>
      </w:r>
      <w:r w:rsidR="00AC5A4E" w:rsidRPr="00185F7A">
        <w:rPr>
          <w:rFonts w:ascii="Arial" w:hAnsi="Arial" w:cs="Arial"/>
          <w:sz w:val="48"/>
          <w:szCs w:val="48"/>
        </w:rPr>
        <w:t>Delivery with Other Parties</w:t>
      </w:r>
      <w:r w:rsidR="00053A26" w:rsidRPr="00185F7A">
        <w:rPr>
          <w:rFonts w:ascii="Arial" w:hAnsi="Arial" w:cs="Arial"/>
          <w:sz w:val="48"/>
          <w:szCs w:val="48"/>
        </w:rPr>
        <w:t xml:space="preserve"> </w:t>
      </w:r>
      <w:r w:rsidR="00053A26" w:rsidRPr="00185F7A">
        <w:rPr>
          <w:rFonts w:ascii="Arial" w:hAnsi="Arial" w:cs="Arial"/>
          <w:sz w:val="44"/>
          <w:szCs w:val="44"/>
        </w:rPr>
        <w:t xml:space="preserve">– </w:t>
      </w:r>
      <w:r w:rsidR="001D450E" w:rsidRPr="00185F7A">
        <w:rPr>
          <w:rFonts w:ascii="Arial" w:hAnsi="Arial" w:cs="Arial"/>
          <w:sz w:val="48"/>
          <w:szCs w:val="48"/>
        </w:rPr>
        <w:t>Domestic Coursework</w:t>
      </w:r>
      <w:r w:rsidR="00F97581" w:rsidRPr="00185F7A">
        <w:rPr>
          <w:rFonts w:ascii="Arial" w:hAnsi="Arial" w:cs="Arial"/>
          <w:sz w:val="48"/>
          <w:szCs w:val="48"/>
        </w:rPr>
        <w:t xml:space="preserve"> </w:t>
      </w:r>
    </w:p>
    <w:p w14:paraId="7673BF64" w14:textId="77777777" w:rsidR="00F97581" w:rsidRPr="00185F7A" w:rsidRDefault="00F97581" w:rsidP="00F97581">
      <w:pPr>
        <w:spacing w:after="0"/>
        <w:rPr>
          <w:rFonts w:ascii="Arial" w:hAnsi="Arial" w:cs="Arial"/>
          <w:b/>
          <w:bCs/>
          <w:color w:val="E30918"/>
          <w:sz w:val="24"/>
          <w:szCs w:val="24"/>
          <w:shd w:val="clear" w:color="auto" w:fill="FFFFFF"/>
        </w:rPr>
      </w:pPr>
      <w:r w:rsidRPr="00185F7A">
        <w:rPr>
          <w:rFonts w:ascii="Arial" w:hAnsi="Arial" w:cs="Arial"/>
          <w:b/>
          <w:bCs/>
          <w:color w:val="E30918"/>
          <w:sz w:val="24"/>
          <w:szCs w:val="24"/>
          <w:shd w:val="clear" w:color="auto" w:fill="FFFFFF"/>
        </w:rPr>
        <w:fldChar w:fldCharType="begin"/>
      </w:r>
      <w:r w:rsidRPr="00185F7A">
        <w:rPr>
          <w:rFonts w:ascii="Arial" w:hAnsi="Arial" w:cs="Arial"/>
          <w:b/>
          <w:bCs/>
          <w:color w:val="E30918"/>
          <w:sz w:val="24"/>
          <w:szCs w:val="24"/>
          <w:shd w:val="clear" w:color="auto" w:fill="FFFFFF"/>
        </w:rPr>
        <w:instrText xml:space="preserve"> REF _Ref20480964 \h  \* MERGEFORMAT </w:instrText>
      </w:r>
      <w:r w:rsidRPr="00185F7A">
        <w:rPr>
          <w:rFonts w:ascii="Arial" w:hAnsi="Arial" w:cs="Arial"/>
          <w:b/>
          <w:bCs/>
          <w:color w:val="E30918"/>
          <w:sz w:val="24"/>
          <w:szCs w:val="24"/>
          <w:shd w:val="clear" w:color="auto" w:fill="FFFFFF"/>
        </w:rPr>
      </w:r>
      <w:r w:rsidRPr="00185F7A">
        <w:rPr>
          <w:rFonts w:ascii="Arial" w:hAnsi="Arial" w:cs="Arial"/>
          <w:b/>
          <w:bCs/>
          <w:color w:val="E30918"/>
          <w:sz w:val="24"/>
          <w:szCs w:val="24"/>
          <w:shd w:val="clear" w:color="auto" w:fill="FFFFFF"/>
        </w:rPr>
        <w:fldChar w:fldCharType="separate"/>
      </w:r>
      <w:r w:rsidRPr="00185F7A">
        <w:rPr>
          <w:rFonts w:ascii="Arial" w:hAnsi="Arial" w:cs="Arial"/>
          <w:b/>
          <w:bCs/>
          <w:color w:val="E30918"/>
          <w:sz w:val="24"/>
          <w:szCs w:val="24"/>
          <w:shd w:val="clear" w:color="auto" w:fill="FFFFFF"/>
        </w:rPr>
        <w:t>1.0 Purpose</w:t>
      </w:r>
      <w:r w:rsidRPr="00185F7A">
        <w:rPr>
          <w:rFonts w:ascii="Arial" w:hAnsi="Arial" w:cs="Arial"/>
          <w:b/>
          <w:bCs/>
          <w:color w:val="E30918"/>
          <w:sz w:val="24"/>
          <w:szCs w:val="24"/>
          <w:shd w:val="clear" w:color="auto" w:fill="FFFFFF"/>
        </w:rPr>
        <w:fldChar w:fldCharType="end"/>
      </w:r>
    </w:p>
    <w:p w14:paraId="51826526" w14:textId="77777777" w:rsidR="00F97581" w:rsidRPr="00185F7A" w:rsidRDefault="00F97581" w:rsidP="00F97581">
      <w:pPr>
        <w:spacing w:after="0"/>
        <w:rPr>
          <w:rFonts w:ascii="Arial" w:hAnsi="Arial" w:cs="Arial"/>
          <w:b/>
          <w:bCs/>
          <w:color w:val="E30918"/>
          <w:sz w:val="24"/>
          <w:szCs w:val="24"/>
          <w:shd w:val="clear" w:color="auto" w:fill="FFFFFF"/>
        </w:rPr>
      </w:pPr>
      <w:r w:rsidRPr="00185F7A">
        <w:rPr>
          <w:rFonts w:ascii="Arial" w:hAnsi="Arial" w:cs="Arial"/>
          <w:b/>
          <w:bCs/>
          <w:color w:val="E30918"/>
          <w:sz w:val="24"/>
          <w:szCs w:val="24"/>
          <w:shd w:val="clear" w:color="auto" w:fill="FFFFFF"/>
        </w:rPr>
        <w:fldChar w:fldCharType="begin"/>
      </w:r>
      <w:r w:rsidRPr="00185F7A">
        <w:rPr>
          <w:rFonts w:ascii="Arial" w:hAnsi="Arial" w:cs="Arial"/>
          <w:b/>
          <w:bCs/>
          <w:color w:val="E30918"/>
          <w:sz w:val="24"/>
          <w:szCs w:val="24"/>
          <w:shd w:val="clear" w:color="auto" w:fill="FFFFFF"/>
        </w:rPr>
        <w:instrText xml:space="preserve"> REF _Ref20480989 \h  \* MERGEFORMAT </w:instrText>
      </w:r>
      <w:r w:rsidRPr="00185F7A">
        <w:rPr>
          <w:rFonts w:ascii="Arial" w:hAnsi="Arial" w:cs="Arial"/>
          <w:b/>
          <w:bCs/>
          <w:color w:val="E30918"/>
          <w:sz w:val="24"/>
          <w:szCs w:val="24"/>
          <w:shd w:val="clear" w:color="auto" w:fill="FFFFFF"/>
        </w:rPr>
      </w:r>
      <w:r w:rsidRPr="00185F7A">
        <w:rPr>
          <w:rFonts w:ascii="Arial" w:hAnsi="Arial" w:cs="Arial"/>
          <w:b/>
          <w:bCs/>
          <w:color w:val="E30918"/>
          <w:sz w:val="24"/>
          <w:szCs w:val="24"/>
          <w:shd w:val="clear" w:color="auto" w:fill="FFFFFF"/>
        </w:rPr>
        <w:fldChar w:fldCharType="separate"/>
      </w:r>
      <w:r w:rsidRPr="00185F7A">
        <w:rPr>
          <w:rFonts w:ascii="Arial" w:hAnsi="Arial" w:cs="Arial"/>
          <w:b/>
          <w:bCs/>
          <w:color w:val="E30918"/>
          <w:sz w:val="24"/>
          <w:szCs w:val="24"/>
        </w:rPr>
        <w:t>2.0 Scope</w:t>
      </w:r>
      <w:r w:rsidRPr="00185F7A">
        <w:rPr>
          <w:rFonts w:ascii="Arial" w:hAnsi="Arial" w:cs="Arial"/>
          <w:b/>
          <w:bCs/>
          <w:color w:val="E30918"/>
          <w:sz w:val="24"/>
          <w:szCs w:val="24"/>
          <w:shd w:val="clear" w:color="auto" w:fill="FFFFFF"/>
        </w:rPr>
        <w:fldChar w:fldCharType="end"/>
      </w:r>
      <w:r w:rsidRPr="00185F7A">
        <w:rPr>
          <w:rFonts w:ascii="Arial" w:hAnsi="Arial" w:cs="Arial"/>
          <w:b/>
          <w:bCs/>
          <w:color w:val="E30918"/>
          <w:sz w:val="24"/>
          <w:szCs w:val="24"/>
          <w:shd w:val="clear" w:color="auto" w:fill="FFFFFF"/>
        </w:rPr>
        <w:fldChar w:fldCharType="begin"/>
      </w:r>
      <w:r w:rsidRPr="00185F7A">
        <w:rPr>
          <w:rFonts w:ascii="Arial" w:hAnsi="Arial" w:cs="Arial"/>
          <w:b/>
          <w:bCs/>
          <w:color w:val="E30918"/>
          <w:sz w:val="24"/>
          <w:szCs w:val="24"/>
          <w:shd w:val="clear" w:color="auto" w:fill="FFFFFF"/>
        </w:rPr>
        <w:instrText xml:space="preserve"> REF _Ref20481014 \h  \* MERGEFORMAT </w:instrText>
      </w:r>
      <w:r w:rsidRPr="00185F7A">
        <w:rPr>
          <w:rFonts w:ascii="Arial" w:hAnsi="Arial" w:cs="Arial"/>
          <w:b/>
          <w:bCs/>
          <w:color w:val="E30918"/>
          <w:sz w:val="24"/>
          <w:szCs w:val="24"/>
          <w:shd w:val="clear" w:color="auto" w:fill="FFFFFF"/>
        </w:rPr>
      </w:r>
      <w:r w:rsidRPr="00185F7A">
        <w:rPr>
          <w:rFonts w:ascii="Arial" w:hAnsi="Arial" w:cs="Arial"/>
          <w:b/>
          <w:bCs/>
          <w:color w:val="E30918"/>
          <w:sz w:val="24"/>
          <w:szCs w:val="24"/>
          <w:shd w:val="clear" w:color="auto" w:fill="FFFFFF"/>
        </w:rPr>
        <w:fldChar w:fldCharType="separate"/>
      </w:r>
    </w:p>
    <w:p w14:paraId="126F4C88" w14:textId="77777777" w:rsidR="00F97581" w:rsidRPr="00185F7A" w:rsidRDefault="00F97581" w:rsidP="00F97581">
      <w:pPr>
        <w:spacing w:after="0"/>
        <w:rPr>
          <w:rFonts w:ascii="Arial" w:hAnsi="Arial" w:cs="Arial"/>
          <w:b/>
          <w:bCs/>
          <w:color w:val="E30918"/>
          <w:sz w:val="24"/>
          <w:szCs w:val="24"/>
        </w:rPr>
      </w:pPr>
      <w:r w:rsidRPr="00185F7A">
        <w:rPr>
          <w:rFonts w:ascii="Arial" w:hAnsi="Arial" w:cs="Arial"/>
          <w:b/>
          <w:bCs/>
          <w:color w:val="E30918"/>
          <w:sz w:val="24"/>
          <w:szCs w:val="24"/>
        </w:rPr>
        <w:t>3.0 Procedure</w:t>
      </w:r>
      <w:r w:rsidRPr="00185F7A">
        <w:rPr>
          <w:rFonts w:ascii="Arial" w:hAnsi="Arial" w:cs="Arial"/>
          <w:b/>
          <w:bCs/>
          <w:color w:val="E30918"/>
          <w:sz w:val="24"/>
          <w:szCs w:val="24"/>
        </w:rPr>
        <w:fldChar w:fldCharType="end"/>
      </w:r>
    </w:p>
    <w:p w14:paraId="52D7BC32" w14:textId="79FA2597" w:rsidR="00F97581" w:rsidRPr="00185F7A" w:rsidRDefault="005C2C9C" w:rsidP="00185F7A">
      <w:pPr>
        <w:spacing w:after="0"/>
        <w:ind w:left="284"/>
        <w:rPr>
          <w:rFonts w:ascii="Arial" w:hAnsi="Arial" w:cs="Arial"/>
          <w:b/>
          <w:bCs/>
          <w:color w:val="E30918"/>
          <w:sz w:val="24"/>
          <w:szCs w:val="24"/>
          <w:shd w:val="clear" w:color="auto" w:fill="FFFFFF"/>
        </w:rPr>
      </w:pPr>
      <w:hyperlink w:anchor="_3.1_Implementing_an" w:history="1">
        <w:r w:rsidR="00F97581" w:rsidRPr="00185F7A">
          <w:rPr>
            <w:rStyle w:val="Hyperlink"/>
            <w:rFonts w:ascii="Arial" w:hAnsi="Arial" w:cs="Arial"/>
            <w:b/>
            <w:bCs/>
            <w:sz w:val="24"/>
            <w:szCs w:val="24"/>
            <w:shd w:val="clear" w:color="auto" w:fill="FFFFFF"/>
          </w:rPr>
          <w:t>3.1 Implementing an Agreement</w:t>
        </w:r>
      </w:hyperlink>
      <w:r w:rsidR="00F97581" w:rsidRPr="00185F7A">
        <w:rPr>
          <w:rFonts w:ascii="Arial" w:hAnsi="Arial" w:cs="Arial"/>
          <w:b/>
          <w:bCs/>
          <w:color w:val="E30918"/>
          <w:sz w:val="24"/>
          <w:szCs w:val="24"/>
          <w:shd w:val="clear" w:color="auto" w:fill="FFFFFF"/>
        </w:rPr>
        <w:t xml:space="preserve"> </w:t>
      </w:r>
      <w:hyperlink w:anchor="_3.4_Monitoring_and" w:history="1">
        <w:r w:rsidR="00F97581" w:rsidRPr="00185F7A">
          <w:rPr>
            <w:rStyle w:val="Hyperlink"/>
            <w:rFonts w:ascii="Arial" w:hAnsi="Arial" w:cs="Arial"/>
            <w:b/>
            <w:bCs/>
            <w:sz w:val="24"/>
            <w:szCs w:val="24"/>
            <w:u w:val="none"/>
            <w:shd w:val="clear" w:color="auto" w:fill="FFFFFF"/>
          </w:rPr>
          <w:t xml:space="preserve">| </w:t>
        </w:r>
        <w:r w:rsidR="00F97581" w:rsidRPr="00185F7A">
          <w:rPr>
            <w:rStyle w:val="Hyperlink"/>
            <w:rFonts w:ascii="Arial" w:hAnsi="Arial" w:cs="Arial"/>
            <w:b/>
            <w:bCs/>
            <w:sz w:val="24"/>
            <w:szCs w:val="24"/>
            <w:shd w:val="clear" w:color="auto" w:fill="FFFFFF"/>
          </w:rPr>
          <w:t>3.2 Monitoring and Quality Assurance</w:t>
        </w:r>
      </w:hyperlink>
      <w:r w:rsidR="00F97581" w:rsidRPr="00185F7A">
        <w:rPr>
          <w:rFonts w:ascii="Arial" w:hAnsi="Arial" w:cs="Arial"/>
        </w:rPr>
        <w:t xml:space="preserve"> </w:t>
      </w:r>
      <w:hyperlink w:anchor="_3.3_Changes_to" w:history="1">
        <w:r w:rsidR="00512E7E" w:rsidRPr="00185F7A">
          <w:rPr>
            <w:rStyle w:val="Hyperlink"/>
            <w:rFonts w:ascii="Arial" w:hAnsi="Arial" w:cs="Arial"/>
            <w:b/>
            <w:bCs/>
            <w:sz w:val="24"/>
            <w:szCs w:val="24"/>
            <w:u w:val="none"/>
            <w:shd w:val="clear" w:color="auto" w:fill="FFFFFF"/>
          </w:rPr>
          <w:t xml:space="preserve">I </w:t>
        </w:r>
        <w:r w:rsidR="00512E7E" w:rsidRPr="00185F7A">
          <w:rPr>
            <w:rStyle w:val="Hyperlink"/>
            <w:rFonts w:ascii="Arial" w:hAnsi="Arial" w:cs="Arial"/>
            <w:b/>
            <w:bCs/>
            <w:sz w:val="24"/>
            <w:szCs w:val="24"/>
            <w:shd w:val="clear" w:color="auto" w:fill="FFFFFF"/>
          </w:rPr>
          <w:t>3.3 Changes to Agreement</w:t>
        </w:r>
      </w:hyperlink>
      <w:r w:rsidR="00F97581" w:rsidRPr="00185F7A">
        <w:rPr>
          <w:rFonts w:ascii="Arial" w:hAnsi="Arial" w:cs="Arial"/>
          <w:b/>
          <w:bCs/>
          <w:sz w:val="24"/>
          <w:szCs w:val="24"/>
          <w:shd w:val="clear" w:color="auto" w:fill="FFFFFF"/>
        </w:rPr>
        <w:t xml:space="preserve"> </w:t>
      </w:r>
      <w:hyperlink w:anchor="_3.4_End_of" w:history="1">
        <w:r w:rsidR="00F97581" w:rsidRPr="00185F7A">
          <w:rPr>
            <w:rStyle w:val="Hyperlink"/>
            <w:rFonts w:ascii="Arial" w:hAnsi="Arial" w:cs="Arial"/>
            <w:b/>
            <w:bCs/>
            <w:sz w:val="24"/>
            <w:szCs w:val="24"/>
            <w:u w:val="none"/>
            <w:shd w:val="clear" w:color="auto" w:fill="FFFFFF"/>
          </w:rPr>
          <w:t xml:space="preserve">| </w:t>
        </w:r>
        <w:r w:rsidR="00F97581" w:rsidRPr="00185F7A">
          <w:rPr>
            <w:rStyle w:val="Hyperlink"/>
            <w:rFonts w:ascii="Arial" w:hAnsi="Arial" w:cs="Arial"/>
            <w:b/>
            <w:bCs/>
            <w:sz w:val="24"/>
            <w:szCs w:val="24"/>
            <w:shd w:val="clear" w:color="auto" w:fill="FFFFFF"/>
          </w:rPr>
          <w:t>3.4 End of Agreement</w:t>
        </w:r>
      </w:hyperlink>
      <w:r w:rsidR="00F97581" w:rsidRPr="00185F7A">
        <w:rPr>
          <w:rFonts w:ascii="Arial" w:hAnsi="Arial" w:cs="Arial"/>
          <w:b/>
          <w:bCs/>
          <w:sz w:val="24"/>
          <w:szCs w:val="24"/>
          <w:shd w:val="clear" w:color="auto" w:fill="FFFFFF"/>
        </w:rPr>
        <w:t xml:space="preserve"> </w:t>
      </w:r>
    </w:p>
    <w:p w14:paraId="1343893D" w14:textId="199F9E67" w:rsidR="00F97581" w:rsidRPr="00185F7A" w:rsidRDefault="00F97581" w:rsidP="00F97581">
      <w:pPr>
        <w:spacing w:after="240"/>
        <w:rPr>
          <w:rFonts w:ascii="Arial" w:hAnsi="Arial" w:cs="Arial"/>
          <w:b/>
          <w:bCs/>
          <w:color w:val="E30918"/>
          <w:sz w:val="24"/>
          <w:szCs w:val="24"/>
          <w:shd w:val="clear" w:color="auto" w:fill="FFFFFF"/>
        </w:rPr>
      </w:pPr>
      <w:r w:rsidRPr="00185F7A">
        <w:rPr>
          <w:rFonts w:ascii="Arial" w:hAnsi="Arial" w:cs="Arial"/>
          <w:b/>
          <w:bCs/>
          <w:color w:val="E30918"/>
          <w:sz w:val="24"/>
          <w:szCs w:val="24"/>
          <w:shd w:val="clear" w:color="auto" w:fill="FFFFFF"/>
        </w:rPr>
        <w:fldChar w:fldCharType="begin"/>
      </w:r>
      <w:r w:rsidRPr="00185F7A">
        <w:rPr>
          <w:rFonts w:ascii="Arial" w:hAnsi="Arial" w:cs="Arial"/>
          <w:b/>
          <w:bCs/>
          <w:color w:val="E30918"/>
          <w:sz w:val="24"/>
          <w:szCs w:val="24"/>
          <w:shd w:val="clear" w:color="auto" w:fill="FFFFFF"/>
        </w:rPr>
        <w:instrText xml:space="preserve"> REF _Ref20320732 \h  \* MERGEFORMAT </w:instrText>
      </w:r>
      <w:r w:rsidRPr="00185F7A">
        <w:rPr>
          <w:rFonts w:ascii="Arial" w:hAnsi="Arial" w:cs="Arial"/>
          <w:b/>
          <w:bCs/>
          <w:color w:val="E30918"/>
          <w:sz w:val="24"/>
          <w:szCs w:val="24"/>
          <w:shd w:val="clear" w:color="auto" w:fill="FFFFFF"/>
        </w:rPr>
      </w:r>
      <w:r w:rsidRPr="00185F7A">
        <w:rPr>
          <w:rFonts w:ascii="Arial" w:hAnsi="Arial" w:cs="Arial"/>
          <w:b/>
          <w:bCs/>
          <w:color w:val="E30918"/>
          <w:sz w:val="24"/>
          <w:szCs w:val="24"/>
          <w:shd w:val="clear" w:color="auto" w:fill="FFFFFF"/>
        </w:rPr>
        <w:fldChar w:fldCharType="separate"/>
      </w:r>
      <w:r w:rsidRPr="00185F7A">
        <w:rPr>
          <w:rFonts w:ascii="Arial" w:hAnsi="Arial" w:cs="Arial"/>
          <w:b/>
          <w:bCs/>
          <w:color w:val="E30918"/>
          <w:sz w:val="24"/>
          <w:szCs w:val="24"/>
        </w:rPr>
        <w:t>4.0 Definitions</w:t>
      </w:r>
      <w:r w:rsidRPr="00185F7A">
        <w:rPr>
          <w:rFonts w:ascii="Arial" w:hAnsi="Arial" w:cs="Arial"/>
          <w:b/>
          <w:bCs/>
          <w:color w:val="E30918"/>
          <w:sz w:val="24"/>
          <w:szCs w:val="24"/>
          <w:shd w:val="clear" w:color="auto" w:fill="FFFFFF"/>
        </w:rPr>
        <w:fldChar w:fldCharType="end"/>
      </w:r>
    </w:p>
    <w:p w14:paraId="7C35836C" w14:textId="77777777" w:rsidR="00F97581" w:rsidRPr="00185F7A" w:rsidRDefault="00F97581" w:rsidP="00F97581">
      <w:pPr>
        <w:pStyle w:val="Heading2"/>
        <w:ind w:left="426" w:hanging="426"/>
        <w:rPr>
          <w:rFonts w:ascii="Arial" w:hAnsi="Arial" w:cs="Arial"/>
          <w:shd w:val="clear" w:color="auto" w:fill="FFFFFF"/>
        </w:rPr>
      </w:pPr>
      <w:bookmarkStart w:id="1" w:name="_Ref20480964"/>
      <w:bookmarkEnd w:id="0"/>
      <w:r w:rsidRPr="00185F7A">
        <w:rPr>
          <w:rFonts w:ascii="Arial" w:hAnsi="Arial" w:cs="Arial"/>
          <w:shd w:val="clear" w:color="auto" w:fill="FFFFFF"/>
        </w:rPr>
        <w:t>1.0 Purpose</w:t>
      </w:r>
      <w:bookmarkEnd w:id="1"/>
      <w:r w:rsidRPr="00185F7A">
        <w:rPr>
          <w:rFonts w:ascii="Arial" w:hAnsi="Arial" w:cs="Arial"/>
          <w:color w:val="000000"/>
          <w:spacing w:val="2"/>
          <w:szCs w:val="20"/>
          <w:shd w:val="clear" w:color="auto" w:fill="FFFFFF"/>
        </w:rPr>
        <w:tab/>
      </w:r>
    </w:p>
    <w:p w14:paraId="0704520A" w14:textId="629C1103" w:rsidR="000C2E93" w:rsidRPr="00185F7A" w:rsidRDefault="0053742D" w:rsidP="00184103">
      <w:pPr>
        <w:pStyle w:val="NormalWhite"/>
        <w:jc w:val="both"/>
        <w:rPr>
          <w:rFonts w:ascii="Arial" w:hAnsi="Arial" w:cs="Arial"/>
          <w:color w:val="000000" w:themeColor="text1"/>
          <w:shd w:val="clear" w:color="auto" w:fill="FFFFFF"/>
        </w:rPr>
      </w:pPr>
      <w:r w:rsidRPr="00185F7A">
        <w:rPr>
          <w:rFonts w:ascii="Arial" w:hAnsi="Arial" w:cs="Arial"/>
          <w:color w:val="000000" w:themeColor="text1"/>
          <w:shd w:val="clear" w:color="auto" w:fill="FFFFFF"/>
        </w:rPr>
        <w:t xml:space="preserve">This </w:t>
      </w:r>
      <w:r w:rsidR="000C2E93" w:rsidRPr="00185F7A">
        <w:rPr>
          <w:rFonts w:ascii="Arial" w:hAnsi="Arial" w:cs="Arial"/>
          <w:color w:val="000000" w:themeColor="text1"/>
          <w:shd w:val="clear" w:color="auto" w:fill="FFFFFF"/>
        </w:rPr>
        <w:t xml:space="preserve">procedure </w:t>
      </w:r>
      <w:r w:rsidR="00E11BB4" w:rsidRPr="00185F7A">
        <w:rPr>
          <w:rFonts w:ascii="Arial" w:hAnsi="Arial" w:cs="Arial"/>
          <w:color w:val="000000" w:themeColor="text1"/>
          <w:shd w:val="clear" w:color="auto" w:fill="FFFFFF"/>
        </w:rPr>
        <w:t>specifies</w:t>
      </w:r>
      <w:r w:rsidR="000C2E93" w:rsidRPr="00185F7A">
        <w:rPr>
          <w:rFonts w:ascii="Arial" w:hAnsi="Arial" w:cs="Arial"/>
          <w:color w:val="000000" w:themeColor="text1"/>
          <w:shd w:val="clear" w:color="auto" w:fill="FFFFFF"/>
        </w:rPr>
        <w:t xml:space="preserve"> the requirements and processes for </w:t>
      </w:r>
      <w:r w:rsidRPr="00185F7A">
        <w:rPr>
          <w:rFonts w:ascii="Arial" w:hAnsi="Arial" w:cs="Arial"/>
          <w:color w:val="000000" w:themeColor="text1"/>
        </w:rPr>
        <w:t xml:space="preserve">academic delivery with other </w:t>
      </w:r>
      <w:r w:rsidR="00E11BB4" w:rsidRPr="00185F7A">
        <w:rPr>
          <w:rFonts w:ascii="Arial" w:hAnsi="Arial" w:cs="Arial"/>
          <w:color w:val="000000" w:themeColor="text1"/>
        </w:rPr>
        <w:t xml:space="preserve">domestic </w:t>
      </w:r>
      <w:r w:rsidRPr="00185F7A">
        <w:rPr>
          <w:rFonts w:ascii="Arial" w:hAnsi="Arial" w:cs="Arial"/>
          <w:color w:val="000000" w:themeColor="text1"/>
        </w:rPr>
        <w:t>parties</w:t>
      </w:r>
      <w:r w:rsidRPr="00185F7A">
        <w:rPr>
          <w:rFonts w:ascii="Arial" w:hAnsi="Arial" w:cs="Arial"/>
          <w:color w:val="000000" w:themeColor="text1"/>
          <w:shd w:val="clear" w:color="auto" w:fill="FFFFFF"/>
        </w:rPr>
        <w:t xml:space="preserve"> to ensure that Griffith University </w:t>
      </w:r>
      <w:r w:rsidRPr="00185F7A">
        <w:rPr>
          <w:rFonts w:ascii="Arial" w:hAnsi="Arial" w:cs="Arial"/>
          <w:color w:val="000000" w:themeColor="text1"/>
          <w:lang w:eastAsia="en-GB"/>
        </w:rPr>
        <w:t>meets its obligations as a Higher Education Provider</w:t>
      </w:r>
      <w:r w:rsidR="006129B8" w:rsidRPr="00185F7A">
        <w:rPr>
          <w:rFonts w:ascii="Arial" w:hAnsi="Arial" w:cs="Arial"/>
          <w:color w:val="000000" w:themeColor="text1"/>
          <w:lang w:eastAsia="en-GB"/>
        </w:rPr>
        <w:t xml:space="preserve">. </w:t>
      </w:r>
      <w:r w:rsidR="002038CD" w:rsidRPr="00185F7A">
        <w:rPr>
          <w:rFonts w:ascii="Arial" w:hAnsi="Arial" w:cs="Arial"/>
          <w:color w:val="000000" w:themeColor="text1"/>
          <w:lang w:eastAsia="en-GB"/>
        </w:rPr>
        <w:t>These requirements and p</w:t>
      </w:r>
      <w:r w:rsidR="006129B8" w:rsidRPr="00185F7A">
        <w:rPr>
          <w:rFonts w:ascii="Arial" w:hAnsi="Arial" w:cs="Arial"/>
          <w:color w:val="000000" w:themeColor="text1"/>
          <w:lang w:eastAsia="en-GB"/>
        </w:rPr>
        <w:t xml:space="preserve">rocesses are consistent with quality assurance and continuous improvement </w:t>
      </w:r>
      <w:proofErr w:type="gramStart"/>
      <w:r w:rsidR="006129B8" w:rsidRPr="00185F7A">
        <w:rPr>
          <w:rFonts w:ascii="Arial" w:hAnsi="Arial" w:cs="Arial"/>
          <w:color w:val="000000" w:themeColor="text1"/>
          <w:lang w:eastAsia="en-GB"/>
        </w:rPr>
        <w:t>practices</w:t>
      </w:r>
      <w:r w:rsidR="00E375DC" w:rsidRPr="00185F7A">
        <w:rPr>
          <w:rFonts w:ascii="Arial" w:hAnsi="Arial" w:cs="Arial"/>
          <w:color w:val="000000" w:themeColor="text1"/>
          <w:lang w:eastAsia="en-GB"/>
        </w:rPr>
        <w:t>,</w:t>
      </w:r>
      <w:r w:rsidR="006129B8" w:rsidRPr="00185F7A">
        <w:rPr>
          <w:rFonts w:ascii="Arial" w:hAnsi="Arial" w:cs="Arial"/>
          <w:color w:val="000000" w:themeColor="text1"/>
          <w:lang w:eastAsia="en-GB"/>
        </w:rPr>
        <w:t xml:space="preserve"> and</w:t>
      </w:r>
      <w:proofErr w:type="gramEnd"/>
      <w:r w:rsidR="006129B8" w:rsidRPr="00185F7A">
        <w:rPr>
          <w:rFonts w:ascii="Arial" w:hAnsi="Arial" w:cs="Arial"/>
          <w:color w:val="000000" w:themeColor="text1"/>
          <w:lang w:eastAsia="en-GB"/>
        </w:rPr>
        <w:t xml:space="preserve"> </w:t>
      </w:r>
      <w:r w:rsidRPr="00185F7A">
        <w:rPr>
          <w:rFonts w:ascii="Arial" w:hAnsi="Arial" w:cs="Arial"/>
          <w:color w:val="000000" w:themeColor="text1"/>
          <w:lang w:eastAsia="en-GB"/>
        </w:rPr>
        <w:t>ensur</w:t>
      </w:r>
      <w:r w:rsidR="006129B8" w:rsidRPr="00185F7A">
        <w:rPr>
          <w:rFonts w:ascii="Arial" w:hAnsi="Arial" w:cs="Arial"/>
          <w:color w:val="000000" w:themeColor="text1"/>
          <w:lang w:eastAsia="en-GB"/>
        </w:rPr>
        <w:t>e</w:t>
      </w:r>
      <w:r w:rsidRPr="00185F7A">
        <w:rPr>
          <w:rFonts w:ascii="Arial" w:hAnsi="Arial" w:cs="Arial"/>
          <w:color w:val="000000" w:themeColor="text1"/>
          <w:lang w:eastAsia="en-GB"/>
        </w:rPr>
        <w:t xml:space="preserve"> </w:t>
      </w:r>
      <w:r w:rsidRPr="00185F7A">
        <w:rPr>
          <w:rFonts w:ascii="Arial" w:hAnsi="Arial" w:cs="Arial"/>
          <w:color w:val="000000" w:themeColor="text1"/>
          <w:shd w:val="clear" w:color="auto" w:fill="FFFFFF"/>
        </w:rPr>
        <w:t>students’ learning experiences and outcomes are equivalent regardless of learning and teaching location or delivery arrangements.</w:t>
      </w:r>
    </w:p>
    <w:p w14:paraId="1446531D" w14:textId="77777777" w:rsidR="00F97581" w:rsidRPr="00185F7A" w:rsidRDefault="00F97581" w:rsidP="00F97581">
      <w:pPr>
        <w:pStyle w:val="Heading2"/>
        <w:ind w:left="426" w:hanging="426"/>
        <w:rPr>
          <w:rFonts w:ascii="Arial" w:hAnsi="Arial" w:cs="Arial"/>
        </w:rPr>
      </w:pPr>
      <w:bookmarkStart w:id="2" w:name="_Ref20480989"/>
      <w:r w:rsidRPr="00185F7A">
        <w:rPr>
          <w:rFonts w:ascii="Arial" w:hAnsi="Arial" w:cs="Arial"/>
        </w:rPr>
        <w:t>2.0 Scope</w:t>
      </w:r>
      <w:bookmarkEnd w:id="2"/>
    </w:p>
    <w:p w14:paraId="68EF413F" w14:textId="48D20200" w:rsidR="00F97581" w:rsidRPr="00185F7A" w:rsidRDefault="00F97581" w:rsidP="008176FF">
      <w:pPr>
        <w:jc w:val="both"/>
        <w:rPr>
          <w:rStyle w:val="normaltextrun"/>
          <w:rFonts w:ascii="Arial" w:hAnsi="Arial" w:cs="Arial"/>
          <w:shd w:val="clear" w:color="auto" w:fill="FFFFFF"/>
        </w:rPr>
      </w:pPr>
      <w:bookmarkStart w:id="3" w:name="_Ref20318910"/>
      <w:bookmarkStart w:id="4" w:name="_Ref20411814"/>
      <w:r w:rsidRPr="00185F7A">
        <w:rPr>
          <w:rFonts w:ascii="Arial" w:hAnsi="Arial" w:cs="Arial"/>
        </w:rPr>
        <w:t xml:space="preserve">This procedure should be read in conjunction with the Academic </w:t>
      </w:r>
      <w:r w:rsidR="00E54A99" w:rsidRPr="00185F7A">
        <w:rPr>
          <w:rFonts w:ascii="Arial" w:hAnsi="Arial" w:cs="Arial"/>
        </w:rPr>
        <w:t>Delivery with Other Parties</w:t>
      </w:r>
      <w:r w:rsidRPr="00185F7A">
        <w:rPr>
          <w:rFonts w:ascii="Arial" w:hAnsi="Arial" w:cs="Arial"/>
        </w:rPr>
        <w:t xml:space="preserve"> Policy. </w:t>
      </w:r>
      <w:r w:rsidRPr="00185F7A">
        <w:rPr>
          <w:rFonts w:ascii="Arial" w:hAnsi="Arial" w:cs="Arial"/>
          <w:shd w:val="clear" w:color="auto" w:fill="FFFFFF"/>
        </w:rPr>
        <w:t xml:space="preserve">This </w:t>
      </w:r>
      <w:r w:rsidR="006F2478" w:rsidRPr="00185F7A">
        <w:rPr>
          <w:rFonts w:ascii="Arial" w:hAnsi="Arial" w:cs="Arial"/>
          <w:shd w:val="clear" w:color="auto" w:fill="FFFFFF"/>
        </w:rPr>
        <w:t>procedure</w:t>
      </w:r>
      <w:r w:rsidRPr="00185F7A">
        <w:rPr>
          <w:rFonts w:ascii="Arial" w:hAnsi="Arial" w:cs="Arial"/>
          <w:shd w:val="clear" w:color="auto" w:fill="FFFFFF"/>
        </w:rPr>
        <w:t xml:space="preserve"> applies to</w:t>
      </w:r>
      <w:r w:rsidRPr="00185F7A">
        <w:rPr>
          <w:rFonts w:ascii="Arial" w:hAnsi="Arial" w:cs="Arial"/>
        </w:rPr>
        <w:t xml:space="preserve"> programs and courses of study that are delivered by </w:t>
      </w:r>
      <w:r w:rsidR="006F2478" w:rsidRPr="00185F7A">
        <w:rPr>
          <w:rFonts w:ascii="Arial" w:hAnsi="Arial" w:cs="Arial"/>
        </w:rPr>
        <w:t>other</w:t>
      </w:r>
      <w:r w:rsidRPr="00185F7A">
        <w:rPr>
          <w:rFonts w:ascii="Arial" w:hAnsi="Arial" w:cs="Arial"/>
        </w:rPr>
        <w:t xml:space="preserve"> </w:t>
      </w:r>
      <w:r w:rsidR="00E54A99" w:rsidRPr="00185F7A">
        <w:rPr>
          <w:rFonts w:ascii="Arial" w:hAnsi="Arial" w:cs="Arial"/>
        </w:rPr>
        <w:t xml:space="preserve">domestic </w:t>
      </w:r>
      <w:r w:rsidRPr="00185F7A">
        <w:rPr>
          <w:rFonts w:ascii="Arial" w:hAnsi="Arial" w:cs="Arial"/>
        </w:rPr>
        <w:t>provider</w:t>
      </w:r>
      <w:r w:rsidR="006F2478" w:rsidRPr="00185F7A">
        <w:rPr>
          <w:rFonts w:ascii="Arial" w:hAnsi="Arial" w:cs="Arial"/>
        </w:rPr>
        <w:t>s</w:t>
      </w:r>
      <w:r w:rsidRPr="00185F7A">
        <w:rPr>
          <w:rFonts w:ascii="Arial" w:hAnsi="Arial" w:cs="Arial"/>
        </w:rPr>
        <w:t xml:space="preserve"> that </w:t>
      </w:r>
      <w:r w:rsidRPr="00185F7A">
        <w:rPr>
          <w:rFonts w:ascii="Arial" w:eastAsia="Arial" w:hAnsi="Arial" w:cs="Arial"/>
        </w:rPr>
        <w:t>lead to the conferral of an award by Griffith University</w:t>
      </w:r>
      <w:r w:rsidRPr="00185F7A">
        <w:rPr>
          <w:rFonts w:ascii="Arial" w:hAnsi="Arial" w:cs="Arial"/>
        </w:rPr>
        <w:t xml:space="preserve">. Such arrangements may include </w:t>
      </w:r>
      <w:r w:rsidRPr="00185F7A">
        <w:rPr>
          <w:rStyle w:val="normaltextrun"/>
          <w:rFonts w:ascii="Arial" w:hAnsi="Arial" w:cs="Arial"/>
          <w:shd w:val="clear" w:color="auto" w:fill="FFFFFF"/>
        </w:rPr>
        <w:t>curriculum design and development, teaching delivery, assessment, service delivery (</w:t>
      </w:r>
      <w:r w:rsidR="00DD1F86" w:rsidRPr="00185F7A">
        <w:rPr>
          <w:rStyle w:val="normaltextrun"/>
          <w:rFonts w:ascii="Arial" w:hAnsi="Arial" w:cs="Arial"/>
          <w:shd w:val="clear" w:color="auto" w:fill="FFFFFF"/>
        </w:rPr>
        <w:t>for example</w:t>
      </w:r>
      <w:r w:rsidRPr="00185F7A">
        <w:rPr>
          <w:rStyle w:val="normaltextrun"/>
          <w:rFonts w:ascii="Arial" w:hAnsi="Arial" w:cs="Arial"/>
          <w:shd w:val="clear" w:color="auto" w:fill="FFFFFF"/>
        </w:rPr>
        <w:t>, student support services) and delivery of pathway programs on behalf of Griffith University. As the primary registered provider, Griffith University is accountable for the quality of education and any services delivered by a</w:t>
      </w:r>
      <w:r w:rsidR="00954CC3" w:rsidRPr="00185F7A">
        <w:rPr>
          <w:rStyle w:val="normaltextrun"/>
          <w:rFonts w:ascii="Arial" w:hAnsi="Arial" w:cs="Arial"/>
          <w:shd w:val="clear" w:color="auto" w:fill="FFFFFF"/>
        </w:rPr>
        <w:t>nother</w:t>
      </w:r>
      <w:r w:rsidRPr="00185F7A">
        <w:rPr>
          <w:rStyle w:val="normaltextrun"/>
          <w:rFonts w:ascii="Arial" w:hAnsi="Arial" w:cs="Arial"/>
          <w:shd w:val="clear" w:color="auto" w:fill="FFFFFF"/>
        </w:rPr>
        <w:t xml:space="preserve"> provider on its behalf.</w:t>
      </w:r>
    </w:p>
    <w:p w14:paraId="3DA6F331" w14:textId="133F9653" w:rsidR="00F97581" w:rsidRPr="00185F7A" w:rsidRDefault="00F97581" w:rsidP="008176FF">
      <w:pPr>
        <w:jc w:val="both"/>
        <w:rPr>
          <w:rFonts w:ascii="Arial" w:hAnsi="Arial" w:cs="Arial"/>
          <w:lang w:eastAsia="en-GB"/>
        </w:rPr>
      </w:pPr>
      <w:r w:rsidRPr="00185F7A">
        <w:rPr>
          <w:rStyle w:val="normaltextrun"/>
          <w:rFonts w:ascii="Arial" w:hAnsi="Arial" w:cs="Arial"/>
          <w:szCs w:val="20"/>
          <w:shd w:val="clear" w:color="auto" w:fill="FFFFFF"/>
        </w:rPr>
        <w:t>This procedure does not apply to transnational arrangements, work integrated learning, student mobility (study abroad and student exchange), articulation arrangements, credit transfer arrangements, non-award programs</w:t>
      </w:r>
      <w:r w:rsidR="00954CC3" w:rsidRPr="00185F7A">
        <w:rPr>
          <w:rStyle w:val="normaltextrun"/>
          <w:rFonts w:ascii="Arial" w:hAnsi="Arial" w:cs="Arial"/>
          <w:szCs w:val="20"/>
          <w:shd w:val="clear" w:color="auto" w:fill="FFFFFF"/>
        </w:rPr>
        <w:t>,</w:t>
      </w:r>
      <w:r w:rsidRPr="00185F7A">
        <w:rPr>
          <w:rStyle w:val="normaltextrun"/>
          <w:rFonts w:ascii="Arial" w:hAnsi="Arial" w:cs="Arial"/>
          <w:szCs w:val="20"/>
          <w:shd w:val="clear" w:color="auto" w:fill="FFFFFF"/>
        </w:rPr>
        <w:t xml:space="preserve"> </w:t>
      </w:r>
      <w:r w:rsidR="00954CC3" w:rsidRPr="00185F7A">
        <w:rPr>
          <w:rStyle w:val="normaltextrun"/>
          <w:rFonts w:ascii="Arial" w:hAnsi="Arial" w:cs="Arial"/>
          <w:szCs w:val="20"/>
          <w:shd w:val="clear" w:color="auto" w:fill="FFFFFF"/>
        </w:rPr>
        <w:t>n</w:t>
      </w:r>
      <w:r w:rsidRPr="00185F7A">
        <w:rPr>
          <w:rStyle w:val="normaltextrun"/>
          <w:rFonts w:ascii="Arial" w:hAnsi="Arial" w:cs="Arial"/>
          <w:szCs w:val="20"/>
          <w:shd w:val="clear" w:color="auto" w:fill="FFFFFF"/>
        </w:rPr>
        <w:t>or cross-institutional study. Details of such arrangements are governed by their respective policies and procedures.</w:t>
      </w:r>
      <w:r w:rsidRPr="00185F7A" w:rsidDel="005629F7">
        <w:rPr>
          <w:rFonts w:ascii="Arial" w:hAnsi="Arial" w:cs="Arial"/>
        </w:rPr>
        <w:t xml:space="preserve"> </w:t>
      </w:r>
      <w:bookmarkStart w:id="5" w:name="_Ref20481014"/>
    </w:p>
    <w:p w14:paraId="48CC6875" w14:textId="77777777" w:rsidR="00F97581" w:rsidRPr="00185F7A" w:rsidRDefault="00F97581" w:rsidP="00F97581">
      <w:pPr>
        <w:pStyle w:val="Heading2"/>
        <w:ind w:left="426" w:hanging="426"/>
        <w:rPr>
          <w:rFonts w:ascii="Arial" w:hAnsi="Arial" w:cs="Arial"/>
        </w:rPr>
      </w:pPr>
      <w:r w:rsidRPr="00185F7A">
        <w:rPr>
          <w:rFonts w:ascii="Arial" w:hAnsi="Arial" w:cs="Arial"/>
        </w:rPr>
        <w:t>3.0 P</w:t>
      </w:r>
      <w:bookmarkEnd w:id="3"/>
      <w:r w:rsidRPr="00185F7A">
        <w:rPr>
          <w:rFonts w:ascii="Arial" w:hAnsi="Arial" w:cs="Arial"/>
        </w:rPr>
        <w:t>rocedure</w:t>
      </w:r>
      <w:bookmarkEnd w:id="4"/>
      <w:bookmarkEnd w:id="5"/>
    </w:p>
    <w:p w14:paraId="7D56C293" w14:textId="3D096599" w:rsidR="00F97581" w:rsidRPr="00185F7A" w:rsidRDefault="00F97581" w:rsidP="00184103">
      <w:pPr>
        <w:pStyle w:val="NormalWhite"/>
        <w:spacing w:before="200" w:after="120"/>
        <w:jc w:val="both"/>
        <w:rPr>
          <w:rFonts w:ascii="Arial" w:hAnsi="Arial" w:cs="Arial"/>
          <w:color w:val="000000" w:themeColor="text1"/>
          <w:lang w:eastAsia="en-GB"/>
        </w:rPr>
      </w:pPr>
      <w:r w:rsidRPr="00185F7A">
        <w:rPr>
          <w:rFonts w:ascii="Arial" w:hAnsi="Arial" w:cs="Arial"/>
          <w:color w:val="000000" w:themeColor="text1"/>
          <w:lang w:eastAsia="en-GB"/>
        </w:rPr>
        <w:t xml:space="preserve">This procedure outlines the process for Griffith’s end-to-end contract management of domestic coursework programs and courses that are delivered with </w:t>
      </w:r>
      <w:r w:rsidR="005F1D7A" w:rsidRPr="00185F7A">
        <w:rPr>
          <w:rFonts w:ascii="Arial" w:hAnsi="Arial" w:cs="Arial"/>
          <w:color w:val="000000" w:themeColor="text1"/>
          <w:lang w:eastAsia="en-GB"/>
        </w:rPr>
        <w:t xml:space="preserve">other </w:t>
      </w:r>
      <w:r w:rsidRPr="00185F7A">
        <w:rPr>
          <w:rFonts w:ascii="Arial" w:hAnsi="Arial" w:cs="Arial"/>
          <w:color w:val="000000" w:themeColor="text1"/>
          <w:lang w:eastAsia="en-GB"/>
        </w:rPr>
        <w:t>part</w:t>
      </w:r>
      <w:r w:rsidR="005F1D7A" w:rsidRPr="00185F7A">
        <w:rPr>
          <w:rFonts w:ascii="Arial" w:hAnsi="Arial" w:cs="Arial"/>
          <w:color w:val="000000" w:themeColor="text1"/>
          <w:lang w:eastAsia="en-GB"/>
        </w:rPr>
        <w:t>ies</w:t>
      </w:r>
      <w:r w:rsidRPr="00185F7A">
        <w:rPr>
          <w:rFonts w:ascii="Arial" w:hAnsi="Arial" w:cs="Arial"/>
          <w:color w:val="000000" w:themeColor="text1"/>
          <w:lang w:eastAsia="en-GB"/>
        </w:rPr>
        <w:t>.</w:t>
      </w:r>
    </w:p>
    <w:p w14:paraId="04737B8A" w14:textId="77777777" w:rsidR="00F97581" w:rsidRPr="00185F7A" w:rsidRDefault="00F97581" w:rsidP="004943AD">
      <w:pPr>
        <w:pStyle w:val="Heading3"/>
        <w:ind w:left="567" w:firstLine="0"/>
        <w:rPr>
          <w:rFonts w:ascii="Arial" w:hAnsi="Arial" w:cs="Arial"/>
        </w:rPr>
      </w:pPr>
      <w:bookmarkStart w:id="6" w:name="_3.1_Implementing_an"/>
      <w:bookmarkEnd w:id="6"/>
      <w:r w:rsidRPr="00185F7A">
        <w:rPr>
          <w:rFonts w:ascii="Arial" w:hAnsi="Arial" w:cs="Arial"/>
        </w:rPr>
        <w:t xml:space="preserve">3.1 Implementing an Agreement </w:t>
      </w:r>
    </w:p>
    <w:p w14:paraId="5D57139B" w14:textId="77777777" w:rsidR="00F97581" w:rsidRPr="00185F7A" w:rsidRDefault="00F97581" w:rsidP="00184103">
      <w:pPr>
        <w:pStyle w:val="Heading4"/>
        <w:spacing w:before="200"/>
        <w:rPr>
          <w:rFonts w:ascii="Arial" w:hAnsi="Arial"/>
          <w:b w:val="0"/>
          <w:bCs/>
          <w:lang w:eastAsia="en-GB"/>
        </w:rPr>
      </w:pPr>
      <w:r w:rsidRPr="00185F7A">
        <w:rPr>
          <w:rFonts w:ascii="Arial" w:hAnsi="Arial"/>
          <w:b w:val="0"/>
          <w:bCs/>
          <w:lang w:eastAsia="en-GB"/>
        </w:rPr>
        <w:t>3.1.1 Due diligence</w:t>
      </w:r>
    </w:p>
    <w:p w14:paraId="7097FD2B" w14:textId="5460F62D" w:rsidR="00F97581" w:rsidRPr="00185F7A" w:rsidRDefault="00F97581" w:rsidP="00184103">
      <w:pPr>
        <w:ind w:left="1080"/>
        <w:jc w:val="both"/>
        <w:rPr>
          <w:rFonts w:ascii="Arial" w:hAnsi="Arial" w:cs="Arial"/>
          <w:lang w:eastAsia="en-GB"/>
        </w:rPr>
      </w:pPr>
      <w:r w:rsidRPr="00185F7A">
        <w:rPr>
          <w:rFonts w:ascii="Arial" w:hAnsi="Arial" w:cs="Arial"/>
          <w:lang w:eastAsia="en-GB"/>
        </w:rPr>
        <w:t xml:space="preserve">A credible, </w:t>
      </w:r>
      <w:proofErr w:type="gramStart"/>
      <w:r w:rsidRPr="00185F7A">
        <w:rPr>
          <w:rFonts w:ascii="Arial" w:hAnsi="Arial" w:cs="Arial"/>
          <w:lang w:eastAsia="en-GB"/>
        </w:rPr>
        <w:t>rigorous</w:t>
      </w:r>
      <w:proofErr w:type="gramEnd"/>
      <w:r w:rsidRPr="00185F7A">
        <w:rPr>
          <w:rFonts w:ascii="Arial" w:hAnsi="Arial" w:cs="Arial"/>
          <w:lang w:eastAsia="en-GB"/>
        </w:rPr>
        <w:t xml:space="preserve"> and evidence-based due diligence process must be undertaken prior to reaching an agreement with a</w:t>
      </w:r>
      <w:r w:rsidR="00457620" w:rsidRPr="00185F7A">
        <w:rPr>
          <w:rFonts w:ascii="Arial" w:hAnsi="Arial" w:cs="Arial"/>
          <w:lang w:eastAsia="en-GB"/>
        </w:rPr>
        <w:t xml:space="preserve">nother </w:t>
      </w:r>
      <w:r w:rsidRPr="00185F7A">
        <w:rPr>
          <w:rFonts w:ascii="Arial" w:hAnsi="Arial" w:cs="Arial"/>
          <w:lang w:eastAsia="en-GB"/>
        </w:rPr>
        <w:t>party to reduce risks, maintain quality and ensure selection of a reliable</w:t>
      </w:r>
      <w:r w:rsidR="00457620" w:rsidRPr="00185F7A">
        <w:rPr>
          <w:rFonts w:ascii="Arial" w:hAnsi="Arial" w:cs="Arial"/>
          <w:lang w:eastAsia="en-GB"/>
        </w:rPr>
        <w:t xml:space="preserve"> </w:t>
      </w:r>
      <w:r w:rsidRPr="00185F7A">
        <w:rPr>
          <w:rFonts w:ascii="Arial" w:hAnsi="Arial" w:cs="Arial"/>
          <w:lang w:eastAsia="en-GB"/>
        </w:rPr>
        <w:t>partner. The process is appropriate and proportionate for each prospective partner and a recommendation for the suitability of the partner is made as part of the process.</w:t>
      </w:r>
    </w:p>
    <w:p w14:paraId="2B462BDA" w14:textId="77777777" w:rsidR="004A29EC" w:rsidRPr="00185F7A" w:rsidRDefault="004A29EC" w:rsidP="00184103">
      <w:pPr>
        <w:ind w:left="1080"/>
        <w:jc w:val="both"/>
        <w:rPr>
          <w:rFonts w:ascii="Arial" w:hAnsi="Arial" w:cs="Arial"/>
          <w:lang w:eastAsia="en-GB"/>
        </w:rPr>
      </w:pPr>
    </w:p>
    <w:p w14:paraId="11D84EFD" w14:textId="5A1C49A3" w:rsidR="00F97581" w:rsidRPr="00185F7A" w:rsidRDefault="00F97581" w:rsidP="00184103">
      <w:pPr>
        <w:spacing w:after="120"/>
        <w:ind w:left="1066" w:firstLine="11"/>
        <w:jc w:val="both"/>
        <w:rPr>
          <w:rFonts w:ascii="Arial" w:hAnsi="Arial" w:cs="Arial"/>
          <w:lang w:eastAsia="en-GB"/>
        </w:rPr>
      </w:pPr>
      <w:r w:rsidRPr="00185F7A">
        <w:rPr>
          <w:rFonts w:ascii="Arial" w:hAnsi="Arial" w:cs="Arial"/>
          <w:lang w:eastAsia="en-GB"/>
        </w:rPr>
        <w:lastRenderedPageBreak/>
        <w:t>The due diligence process considers a range of issues, including</w:t>
      </w:r>
      <w:r w:rsidR="006167D7" w:rsidRPr="00185F7A">
        <w:rPr>
          <w:rFonts w:ascii="Arial" w:hAnsi="Arial" w:cs="Arial"/>
          <w:lang w:eastAsia="en-GB"/>
        </w:rPr>
        <w:t xml:space="preserve"> the</w:t>
      </w:r>
      <w:r w:rsidRPr="00185F7A">
        <w:rPr>
          <w:rFonts w:ascii="Arial" w:hAnsi="Arial" w:cs="Arial"/>
          <w:lang w:eastAsia="en-GB"/>
        </w:rPr>
        <w:t xml:space="preserve">: </w:t>
      </w:r>
    </w:p>
    <w:p w14:paraId="325AF6D5" w14:textId="3712BCBE" w:rsidR="00F97581" w:rsidRPr="00185F7A" w:rsidRDefault="00F97581" w:rsidP="00184103">
      <w:pPr>
        <w:pStyle w:val="ListParagraph"/>
        <w:numPr>
          <w:ilvl w:val="0"/>
          <w:numId w:val="36"/>
        </w:numPr>
        <w:spacing w:before="80" w:after="80"/>
        <w:jc w:val="both"/>
        <w:rPr>
          <w:rFonts w:ascii="Arial" w:hAnsi="Arial" w:cs="Arial"/>
        </w:rPr>
      </w:pPr>
      <w:r w:rsidRPr="00185F7A">
        <w:rPr>
          <w:rFonts w:ascii="Arial" w:hAnsi="Arial" w:cs="Arial"/>
          <w:lang w:eastAsia="en-GB"/>
        </w:rPr>
        <w:t xml:space="preserve">ability of the </w:t>
      </w:r>
      <w:r w:rsidR="00457620" w:rsidRPr="00185F7A">
        <w:rPr>
          <w:rFonts w:ascii="Arial" w:hAnsi="Arial" w:cs="Arial"/>
          <w:lang w:eastAsia="en-GB"/>
        </w:rPr>
        <w:t>other</w:t>
      </w:r>
      <w:r w:rsidRPr="00185F7A">
        <w:rPr>
          <w:rFonts w:ascii="Arial" w:hAnsi="Arial" w:cs="Arial"/>
          <w:lang w:eastAsia="en-GB"/>
        </w:rPr>
        <w:t xml:space="preserve"> party to deliver on its responsibilities as allocated in the </w:t>
      </w:r>
      <w:proofErr w:type="gramStart"/>
      <w:r w:rsidRPr="00185F7A">
        <w:rPr>
          <w:rFonts w:ascii="Arial" w:hAnsi="Arial" w:cs="Arial"/>
          <w:lang w:eastAsia="en-GB"/>
        </w:rPr>
        <w:t>agreement</w:t>
      </w:r>
      <w:proofErr w:type="gramEnd"/>
    </w:p>
    <w:p w14:paraId="7823D254" w14:textId="32198202" w:rsidR="00F97581" w:rsidRPr="00185F7A" w:rsidRDefault="00F97581" w:rsidP="00184103">
      <w:pPr>
        <w:pStyle w:val="ListParagraph"/>
        <w:numPr>
          <w:ilvl w:val="0"/>
          <w:numId w:val="36"/>
        </w:numPr>
        <w:spacing w:before="80" w:after="80"/>
        <w:jc w:val="both"/>
        <w:rPr>
          <w:rFonts w:ascii="Arial" w:hAnsi="Arial" w:cs="Arial"/>
        </w:rPr>
      </w:pPr>
      <w:r w:rsidRPr="00185F7A">
        <w:rPr>
          <w:rFonts w:ascii="Arial" w:hAnsi="Arial" w:cs="Arial"/>
          <w:lang w:eastAsia="en-GB"/>
        </w:rPr>
        <w:t xml:space="preserve">track-record of the </w:t>
      </w:r>
      <w:r w:rsidR="00457620" w:rsidRPr="00185F7A">
        <w:rPr>
          <w:rFonts w:ascii="Arial" w:hAnsi="Arial" w:cs="Arial"/>
          <w:lang w:eastAsia="en-GB"/>
        </w:rPr>
        <w:t>other</w:t>
      </w:r>
      <w:r w:rsidRPr="00185F7A">
        <w:rPr>
          <w:rFonts w:ascii="Arial" w:hAnsi="Arial" w:cs="Arial"/>
          <w:lang w:eastAsia="en-GB"/>
        </w:rPr>
        <w:t xml:space="preserve"> party, including regulatory status and </w:t>
      </w:r>
      <w:proofErr w:type="gramStart"/>
      <w:r w:rsidRPr="00185F7A">
        <w:rPr>
          <w:rFonts w:ascii="Arial" w:hAnsi="Arial" w:cs="Arial"/>
          <w:lang w:eastAsia="en-GB"/>
        </w:rPr>
        <w:t>history</w:t>
      </w:r>
      <w:proofErr w:type="gramEnd"/>
    </w:p>
    <w:p w14:paraId="1148E37E" w14:textId="778BCEA9" w:rsidR="00F97581" w:rsidRPr="00185F7A" w:rsidRDefault="00F97581" w:rsidP="1E953ACF">
      <w:pPr>
        <w:pStyle w:val="ListParagraph"/>
        <w:numPr>
          <w:ilvl w:val="0"/>
          <w:numId w:val="36"/>
        </w:numPr>
        <w:spacing w:before="80" w:after="80"/>
        <w:jc w:val="both"/>
        <w:rPr>
          <w:rFonts w:ascii="Arial" w:hAnsi="Arial" w:cs="Arial"/>
        </w:rPr>
      </w:pPr>
      <w:r w:rsidRPr="00185F7A">
        <w:rPr>
          <w:rFonts w:ascii="Arial" w:hAnsi="Arial" w:cs="Arial"/>
          <w:lang w:eastAsia="en-GB"/>
        </w:rPr>
        <w:t xml:space="preserve">ownership and governance structures of the </w:t>
      </w:r>
      <w:r w:rsidR="00C15A1D" w:rsidRPr="00185F7A">
        <w:rPr>
          <w:rFonts w:ascii="Arial" w:hAnsi="Arial" w:cs="Arial"/>
          <w:lang w:eastAsia="en-GB"/>
        </w:rPr>
        <w:t>other</w:t>
      </w:r>
      <w:r w:rsidRPr="00185F7A">
        <w:rPr>
          <w:rFonts w:ascii="Arial" w:hAnsi="Arial" w:cs="Arial"/>
          <w:lang w:eastAsia="en-GB"/>
        </w:rPr>
        <w:t xml:space="preserve"> party</w:t>
      </w:r>
    </w:p>
    <w:p w14:paraId="676A234C" w14:textId="5694BCC4" w:rsidR="00F97581" w:rsidRPr="00185F7A" w:rsidRDefault="00F97581" w:rsidP="006167D7">
      <w:pPr>
        <w:pStyle w:val="ListParagraph"/>
        <w:numPr>
          <w:ilvl w:val="0"/>
          <w:numId w:val="36"/>
        </w:numPr>
        <w:spacing w:before="80" w:after="80"/>
        <w:jc w:val="both"/>
        <w:rPr>
          <w:rFonts w:ascii="Arial" w:hAnsi="Arial" w:cs="Arial"/>
        </w:rPr>
      </w:pPr>
      <w:r w:rsidRPr="00185F7A">
        <w:rPr>
          <w:rFonts w:ascii="Arial" w:hAnsi="Arial" w:cs="Arial"/>
          <w:lang w:eastAsia="en-GB"/>
        </w:rPr>
        <w:t xml:space="preserve">financial viability of the </w:t>
      </w:r>
      <w:r w:rsidR="00C15A1D" w:rsidRPr="00185F7A">
        <w:rPr>
          <w:rFonts w:ascii="Arial" w:hAnsi="Arial" w:cs="Arial"/>
          <w:lang w:eastAsia="en-GB"/>
        </w:rPr>
        <w:t>other</w:t>
      </w:r>
      <w:r w:rsidRPr="00185F7A">
        <w:rPr>
          <w:rFonts w:ascii="Arial" w:hAnsi="Arial" w:cs="Arial"/>
          <w:lang w:eastAsia="en-GB"/>
        </w:rPr>
        <w:t xml:space="preserve"> party; and </w:t>
      </w:r>
    </w:p>
    <w:p w14:paraId="3A29FEE1" w14:textId="3899227D" w:rsidR="00F97581" w:rsidRPr="00185F7A" w:rsidRDefault="00F97581" w:rsidP="00184103">
      <w:pPr>
        <w:pStyle w:val="ListParagraph"/>
        <w:numPr>
          <w:ilvl w:val="0"/>
          <w:numId w:val="36"/>
        </w:numPr>
        <w:spacing w:before="80" w:after="80"/>
        <w:jc w:val="both"/>
        <w:rPr>
          <w:rFonts w:ascii="Arial" w:hAnsi="Arial" w:cs="Arial"/>
        </w:rPr>
      </w:pPr>
      <w:r w:rsidRPr="00185F7A">
        <w:rPr>
          <w:rFonts w:ascii="Arial" w:hAnsi="Arial" w:cs="Arial"/>
          <w:lang w:eastAsia="en-GB"/>
        </w:rPr>
        <w:t xml:space="preserve">emergency plans, risk framework and risk management practices. </w:t>
      </w:r>
    </w:p>
    <w:p w14:paraId="495BE568" w14:textId="4A80F20E" w:rsidR="00F97581" w:rsidRPr="00185F7A" w:rsidRDefault="00F97581" w:rsidP="00FE1027">
      <w:pPr>
        <w:spacing w:before="120" w:after="120"/>
        <w:ind w:left="1080"/>
        <w:jc w:val="both"/>
        <w:rPr>
          <w:rFonts w:ascii="Arial" w:hAnsi="Arial" w:cs="Arial"/>
          <w:lang w:eastAsia="en-GB"/>
        </w:rPr>
      </w:pPr>
      <w:r w:rsidRPr="00185F7A">
        <w:rPr>
          <w:rFonts w:ascii="Arial" w:hAnsi="Arial" w:cs="Arial"/>
          <w:lang w:eastAsia="en-GB"/>
        </w:rPr>
        <w:t xml:space="preserve">Due diligence is completed using the </w:t>
      </w:r>
      <w:hyperlink r:id="rId11">
        <w:r w:rsidR="009706A1" w:rsidRPr="00185F7A">
          <w:rPr>
            <w:rStyle w:val="Hyperlink"/>
            <w:rFonts w:ascii="Arial" w:hAnsi="Arial" w:cs="Arial"/>
            <w:lang w:eastAsia="en-GB"/>
          </w:rPr>
          <w:t>Due Diligence Checklist.</w:t>
        </w:r>
      </w:hyperlink>
      <w:r w:rsidRPr="00185F7A">
        <w:rPr>
          <w:rFonts w:ascii="Arial" w:hAnsi="Arial" w:cs="Arial"/>
          <w:lang w:eastAsia="en-GB"/>
        </w:rPr>
        <w:t xml:space="preserve"> The findings of the due diligence are provided by the academic lead of the agreement to the Group’s Dean (Academic), who makes a recommendation to the </w:t>
      </w:r>
      <w:r w:rsidR="00A00FB5" w:rsidRPr="00185F7A">
        <w:rPr>
          <w:rFonts w:ascii="Arial" w:hAnsi="Arial" w:cs="Arial"/>
          <w:lang w:eastAsia="en-GB"/>
        </w:rPr>
        <w:t>DVC(E)</w:t>
      </w:r>
      <w:r w:rsidRPr="00185F7A">
        <w:rPr>
          <w:rFonts w:ascii="Arial" w:hAnsi="Arial" w:cs="Arial"/>
          <w:lang w:eastAsia="en-GB"/>
        </w:rPr>
        <w:t xml:space="preserve"> on the proposed agreement.</w:t>
      </w:r>
      <w:bookmarkStart w:id="7" w:name="_3.2_&lt;Insert_sub-heading&gt;"/>
      <w:bookmarkStart w:id="8" w:name="_3.3_&lt;Insert_sub-heading&gt;"/>
      <w:bookmarkEnd w:id="7"/>
      <w:bookmarkEnd w:id="8"/>
    </w:p>
    <w:p w14:paraId="657CA15E" w14:textId="77777777" w:rsidR="00F97581" w:rsidRPr="00185F7A" w:rsidRDefault="00F97581" w:rsidP="00184103">
      <w:pPr>
        <w:pStyle w:val="Heading4"/>
        <w:spacing w:before="200"/>
        <w:rPr>
          <w:rFonts w:ascii="Arial" w:hAnsi="Arial"/>
          <w:b w:val="0"/>
          <w:bCs/>
        </w:rPr>
      </w:pPr>
      <w:bookmarkStart w:id="9" w:name="_3.2_Registering_an"/>
      <w:bookmarkEnd w:id="9"/>
      <w:r w:rsidRPr="00185F7A">
        <w:rPr>
          <w:rFonts w:ascii="Arial" w:hAnsi="Arial"/>
          <w:b w:val="0"/>
          <w:bCs/>
        </w:rPr>
        <w:t>3.1.2 Risk Assessment</w:t>
      </w:r>
    </w:p>
    <w:p w14:paraId="79478423" w14:textId="5495DB9A" w:rsidR="00F97581" w:rsidRPr="00185F7A" w:rsidRDefault="00F97581" w:rsidP="00FE1027">
      <w:pPr>
        <w:spacing w:before="120" w:after="120"/>
        <w:ind w:left="1080"/>
        <w:jc w:val="both"/>
        <w:rPr>
          <w:rFonts w:ascii="Arial" w:hAnsi="Arial" w:cs="Arial"/>
          <w:highlight w:val="yellow"/>
          <w:lang w:eastAsia="en-GB"/>
        </w:rPr>
      </w:pPr>
      <w:r w:rsidRPr="00185F7A">
        <w:rPr>
          <w:rFonts w:ascii="Arial" w:hAnsi="Arial" w:cs="Arial"/>
          <w:lang w:eastAsia="en-GB"/>
        </w:rPr>
        <w:t xml:space="preserve">A risk assessment </w:t>
      </w:r>
      <w:r w:rsidR="00E56928" w:rsidRPr="00185F7A">
        <w:rPr>
          <w:rFonts w:ascii="Arial" w:hAnsi="Arial" w:cs="Arial"/>
          <w:lang w:eastAsia="en-GB"/>
        </w:rPr>
        <w:t xml:space="preserve">for the arrangement </w:t>
      </w:r>
      <w:r w:rsidRPr="00185F7A">
        <w:rPr>
          <w:rFonts w:ascii="Arial" w:hAnsi="Arial" w:cs="Arial"/>
          <w:lang w:eastAsia="en-GB"/>
        </w:rPr>
        <w:t>must be conducted before signing an agreement with a</w:t>
      </w:r>
      <w:r w:rsidR="00C15A1D" w:rsidRPr="00185F7A">
        <w:rPr>
          <w:rFonts w:ascii="Arial" w:hAnsi="Arial" w:cs="Arial"/>
          <w:lang w:eastAsia="en-GB"/>
        </w:rPr>
        <w:t xml:space="preserve">nother </w:t>
      </w:r>
      <w:r w:rsidRPr="00185F7A">
        <w:rPr>
          <w:rFonts w:ascii="Arial" w:hAnsi="Arial" w:cs="Arial"/>
          <w:lang w:eastAsia="en-GB"/>
        </w:rPr>
        <w:t xml:space="preserve">party to address identified risks. This includes a contingency plan to support enrolled students to complete their program </w:t>
      </w:r>
      <w:proofErr w:type="gramStart"/>
      <w:r w:rsidRPr="00185F7A">
        <w:rPr>
          <w:rFonts w:ascii="Arial" w:hAnsi="Arial" w:cs="Arial"/>
          <w:lang w:eastAsia="en-GB"/>
        </w:rPr>
        <w:t>in the event that</w:t>
      </w:r>
      <w:proofErr w:type="gramEnd"/>
      <w:r w:rsidRPr="00185F7A">
        <w:rPr>
          <w:rFonts w:ascii="Arial" w:hAnsi="Arial" w:cs="Arial"/>
          <w:lang w:eastAsia="en-GB"/>
        </w:rPr>
        <w:t xml:space="preserve"> the agreement should cease. The </w:t>
      </w:r>
      <w:hyperlink r:id="rId12">
        <w:r w:rsidR="000653DB" w:rsidRPr="00185F7A">
          <w:rPr>
            <w:rStyle w:val="Hyperlink"/>
            <w:rFonts w:ascii="Arial" w:hAnsi="Arial" w:cs="Arial"/>
            <w:lang w:eastAsia="en-GB"/>
          </w:rPr>
          <w:t>Risk Assessment Template</w:t>
        </w:r>
      </w:hyperlink>
      <w:r w:rsidR="001D4EE0" w:rsidRPr="00185F7A">
        <w:rPr>
          <w:rFonts w:ascii="Arial" w:hAnsi="Arial" w:cs="Arial"/>
          <w:lang w:eastAsia="en-GB"/>
        </w:rPr>
        <w:t xml:space="preserve"> </w:t>
      </w:r>
      <w:r w:rsidRPr="00185F7A">
        <w:rPr>
          <w:rFonts w:ascii="Arial" w:hAnsi="Arial" w:cs="Arial"/>
          <w:lang w:eastAsia="en-GB"/>
        </w:rPr>
        <w:t xml:space="preserve">and contingency plan are completed by the academic lead and recorded on </w:t>
      </w:r>
      <w:proofErr w:type="spellStart"/>
      <w:r w:rsidRPr="00185F7A">
        <w:rPr>
          <w:rFonts w:ascii="Arial" w:hAnsi="Arial" w:cs="Arial"/>
          <w:lang w:eastAsia="en-GB"/>
        </w:rPr>
        <w:t>ConvergePoint</w:t>
      </w:r>
      <w:proofErr w:type="spellEnd"/>
      <w:r w:rsidRPr="00185F7A">
        <w:rPr>
          <w:rFonts w:ascii="Arial" w:hAnsi="Arial" w:cs="Arial"/>
          <w:lang w:eastAsia="en-GB"/>
        </w:rPr>
        <w:t>.</w:t>
      </w:r>
    </w:p>
    <w:p w14:paraId="47A52F9F" w14:textId="77777777" w:rsidR="00F97581" w:rsidRPr="00185F7A" w:rsidRDefault="00F97581" w:rsidP="00184103">
      <w:pPr>
        <w:pStyle w:val="Heading4"/>
        <w:spacing w:before="200"/>
        <w:rPr>
          <w:rFonts w:ascii="Arial" w:hAnsi="Arial"/>
          <w:b w:val="0"/>
          <w:bCs/>
          <w:lang w:eastAsia="en-GB"/>
        </w:rPr>
      </w:pPr>
      <w:r w:rsidRPr="00185F7A">
        <w:rPr>
          <w:rFonts w:ascii="Arial" w:hAnsi="Arial"/>
          <w:b w:val="0"/>
          <w:bCs/>
        </w:rPr>
        <w:t xml:space="preserve">3.1.3 </w:t>
      </w:r>
      <w:proofErr w:type="spellStart"/>
      <w:r w:rsidRPr="00185F7A">
        <w:rPr>
          <w:rFonts w:ascii="Arial" w:hAnsi="Arial"/>
          <w:b w:val="0"/>
          <w:bCs/>
        </w:rPr>
        <w:t>ConvergePoint</w:t>
      </w:r>
      <w:proofErr w:type="spellEnd"/>
    </w:p>
    <w:p w14:paraId="2720B8CF" w14:textId="52664B5B" w:rsidR="00F97581" w:rsidRPr="00185F7A" w:rsidRDefault="00F97581" w:rsidP="00184103">
      <w:pPr>
        <w:ind w:left="1080"/>
        <w:jc w:val="both"/>
        <w:rPr>
          <w:rFonts w:ascii="Arial" w:hAnsi="Arial" w:cs="Arial"/>
          <w:lang w:eastAsia="en-GB"/>
        </w:rPr>
      </w:pPr>
      <w:r w:rsidRPr="00185F7A">
        <w:rPr>
          <w:rFonts w:ascii="Arial" w:hAnsi="Arial" w:cs="Arial"/>
          <w:lang w:eastAsia="en-GB"/>
        </w:rPr>
        <w:t xml:space="preserve">Details of the agreement, including the name and </w:t>
      </w:r>
      <w:r w:rsidR="00E74097" w:rsidRPr="00185F7A">
        <w:rPr>
          <w:rFonts w:ascii="Arial" w:hAnsi="Arial" w:cs="Arial"/>
          <w:lang w:eastAsia="en-GB"/>
        </w:rPr>
        <w:t>other</w:t>
      </w:r>
      <w:r w:rsidRPr="00185F7A">
        <w:rPr>
          <w:rFonts w:ascii="Arial" w:hAnsi="Arial" w:cs="Arial"/>
          <w:lang w:eastAsia="en-GB"/>
        </w:rPr>
        <w:t xml:space="preserve"> party’s contact details, </w:t>
      </w:r>
      <w:proofErr w:type="gramStart"/>
      <w:r w:rsidRPr="00185F7A">
        <w:rPr>
          <w:rFonts w:ascii="Arial" w:hAnsi="Arial" w:cs="Arial"/>
          <w:lang w:eastAsia="en-GB"/>
        </w:rPr>
        <w:t>commencement</w:t>
      </w:r>
      <w:proofErr w:type="gramEnd"/>
      <w:r w:rsidRPr="00185F7A">
        <w:rPr>
          <w:rFonts w:ascii="Arial" w:hAnsi="Arial" w:cs="Arial"/>
          <w:lang w:eastAsia="en-GB"/>
        </w:rPr>
        <w:t xml:space="preserve"> and expiry date, and supporting documents, are submitted via the University’s contract management </w:t>
      </w:r>
      <w:r w:rsidRPr="00185F7A">
        <w:rPr>
          <w:rFonts w:ascii="Arial" w:hAnsi="Arial" w:cs="Arial"/>
          <w:color w:val="000000" w:themeColor="text1"/>
          <w:lang w:eastAsia="en-GB"/>
        </w:rPr>
        <w:t>system</w:t>
      </w:r>
      <w:r w:rsidRPr="00185F7A">
        <w:rPr>
          <w:rFonts w:ascii="Arial" w:hAnsi="Arial" w:cs="Arial"/>
          <w:lang w:eastAsia="en-GB"/>
        </w:rPr>
        <w:t xml:space="preserve">, </w:t>
      </w:r>
      <w:proofErr w:type="spellStart"/>
      <w:r w:rsidRPr="00185F7A">
        <w:rPr>
          <w:rFonts w:ascii="Arial" w:hAnsi="Arial" w:cs="Arial"/>
          <w:lang w:eastAsia="en-GB"/>
        </w:rPr>
        <w:t>ConvergePoint</w:t>
      </w:r>
      <w:proofErr w:type="spellEnd"/>
      <w:r w:rsidRPr="00185F7A">
        <w:rPr>
          <w:rFonts w:ascii="Arial" w:hAnsi="Arial" w:cs="Arial"/>
          <w:lang w:eastAsia="en-GB"/>
        </w:rPr>
        <w:t>, by the academic lead. Supporting documents include:</w:t>
      </w:r>
    </w:p>
    <w:p w14:paraId="0862089A" w14:textId="5436E89F" w:rsidR="00204000" w:rsidRPr="00185F7A" w:rsidRDefault="005C2C9C" w:rsidP="001D4EE0">
      <w:pPr>
        <w:pStyle w:val="ListParagraph"/>
        <w:numPr>
          <w:ilvl w:val="0"/>
          <w:numId w:val="38"/>
        </w:numPr>
        <w:spacing w:before="120" w:after="120"/>
        <w:rPr>
          <w:rFonts w:ascii="Arial" w:hAnsi="Arial" w:cs="Arial"/>
          <w:szCs w:val="20"/>
          <w:lang w:eastAsia="en-GB"/>
        </w:rPr>
      </w:pPr>
      <w:hyperlink r:id="rId13" w:history="1">
        <w:r w:rsidR="009706A1" w:rsidRPr="00185F7A">
          <w:rPr>
            <w:rStyle w:val="Hyperlink"/>
            <w:rFonts w:ascii="Arial" w:hAnsi="Arial" w:cs="Arial"/>
            <w:szCs w:val="20"/>
            <w:lang w:eastAsia="en-GB"/>
          </w:rPr>
          <w:t>Due Diligence Checklist</w:t>
        </w:r>
      </w:hyperlink>
    </w:p>
    <w:p w14:paraId="56274D74" w14:textId="4DDE792E" w:rsidR="001D4EE0" w:rsidRPr="00185F7A" w:rsidRDefault="005C2C9C" w:rsidP="001D4EE0">
      <w:pPr>
        <w:pStyle w:val="ListParagraph"/>
        <w:numPr>
          <w:ilvl w:val="0"/>
          <w:numId w:val="38"/>
        </w:numPr>
        <w:spacing w:before="120" w:after="120"/>
        <w:rPr>
          <w:rFonts w:ascii="Arial" w:hAnsi="Arial" w:cs="Arial"/>
          <w:szCs w:val="20"/>
          <w:lang w:eastAsia="en-GB"/>
        </w:rPr>
      </w:pPr>
      <w:hyperlink r:id="rId14" w:history="1">
        <w:r w:rsidR="000653DB" w:rsidRPr="00185F7A">
          <w:rPr>
            <w:rStyle w:val="Hyperlink"/>
            <w:rFonts w:ascii="Arial" w:hAnsi="Arial" w:cs="Arial"/>
            <w:szCs w:val="20"/>
            <w:lang w:eastAsia="en-GB"/>
          </w:rPr>
          <w:t>Risk Assessment Template</w:t>
        </w:r>
      </w:hyperlink>
    </w:p>
    <w:p w14:paraId="5036B985" w14:textId="77777777" w:rsidR="00F97581" w:rsidRPr="00185F7A" w:rsidRDefault="00F97581" w:rsidP="00184103">
      <w:pPr>
        <w:pStyle w:val="ListParagraph"/>
        <w:numPr>
          <w:ilvl w:val="0"/>
          <w:numId w:val="38"/>
        </w:numPr>
        <w:spacing w:before="80" w:after="80"/>
        <w:jc w:val="both"/>
        <w:rPr>
          <w:rFonts w:ascii="Arial" w:hAnsi="Arial" w:cs="Arial"/>
          <w:lang w:eastAsia="en-GB"/>
        </w:rPr>
      </w:pPr>
      <w:r w:rsidRPr="00185F7A">
        <w:rPr>
          <w:rFonts w:ascii="Arial" w:hAnsi="Arial" w:cs="Arial"/>
          <w:lang w:eastAsia="en-GB"/>
        </w:rPr>
        <w:t>Contingency Plan.</w:t>
      </w:r>
    </w:p>
    <w:p w14:paraId="5E78040C" w14:textId="77777777" w:rsidR="00F97581" w:rsidRPr="00185F7A" w:rsidRDefault="00F97581" w:rsidP="00184103">
      <w:pPr>
        <w:pStyle w:val="Heading4"/>
        <w:spacing w:before="200"/>
        <w:rPr>
          <w:rFonts w:ascii="Arial" w:hAnsi="Arial"/>
          <w:b w:val="0"/>
          <w:bCs/>
          <w:lang w:eastAsia="en-GB"/>
        </w:rPr>
      </w:pPr>
      <w:r w:rsidRPr="00185F7A">
        <w:rPr>
          <w:rFonts w:ascii="Arial" w:hAnsi="Arial"/>
          <w:b w:val="0"/>
          <w:bCs/>
          <w:lang w:eastAsia="en-GB"/>
        </w:rPr>
        <w:t>3.1.4 Terms of Agreement</w:t>
      </w:r>
    </w:p>
    <w:p w14:paraId="3D402D4E" w14:textId="5CB8D5CD" w:rsidR="00F97581" w:rsidRPr="00185F7A" w:rsidRDefault="00F97581" w:rsidP="00184103">
      <w:pPr>
        <w:spacing w:before="200" w:after="120"/>
        <w:ind w:left="1080"/>
        <w:jc w:val="both"/>
        <w:rPr>
          <w:rFonts w:ascii="Arial" w:hAnsi="Arial" w:cs="Arial"/>
          <w:lang w:eastAsia="en-GB"/>
        </w:rPr>
      </w:pPr>
      <w:r w:rsidRPr="00185F7A">
        <w:rPr>
          <w:rFonts w:ascii="Arial" w:hAnsi="Arial" w:cs="Arial"/>
          <w:lang w:eastAsia="en-GB"/>
        </w:rPr>
        <w:t xml:space="preserve">A legally binding agreement must be put in place before the arrangement commences. The </w:t>
      </w:r>
      <w:hyperlink r:id="rId15">
        <w:r w:rsidRPr="00185F7A">
          <w:rPr>
            <w:rStyle w:val="Hyperlink"/>
            <w:rFonts w:ascii="Arial" w:hAnsi="Arial" w:cs="Arial"/>
            <w:lang w:eastAsia="en-GB"/>
          </w:rPr>
          <w:t>Term Sheet</w:t>
        </w:r>
      </w:hyperlink>
      <w:r w:rsidRPr="00185F7A">
        <w:rPr>
          <w:rFonts w:ascii="Arial" w:hAnsi="Arial" w:cs="Arial"/>
          <w:lang w:eastAsia="en-GB"/>
        </w:rPr>
        <w:t xml:space="preserve"> </w:t>
      </w:r>
      <w:r w:rsidR="00862467" w:rsidRPr="00185F7A">
        <w:rPr>
          <w:rFonts w:ascii="Arial" w:hAnsi="Arial" w:cs="Arial"/>
          <w:lang w:eastAsia="en-GB"/>
        </w:rPr>
        <w:t xml:space="preserve">should be used as a starting point for negotiating the agreement.  </w:t>
      </w:r>
      <w:r w:rsidRPr="00185F7A">
        <w:rPr>
          <w:rFonts w:ascii="Arial" w:hAnsi="Arial" w:cs="Arial"/>
          <w:lang w:eastAsia="en-GB"/>
        </w:rPr>
        <w:t xml:space="preserve">The academic lead, as key contact for the agreement, </w:t>
      </w:r>
      <w:r w:rsidR="00225DB0" w:rsidRPr="00185F7A">
        <w:rPr>
          <w:rFonts w:ascii="Arial" w:hAnsi="Arial" w:cs="Arial"/>
          <w:lang w:eastAsia="en-GB"/>
        </w:rPr>
        <w:t xml:space="preserve">completes the Term Sheet and then </w:t>
      </w:r>
      <w:r w:rsidRPr="00185F7A">
        <w:rPr>
          <w:rFonts w:ascii="Arial" w:hAnsi="Arial" w:cs="Arial"/>
          <w:lang w:eastAsia="en-GB"/>
        </w:rPr>
        <w:t xml:space="preserve">liaises with Legal Services regarding the drafting and finalisation of the agreement. </w:t>
      </w:r>
      <w:r w:rsidR="00620424" w:rsidRPr="00185F7A">
        <w:rPr>
          <w:rFonts w:ascii="Arial" w:hAnsi="Arial" w:cs="Arial"/>
          <w:lang w:eastAsia="en-GB"/>
        </w:rPr>
        <w:t xml:space="preserve">The legal agreement should outline the scope and extent of the functions being undertaken by both Griffith and the other party, and the rights and responsibilities of both Griffith and the other party. </w:t>
      </w:r>
      <w:r w:rsidRPr="00185F7A">
        <w:rPr>
          <w:rFonts w:ascii="Arial" w:hAnsi="Arial" w:cs="Arial"/>
          <w:lang w:eastAsia="en-GB"/>
        </w:rPr>
        <w:t>The process allows the University sufficient powers to ensure compliance with the Higher Education Standards Framework.</w:t>
      </w:r>
    </w:p>
    <w:p w14:paraId="6216E738" w14:textId="77777777" w:rsidR="00F97581" w:rsidRPr="00185F7A" w:rsidRDefault="00F97581" w:rsidP="00184103">
      <w:pPr>
        <w:pStyle w:val="Heading4"/>
        <w:spacing w:before="200"/>
        <w:rPr>
          <w:rFonts w:ascii="Arial" w:hAnsi="Arial"/>
          <w:b w:val="0"/>
          <w:bCs/>
          <w:lang w:eastAsia="en-GB"/>
        </w:rPr>
      </w:pPr>
      <w:r w:rsidRPr="00185F7A">
        <w:rPr>
          <w:rFonts w:ascii="Arial" w:hAnsi="Arial"/>
          <w:b w:val="0"/>
          <w:bCs/>
          <w:lang w:eastAsia="en-GB"/>
        </w:rPr>
        <w:t>3.1.5 Approval</w:t>
      </w:r>
    </w:p>
    <w:p w14:paraId="31117ADD" w14:textId="5E34B660" w:rsidR="00363D75" w:rsidRPr="00185F7A" w:rsidRDefault="00F97581" w:rsidP="008C3069">
      <w:pPr>
        <w:spacing w:before="200" w:after="120"/>
        <w:ind w:left="1080"/>
        <w:jc w:val="both"/>
        <w:rPr>
          <w:rFonts w:ascii="Arial" w:hAnsi="Arial" w:cs="Arial"/>
          <w:lang w:eastAsia="en-GB"/>
        </w:rPr>
      </w:pPr>
      <w:r w:rsidRPr="00185F7A">
        <w:rPr>
          <w:rFonts w:ascii="Arial" w:hAnsi="Arial" w:cs="Arial"/>
          <w:lang w:eastAsia="en-GB"/>
        </w:rPr>
        <w:t xml:space="preserve">The agreement is approved by the Dean (Academic), and then approved and signed by the </w:t>
      </w:r>
      <w:proofErr w:type="gramStart"/>
      <w:r w:rsidR="005C2C9C">
        <w:rPr>
          <w:rFonts w:ascii="Arial" w:hAnsi="Arial" w:cs="Arial"/>
          <w:lang w:eastAsia="en-GB"/>
        </w:rPr>
        <w:t>Provost</w:t>
      </w:r>
      <w:proofErr w:type="gramEnd"/>
      <w:r w:rsidRPr="00185F7A">
        <w:rPr>
          <w:rFonts w:ascii="Arial" w:hAnsi="Arial" w:cs="Arial"/>
          <w:lang w:eastAsia="en-GB"/>
        </w:rPr>
        <w:t xml:space="preserve">. The process is supported by </w:t>
      </w:r>
      <w:proofErr w:type="spellStart"/>
      <w:r w:rsidRPr="00185F7A">
        <w:rPr>
          <w:rFonts w:ascii="Arial" w:hAnsi="Arial" w:cs="Arial"/>
          <w:lang w:eastAsia="en-GB"/>
        </w:rPr>
        <w:t>ConvergePoint</w:t>
      </w:r>
      <w:proofErr w:type="spellEnd"/>
      <w:r w:rsidRPr="00185F7A">
        <w:rPr>
          <w:rFonts w:ascii="Arial" w:hAnsi="Arial" w:cs="Arial"/>
          <w:lang w:eastAsia="en-GB"/>
        </w:rPr>
        <w:t xml:space="preserve"> automatic workflows.</w:t>
      </w:r>
    </w:p>
    <w:p w14:paraId="68945AF8" w14:textId="2121F532" w:rsidR="00F97581" w:rsidRPr="00185F7A" w:rsidRDefault="00F97581" w:rsidP="00184103">
      <w:pPr>
        <w:pStyle w:val="Heading4"/>
        <w:spacing w:before="200"/>
        <w:rPr>
          <w:rFonts w:ascii="Arial" w:hAnsi="Arial"/>
          <w:b w:val="0"/>
          <w:bCs/>
          <w:lang w:eastAsia="en-GB"/>
        </w:rPr>
      </w:pPr>
      <w:r w:rsidRPr="00185F7A">
        <w:rPr>
          <w:rFonts w:ascii="Arial" w:hAnsi="Arial"/>
          <w:b w:val="0"/>
          <w:bCs/>
          <w:lang w:eastAsia="en-GB"/>
        </w:rPr>
        <w:t>3.1.6 Publication and Registration</w:t>
      </w:r>
    </w:p>
    <w:p w14:paraId="2E4ABE6E" w14:textId="63F7CD7B" w:rsidR="00F97581" w:rsidRPr="00185F7A" w:rsidRDefault="00F97581" w:rsidP="00363D75">
      <w:pPr>
        <w:ind w:left="1080"/>
        <w:jc w:val="both"/>
        <w:rPr>
          <w:rFonts w:ascii="Arial" w:hAnsi="Arial" w:cs="Arial"/>
          <w:color w:val="000000" w:themeColor="text1"/>
          <w:lang w:eastAsia="en-GB"/>
        </w:rPr>
      </w:pPr>
      <w:r w:rsidRPr="00185F7A">
        <w:rPr>
          <w:rFonts w:ascii="Arial" w:hAnsi="Arial" w:cs="Arial"/>
          <w:color w:val="000000" w:themeColor="text1"/>
          <w:lang w:eastAsia="en-GB"/>
        </w:rPr>
        <w:t>Information published for students prior to enrolment and during their studies will include a disclosure that a</w:t>
      </w:r>
      <w:r w:rsidR="00AF3ED5" w:rsidRPr="00185F7A">
        <w:rPr>
          <w:rFonts w:ascii="Arial" w:hAnsi="Arial" w:cs="Arial"/>
          <w:color w:val="000000" w:themeColor="text1"/>
          <w:lang w:eastAsia="en-GB"/>
        </w:rPr>
        <w:t xml:space="preserve">nother </w:t>
      </w:r>
      <w:r w:rsidRPr="00185F7A">
        <w:rPr>
          <w:rFonts w:ascii="Arial" w:hAnsi="Arial" w:cs="Arial"/>
          <w:color w:val="000000" w:themeColor="text1"/>
          <w:lang w:eastAsia="en-GB"/>
        </w:rPr>
        <w:t>provider is involved in course delivery</w:t>
      </w:r>
      <w:r w:rsidRPr="00185F7A">
        <w:rPr>
          <w:rFonts w:ascii="Arial" w:hAnsi="Arial" w:cs="Arial"/>
          <w:lang w:eastAsia="en-GB"/>
        </w:rPr>
        <w:t>,</w:t>
      </w:r>
      <w:r w:rsidRPr="00185F7A">
        <w:rPr>
          <w:rFonts w:ascii="Arial" w:hAnsi="Arial" w:cs="Arial"/>
          <w:color w:val="000000" w:themeColor="text1"/>
          <w:lang w:eastAsia="en-GB"/>
        </w:rPr>
        <w:t xml:space="preserve"> plus details about the </w:t>
      </w:r>
      <w:r w:rsidR="00AF3ED5" w:rsidRPr="00185F7A">
        <w:rPr>
          <w:rFonts w:ascii="Arial" w:hAnsi="Arial" w:cs="Arial"/>
          <w:color w:val="000000" w:themeColor="text1"/>
          <w:lang w:eastAsia="en-GB"/>
        </w:rPr>
        <w:t>other</w:t>
      </w:r>
      <w:r w:rsidRPr="00185F7A">
        <w:rPr>
          <w:rFonts w:ascii="Arial" w:hAnsi="Arial" w:cs="Arial"/>
          <w:color w:val="000000" w:themeColor="text1"/>
          <w:lang w:eastAsia="en-GB"/>
        </w:rPr>
        <w:t xml:space="preserve"> provider and the extent of their involvement.</w:t>
      </w:r>
      <w:r w:rsidR="00363D75" w:rsidRPr="00185F7A">
        <w:rPr>
          <w:rFonts w:ascii="Arial" w:hAnsi="Arial" w:cs="Arial"/>
          <w:color w:val="000000" w:themeColor="text1"/>
          <w:lang w:eastAsia="en-GB"/>
        </w:rPr>
        <w:t xml:space="preserve"> Information is made available to students via </w:t>
      </w:r>
      <w:proofErr w:type="spellStart"/>
      <w:r w:rsidR="00363D75" w:rsidRPr="00185F7A">
        <w:rPr>
          <w:rFonts w:ascii="Arial" w:hAnsi="Arial" w:cs="Arial"/>
          <w:color w:val="000000" w:themeColor="text1"/>
          <w:lang w:eastAsia="en-GB"/>
        </w:rPr>
        <w:t>Learning@Griffith</w:t>
      </w:r>
      <w:proofErr w:type="spellEnd"/>
      <w:r w:rsidR="00363D75" w:rsidRPr="00185F7A">
        <w:rPr>
          <w:rFonts w:ascii="Arial" w:hAnsi="Arial" w:cs="Arial"/>
          <w:color w:val="000000" w:themeColor="text1"/>
          <w:lang w:eastAsia="en-GB"/>
        </w:rPr>
        <w:t xml:space="preserve"> about the responsibilities of each party to assist with reporting and resolving any concerns.</w:t>
      </w:r>
    </w:p>
    <w:p w14:paraId="04784F5E" w14:textId="3A786CDE" w:rsidR="00F97581" w:rsidRPr="00185F7A" w:rsidRDefault="00F97581" w:rsidP="008176FF">
      <w:pPr>
        <w:ind w:left="1080"/>
        <w:jc w:val="both"/>
        <w:rPr>
          <w:rFonts w:ascii="Arial" w:hAnsi="Arial" w:cs="Arial"/>
          <w:lang w:eastAsia="en-GB"/>
        </w:rPr>
      </w:pPr>
      <w:r w:rsidRPr="00185F7A">
        <w:rPr>
          <w:rFonts w:ascii="Arial" w:hAnsi="Arial" w:cs="Arial"/>
          <w:lang w:eastAsia="en-GB"/>
        </w:rPr>
        <w:t xml:space="preserve">Details of </w:t>
      </w:r>
      <w:r w:rsidR="00AF3ED5" w:rsidRPr="00185F7A">
        <w:rPr>
          <w:rFonts w:ascii="Arial" w:hAnsi="Arial" w:cs="Arial"/>
          <w:lang w:eastAsia="en-GB"/>
        </w:rPr>
        <w:t>such</w:t>
      </w:r>
      <w:r w:rsidRPr="00185F7A">
        <w:rPr>
          <w:rFonts w:ascii="Arial" w:hAnsi="Arial" w:cs="Arial"/>
          <w:lang w:eastAsia="en-GB"/>
        </w:rPr>
        <w:t xml:space="preserve"> arrangements for programs and courses are registered with </w:t>
      </w:r>
      <w:r w:rsidR="00BC01C7" w:rsidRPr="00185F7A">
        <w:rPr>
          <w:rFonts w:ascii="Arial" w:hAnsi="Arial" w:cs="Arial"/>
          <w:lang w:eastAsia="en-GB"/>
        </w:rPr>
        <w:t xml:space="preserve">the </w:t>
      </w:r>
      <w:r w:rsidR="00BC01C7" w:rsidRPr="00185F7A">
        <w:rPr>
          <w:rFonts w:ascii="Arial" w:hAnsi="Arial" w:cs="Arial"/>
          <w:szCs w:val="20"/>
        </w:rPr>
        <w:t>Tertiary Education Quality and Standards Agency</w:t>
      </w:r>
      <w:r w:rsidR="00BC01C7" w:rsidRPr="00185F7A">
        <w:rPr>
          <w:rFonts w:ascii="Arial" w:hAnsi="Arial" w:cs="Arial"/>
          <w:lang w:eastAsia="en-GB"/>
        </w:rPr>
        <w:t xml:space="preserve"> (</w:t>
      </w:r>
      <w:r w:rsidRPr="00185F7A">
        <w:rPr>
          <w:rFonts w:ascii="Arial" w:hAnsi="Arial" w:cs="Arial"/>
          <w:lang w:eastAsia="en-GB"/>
        </w:rPr>
        <w:t>TEQSA</w:t>
      </w:r>
      <w:r w:rsidR="00BC01C7" w:rsidRPr="00185F7A">
        <w:rPr>
          <w:rFonts w:ascii="Arial" w:hAnsi="Arial" w:cs="Arial"/>
          <w:lang w:eastAsia="en-GB"/>
        </w:rPr>
        <w:t>)</w:t>
      </w:r>
      <w:r w:rsidRPr="00185F7A">
        <w:rPr>
          <w:rFonts w:ascii="Arial" w:hAnsi="Arial" w:cs="Arial"/>
          <w:lang w:eastAsia="en-GB"/>
        </w:rPr>
        <w:t>, and where applicable,</w:t>
      </w:r>
      <w:r w:rsidR="00270890" w:rsidRPr="00185F7A">
        <w:rPr>
          <w:rFonts w:ascii="Arial" w:hAnsi="Arial" w:cs="Arial"/>
          <w:lang w:eastAsia="en-GB"/>
        </w:rPr>
        <w:t xml:space="preserve"> the</w:t>
      </w:r>
      <w:r w:rsidRPr="00185F7A">
        <w:rPr>
          <w:rFonts w:ascii="Arial" w:hAnsi="Arial" w:cs="Arial"/>
          <w:lang w:eastAsia="en-GB"/>
        </w:rPr>
        <w:t xml:space="preserve"> </w:t>
      </w:r>
      <w:r w:rsidR="00BC01C7" w:rsidRPr="00185F7A">
        <w:rPr>
          <w:rFonts w:ascii="Arial" w:hAnsi="Arial" w:cs="Arial"/>
          <w:color w:val="000000" w:themeColor="text1"/>
        </w:rPr>
        <w:t>Commonwealth Register of Institutions and Courses for Overseas Students</w:t>
      </w:r>
      <w:r w:rsidR="00BC01C7" w:rsidRPr="00185F7A">
        <w:rPr>
          <w:rFonts w:ascii="Arial" w:hAnsi="Arial" w:cs="Arial"/>
          <w:lang w:eastAsia="en-GB"/>
        </w:rPr>
        <w:t xml:space="preserve"> (</w:t>
      </w:r>
      <w:r w:rsidRPr="00185F7A">
        <w:rPr>
          <w:rFonts w:ascii="Arial" w:hAnsi="Arial" w:cs="Arial"/>
          <w:lang w:eastAsia="en-GB"/>
        </w:rPr>
        <w:t>CRICOS</w:t>
      </w:r>
      <w:r w:rsidR="00BC01C7" w:rsidRPr="00185F7A">
        <w:rPr>
          <w:rFonts w:ascii="Arial" w:hAnsi="Arial" w:cs="Arial"/>
          <w:lang w:eastAsia="en-GB"/>
        </w:rPr>
        <w:t>)</w:t>
      </w:r>
      <w:r w:rsidRPr="00185F7A">
        <w:rPr>
          <w:rFonts w:ascii="Arial" w:hAnsi="Arial" w:cs="Arial"/>
          <w:lang w:eastAsia="en-GB"/>
        </w:rPr>
        <w:t>, by Student Credentials. The registration is then disestablished at an agreement’s end, once confirmed by Programs Committee.</w:t>
      </w:r>
    </w:p>
    <w:p w14:paraId="16896E9E" w14:textId="77777777" w:rsidR="00F97581" w:rsidRPr="00185F7A" w:rsidRDefault="00F97581" w:rsidP="00184103">
      <w:pPr>
        <w:pStyle w:val="Heading4"/>
        <w:spacing w:before="200"/>
        <w:rPr>
          <w:rFonts w:ascii="Arial" w:hAnsi="Arial"/>
          <w:b w:val="0"/>
          <w:bCs/>
        </w:rPr>
      </w:pPr>
      <w:bookmarkStart w:id="10" w:name="_3.3_Onboarding"/>
      <w:bookmarkEnd w:id="10"/>
      <w:r w:rsidRPr="00185F7A">
        <w:rPr>
          <w:rFonts w:ascii="Arial" w:hAnsi="Arial"/>
          <w:b w:val="0"/>
          <w:bCs/>
        </w:rPr>
        <w:lastRenderedPageBreak/>
        <w:t xml:space="preserve">3.1.7 Onboarding </w:t>
      </w:r>
    </w:p>
    <w:p w14:paraId="629E543A" w14:textId="3C6D952D" w:rsidR="00363D75" w:rsidRPr="00185F7A" w:rsidRDefault="00F97581" w:rsidP="008C3069">
      <w:pPr>
        <w:ind w:left="1080"/>
        <w:jc w:val="both"/>
        <w:rPr>
          <w:rFonts w:ascii="Arial" w:hAnsi="Arial" w:cs="Arial"/>
          <w:color w:val="000000" w:themeColor="text1"/>
          <w:lang w:eastAsia="en-GB"/>
        </w:rPr>
      </w:pPr>
      <w:r w:rsidRPr="00185F7A">
        <w:rPr>
          <w:rFonts w:ascii="Arial" w:hAnsi="Arial" w:cs="Arial"/>
          <w:color w:val="000000" w:themeColor="text1"/>
          <w:lang w:eastAsia="en-GB"/>
        </w:rPr>
        <w:t xml:space="preserve">Onboarding of </w:t>
      </w:r>
      <w:r w:rsidR="00ED3363" w:rsidRPr="00185F7A">
        <w:rPr>
          <w:rFonts w:ascii="Arial" w:hAnsi="Arial" w:cs="Arial"/>
          <w:color w:val="000000" w:themeColor="text1"/>
          <w:lang w:eastAsia="en-GB"/>
        </w:rPr>
        <w:t xml:space="preserve">a </w:t>
      </w:r>
      <w:r w:rsidRPr="00185F7A">
        <w:rPr>
          <w:rFonts w:ascii="Arial" w:hAnsi="Arial" w:cs="Arial"/>
          <w:color w:val="000000" w:themeColor="text1"/>
          <w:lang w:eastAsia="en-GB"/>
        </w:rPr>
        <w:t xml:space="preserve">new </w:t>
      </w:r>
      <w:r w:rsidR="00857A22" w:rsidRPr="00185F7A">
        <w:rPr>
          <w:rFonts w:ascii="Arial" w:hAnsi="Arial" w:cs="Arial"/>
          <w:color w:val="000000" w:themeColor="text1"/>
          <w:lang w:eastAsia="en-GB"/>
        </w:rPr>
        <w:t xml:space="preserve">partner </w:t>
      </w:r>
      <w:r w:rsidRPr="00185F7A">
        <w:rPr>
          <w:rFonts w:ascii="Arial" w:hAnsi="Arial" w:cs="Arial"/>
          <w:color w:val="000000" w:themeColor="text1"/>
          <w:lang w:eastAsia="en-GB"/>
        </w:rPr>
        <w:t xml:space="preserve">is managed by the academic lead. </w:t>
      </w:r>
      <w:r w:rsidR="00363D75" w:rsidRPr="00185F7A">
        <w:rPr>
          <w:rFonts w:ascii="Arial" w:hAnsi="Arial" w:cs="Arial"/>
          <w:color w:val="000000" w:themeColor="text1"/>
          <w:lang w:eastAsia="en-GB"/>
        </w:rPr>
        <w:t xml:space="preserve">Staff of each party must provide information on their respective institutional policies to ensure academic quality and consistency across student cohorts. </w:t>
      </w:r>
      <w:r w:rsidRPr="00185F7A">
        <w:rPr>
          <w:rFonts w:ascii="Arial" w:hAnsi="Arial" w:cs="Arial"/>
          <w:color w:val="000000" w:themeColor="text1"/>
          <w:lang w:eastAsia="en-GB"/>
        </w:rPr>
        <w:t>Resources, supporting documents, relevant policy documents and contacts to support onboarding are maintained by Student Credentials on an internal SharePoint hub</w:t>
      </w:r>
      <w:bookmarkStart w:id="11" w:name="_3.4_Monitoring_and"/>
      <w:bookmarkStart w:id="12" w:name="_3.2_Monitoring_and"/>
      <w:bookmarkEnd w:id="11"/>
      <w:bookmarkEnd w:id="12"/>
      <w:r w:rsidRPr="00185F7A">
        <w:rPr>
          <w:rFonts w:ascii="Arial" w:hAnsi="Arial" w:cs="Arial"/>
          <w:color w:val="000000" w:themeColor="text1"/>
          <w:lang w:eastAsia="en-GB"/>
        </w:rPr>
        <w:t>.</w:t>
      </w:r>
    </w:p>
    <w:p w14:paraId="16BA2CF3" w14:textId="77777777" w:rsidR="00F97581" w:rsidRPr="00185F7A" w:rsidRDefault="00F97581" w:rsidP="004943AD">
      <w:pPr>
        <w:pStyle w:val="Heading3"/>
        <w:spacing w:after="120"/>
        <w:ind w:left="709" w:firstLine="0"/>
        <w:rPr>
          <w:rFonts w:ascii="Arial" w:hAnsi="Arial" w:cs="Arial"/>
        </w:rPr>
      </w:pPr>
      <w:r w:rsidRPr="00185F7A">
        <w:rPr>
          <w:rFonts w:ascii="Arial" w:hAnsi="Arial" w:cs="Arial"/>
        </w:rPr>
        <w:t xml:space="preserve">3.2 Monitoring and Quality Assurance   </w:t>
      </w:r>
    </w:p>
    <w:p w14:paraId="7F5B14CE" w14:textId="10C2C0A8" w:rsidR="00F97581" w:rsidRPr="00185F7A" w:rsidRDefault="00F97581" w:rsidP="00184103">
      <w:pPr>
        <w:spacing w:before="200" w:after="120"/>
        <w:ind w:left="720"/>
        <w:jc w:val="both"/>
        <w:rPr>
          <w:rFonts w:ascii="Arial" w:hAnsi="Arial" w:cs="Arial"/>
          <w:color w:val="000000" w:themeColor="text1"/>
          <w:lang w:eastAsia="en-GB"/>
        </w:rPr>
      </w:pPr>
      <w:r w:rsidRPr="00185F7A">
        <w:rPr>
          <w:rFonts w:ascii="Arial" w:hAnsi="Arial" w:cs="Arial"/>
          <w:color w:val="000000" w:themeColor="text1"/>
          <w:lang w:eastAsia="en-GB"/>
        </w:rPr>
        <w:t xml:space="preserve">The University carries full responsibility for all aspects of program delivery (content, teaching quality, student support and assessment), with support by the </w:t>
      </w:r>
      <w:r w:rsidR="006E43B0" w:rsidRPr="00185F7A">
        <w:rPr>
          <w:rFonts w:ascii="Arial" w:hAnsi="Arial" w:cs="Arial"/>
          <w:color w:val="000000" w:themeColor="text1"/>
          <w:lang w:eastAsia="en-GB"/>
        </w:rPr>
        <w:t>other</w:t>
      </w:r>
      <w:r w:rsidRPr="00185F7A">
        <w:rPr>
          <w:rFonts w:ascii="Arial" w:hAnsi="Arial" w:cs="Arial"/>
          <w:color w:val="000000" w:themeColor="text1"/>
          <w:lang w:eastAsia="en-GB"/>
        </w:rPr>
        <w:t xml:space="preserve"> party, under the requirements of the Higher Education Standards Framework (Threshold Standards) 2021.</w:t>
      </w:r>
    </w:p>
    <w:p w14:paraId="643A1B52" w14:textId="77777777" w:rsidR="00F97581" w:rsidRPr="00185F7A" w:rsidRDefault="00F97581" w:rsidP="00184103">
      <w:pPr>
        <w:pStyle w:val="Heading4"/>
        <w:spacing w:before="200"/>
        <w:rPr>
          <w:rFonts w:ascii="Arial" w:hAnsi="Arial"/>
          <w:b w:val="0"/>
          <w:bCs/>
          <w:lang w:eastAsia="en-GB"/>
        </w:rPr>
      </w:pPr>
      <w:r w:rsidRPr="00185F7A">
        <w:rPr>
          <w:rFonts w:ascii="Arial" w:hAnsi="Arial"/>
          <w:b w:val="0"/>
          <w:bCs/>
          <w:lang w:eastAsia="en-GB"/>
        </w:rPr>
        <w:t>3.2.1 Annual Review</w:t>
      </w:r>
    </w:p>
    <w:p w14:paraId="6B79D6FC" w14:textId="5277A916" w:rsidR="00F97581" w:rsidRPr="00185F7A" w:rsidRDefault="00F97581" w:rsidP="00694751">
      <w:pPr>
        <w:spacing w:after="120"/>
        <w:ind w:left="1080"/>
        <w:jc w:val="both"/>
        <w:rPr>
          <w:rFonts w:ascii="Arial" w:hAnsi="Arial" w:cs="Arial"/>
          <w:lang w:eastAsia="en-GB"/>
        </w:rPr>
      </w:pPr>
      <w:r w:rsidRPr="00185F7A">
        <w:rPr>
          <w:rFonts w:ascii="Arial" w:hAnsi="Arial" w:cs="Arial"/>
          <w:lang w:eastAsia="en-GB"/>
        </w:rPr>
        <w:t xml:space="preserve">All programs and courses that are </w:t>
      </w:r>
      <w:r w:rsidR="006E43B0" w:rsidRPr="00185F7A">
        <w:rPr>
          <w:rFonts w:ascii="Arial" w:hAnsi="Arial" w:cs="Arial"/>
          <w:lang w:eastAsia="en-GB"/>
        </w:rPr>
        <w:t>deliver</w:t>
      </w:r>
      <w:r w:rsidR="008164F4" w:rsidRPr="00185F7A">
        <w:rPr>
          <w:rFonts w:ascii="Arial" w:hAnsi="Arial" w:cs="Arial"/>
          <w:lang w:eastAsia="en-GB"/>
        </w:rPr>
        <w:t>ed</w:t>
      </w:r>
      <w:r w:rsidR="006E43B0" w:rsidRPr="00185F7A">
        <w:rPr>
          <w:rFonts w:ascii="Arial" w:hAnsi="Arial" w:cs="Arial"/>
          <w:lang w:eastAsia="en-GB"/>
        </w:rPr>
        <w:t xml:space="preserve"> with another party </w:t>
      </w:r>
      <w:r w:rsidRPr="00185F7A">
        <w:rPr>
          <w:rFonts w:ascii="Arial" w:hAnsi="Arial" w:cs="Arial"/>
          <w:lang w:eastAsia="en-GB"/>
        </w:rPr>
        <w:t xml:space="preserve">undergo the </w:t>
      </w:r>
      <w:r w:rsidR="005E090C" w:rsidRPr="00185F7A">
        <w:rPr>
          <w:rFonts w:ascii="Arial" w:hAnsi="Arial" w:cs="Arial"/>
          <w:lang w:eastAsia="en-GB"/>
        </w:rPr>
        <w:t xml:space="preserve">existing </w:t>
      </w:r>
      <w:r w:rsidRPr="00185F7A">
        <w:rPr>
          <w:rFonts w:ascii="Arial" w:hAnsi="Arial" w:cs="Arial"/>
          <w:lang w:eastAsia="en-GB"/>
        </w:rPr>
        <w:t>University-wide annual review</w:t>
      </w:r>
      <w:r w:rsidR="005E090C" w:rsidRPr="00185F7A">
        <w:rPr>
          <w:rFonts w:ascii="Arial" w:hAnsi="Arial" w:cs="Arial"/>
          <w:lang w:eastAsia="en-GB"/>
        </w:rPr>
        <w:t xml:space="preserve"> of programs and courses</w:t>
      </w:r>
      <w:r w:rsidRPr="00185F7A">
        <w:rPr>
          <w:rStyle w:val="Hyperlink"/>
          <w:rFonts w:ascii="Arial" w:hAnsi="Arial" w:cs="Arial"/>
          <w:color w:val="auto"/>
          <w:u w:val="none"/>
          <w:lang w:eastAsia="en-GB"/>
        </w:rPr>
        <w:t>, followed by a</w:t>
      </w:r>
      <w:r w:rsidR="0038046A" w:rsidRPr="00185F7A">
        <w:rPr>
          <w:rStyle w:val="Hyperlink"/>
          <w:rFonts w:ascii="Arial" w:hAnsi="Arial" w:cs="Arial"/>
          <w:color w:val="auto"/>
          <w:u w:val="none"/>
          <w:lang w:eastAsia="en-GB"/>
        </w:rPr>
        <w:t xml:space="preserve">n additional </w:t>
      </w:r>
      <w:r w:rsidRPr="00185F7A">
        <w:rPr>
          <w:rStyle w:val="Hyperlink"/>
          <w:rFonts w:ascii="Arial" w:hAnsi="Arial" w:cs="Arial"/>
          <w:color w:val="auto"/>
          <w:u w:val="none"/>
          <w:lang w:eastAsia="en-GB"/>
        </w:rPr>
        <w:t xml:space="preserve">review of the arrangement </w:t>
      </w:r>
      <w:r w:rsidRPr="00185F7A">
        <w:rPr>
          <w:rFonts w:ascii="Arial" w:hAnsi="Arial" w:cs="Arial"/>
          <w:lang w:eastAsia="en-GB"/>
        </w:rPr>
        <w:t xml:space="preserve">using the </w:t>
      </w:r>
      <w:hyperlink r:id="rId16" w:history="1">
        <w:r w:rsidR="00C17E85" w:rsidRPr="00185F7A">
          <w:rPr>
            <w:rStyle w:val="Hyperlink"/>
            <w:rFonts w:ascii="Arial" w:hAnsi="Arial" w:cs="Arial"/>
            <w:szCs w:val="20"/>
            <w:lang w:eastAsia="en-GB"/>
          </w:rPr>
          <w:t>Annual Review Template</w:t>
        </w:r>
      </w:hyperlink>
      <w:r w:rsidRPr="00185F7A">
        <w:rPr>
          <w:rFonts w:ascii="Arial" w:hAnsi="Arial" w:cs="Arial"/>
          <w:lang w:eastAsia="en-GB"/>
        </w:rPr>
        <w:t xml:space="preserve">. Reviews of </w:t>
      </w:r>
      <w:r w:rsidR="0051025E" w:rsidRPr="00185F7A">
        <w:rPr>
          <w:rFonts w:ascii="Arial" w:hAnsi="Arial" w:cs="Arial"/>
          <w:lang w:eastAsia="en-GB"/>
        </w:rPr>
        <w:t xml:space="preserve">these </w:t>
      </w:r>
      <w:r w:rsidRPr="00185F7A">
        <w:rPr>
          <w:rFonts w:ascii="Arial" w:hAnsi="Arial" w:cs="Arial"/>
          <w:lang w:eastAsia="en-GB"/>
        </w:rPr>
        <w:t xml:space="preserve">arrangements encompass analysis of whether the terms of the agreement, and compliance with the Higher Education Standards Framework (2021), are being upheld by both parties. </w:t>
      </w:r>
      <w:r w:rsidR="002F7FD4" w:rsidRPr="00185F7A">
        <w:rPr>
          <w:rFonts w:ascii="Arial" w:hAnsi="Arial" w:cs="Arial"/>
          <w:lang w:eastAsia="en-GB"/>
        </w:rPr>
        <w:t xml:space="preserve">The process is undertaken by the academic lead and approved by the Dean (Academic). It is then reported by the Dean (Learning and Teaching) to Programs Committee to monitor and assure quality. </w:t>
      </w:r>
      <w:r w:rsidRPr="00185F7A">
        <w:rPr>
          <w:rFonts w:ascii="Arial" w:hAnsi="Arial" w:cs="Arial"/>
          <w:lang w:eastAsia="en-GB"/>
        </w:rPr>
        <w:t xml:space="preserve">Any </w:t>
      </w:r>
      <w:r w:rsidR="00FA3074" w:rsidRPr="00185F7A">
        <w:rPr>
          <w:rFonts w:ascii="Arial" w:hAnsi="Arial" w:cs="Arial"/>
          <w:lang w:eastAsia="en-GB"/>
        </w:rPr>
        <w:t xml:space="preserve">issues </w:t>
      </w:r>
      <w:r w:rsidRPr="00185F7A">
        <w:rPr>
          <w:rFonts w:ascii="Arial" w:hAnsi="Arial" w:cs="Arial"/>
          <w:lang w:eastAsia="en-GB"/>
        </w:rPr>
        <w:t xml:space="preserve">identified </w:t>
      </w:r>
      <w:r w:rsidR="00730745" w:rsidRPr="00185F7A">
        <w:rPr>
          <w:rFonts w:ascii="Arial" w:hAnsi="Arial" w:cs="Arial"/>
          <w:lang w:eastAsia="en-GB"/>
        </w:rPr>
        <w:t xml:space="preserve">are addressed </w:t>
      </w:r>
      <w:r w:rsidRPr="00185F7A">
        <w:rPr>
          <w:rFonts w:ascii="Arial" w:hAnsi="Arial" w:cs="Arial"/>
          <w:lang w:eastAsia="en-GB"/>
        </w:rPr>
        <w:t xml:space="preserve">by the Dean (Academic) to determine further action for improvement. </w:t>
      </w:r>
    </w:p>
    <w:p w14:paraId="3C3975E9" w14:textId="77777777" w:rsidR="00F97581" w:rsidRPr="00185F7A" w:rsidRDefault="00F97581" w:rsidP="00184103">
      <w:pPr>
        <w:pStyle w:val="Heading4"/>
        <w:spacing w:before="200"/>
        <w:rPr>
          <w:rFonts w:ascii="Arial" w:hAnsi="Arial"/>
          <w:b w:val="0"/>
          <w:bCs/>
          <w:lang w:eastAsia="en-GB"/>
        </w:rPr>
      </w:pPr>
      <w:r w:rsidRPr="00185F7A">
        <w:rPr>
          <w:rFonts w:ascii="Arial" w:hAnsi="Arial"/>
          <w:b w:val="0"/>
          <w:bCs/>
          <w:lang w:eastAsia="en-GB"/>
        </w:rPr>
        <w:t>3.2.2 Breach of agreement</w:t>
      </w:r>
    </w:p>
    <w:p w14:paraId="036D48EF" w14:textId="0CF1EB3D" w:rsidR="00F97581" w:rsidRPr="00185F7A" w:rsidRDefault="00F97581" w:rsidP="008176FF">
      <w:pPr>
        <w:ind w:left="1080"/>
        <w:jc w:val="both"/>
        <w:rPr>
          <w:rFonts w:ascii="Arial" w:hAnsi="Arial" w:cs="Arial"/>
          <w:lang w:eastAsia="en-GB"/>
        </w:rPr>
      </w:pPr>
      <w:r w:rsidRPr="00185F7A">
        <w:rPr>
          <w:rFonts w:ascii="Arial" w:hAnsi="Arial" w:cs="Arial"/>
          <w:lang w:eastAsia="en-GB"/>
        </w:rPr>
        <w:t>Any material issues that have been identified by the academic lead are reported to the Dean (Academic) to address. The Dean (Academic) is responsible for initiating</w:t>
      </w:r>
      <w:r w:rsidR="005F56A7" w:rsidRPr="00185F7A">
        <w:rPr>
          <w:rFonts w:ascii="Arial" w:hAnsi="Arial" w:cs="Arial"/>
          <w:lang w:eastAsia="en-GB"/>
        </w:rPr>
        <w:t xml:space="preserve"> corrective action</w:t>
      </w:r>
      <w:r w:rsidRPr="00185F7A">
        <w:rPr>
          <w:rFonts w:ascii="Arial" w:hAnsi="Arial" w:cs="Arial"/>
          <w:lang w:eastAsia="en-GB"/>
        </w:rPr>
        <w:t>,</w:t>
      </w:r>
      <w:r w:rsidR="005F56A7" w:rsidRPr="00185F7A">
        <w:rPr>
          <w:rFonts w:ascii="Arial" w:hAnsi="Arial" w:cs="Arial"/>
          <w:lang w:eastAsia="en-GB"/>
        </w:rPr>
        <w:t xml:space="preserve"> and</w:t>
      </w:r>
      <w:r w:rsidR="005D4653" w:rsidRPr="00185F7A">
        <w:rPr>
          <w:rFonts w:ascii="Arial" w:hAnsi="Arial" w:cs="Arial"/>
          <w:lang w:eastAsia="en-GB"/>
        </w:rPr>
        <w:t xml:space="preserve"> then </w:t>
      </w:r>
      <w:r w:rsidRPr="00185F7A">
        <w:rPr>
          <w:rFonts w:ascii="Arial" w:hAnsi="Arial" w:cs="Arial"/>
          <w:lang w:eastAsia="en-GB"/>
        </w:rPr>
        <w:t xml:space="preserve">monitoring and reporting on </w:t>
      </w:r>
      <w:r w:rsidR="005D4653" w:rsidRPr="00185F7A">
        <w:rPr>
          <w:rFonts w:ascii="Arial" w:hAnsi="Arial" w:cs="Arial"/>
          <w:lang w:eastAsia="en-GB"/>
        </w:rPr>
        <w:t>compliance</w:t>
      </w:r>
      <w:r w:rsidRPr="00185F7A">
        <w:rPr>
          <w:rFonts w:ascii="Arial" w:hAnsi="Arial" w:cs="Arial"/>
          <w:lang w:eastAsia="en-GB"/>
        </w:rPr>
        <w:t xml:space="preserve">. The </w:t>
      </w:r>
      <w:proofErr w:type="gramStart"/>
      <w:r w:rsidRPr="00185F7A">
        <w:rPr>
          <w:rFonts w:ascii="Arial" w:hAnsi="Arial" w:cs="Arial"/>
          <w:lang w:eastAsia="en-GB"/>
        </w:rPr>
        <w:t>Provost</w:t>
      </w:r>
      <w:proofErr w:type="gramEnd"/>
      <w:r w:rsidRPr="00185F7A">
        <w:rPr>
          <w:rFonts w:ascii="Arial" w:hAnsi="Arial" w:cs="Arial"/>
          <w:lang w:eastAsia="en-GB"/>
        </w:rPr>
        <w:t xml:space="preserve"> </w:t>
      </w:r>
      <w:r w:rsidR="004529A7" w:rsidRPr="00185F7A">
        <w:rPr>
          <w:rFonts w:ascii="Arial" w:hAnsi="Arial" w:cs="Arial"/>
          <w:lang w:eastAsia="en-GB"/>
        </w:rPr>
        <w:t>will</w:t>
      </w:r>
      <w:r w:rsidRPr="00185F7A">
        <w:rPr>
          <w:rFonts w:ascii="Arial" w:hAnsi="Arial" w:cs="Arial"/>
          <w:lang w:eastAsia="en-GB"/>
        </w:rPr>
        <w:t xml:space="preserve"> </w:t>
      </w:r>
      <w:r w:rsidR="00D53309" w:rsidRPr="00185F7A">
        <w:rPr>
          <w:rFonts w:ascii="Arial" w:hAnsi="Arial" w:cs="Arial"/>
          <w:lang w:eastAsia="en-GB"/>
        </w:rPr>
        <w:t xml:space="preserve">notify TEQSA </w:t>
      </w:r>
      <w:r w:rsidR="00D25CE8" w:rsidRPr="00185F7A">
        <w:rPr>
          <w:rFonts w:ascii="Arial" w:hAnsi="Arial" w:cs="Arial"/>
          <w:lang w:eastAsia="en-GB"/>
        </w:rPr>
        <w:t>via material change of the breach</w:t>
      </w:r>
      <w:r w:rsidR="672A4CBC" w:rsidRPr="00185F7A">
        <w:rPr>
          <w:rFonts w:ascii="Arial" w:hAnsi="Arial" w:cs="Arial"/>
          <w:lang w:eastAsia="en-GB"/>
        </w:rPr>
        <w:t>, management</w:t>
      </w:r>
      <w:r w:rsidR="00D25CE8" w:rsidRPr="00185F7A">
        <w:rPr>
          <w:rFonts w:ascii="Arial" w:hAnsi="Arial" w:cs="Arial"/>
          <w:lang w:eastAsia="en-GB"/>
        </w:rPr>
        <w:t xml:space="preserve"> and </w:t>
      </w:r>
      <w:r w:rsidR="00BB2696" w:rsidRPr="00185F7A">
        <w:rPr>
          <w:rFonts w:ascii="Arial" w:hAnsi="Arial" w:cs="Arial"/>
          <w:lang w:eastAsia="en-GB"/>
        </w:rPr>
        <w:t>mitigation</w:t>
      </w:r>
      <w:r w:rsidR="000C4D93" w:rsidRPr="00185F7A">
        <w:rPr>
          <w:rFonts w:ascii="Arial" w:hAnsi="Arial" w:cs="Arial"/>
          <w:lang w:eastAsia="en-GB"/>
        </w:rPr>
        <w:t xml:space="preserve"> actions</w:t>
      </w:r>
      <w:r w:rsidR="00D25CE8" w:rsidRPr="00185F7A">
        <w:rPr>
          <w:rFonts w:ascii="Arial" w:hAnsi="Arial" w:cs="Arial"/>
          <w:lang w:eastAsia="en-GB"/>
        </w:rPr>
        <w:t xml:space="preserve">. The </w:t>
      </w:r>
      <w:r w:rsidR="00A00FB5" w:rsidRPr="00185F7A">
        <w:rPr>
          <w:rFonts w:ascii="Arial" w:hAnsi="Arial" w:cs="Arial"/>
          <w:lang w:eastAsia="en-GB"/>
        </w:rPr>
        <w:t>DVC(E)</w:t>
      </w:r>
      <w:r w:rsidR="00D25CE8" w:rsidRPr="00185F7A">
        <w:rPr>
          <w:rFonts w:ascii="Arial" w:hAnsi="Arial" w:cs="Arial"/>
          <w:lang w:eastAsia="en-GB"/>
        </w:rPr>
        <w:t xml:space="preserve"> is responsible for </w:t>
      </w:r>
      <w:r w:rsidRPr="00185F7A">
        <w:rPr>
          <w:rFonts w:ascii="Arial" w:hAnsi="Arial" w:cs="Arial"/>
          <w:lang w:eastAsia="en-GB"/>
        </w:rPr>
        <w:t>terminating an agreement on the recommendation of the Dean (Academic).</w:t>
      </w:r>
    </w:p>
    <w:p w14:paraId="1293B1C6" w14:textId="0D54BFAC" w:rsidR="00F97581" w:rsidRPr="00185F7A" w:rsidRDefault="00F97581" w:rsidP="00184103">
      <w:pPr>
        <w:pStyle w:val="Heading3"/>
        <w:spacing w:after="120"/>
        <w:ind w:left="720" w:firstLine="0"/>
        <w:rPr>
          <w:rFonts w:ascii="Arial" w:hAnsi="Arial" w:cs="Arial"/>
        </w:rPr>
      </w:pPr>
      <w:bookmarkStart w:id="13" w:name="_3.5_Changes_to"/>
      <w:bookmarkStart w:id="14" w:name="_3.3_Changes_to"/>
      <w:bookmarkStart w:id="15" w:name="_Hlk109390474"/>
      <w:bookmarkEnd w:id="13"/>
      <w:bookmarkEnd w:id="14"/>
      <w:r w:rsidRPr="00185F7A">
        <w:rPr>
          <w:rFonts w:ascii="Arial" w:hAnsi="Arial" w:cs="Arial"/>
        </w:rPr>
        <w:t>3.3 Changes to A</w:t>
      </w:r>
      <w:r w:rsidR="00E21CB7" w:rsidRPr="00185F7A">
        <w:rPr>
          <w:rFonts w:ascii="Arial" w:hAnsi="Arial" w:cs="Arial"/>
        </w:rPr>
        <w:t>greement</w:t>
      </w:r>
      <w:r w:rsidRPr="00185F7A">
        <w:rPr>
          <w:rFonts w:ascii="Arial" w:hAnsi="Arial" w:cs="Arial"/>
        </w:rPr>
        <w:t xml:space="preserve">   </w:t>
      </w:r>
    </w:p>
    <w:p w14:paraId="4717AE34" w14:textId="39C7E730" w:rsidR="00F97581" w:rsidRPr="00185F7A" w:rsidRDefault="00F97581" w:rsidP="00184103">
      <w:pPr>
        <w:spacing w:before="200" w:after="120"/>
        <w:ind w:left="709"/>
        <w:jc w:val="both"/>
        <w:rPr>
          <w:rFonts w:ascii="Arial" w:hAnsi="Arial" w:cs="Arial"/>
          <w:lang w:eastAsia="en-GB"/>
        </w:rPr>
      </w:pPr>
      <w:r w:rsidRPr="00185F7A">
        <w:rPr>
          <w:rFonts w:ascii="Arial" w:hAnsi="Arial" w:cs="Arial"/>
          <w:lang w:eastAsia="en-GB"/>
        </w:rPr>
        <w:t>If a</w:t>
      </w:r>
      <w:r w:rsidR="009A4D70" w:rsidRPr="00185F7A">
        <w:rPr>
          <w:rFonts w:ascii="Arial" w:hAnsi="Arial" w:cs="Arial"/>
          <w:lang w:eastAsia="en-GB"/>
        </w:rPr>
        <w:t xml:space="preserve">n </w:t>
      </w:r>
      <w:r w:rsidRPr="00185F7A">
        <w:rPr>
          <w:rFonts w:ascii="Arial" w:hAnsi="Arial" w:cs="Arial"/>
          <w:lang w:eastAsia="en-GB"/>
        </w:rPr>
        <w:t xml:space="preserve">agreement </w:t>
      </w:r>
      <w:r w:rsidR="009A4D70" w:rsidRPr="00185F7A">
        <w:rPr>
          <w:rFonts w:ascii="Arial" w:hAnsi="Arial" w:cs="Arial"/>
          <w:lang w:eastAsia="en-GB"/>
        </w:rPr>
        <w:t xml:space="preserve">for academic delivery with another party </w:t>
      </w:r>
      <w:r w:rsidR="00BE1327" w:rsidRPr="00185F7A">
        <w:rPr>
          <w:rFonts w:ascii="Arial" w:hAnsi="Arial" w:cs="Arial"/>
          <w:lang w:eastAsia="en-GB"/>
        </w:rPr>
        <w:t xml:space="preserve">is terminated </w:t>
      </w:r>
      <w:r w:rsidRPr="00185F7A">
        <w:rPr>
          <w:rFonts w:ascii="Arial" w:hAnsi="Arial" w:cs="Arial"/>
          <w:lang w:eastAsia="en-GB"/>
        </w:rPr>
        <w:t>prematurely or change</w:t>
      </w:r>
      <w:r w:rsidR="00BE1327" w:rsidRPr="00185F7A">
        <w:rPr>
          <w:rFonts w:ascii="Arial" w:hAnsi="Arial" w:cs="Arial"/>
          <w:lang w:eastAsia="en-GB"/>
        </w:rPr>
        <w:t>s</w:t>
      </w:r>
      <w:r w:rsidRPr="00185F7A">
        <w:rPr>
          <w:rFonts w:ascii="Arial" w:hAnsi="Arial" w:cs="Arial"/>
          <w:lang w:eastAsia="en-GB"/>
        </w:rPr>
        <w:t xml:space="preserve"> significantly during the agreement, the contingency plan is implemented to minimise impact to students. Changes must be communicated to all students enrolled in the affected program or course and transitional arrangements must be put in place.</w:t>
      </w:r>
    </w:p>
    <w:p w14:paraId="7282E059" w14:textId="77777777" w:rsidR="00F97581" w:rsidRPr="00185F7A" w:rsidRDefault="00F97581" w:rsidP="00F97581">
      <w:pPr>
        <w:pStyle w:val="Heading3"/>
        <w:ind w:left="720" w:firstLine="0"/>
        <w:rPr>
          <w:rFonts w:ascii="Arial" w:hAnsi="Arial" w:cs="Arial"/>
        </w:rPr>
      </w:pPr>
      <w:bookmarkStart w:id="16" w:name="_3.6_End_of"/>
      <w:bookmarkStart w:id="17" w:name="_3.4_End_of"/>
      <w:bookmarkEnd w:id="15"/>
      <w:bookmarkEnd w:id="16"/>
      <w:bookmarkEnd w:id="17"/>
      <w:r w:rsidRPr="00185F7A">
        <w:rPr>
          <w:rFonts w:ascii="Arial" w:hAnsi="Arial" w:cs="Arial"/>
        </w:rPr>
        <w:t xml:space="preserve">3.4 End of Agreement </w:t>
      </w:r>
    </w:p>
    <w:p w14:paraId="21E59FE8" w14:textId="77777777" w:rsidR="00F97581" w:rsidRPr="00185F7A" w:rsidRDefault="00F97581" w:rsidP="00F97581">
      <w:pPr>
        <w:pStyle w:val="Heading4"/>
        <w:rPr>
          <w:rFonts w:ascii="Arial" w:hAnsi="Arial"/>
          <w:b w:val="0"/>
          <w:bCs/>
          <w:lang w:eastAsia="en-GB"/>
        </w:rPr>
      </w:pPr>
      <w:r w:rsidRPr="00185F7A">
        <w:rPr>
          <w:rFonts w:ascii="Arial" w:hAnsi="Arial"/>
          <w:b w:val="0"/>
          <w:bCs/>
          <w:lang w:eastAsia="en-GB"/>
        </w:rPr>
        <w:t>3.4.1 Renewal</w:t>
      </w:r>
    </w:p>
    <w:p w14:paraId="34A35421" w14:textId="740ECFEA" w:rsidR="004A29EC" w:rsidRPr="00185F7A" w:rsidRDefault="00F97581" w:rsidP="00825CD1">
      <w:pPr>
        <w:ind w:left="1080"/>
        <w:jc w:val="both"/>
        <w:rPr>
          <w:rFonts w:ascii="Arial" w:hAnsi="Arial" w:cs="Arial"/>
          <w:lang w:eastAsia="en-GB"/>
        </w:rPr>
      </w:pPr>
      <w:r w:rsidRPr="00185F7A">
        <w:rPr>
          <w:rFonts w:ascii="Arial" w:hAnsi="Arial" w:cs="Arial"/>
          <w:lang w:eastAsia="en-GB"/>
        </w:rPr>
        <w:t xml:space="preserve">The decision to renew </w:t>
      </w:r>
      <w:r w:rsidR="00E44D37" w:rsidRPr="00185F7A">
        <w:rPr>
          <w:rFonts w:ascii="Arial" w:hAnsi="Arial" w:cs="Arial"/>
          <w:lang w:eastAsia="en-GB"/>
        </w:rPr>
        <w:t xml:space="preserve">an agreement or discontinue the relationship </w:t>
      </w:r>
      <w:r w:rsidRPr="00185F7A">
        <w:rPr>
          <w:rFonts w:ascii="Arial" w:hAnsi="Arial" w:cs="Arial"/>
          <w:lang w:eastAsia="en-GB"/>
        </w:rPr>
        <w:t xml:space="preserve">at the end of the agreement period is determined by the use of the </w:t>
      </w:r>
      <w:hyperlink r:id="rId17" w:history="1">
        <w:r w:rsidR="005378ED" w:rsidRPr="00185F7A">
          <w:rPr>
            <w:rStyle w:val="Hyperlink"/>
            <w:rFonts w:ascii="Arial" w:hAnsi="Arial" w:cs="Arial"/>
            <w:szCs w:val="20"/>
            <w:lang w:eastAsia="en-GB"/>
          </w:rPr>
          <w:t>Renewal Checklist</w:t>
        </w:r>
      </w:hyperlink>
      <w:r w:rsidRPr="00185F7A">
        <w:rPr>
          <w:rFonts w:ascii="Arial" w:hAnsi="Arial" w:cs="Arial"/>
          <w:lang w:eastAsia="en-GB"/>
        </w:rPr>
        <w:t xml:space="preserve">. The checklist is completed by the academic lead and provided to the Group Dean (Academic) for review and recommendation. Final approval </w:t>
      </w:r>
      <w:r w:rsidR="00641670" w:rsidRPr="00185F7A">
        <w:rPr>
          <w:rFonts w:ascii="Arial" w:hAnsi="Arial" w:cs="Arial"/>
          <w:lang w:eastAsia="en-GB"/>
        </w:rPr>
        <w:t xml:space="preserve">to renew </w:t>
      </w:r>
      <w:r w:rsidRPr="00185F7A">
        <w:rPr>
          <w:rFonts w:ascii="Arial" w:hAnsi="Arial" w:cs="Arial"/>
          <w:lang w:eastAsia="en-GB"/>
        </w:rPr>
        <w:t xml:space="preserve">is </w:t>
      </w:r>
      <w:r w:rsidR="00641670" w:rsidRPr="00185F7A">
        <w:rPr>
          <w:rFonts w:ascii="Arial" w:hAnsi="Arial" w:cs="Arial"/>
          <w:lang w:eastAsia="en-GB"/>
        </w:rPr>
        <w:t xml:space="preserve">given </w:t>
      </w:r>
      <w:r w:rsidRPr="00185F7A">
        <w:rPr>
          <w:rFonts w:ascii="Arial" w:hAnsi="Arial" w:cs="Arial"/>
          <w:lang w:eastAsia="en-GB"/>
        </w:rPr>
        <w:t xml:space="preserve">by the </w:t>
      </w:r>
      <w:r w:rsidR="00A00FB5" w:rsidRPr="00185F7A">
        <w:rPr>
          <w:rFonts w:ascii="Arial" w:hAnsi="Arial" w:cs="Arial"/>
          <w:lang w:eastAsia="en-GB"/>
        </w:rPr>
        <w:t>DVC(E)</w:t>
      </w:r>
      <w:r w:rsidRPr="00185F7A">
        <w:rPr>
          <w:rFonts w:ascii="Arial" w:hAnsi="Arial" w:cs="Arial"/>
          <w:lang w:eastAsia="en-GB"/>
        </w:rPr>
        <w:t>.</w:t>
      </w:r>
    </w:p>
    <w:p w14:paraId="511CF854" w14:textId="77777777" w:rsidR="00F97581" w:rsidRPr="00185F7A" w:rsidRDefault="00F97581" w:rsidP="00F97581">
      <w:pPr>
        <w:pStyle w:val="Heading4"/>
        <w:rPr>
          <w:rFonts w:ascii="Arial" w:hAnsi="Arial"/>
          <w:b w:val="0"/>
          <w:bCs/>
          <w:lang w:eastAsia="en-GB"/>
        </w:rPr>
      </w:pPr>
      <w:r w:rsidRPr="00185F7A">
        <w:rPr>
          <w:rFonts w:ascii="Arial" w:hAnsi="Arial"/>
          <w:b w:val="0"/>
          <w:bCs/>
          <w:lang w:eastAsia="en-GB"/>
        </w:rPr>
        <w:t>3.4.2 Offboarding</w:t>
      </w:r>
    </w:p>
    <w:p w14:paraId="64D0192F" w14:textId="0F90CC9A" w:rsidR="00F97581" w:rsidRPr="00185F7A" w:rsidRDefault="00F97581" w:rsidP="008176FF">
      <w:pPr>
        <w:ind w:left="1080"/>
        <w:jc w:val="both"/>
        <w:rPr>
          <w:rFonts w:ascii="Arial" w:hAnsi="Arial" w:cs="Arial"/>
          <w:lang w:eastAsia="en-GB"/>
        </w:rPr>
      </w:pPr>
      <w:r w:rsidRPr="00185F7A">
        <w:rPr>
          <w:rFonts w:ascii="Arial" w:hAnsi="Arial" w:cs="Arial"/>
          <w:lang w:eastAsia="en-GB"/>
        </w:rPr>
        <w:t xml:space="preserve">The decision to </w:t>
      </w:r>
      <w:r w:rsidR="00882CFC" w:rsidRPr="00185F7A">
        <w:rPr>
          <w:rFonts w:ascii="Arial" w:hAnsi="Arial" w:cs="Arial"/>
          <w:lang w:eastAsia="en-GB"/>
        </w:rPr>
        <w:t xml:space="preserve">discontinue the relationship </w:t>
      </w:r>
      <w:r w:rsidRPr="00185F7A">
        <w:rPr>
          <w:rFonts w:ascii="Arial" w:hAnsi="Arial" w:cs="Arial"/>
          <w:lang w:eastAsia="en-GB"/>
        </w:rPr>
        <w:t xml:space="preserve">at </w:t>
      </w:r>
      <w:r w:rsidR="00882CFC" w:rsidRPr="00185F7A">
        <w:rPr>
          <w:rFonts w:ascii="Arial" w:hAnsi="Arial" w:cs="Arial"/>
          <w:lang w:eastAsia="en-GB"/>
        </w:rPr>
        <w:t xml:space="preserve">the </w:t>
      </w:r>
      <w:r w:rsidRPr="00185F7A">
        <w:rPr>
          <w:rFonts w:ascii="Arial" w:hAnsi="Arial" w:cs="Arial"/>
          <w:lang w:eastAsia="en-GB"/>
        </w:rPr>
        <w:t>end</w:t>
      </w:r>
      <w:r w:rsidR="00882CFC" w:rsidRPr="00185F7A">
        <w:rPr>
          <w:rFonts w:ascii="Arial" w:hAnsi="Arial" w:cs="Arial"/>
          <w:lang w:eastAsia="en-GB"/>
        </w:rPr>
        <w:t xml:space="preserve"> of the agreement</w:t>
      </w:r>
      <w:r w:rsidRPr="00185F7A">
        <w:rPr>
          <w:rFonts w:ascii="Arial" w:hAnsi="Arial" w:cs="Arial"/>
          <w:lang w:eastAsia="en-GB"/>
        </w:rPr>
        <w:t xml:space="preserve">, rather than renewing, is determined by the Dean (Academic). The academic lead captures details of the decision in </w:t>
      </w:r>
      <w:proofErr w:type="spellStart"/>
      <w:r w:rsidRPr="00185F7A">
        <w:rPr>
          <w:rFonts w:ascii="Arial" w:hAnsi="Arial" w:cs="Arial"/>
          <w:lang w:eastAsia="en-GB"/>
        </w:rPr>
        <w:t>ConvergePoint</w:t>
      </w:r>
      <w:proofErr w:type="spellEnd"/>
      <w:r w:rsidRPr="00185F7A">
        <w:rPr>
          <w:rFonts w:ascii="Arial" w:hAnsi="Arial" w:cs="Arial"/>
          <w:lang w:eastAsia="en-GB"/>
        </w:rPr>
        <w:t xml:space="preserve"> and is responsible for</w:t>
      </w:r>
      <w:r w:rsidR="00BF7FFB" w:rsidRPr="00185F7A">
        <w:rPr>
          <w:rFonts w:ascii="Arial" w:hAnsi="Arial" w:cs="Arial"/>
          <w:lang w:eastAsia="en-GB"/>
        </w:rPr>
        <w:t xml:space="preserve"> the off boarding</w:t>
      </w:r>
      <w:r w:rsidRPr="00185F7A">
        <w:rPr>
          <w:rFonts w:ascii="Arial" w:hAnsi="Arial" w:cs="Arial"/>
          <w:lang w:eastAsia="en-GB"/>
        </w:rPr>
        <w:t xml:space="preserve"> </w:t>
      </w:r>
      <w:r w:rsidR="00BF7FFB" w:rsidRPr="00185F7A">
        <w:rPr>
          <w:rFonts w:ascii="Arial" w:hAnsi="Arial" w:cs="Arial"/>
          <w:lang w:eastAsia="en-GB"/>
        </w:rPr>
        <w:t xml:space="preserve">of </w:t>
      </w:r>
      <w:r w:rsidRPr="00185F7A">
        <w:rPr>
          <w:rFonts w:ascii="Arial" w:hAnsi="Arial" w:cs="Arial"/>
          <w:lang w:eastAsia="en-GB"/>
        </w:rPr>
        <w:t>the provider. Resources to support the offboarding process are located on the SharePoint hub.</w:t>
      </w:r>
    </w:p>
    <w:p w14:paraId="7138B880" w14:textId="77777777" w:rsidR="00F97581" w:rsidRPr="00185F7A" w:rsidRDefault="00F97581" w:rsidP="00F97581">
      <w:pPr>
        <w:pStyle w:val="Heading2"/>
        <w:ind w:left="426" w:hanging="426"/>
        <w:rPr>
          <w:rFonts w:ascii="Arial" w:hAnsi="Arial" w:cs="Arial"/>
        </w:rPr>
      </w:pPr>
      <w:bookmarkStart w:id="18" w:name="_Ref20320732"/>
      <w:r w:rsidRPr="00185F7A">
        <w:rPr>
          <w:rFonts w:ascii="Arial" w:hAnsi="Arial" w:cs="Arial"/>
        </w:rPr>
        <w:lastRenderedPageBreak/>
        <w:t>4.0 Definitions</w:t>
      </w:r>
      <w:bookmarkEnd w:id="18"/>
    </w:p>
    <w:p w14:paraId="099CB3E8" w14:textId="77777777" w:rsidR="00F97581" w:rsidRPr="00185F7A" w:rsidRDefault="00F97581" w:rsidP="00184103">
      <w:pPr>
        <w:jc w:val="both"/>
        <w:rPr>
          <w:rFonts w:ascii="Arial" w:hAnsi="Arial" w:cs="Arial"/>
          <w:b/>
        </w:rPr>
      </w:pPr>
      <w:r w:rsidRPr="00185F7A">
        <w:rPr>
          <w:rFonts w:ascii="Arial" w:hAnsi="Arial" w:cs="Arial"/>
          <w:b/>
        </w:rPr>
        <w:t xml:space="preserve">Academic Group (or ‘Group’) </w:t>
      </w:r>
      <w:r w:rsidRPr="00185F7A">
        <w:rPr>
          <w:rFonts w:ascii="Arial" w:hAnsi="Arial" w:cs="Arial"/>
          <w:szCs w:val="20"/>
        </w:rPr>
        <w:t>is the highest and largest element in the academic structure of the University. The Academic Group is the administrative owner of programs offered by its academic elements. There are four Academic Groups: Arts, Education and Law Group, Griffith Business School, Health Group, and Griffith Sciences.</w:t>
      </w:r>
    </w:p>
    <w:p w14:paraId="5A089671" w14:textId="77777777" w:rsidR="00CA5DE0" w:rsidRPr="00185F7A" w:rsidRDefault="00CA5DE0" w:rsidP="00184103">
      <w:pPr>
        <w:jc w:val="both"/>
        <w:rPr>
          <w:rFonts w:ascii="Arial" w:hAnsi="Arial" w:cs="Arial"/>
          <w:lang w:eastAsia="en-GB"/>
        </w:rPr>
      </w:pPr>
      <w:r w:rsidRPr="00185F7A">
        <w:rPr>
          <w:rFonts w:ascii="Arial" w:hAnsi="Arial" w:cs="Arial"/>
          <w:b/>
          <w:bCs/>
          <w:szCs w:val="20"/>
        </w:rPr>
        <w:t xml:space="preserve">Arrangement for Academic Delivery with Other Parties </w:t>
      </w:r>
      <w:r w:rsidRPr="00185F7A">
        <w:rPr>
          <w:rFonts w:ascii="Arial" w:hAnsi="Arial" w:cs="Arial"/>
          <w:szCs w:val="20"/>
        </w:rPr>
        <w:t xml:space="preserve">is a legally binding agreement/contract entered into by a registered provider and another party (in Australia or overseas) that covers </w:t>
      </w:r>
      <w:r w:rsidRPr="00185F7A">
        <w:rPr>
          <w:rFonts w:ascii="Arial" w:hAnsi="Arial" w:cs="Arial"/>
          <w:lang w:eastAsia="en-GB"/>
        </w:rPr>
        <w:t>all relevant aspects relating to the scope and extent of the functions being undertaken by the third party and the registered provider.</w:t>
      </w:r>
    </w:p>
    <w:p w14:paraId="5BAE93F6" w14:textId="77777777" w:rsidR="00F97581" w:rsidRPr="00185F7A" w:rsidRDefault="00F97581" w:rsidP="00184103">
      <w:pPr>
        <w:jc w:val="both"/>
        <w:rPr>
          <w:rFonts w:ascii="Arial" w:hAnsi="Arial" w:cs="Arial"/>
          <w:b/>
        </w:rPr>
      </w:pPr>
      <w:r w:rsidRPr="00185F7A">
        <w:rPr>
          <w:rFonts w:ascii="Arial" w:hAnsi="Arial" w:cs="Arial"/>
          <w:b/>
        </w:rPr>
        <w:t xml:space="preserve">Articulation </w:t>
      </w:r>
      <w:r w:rsidRPr="00185F7A">
        <w:rPr>
          <w:rFonts w:ascii="Arial" w:hAnsi="Arial" w:cs="Arial"/>
          <w:b/>
          <w:bCs/>
          <w:szCs w:val="20"/>
        </w:rPr>
        <w:t>arrangement</w:t>
      </w:r>
      <w:r w:rsidRPr="00185F7A">
        <w:rPr>
          <w:rFonts w:ascii="Arial" w:hAnsi="Arial" w:cs="Arial"/>
          <w:sz w:val="23"/>
          <w:szCs w:val="23"/>
        </w:rPr>
        <w:t xml:space="preserve"> </w:t>
      </w:r>
      <w:r w:rsidRPr="00185F7A">
        <w:rPr>
          <w:rFonts w:ascii="Arial" w:hAnsi="Arial" w:cs="Arial"/>
          <w:szCs w:val="20"/>
        </w:rPr>
        <w:t>enables students to progress from a completed qualification to another with admission and/or credit in a defined qualification pathway.</w:t>
      </w:r>
    </w:p>
    <w:p w14:paraId="536F258C" w14:textId="77777777" w:rsidR="00F97581" w:rsidRPr="00185F7A" w:rsidRDefault="00F97581" w:rsidP="00184103">
      <w:pPr>
        <w:jc w:val="both"/>
        <w:rPr>
          <w:rFonts w:ascii="Arial" w:hAnsi="Arial" w:cs="Arial"/>
          <w:b/>
        </w:rPr>
      </w:pPr>
      <w:proofErr w:type="spellStart"/>
      <w:r w:rsidRPr="00185F7A">
        <w:rPr>
          <w:rFonts w:ascii="Arial" w:hAnsi="Arial" w:cs="Arial"/>
          <w:b/>
        </w:rPr>
        <w:t>ConvergePoint</w:t>
      </w:r>
      <w:proofErr w:type="spellEnd"/>
      <w:r w:rsidRPr="00185F7A">
        <w:rPr>
          <w:rFonts w:ascii="Arial" w:hAnsi="Arial" w:cs="Arial"/>
          <w:b/>
        </w:rPr>
        <w:t xml:space="preserve"> </w:t>
      </w:r>
      <w:r w:rsidRPr="00185F7A">
        <w:rPr>
          <w:rFonts w:ascii="Arial" w:hAnsi="Arial" w:cs="Arial"/>
          <w:szCs w:val="20"/>
        </w:rPr>
        <w:t>is the system Griffith uses for managing and storing its contracts.</w:t>
      </w:r>
    </w:p>
    <w:p w14:paraId="6A005C40" w14:textId="77777777" w:rsidR="00F97581" w:rsidRPr="00185F7A" w:rsidRDefault="00F97581" w:rsidP="00184103">
      <w:pPr>
        <w:jc w:val="both"/>
        <w:rPr>
          <w:rFonts w:ascii="Arial" w:hAnsi="Arial" w:cs="Arial"/>
          <w:b/>
        </w:rPr>
      </w:pPr>
      <w:r w:rsidRPr="00185F7A">
        <w:rPr>
          <w:rFonts w:ascii="Arial" w:hAnsi="Arial" w:cs="Arial"/>
          <w:b/>
        </w:rPr>
        <w:t xml:space="preserve">Credit </w:t>
      </w:r>
      <w:r w:rsidRPr="00185F7A">
        <w:rPr>
          <w:rFonts w:ascii="Arial" w:hAnsi="Arial" w:cs="Arial"/>
          <w:bCs/>
        </w:rPr>
        <w:t>is the value assigned for the recognition of equivalence in content and learning outcomes between different types of learning.</w:t>
      </w:r>
    </w:p>
    <w:p w14:paraId="2399D8BF" w14:textId="73A0DAB8" w:rsidR="00F97581" w:rsidRPr="00185F7A" w:rsidRDefault="00F97581" w:rsidP="00184103">
      <w:pPr>
        <w:pStyle w:val="NormalWeb"/>
        <w:spacing w:before="0" w:beforeAutospacing="0" w:after="200" w:afterAutospacing="0"/>
        <w:jc w:val="both"/>
        <w:rPr>
          <w:rFonts w:ascii="Arial" w:hAnsi="Arial" w:cs="Arial"/>
          <w:szCs w:val="20"/>
        </w:rPr>
      </w:pPr>
      <w:r w:rsidRPr="00185F7A">
        <w:rPr>
          <w:rFonts w:ascii="Arial" w:eastAsiaTheme="minorHAnsi" w:hAnsi="Arial" w:cs="Arial"/>
          <w:b/>
          <w:color w:val="000000" w:themeColor="text1"/>
          <w:sz w:val="20"/>
          <w:szCs w:val="22"/>
          <w:lang w:eastAsia="en-AU"/>
        </w:rPr>
        <w:t xml:space="preserve">CRICOS (Commonwealth Register of Institutions and Courses for Overseas Students) </w:t>
      </w:r>
      <w:r w:rsidRPr="00185F7A">
        <w:rPr>
          <w:rFonts w:ascii="Arial" w:eastAsiaTheme="minorHAnsi" w:hAnsi="Arial" w:cs="Arial"/>
          <w:bCs/>
          <w:color w:val="000000" w:themeColor="text1"/>
          <w:sz w:val="20"/>
          <w:szCs w:val="20"/>
          <w:lang w:eastAsia="en-AU"/>
        </w:rPr>
        <w:t>i</w:t>
      </w:r>
      <w:r w:rsidRPr="00185F7A">
        <w:rPr>
          <w:rFonts w:ascii="Arial" w:hAnsi="Arial" w:cs="Arial"/>
          <w:bCs/>
          <w:color w:val="000000" w:themeColor="text1"/>
          <w:sz w:val="20"/>
          <w:szCs w:val="20"/>
        </w:rPr>
        <w:t>s a searchable database, run by the Australian Government, which lists all Australian education providers (and their programs) for people studying in Australia on student visas.</w:t>
      </w:r>
    </w:p>
    <w:p w14:paraId="0FD224A8" w14:textId="77777777" w:rsidR="00F97581" w:rsidRPr="00185F7A" w:rsidRDefault="00F97581" w:rsidP="00184103">
      <w:pPr>
        <w:jc w:val="both"/>
        <w:rPr>
          <w:rFonts w:ascii="Arial" w:hAnsi="Arial" w:cs="Arial"/>
          <w:b/>
        </w:rPr>
      </w:pPr>
      <w:r w:rsidRPr="00185F7A">
        <w:rPr>
          <w:rFonts w:ascii="Arial" w:hAnsi="Arial" w:cs="Arial"/>
          <w:b/>
        </w:rPr>
        <w:t>Cross-institutional study</w:t>
      </w:r>
      <w:r w:rsidRPr="00185F7A">
        <w:rPr>
          <w:rFonts w:ascii="Arial" w:hAnsi="Arial" w:cs="Arial"/>
          <w:b/>
          <w:szCs w:val="20"/>
        </w:rPr>
        <w:t xml:space="preserve"> </w:t>
      </w:r>
      <w:r w:rsidRPr="00185F7A">
        <w:rPr>
          <w:rFonts w:ascii="Arial" w:hAnsi="Arial" w:cs="Arial"/>
          <w:szCs w:val="20"/>
        </w:rPr>
        <w:t>is when a student undertaking a program at one University, enrols in one or more courses at another University for the purpose of completing the program at the first (home) University. Cross-Institutional students are out-going if their home University is Griffith, or incoming if their home University is another institution.</w:t>
      </w:r>
    </w:p>
    <w:p w14:paraId="4C9D18A1" w14:textId="37396AAC" w:rsidR="00F97581" w:rsidRPr="00185F7A" w:rsidRDefault="00F97581" w:rsidP="00184103">
      <w:pPr>
        <w:jc w:val="both"/>
        <w:rPr>
          <w:rFonts w:ascii="Arial" w:hAnsi="Arial" w:cs="Arial"/>
          <w:b/>
          <w:bCs/>
          <w:szCs w:val="20"/>
        </w:rPr>
      </w:pPr>
      <w:r w:rsidRPr="00185F7A">
        <w:rPr>
          <w:rFonts w:ascii="Arial" w:hAnsi="Arial" w:cs="Arial"/>
          <w:b/>
          <w:bCs/>
          <w:szCs w:val="20"/>
        </w:rPr>
        <w:t xml:space="preserve">Domestic </w:t>
      </w:r>
      <w:r w:rsidRPr="00185F7A">
        <w:rPr>
          <w:rFonts w:ascii="Arial" w:hAnsi="Arial" w:cs="Arial"/>
          <w:bCs/>
        </w:rPr>
        <w:t>refers to partner institutions that reside within Australia.</w:t>
      </w:r>
    </w:p>
    <w:p w14:paraId="41C6A418" w14:textId="77777777" w:rsidR="00F97581" w:rsidRPr="00185F7A" w:rsidRDefault="00F97581" w:rsidP="00184103">
      <w:pPr>
        <w:jc w:val="both"/>
        <w:rPr>
          <w:rFonts w:ascii="Arial" w:hAnsi="Arial" w:cs="Arial"/>
          <w:szCs w:val="20"/>
        </w:rPr>
      </w:pPr>
      <w:r w:rsidRPr="00185F7A">
        <w:rPr>
          <w:rFonts w:ascii="Arial" w:hAnsi="Arial" w:cs="Arial"/>
          <w:b/>
          <w:bCs/>
          <w:szCs w:val="20"/>
        </w:rPr>
        <w:t xml:space="preserve">Due Diligence </w:t>
      </w:r>
      <w:r w:rsidRPr="00185F7A">
        <w:rPr>
          <w:rFonts w:ascii="Arial" w:hAnsi="Arial" w:cs="Arial"/>
          <w:szCs w:val="20"/>
        </w:rPr>
        <w:t xml:space="preserve">is a credible, rigorous, and evidence-based process that considers a range of factors relating to the potential partner in relation to third party provision. </w:t>
      </w:r>
    </w:p>
    <w:p w14:paraId="1F4461BB" w14:textId="6FAC11F2" w:rsidR="00F97581" w:rsidRPr="00185F7A" w:rsidRDefault="00F97581" w:rsidP="00184103">
      <w:pPr>
        <w:jc w:val="both"/>
        <w:rPr>
          <w:rFonts w:ascii="Arial" w:hAnsi="Arial" w:cs="Arial"/>
          <w:szCs w:val="20"/>
        </w:rPr>
      </w:pPr>
      <w:r w:rsidRPr="00185F7A">
        <w:rPr>
          <w:rFonts w:ascii="Arial" w:hAnsi="Arial" w:cs="Arial"/>
          <w:b/>
          <w:bCs/>
          <w:szCs w:val="20"/>
        </w:rPr>
        <w:t xml:space="preserve">Higher Education Provider </w:t>
      </w:r>
      <w:r w:rsidRPr="00185F7A">
        <w:rPr>
          <w:rFonts w:ascii="Arial" w:hAnsi="Arial" w:cs="Arial"/>
          <w:color w:val="202124"/>
          <w:shd w:val="clear" w:color="auto" w:fill="FFFFFF"/>
        </w:rPr>
        <w:t xml:space="preserve">is an institution that is registered </w:t>
      </w:r>
      <w:r w:rsidRPr="00185F7A">
        <w:rPr>
          <w:rFonts w:ascii="Arial" w:hAnsi="Arial" w:cs="Arial"/>
          <w:color w:val="353838"/>
          <w:shd w:val="clear" w:color="auto" w:fill="FFFFFF"/>
        </w:rPr>
        <w:t xml:space="preserve">by the national regulator, Tertiary Education Quality and Standards Agency (TEQSA), </w:t>
      </w:r>
      <w:r w:rsidRPr="00185F7A">
        <w:rPr>
          <w:rFonts w:ascii="Arial" w:hAnsi="Arial" w:cs="Arial"/>
          <w:color w:val="202124"/>
          <w:shd w:val="clear" w:color="auto" w:fill="FFFFFF"/>
        </w:rPr>
        <w:t xml:space="preserve">which provides at least one programme of education and training leading to the award of a degree or other qualification which is at a </w:t>
      </w:r>
      <w:proofErr w:type="gramStart"/>
      <w:r w:rsidRPr="00185F7A">
        <w:rPr>
          <w:rFonts w:ascii="Arial" w:hAnsi="Arial" w:cs="Arial"/>
          <w:color w:val="202124"/>
          <w:shd w:val="clear" w:color="auto" w:fill="FFFFFF"/>
        </w:rPr>
        <w:t>Bachelor</w:t>
      </w:r>
      <w:proofErr w:type="gramEnd"/>
      <w:r w:rsidRPr="00185F7A">
        <w:rPr>
          <w:rFonts w:ascii="Arial" w:hAnsi="Arial" w:cs="Arial"/>
          <w:color w:val="202124"/>
          <w:shd w:val="clear" w:color="auto" w:fill="FFFFFF"/>
        </w:rPr>
        <w:t xml:space="preserve"> degree level or higher, according to the Australian Qualifications Framework (AQF).</w:t>
      </w:r>
    </w:p>
    <w:p w14:paraId="1D65F690" w14:textId="77777777" w:rsidR="00F97581" w:rsidRPr="00185F7A" w:rsidRDefault="00F97581" w:rsidP="00184103">
      <w:pPr>
        <w:jc w:val="both"/>
        <w:rPr>
          <w:rFonts w:ascii="Arial" w:hAnsi="Arial" w:cs="Arial"/>
          <w:szCs w:val="20"/>
        </w:rPr>
      </w:pPr>
      <w:r w:rsidRPr="00185F7A">
        <w:rPr>
          <w:rFonts w:ascii="Arial" w:hAnsi="Arial" w:cs="Arial"/>
          <w:b/>
          <w:bCs/>
          <w:color w:val="202124"/>
          <w:shd w:val="clear" w:color="auto" w:fill="FFFFFF"/>
        </w:rPr>
        <w:t>Renewal</w:t>
      </w:r>
      <w:r w:rsidRPr="00185F7A">
        <w:rPr>
          <w:rFonts w:ascii="Arial" w:hAnsi="Arial" w:cs="Arial"/>
          <w:color w:val="202124"/>
          <w:shd w:val="clear" w:color="auto" w:fill="FFFFFF"/>
        </w:rPr>
        <w:t xml:space="preserve"> is whe</w:t>
      </w:r>
      <w:r w:rsidRPr="00185F7A">
        <w:rPr>
          <w:rFonts w:ascii="Arial" w:hAnsi="Arial" w:cs="Arial"/>
          <w:szCs w:val="20"/>
        </w:rPr>
        <w:t xml:space="preserve">n an existing contract ends—by, for example, expiring—and the parties agree to </w:t>
      </w:r>
      <w:proofErr w:type="gramStart"/>
      <w:r w:rsidRPr="00185F7A">
        <w:rPr>
          <w:rFonts w:ascii="Arial" w:hAnsi="Arial" w:cs="Arial"/>
          <w:szCs w:val="20"/>
        </w:rPr>
        <w:t>enter into</w:t>
      </w:r>
      <w:proofErr w:type="gramEnd"/>
      <w:r w:rsidRPr="00185F7A">
        <w:rPr>
          <w:rFonts w:ascii="Arial" w:hAnsi="Arial" w:cs="Arial"/>
          <w:szCs w:val="20"/>
        </w:rPr>
        <w:t xml:space="preserve"> a new contract (usually for the same or very similar services).</w:t>
      </w:r>
    </w:p>
    <w:p w14:paraId="78B7F8F4" w14:textId="51E595AE" w:rsidR="00F97581" w:rsidRPr="00185F7A" w:rsidRDefault="00F97581" w:rsidP="00184103">
      <w:pPr>
        <w:jc w:val="both"/>
        <w:rPr>
          <w:rFonts w:ascii="Arial" w:hAnsi="Arial" w:cs="Arial"/>
          <w:b/>
          <w:bCs/>
          <w:szCs w:val="20"/>
        </w:rPr>
      </w:pPr>
      <w:r w:rsidRPr="00185F7A">
        <w:rPr>
          <w:rFonts w:ascii="Arial" w:hAnsi="Arial" w:cs="Arial"/>
          <w:b/>
          <w:bCs/>
          <w:szCs w:val="20"/>
        </w:rPr>
        <w:t xml:space="preserve">TEQSA </w:t>
      </w:r>
      <w:r w:rsidRPr="00185F7A">
        <w:rPr>
          <w:rFonts w:ascii="Arial" w:hAnsi="Arial" w:cs="Arial"/>
          <w:b/>
          <w:bCs/>
          <w:color w:val="202124"/>
        </w:rPr>
        <w:t>(</w:t>
      </w:r>
      <w:r w:rsidRPr="00185F7A">
        <w:rPr>
          <w:rFonts w:ascii="Arial" w:hAnsi="Arial" w:cs="Arial"/>
          <w:b/>
          <w:bCs/>
          <w:szCs w:val="20"/>
        </w:rPr>
        <w:t>Tertiary Education Quality and Standards Agency)</w:t>
      </w:r>
      <w:r w:rsidRPr="00185F7A">
        <w:rPr>
          <w:rFonts w:ascii="Arial" w:hAnsi="Arial" w:cs="Arial"/>
          <w:szCs w:val="20"/>
        </w:rPr>
        <w:t xml:space="preserve"> is Australia’s independent national quality assurance and regulatory agency for higher education.</w:t>
      </w:r>
    </w:p>
    <w:p w14:paraId="22561BE1" w14:textId="73AF80D7" w:rsidR="00F97581" w:rsidRPr="00185F7A" w:rsidRDefault="00F97581" w:rsidP="00184103">
      <w:pPr>
        <w:jc w:val="both"/>
        <w:rPr>
          <w:rFonts w:ascii="Arial" w:hAnsi="Arial" w:cs="Arial"/>
          <w:color w:val="202124"/>
        </w:rPr>
      </w:pPr>
      <w:r w:rsidRPr="00185F7A">
        <w:rPr>
          <w:rFonts w:ascii="Arial" w:hAnsi="Arial" w:cs="Arial"/>
          <w:b/>
          <w:bCs/>
          <w:lang w:eastAsia="en-GB"/>
        </w:rPr>
        <w:t xml:space="preserve">Transnational </w:t>
      </w:r>
      <w:r w:rsidRPr="00185F7A">
        <w:rPr>
          <w:rFonts w:ascii="Arial" w:hAnsi="Arial" w:cs="Arial"/>
          <w:b/>
          <w:bCs/>
          <w:color w:val="202124"/>
        </w:rPr>
        <w:t xml:space="preserve">education </w:t>
      </w:r>
      <w:r w:rsidRPr="00185F7A">
        <w:rPr>
          <w:rFonts w:ascii="Arial" w:hAnsi="Arial" w:cs="Arial"/>
          <w:color w:val="202124"/>
        </w:rPr>
        <w:t>is education delivered in a country other than Australia.</w:t>
      </w:r>
    </w:p>
    <w:p w14:paraId="37F85CA0" w14:textId="29134B8E" w:rsidR="00F97581" w:rsidRPr="00185F7A" w:rsidRDefault="00F97581" w:rsidP="004A29EC">
      <w:pPr>
        <w:jc w:val="both"/>
        <w:rPr>
          <w:rFonts w:ascii="Arial" w:hAnsi="Arial" w:cs="Arial"/>
          <w:color w:val="202124"/>
        </w:rPr>
      </w:pPr>
      <w:r w:rsidRPr="00185F7A">
        <w:rPr>
          <w:rFonts w:ascii="Arial" w:hAnsi="Arial" w:cs="Arial"/>
          <w:b/>
          <w:bCs/>
          <w:color w:val="202124"/>
        </w:rPr>
        <w:t>Work integrated learning (WIL)</w:t>
      </w:r>
      <w:r w:rsidRPr="00185F7A">
        <w:rPr>
          <w:rFonts w:ascii="Arial" w:hAnsi="Arial" w:cs="Arial"/>
          <w:color w:val="202124"/>
        </w:rPr>
        <w:t xml:space="preserve"> includes services learning, and activities normally involve students interacting with industry and community within a work context or similar situation.</w:t>
      </w:r>
    </w:p>
    <w:p w14:paraId="0A801FEE" w14:textId="77777777" w:rsidR="00825CD1" w:rsidRPr="00185F7A" w:rsidRDefault="00825CD1" w:rsidP="004A29EC">
      <w:pPr>
        <w:jc w:val="both"/>
        <w:rPr>
          <w:rFonts w:ascii="Arial" w:hAnsi="Arial" w:cs="Arial"/>
          <w:color w:val="202124"/>
        </w:rPr>
      </w:pPr>
    </w:p>
    <w:p w14:paraId="7AF40AE4" w14:textId="77777777" w:rsidR="0080573A" w:rsidRPr="00185F7A" w:rsidRDefault="0080573A" w:rsidP="004A29EC">
      <w:pPr>
        <w:jc w:val="both"/>
        <w:rPr>
          <w:rFonts w:ascii="Arial" w:hAnsi="Arial" w:cs="Arial"/>
          <w:color w:val="202124"/>
        </w:rPr>
      </w:pPr>
    </w:p>
    <w:p w14:paraId="2350633A" w14:textId="77777777" w:rsidR="00825CD1" w:rsidRPr="00185F7A" w:rsidRDefault="00825CD1" w:rsidP="004A29EC">
      <w:pPr>
        <w:jc w:val="both"/>
        <w:rPr>
          <w:rFonts w:ascii="Arial" w:hAnsi="Arial" w:cs="Arial"/>
          <w:color w:val="202124"/>
        </w:rPr>
      </w:pPr>
    </w:p>
    <w:tbl>
      <w:tblPr>
        <w:tblStyle w:val="TableGrid"/>
        <w:tblW w:w="5000" w:type="pct"/>
        <w:shd w:val="clear" w:color="auto" w:fill="F2F2F2" w:themeFill="background1" w:themeFillShade="F2"/>
        <w:tblLook w:val="04A0" w:firstRow="1" w:lastRow="0" w:firstColumn="1" w:lastColumn="0" w:noHBand="0" w:noVBand="1"/>
      </w:tblPr>
      <w:tblGrid>
        <w:gridCol w:w="2409"/>
        <w:gridCol w:w="7449"/>
      </w:tblGrid>
      <w:tr w:rsidR="00F97581" w:rsidRPr="00185F7A" w14:paraId="37699425" w14:textId="77777777" w:rsidTr="1F3139DE">
        <w:tc>
          <w:tcPr>
            <w:tcW w:w="1222" w:type="pct"/>
            <w:tcBorders>
              <w:top w:val="nil"/>
              <w:left w:val="nil"/>
              <w:bottom w:val="single" w:sz="8" w:space="0" w:color="E30918"/>
              <w:right w:val="nil"/>
            </w:tcBorders>
            <w:shd w:val="clear" w:color="auto" w:fill="auto"/>
          </w:tcPr>
          <w:p w14:paraId="08501D73" w14:textId="77777777" w:rsidR="00F97581" w:rsidRPr="00185F7A" w:rsidRDefault="00F97581" w:rsidP="00184103">
            <w:pPr>
              <w:spacing w:before="120" w:after="120"/>
              <w:rPr>
                <w:rFonts w:ascii="Arial" w:hAnsi="Arial" w:cs="Arial"/>
                <w:b/>
                <w:bCs/>
                <w:color w:val="E30918"/>
                <w:sz w:val="24"/>
                <w:szCs w:val="24"/>
              </w:rPr>
            </w:pPr>
            <w:r w:rsidRPr="00185F7A">
              <w:rPr>
                <w:rFonts w:ascii="Arial" w:hAnsi="Arial" w:cs="Arial"/>
                <w:b/>
                <w:bCs/>
                <w:caps/>
                <w:color w:val="E30918"/>
                <w:sz w:val="24"/>
                <w:szCs w:val="24"/>
              </w:rPr>
              <w:lastRenderedPageBreak/>
              <w:t>INFORMATION</w:t>
            </w:r>
          </w:p>
        </w:tc>
        <w:tc>
          <w:tcPr>
            <w:tcW w:w="3778" w:type="pct"/>
            <w:tcBorders>
              <w:top w:val="nil"/>
              <w:left w:val="nil"/>
              <w:bottom w:val="single" w:sz="8" w:space="0" w:color="E30918"/>
              <w:right w:val="nil"/>
            </w:tcBorders>
            <w:shd w:val="clear" w:color="auto" w:fill="auto"/>
          </w:tcPr>
          <w:p w14:paraId="04868359" w14:textId="7F52CE73" w:rsidR="00F97581" w:rsidRPr="00185F7A" w:rsidRDefault="00F97581" w:rsidP="00184103">
            <w:pPr>
              <w:spacing w:before="120" w:after="120"/>
              <w:jc w:val="right"/>
              <w:rPr>
                <w:rFonts w:ascii="Arial" w:hAnsi="Arial" w:cs="Arial"/>
                <w:szCs w:val="20"/>
              </w:rPr>
            </w:pPr>
          </w:p>
        </w:tc>
      </w:tr>
      <w:tr w:rsidR="00F97581" w:rsidRPr="00185F7A" w14:paraId="021B2561" w14:textId="77777777" w:rsidTr="1F3139DE">
        <w:tc>
          <w:tcPr>
            <w:tcW w:w="1222" w:type="pct"/>
            <w:tcBorders>
              <w:top w:val="single" w:sz="8" w:space="0" w:color="E30918"/>
              <w:left w:val="nil"/>
              <w:bottom w:val="nil"/>
              <w:right w:val="nil"/>
            </w:tcBorders>
            <w:shd w:val="clear" w:color="auto" w:fill="E6E7E8"/>
          </w:tcPr>
          <w:p w14:paraId="68652CBA" w14:textId="77777777" w:rsidR="00F97581" w:rsidRPr="00185F7A" w:rsidRDefault="00F97581" w:rsidP="00184103">
            <w:pPr>
              <w:spacing w:before="120" w:after="120"/>
              <w:rPr>
                <w:rFonts w:ascii="Arial" w:hAnsi="Arial" w:cs="Arial"/>
                <w:szCs w:val="20"/>
              </w:rPr>
            </w:pPr>
            <w:r w:rsidRPr="00185F7A">
              <w:rPr>
                <w:rFonts w:ascii="Arial" w:hAnsi="Arial" w:cs="Arial"/>
                <w:szCs w:val="20"/>
              </w:rPr>
              <w:t>Title</w:t>
            </w:r>
          </w:p>
        </w:tc>
        <w:tc>
          <w:tcPr>
            <w:tcW w:w="3778" w:type="pct"/>
            <w:tcBorders>
              <w:top w:val="single" w:sz="8" w:space="0" w:color="E30918"/>
              <w:left w:val="nil"/>
              <w:bottom w:val="nil"/>
              <w:right w:val="nil"/>
            </w:tcBorders>
            <w:shd w:val="clear" w:color="auto" w:fill="E6E7E8"/>
          </w:tcPr>
          <w:p w14:paraId="0C71BAE2" w14:textId="3F403EB6" w:rsidR="00F97581" w:rsidRPr="00185F7A" w:rsidRDefault="0016319D" w:rsidP="00184103">
            <w:pPr>
              <w:spacing w:before="120" w:after="120"/>
              <w:rPr>
                <w:rFonts w:ascii="Arial" w:hAnsi="Arial" w:cs="Arial"/>
                <w:szCs w:val="20"/>
              </w:rPr>
            </w:pPr>
            <w:r w:rsidRPr="00185F7A">
              <w:rPr>
                <w:rFonts w:ascii="Arial" w:hAnsi="Arial" w:cs="Arial"/>
                <w:szCs w:val="20"/>
              </w:rPr>
              <w:t xml:space="preserve">Academic Delivery with Other Parties – Domestic </w:t>
            </w:r>
            <w:r w:rsidR="00F97581" w:rsidRPr="00185F7A">
              <w:rPr>
                <w:rFonts w:ascii="Arial" w:hAnsi="Arial" w:cs="Arial"/>
                <w:szCs w:val="20"/>
              </w:rPr>
              <w:t>Coursework Procedure</w:t>
            </w:r>
          </w:p>
        </w:tc>
      </w:tr>
      <w:tr w:rsidR="00F97581" w:rsidRPr="00185F7A" w14:paraId="26A4295D" w14:textId="77777777" w:rsidTr="1F3139DE">
        <w:tc>
          <w:tcPr>
            <w:tcW w:w="1222" w:type="pct"/>
            <w:tcBorders>
              <w:top w:val="nil"/>
              <w:left w:val="nil"/>
              <w:bottom w:val="nil"/>
              <w:right w:val="nil"/>
            </w:tcBorders>
            <w:shd w:val="clear" w:color="auto" w:fill="auto"/>
          </w:tcPr>
          <w:p w14:paraId="6675B355" w14:textId="77777777" w:rsidR="00F97581" w:rsidRPr="00185F7A" w:rsidRDefault="00F97581" w:rsidP="00184103">
            <w:pPr>
              <w:spacing w:before="120" w:after="120"/>
              <w:rPr>
                <w:rFonts w:ascii="Arial" w:hAnsi="Arial" w:cs="Arial"/>
                <w:szCs w:val="20"/>
              </w:rPr>
            </w:pPr>
            <w:r w:rsidRPr="00185F7A">
              <w:rPr>
                <w:rFonts w:ascii="Arial" w:hAnsi="Arial" w:cs="Arial"/>
                <w:szCs w:val="20"/>
              </w:rPr>
              <w:t>Document number</w:t>
            </w:r>
          </w:p>
        </w:tc>
        <w:tc>
          <w:tcPr>
            <w:tcW w:w="3778" w:type="pct"/>
            <w:tcBorders>
              <w:top w:val="nil"/>
              <w:left w:val="nil"/>
              <w:bottom w:val="nil"/>
              <w:right w:val="nil"/>
            </w:tcBorders>
            <w:shd w:val="clear" w:color="auto" w:fill="auto"/>
          </w:tcPr>
          <w:p w14:paraId="25E490AA" w14:textId="183BFF3E" w:rsidR="1F3139DE" w:rsidRPr="00185F7A" w:rsidRDefault="1F3139DE" w:rsidP="1F3139DE">
            <w:pPr>
              <w:spacing w:after="0"/>
              <w:rPr>
                <w:rFonts w:ascii="Arial" w:hAnsi="Arial" w:cs="Arial"/>
              </w:rPr>
            </w:pPr>
            <w:r w:rsidRPr="00185F7A">
              <w:rPr>
                <w:rFonts w:ascii="Arial" w:eastAsiaTheme="minorEastAsia" w:hAnsi="Arial" w:cs="Arial"/>
                <w:szCs w:val="20"/>
              </w:rPr>
              <w:t>2023/0000426</w:t>
            </w:r>
          </w:p>
        </w:tc>
      </w:tr>
      <w:tr w:rsidR="00F97581" w:rsidRPr="00185F7A" w14:paraId="57BBF3A8" w14:textId="77777777" w:rsidTr="1F3139DE">
        <w:tc>
          <w:tcPr>
            <w:tcW w:w="1222" w:type="pct"/>
            <w:tcBorders>
              <w:top w:val="nil"/>
              <w:left w:val="nil"/>
              <w:bottom w:val="nil"/>
              <w:right w:val="nil"/>
            </w:tcBorders>
            <w:shd w:val="clear" w:color="auto" w:fill="E6E7E8"/>
          </w:tcPr>
          <w:p w14:paraId="02D38FAF" w14:textId="77777777" w:rsidR="00F97581" w:rsidRPr="00185F7A" w:rsidRDefault="00F97581" w:rsidP="00184103">
            <w:pPr>
              <w:spacing w:before="120" w:after="120"/>
              <w:rPr>
                <w:rFonts w:ascii="Arial" w:hAnsi="Arial" w:cs="Arial"/>
                <w:szCs w:val="20"/>
              </w:rPr>
            </w:pPr>
            <w:r w:rsidRPr="00185F7A">
              <w:rPr>
                <w:rFonts w:ascii="Arial" w:hAnsi="Arial" w:cs="Arial"/>
                <w:szCs w:val="20"/>
              </w:rPr>
              <w:t>Purpose</w:t>
            </w:r>
          </w:p>
        </w:tc>
        <w:tc>
          <w:tcPr>
            <w:tcW w:w="3778" w:type="pct"/>
            <w:tcBorders>
              <w:top w:val="nil"/>
              <w:left w:val="nil"/>
              <w:bottom w:val="nil"/>
              <w:right w:val="nil"/>
            </w:tcBorders>
            <w:shd w:val="clear" w:color="auto" w:fill="E6E7E8"/>
          </w:tcPr>
          <w:p w14:paraId="093BD736" w14:textId="539FE229" w:rsidR="00F97581" w:rsidRPr="00185F7A" w:rsidRDefault="00C52B6A" w:rsidP="00C52B6A">
            <w:pPr>
              <w:pStyle w:val="NormalWhite"/>
              <w:jc w:val="both"/>
              <w:rPr>
                <w:rFonts w:ascii="Arial" w:hAnsi="Arial" w:cs="Arial"/>
                <w:color w:val="000000" w:themeColor="text1"/>
                <w:lang w:eastAsia="en-GB"/>
              </w:rPr>
            </w:pPr>
            <w:r w:rsidRPr="00185F7A">
              <w:rPr>
                <w:rFonts w:ascii="Arial" w:hAnsi="Arial" w:cs="Arial"/>
                <w:color w:val="000000" w:themeColor="text1"/>
                <w:lang w:eastAsia="en-GB"/>
              </w:rPr>
              <w:t xml:space="preserve">This procedure specifies the requirements and processes for academic delivery with other domestic parties to ensure that Griffith University meets its obligations as a Higher Education Provider. These requirements and processes are consistent with quality assurance and continuous improvement </w:t>
            </w:r>
            <w:proofErr w:type="gramStart"/>
            <w:r w:rsidRPr="00185F7A">
              <w:rPr>
                <w:rFonts w:ascii="Arial" w:hAnsi="Arial" w:cs="Arial"/>
                <w:color w:val="000000" w:themeColor="text1"/>
                <w:lang w:eastAsia="en-GB"/>
              </w:rPr>
              <w:t>practices, and</w:t>
            </w:r>
            <w:proofErr w:type="gramEnd"/>
            <w:r w:rsidRPr="00185F7A">
              <w:rPr>
                <w:rFonts w:ascii="Arial" w:hAnsi="Arial" w:cs="Arial"/>
                <w:color w:val="000000" w:themeColor="text1"/>
                <w:lang w:eastAsia="en-GB"/>
              </w:rPr>
              <w:t xml:space="preserve"> ensure students’ learning experiences and outcomes are equivalent regardless of learning and teaching location or delivery arrangements.</w:t>
            </w:r>
          </w:p>
        </w:tc>
      </w:tr>
      <w:tr w:rsidR="00F97581" w:rsidRPr="00185F7A" w14:paraId="23FF4A04" w14:textId="77777777" w:rsidTr="1F3139DE">
        <w:tc>
          <w:tcPr>
            <w:tcW w:w="1222" w:type="pct"/>
            <w:tcBorders>
              <w:top w:val="nil"/>
              <w:left w:val="nil"/>
              <w:bottom w:val="nil"/>
              <w:right w:val="nil"/>
            </w:tcBorders>
            <w:shd w:val="clear" w:color="auto" w:fill="auto"/>
          </w:tcPr>
          <w:p w14:paraId="607F57F9" w14:textId="77777777" w:rsidR="00F97581" w:rsidRPr="00185F7A" w:rsidRDefault="00F97581" w:rsidP="00184103">
            <w:pPr>
              <w:spacing w:before="120" w:after="120"/>
              <w:rPr>
                <w:rFonts w:ascii="Arial" w:hAnsi="Arial" w:cs="Arial"/>
                <w:szCs w:val="20"/>
              </w:rPr>
            </w:pPr>
            <w:r w:rsidRPr="00185F7A">
              <w:rPr>
                <w:rFonts w:ascii="Arial" w:hAnsi="Arial" w:cs="Arial"/>
                <w:szCs w:val="20"/>
              </w:rPr>
              <w:t>Audience</w:t>
            </w:r>
          </w:p>
        </w:tc>
        <w:tc>
          <w:tcPr>
            <w:tcW w:w="3778" w:type="pct"/>
            <w:tcBorders>
              <w:top w:val="nil"/>
              <w:left w:val="nil"/>
              <w:bottom w:val="nil"/>
              <w:right w:val="nil"/>
            </w:tcBorders>
            <w:shd w:val="clear" w:color="auto" w:fill="auto"/>
          </w:tcPr>
          <w:p w14:paraId="105EE837" w14:textId="77777777" w:rsidR="00F97581" w:rsidRPr="00185F7A" w:rsidRDefault="00F97581" w:rsidP="00184103">
            <w:pPr>
              <w:spacing w:before="120" w:after="120"/>
              <w:rPr>
                <w:rFonts w:ascii="Arial" w:hAnsi="Arial" w:cs="Arial"/>
                <w:szCs w:val="20"/>
              </w:rPr>
            </w:pPr>
            <w:r w:rsidRPr="00185F7A">
              <w:rPr>
                <w:rFonts w:ascii="Arial" w:hAnsi="Arial" w:cs="Arial"/>
                <w:szCs w:val="20"/>
              </w:rPr>
              <w:t>Staff</w:t>
            </w:r>
          </w:p>
        </w:tc>
      </w:tr>
      <w:tr w:rsidR="00F97581" w:rsidRPr="00185F7A" w14:paraId="1F5CFFB3" w14:textId="77777777" w:rsidTr="1F3139DE">
        <w:tc>
          <w:tcPr>
            <w:tcW w:w="1222" w:type="pct"/>
            <w:tcBorders>
              <w:top w:val="nil"/>
              <w:left w:val="nil"/>
              <w:bottom w:val="nil"/>
              <w:right w:val="nil"/>
            </w:tcBorders>
            <w:shd w:val="clear" w:color="auto" w:fill="E6E7E8"/>
          </w:tcPr>
          <w:p w14:paraId="13C75299" w14:textId="77777777" w:rsidR="00F97581" w:rsidRPr="00185F7A" w:rsidRDefault="00F97581" w:rsidP="00184103">
            <w:pPr>
              <w:spacing w:before="120" w:after="120"/>
              <w:rPr>
                <w:rFonts w:ascii="Arial" w:hAnsi="Arial" w:cs="Arial"/>
                <w:szCs w:val="20"/>
              </w:rPr>
            </w:pPr>
            <w:r w:rsidRPr="00185F7A">
              <w:rPr>
                <w:rFonts w:ascii="Arial" w:hAnsi="Arial" w:cs="Arial"/>
                <w:szCs w:val="20"/>
              </w:rPr>
              <w:t>Category</w:t>
            </w:r>
          </w:p>
        </w:tc>
        <w:tc>
          <w:tcPr>
            <w:tcW w:w="3778" w:type="pct"/>
            <w:tcBorders>
              <w:top w:val="nil"/>
              <w:left w:val="nil"/>
              <w:bottom w:val="nil"/>
              <w:right w:val="nil"/>
            </w:tcBorders>
            <w:shd w:val="clear" w:color="auto" w:fill="E6E7E8"/>
          </w:tcPr>
          <w:p w14:paraId="60B87492" w14:textId="77777777" w:rsidR="00F97581" w:rsidRPr="00185F7A" w:rsidRDefault="00F97581" w:rsidP="00184103">
            <w:pPr>
              <w:spacing w:before="120" w:after="120"/>
              <w:rPr>
                <w:rFonts w:ascii="Arial" w:hAnsi="Arial" w:cs="Arial"/>
                <w:szCs w:val="20"/>
              </w:rPr>
            </w:pPr>
            <w:r w:rsidRPr="00185F7A">
              <w:rPr>
                <w:rFonts w:ascii="Arial" w:hAnsi="Arial" w:cs="Arial"/>
                <w:szCs w:val="20"/>
              </w:rPr>
              <w:t xml:space="preserve">Academic </w:t>
            </w:r>
          </w:p>
        </w:tc>
      </w:tr>
      <w:tr w:rsidR="00F97581" w:rsidRPr="00185F7A" w14:paraId="652196CE" w14:textId="77777777" w:rsidTr="1F3139DE">
        <w:tc>
          <w:tcPr>
            <w:tcW w:w="1222" w:type="pct"/>
            <w:tcBorders>
              <w:top w:val="nil"/>
              <w:left w:val="nil"/>
              <w:bottom w:val="nil"/>
              <w:right w:val="nil"/>
            </w:tcBorders>
            <w:shd w:val="clear" w:color="auto" w:fill="auto"/>
          </w:tcPr>
          <w:p w14:paraId="4DCA36C4" w14:textId="77777777" w:rsidR="00F97581" w:rsidRPr="00185F7A" w:rsidRDefault="00F97581" w:rsidP="00184103">
            <w:pPr>
              <w:spacing w:before="120" w:after="120"/>
              <w:rPr>
                <w:rFonts w:ascii="Arial" w:hAnsi="Arial" w:cs="Arial"/>
                <w:szCs w:val="20"/>
              </w:rPr>
            </w:pPr>
            <w:r w:rsidRPr="00185F7A">
              <w:rPr>
                <w:rFonts w:ascii="Arial" w:hAnsi="Arial" w:cs="Arial"/>
                <w:szCs w:val="20"/>
              </w:rPr>
              <w:t>Subcategory</w:t>
            </w:r>
          </w:p>
        </w:tc>
        <w:tc>
          <w:tcPr>
            <w:tcW w:w="3778" w:type="pct"/>
            <w:tcBorders>
              <w:top w:val="nil"/>
              <w:left w:val="nil"/>
              <w:bottom w:val="nil"/>
              <w:right w:val="nil"/>
            </w:tcBorders>
            <w:shd w:val="clear" w:color="auto" w:fill="auto"/>
          </w:tcPr>
          <w:p w14:paraId="61A3D4A5" w14:textId="77777777" w:rsidR="00F97581" w:rsidRPr="00185F7A" w:rsidRDefault="00F97581" w:rsidP="00184103">
            <w:pPr>
              <w:spacing w:before="120" w:after="120"/>
              <w:rPr>
                <w:rFonts w:ascii="Arial" w:hAnsi="Arial" w:cs="Arial"/>
                <w:szCs w:val="20"/>
              </w:rPr>
            </w:pPr>
            <w:r w:rsidRPr="00185F7A">
              <w:rPr>
                <w:rFonts w:ascii="Arial" w:hAnsi="Arial" w:cs="Arial"/>
                <w:szCs w:val="20"/>
              </w:rPr>
              <w:t>Learning and Teaching</w:t>
            </w:r>
          </w:p>
        </w:tc>
      </w:tr>
      <w:tr w:rsidR="00F97581" w:rsidRPr="00185F7A" w14:paraId="6DAAF360" w14:textId="77777777" w:rsidTr="1F3139DE">
        <w:tc>
          <w:tcPr>
            <w:tcW w:w="1222" w:type="pct"/>
            <w:tcBorders>
              <w:top w:val="nil"/>
              <w:left w:val="nil"/>
              <w:bottom w:val="nil"/>
              <w:right w:val="nil"/>
            </w:tcBorders>
            <w:shd w:val="clear" w:color="auto" w:fill="E6E7E8"/>
          </w:tcPr>
          <w:p w14:paraId="54A34702" w14:textId="77777777" w:rsidR="00F97581" w:rsidRPr="00185F7A" w:rsidRDefault="00F97581" w:rsidP="00184103">
            <w:pPr>
              <w:spacing w:before="120" w:after="120"/>
              <w:rPr>
                <w:rFonts w:ascii="Arial" w:hAnsi="Arial" w:cs="Arial"/>
                <w:szCs w:val="20"/>
              </w:rPr>
            </w:pPr>
            <w:r w:rsidRPr="00185F7A">
              <w:rPr>
                <w:rFonts w:ascii="Arial" w:hAnsi="Arial" w:cs="Arial"/>
                <w:szCs w:val="20"/>
              </w:rPr>
              <w:t>Approval date</w:t>
            </w:r>
          </w:p>
          <w:p w14:paraId="16E80054" w14:textId="77777777" w:rsidR="00F97581" w:rsidRPr="00185F7A" w:rsidRDefault="00F97581" w:rsidP="00184103">
            <w:pPr>
              <w:spacing w:before="120" w:after="120"/>
              <w:rPr>
                <w:rFonts w:ascii="Arial" w:hAnsi="Arial" w:cs="Arial"/>
                <w:szCs w:val="20"/>
              </w:rPr>
            </w:pPr>
            <w:r w:rsidRPr="00185F7A">
              <w:rPr>
                <w:rFonts w:ascii="Arial" w:hAnsi="Arial" w:cs="Arial"/>
                <w:szCs w:val="20"/>
              </w:rPr>
              <w:t>Effective date</w:t>
            </w:r>
          </w:p>
        </w:tc>
        <w:tc>
          <w:tcPr>
            <w:tcW w:w="3778" w:type="pct"/>
            <w:tcBorders>
              <w:top w:val="nil"/>
              <w:left w:val="nil"/>
              <w:bottom w:val="nil"/>
              <w:right w:val="nil"/>
            </w:tcBorders>
            <w:shd w:val="clear" w:color="auto" w:fill="E6E7E8"/>
          </w:tcPr>
          <w:p w14:paraId="5D615FDE" w14:textId="3228666C" w:rsidR="00F97581" w:rsidRPr="00185F7A" w:rsidRDefault="007D5292" w:rsidP="00184103">
            <w:pPr>
              <w:spacing w:before="120" w:after="120"/>
              <w:rPr>
                <w:rFonts w:ascii="Arial" w:hAnsi="Arial" w:cs="Arial"/>
                <w:szCs w:val="20"/>
              </w:rPr>
            </w:pPr>
            <w:r w:rsidRPr="00185F7A">
              <w:rPr>
                <w:rFonts w:ascii="Arial" w:hAnsi="Arial" w:cs="Arial"/>
                <w:szCs w:val="20"/>
              </w:rPr>
              <w:t>14 March 2023</w:t>
            </w:r>
          </w:p>
          <w:p w14:paraId="7BA7C12E" w14:textId="77777777" w:rsidR="00F97581" w:rsidRPr="00185F7A" w:rsidRDefault="00F97581" w:rsidP="00184103">
            <w:pPr>
              <w:spacing w:before="120" w:after="120"/>
              <w:rPr>
                <w:rFonts w:ascii="Arial" w:hAnsi="Arial" w:cs="Arial"/>
                <w:szCs w:val="20"/>
              </w:rPr>
            </w:pPr>
            <w:r w:rsidRPr="00185F7A">
              <w:rPr>
                <w:rFonts w:ascii="Arial" w:hAnsi="Arial" w:cs="Arial"/>
                <w:szCs w:val="20"/>
              </w:rPr>
              <w:t>Trimester 2, 2023</w:t>
            </w:r>
          </w:p>
        </w:tc>
      </w:tr>
      <w:tr w:rsidR="00F97581" w:rsidRPr="00185F7A" w14:paraId="0E559799" w14:textId="77777777" w:rsidTr="1F3139DE">
        <w:tc>
          <w:tcPr>
            <w:tcW w:w="1222" w:type="pct"/>
            <w:tcBorders>
              <w:top w:val="nil"/>
              <w:left w:val="nil"/>
              <w:bottom w:val="nil"/>
              <w:right w:val="nil"/>
            </w:tcBorders>
            <w:shd w:val="clear" w:color="auto" w:fill="auto"/>
          </w:tcPr>
          <w:p w14:paraId="524798D8" w14:textId="77777777" w:rsidR="00F97581" w:rsidRPr="00185F7A" w:rsidRDefault="00F97581" w:rsidP="00184103">
            <w:pPr>
              <w:spacing w:before="120" w:after="120"/>
              <w:rPr>
                <w:rFonts w:ascii="Arial" w:hAnsi="Arial" w:cs="Arial"/>
                <w:szCs w:val="20"/>
              </w:rPr>
            </w:pPr>
            <w:r w:rsidRPr="00185F7A">
              <w:rPr>
                <w:rFonts w:ascii="Arial" w:hAnsi="Arial" w:cs="Arial"/>
                <w:szCs w:val="20"/>
              </w:rPr>
              <w:t>Review date</w:t>
            </w:r>
          </w:p>
        </w:tc>
        <w:tc>
          <w:tcPr>
            <w:tcW w:w="3778" w:type="pct"/>
            <w:tcBorders>
              <w:top w:val="nil"/>
              <w:left w:val="nil"/>
              <w:bottom w:val="nil"/>
              <w:right w:val="nil"/>
            </w:tcBorders>
            <w:shd w:val="clear" w:color="auto" w:fill="auto"/>
          </w:tcPr>
          <w:p w14:paraId="1FBF70C2" w14:textId="77777777" w:rsidR="00F97581" w:rsidRPr="00185F7A" w:rsidRDefault="00F97581" w:rsidP="00184103">
            <w:pPr>
              <w:spacing w:before="120" w:after="120"/>
              <w:rPr>
                <w:rFonts w:ascii="Arial" w:hAnsi="Arial" w:cs="Arial"/>
                <w:szCs w:val="20"/>
              </w:rPr>
            </w:pPr>
            <w:r w:rsidRPr="00185F7A">
              <w:rPr>
                <w:rFonts w:ascii="Arial" w:hAnsi="Arial" w:cs="Arial"/>
                <w:szCs w:val="20"/>
              </w:rPr>
              <w:t>2028</w:t>
            </w:r>
          </w:p>
        </w:tc>
      </w:tr>
      <w:tr w:rsidR="00F97581" w:rsidRPr="00185F7A" w14:paraId="52F3D468" w14:textId="77777777" w:rsidTr="1F3139DE">
        <w:tc>
          <w:tcPr>
            <w:tcW w:w="1222" w:type="pct"/>
            <w:tcBorders>
              <w:top w:val="nil"/>
              <w:left w:val="nil"/>
              <w:bottom w:val="nil"/>
              <w:right w:val="nil"/>
            </w:tcBorders>
            <w:shd w:val="clear" w:color="auto" w:fill="E6E7E8"/>
          </w:tcPr>
          <w:p w14:paraId="04A58940" w14:textId="77777777" w:rsidR="00F97581" w:rsidRPr="00185F7A" w:rsidRDefault="00F97581" w:rsidP="00184103">
            <w:pPr>
              <w:spacing w:before="120" w:after="120"/>
              <w:rPr>
                <w:rFonts w:ascii="Arial" w:hAnsi="Arial" w:cs="Arial"/>
                <w:szCs w:val="20"/>
              </w:rPr>
            </w:pPr>
            <w:r w:rsidRPr="00185F7A">
              <w:rPr>
                <w:rFonts w:ascii="Arial" w:hAnsi="Arial" w:cs="Arial"/>
                <w:szCs w:val="20"/>
              </w:rPr>
              <w:t>Policy advisor</w:t>
            </w:r>
          </w:p>
        </w:tc>
        <w:tc>
          <w:tcPr>
            <w:tcW w:w="3778" w:type="pct"/>
            <w:tcBorders>
              <w:top w:val="nil"/>
              <w:left w:val="nil"/>
              <w:bottom w:val="nil"/>
              <w:right w:val="nil"/>
            </w:tcBorders>
            <w:shd w:val="clear" w:color="auto" w:fill="E6E7E8"/>
          </w:tcPr>
          <w:p w14:paraId="5D8F065C" w14:textId="77777777" w:rsidR="00F97581" w:rsidRPr="00185F7A" w:rsidRDefault="00F97581" w:rsidP="00184103">
            <w:pPr>
              <w:spacing w:before="120" w:after="120"/>
              <w:rPr>
                <w:rFonts w:ascii="Arial" w:hAnsi="Arial" w:cs="Arial"/>
                <w:szCs w:val="20"/>
              </w:rPr>
            </w:pPr>
            <w:r w:rsidRPr="00185F7A">
              <w:rPr>
                <w:rFonts w:ascii="Arial" w:hAnsi="Arial" w:cs="Arial"/>
                <w:szCs w:val="20"/>
              </w:rPr>
              <w:t xml:space="preserve">Director, Student Credentials </w:t>
            </w:r>
          </w:p>
        </w:tc>
      </w:tr>
      <w:tr w:rsidR="00F97581" w:rsidRPr="00185F7A" w14:paraId="192AD281" w14:textId="77777777" w:rsidTr="1F3139DE">
        <w:tc>
          <w:tcPr>
            <w:tcW w:w="1222" w:type="pct"/>
            <w:tcBorders>
              <w:top w:val="nil"/>
              <w:left w:val="nil"/>
              <w:bottom w:val="nil"/>
              <w:right w:val="nil"/>
            </w:tcBorders>
            <w:shd w:val="clear" w:color="auto" w:fill="auto"/>
          </w:tcPr>
          <w:p w14:paraId="6F288394" w14:textId="77777777" w:rsidR="00F97581" w:rsidRPr="00185F7A" w:rsidRDefault="00F97581" w:rsidP="00184103">
            <w:pPr>
              <w:spacing w:before="120" w:after="120"/>
              <w:rPr>
                <w:rFonts w:ascii="Arial" w:hAnsi="Arial" w:cs="Arial"/>
                <w:szCs w:val="20"/>
              </w:rPr>
            </w:pPr>
            <w:r w:rsidRPr="00185F7A">
              <w:rPr>
                <w:rFonts w:ascii="Arial" w:hAnsi="Arial" w:cs="Arial"/>
                <w:szCs w:val="20"/>
              </w:rPr>
              <w:t>Approving authority</w:t>
            </w:r>
          </w:p>
        </w:tc>
        <w:tc>
          <w:tcPr>
            <w:tcW w:w="3778" w:type="pct"/>
            <w:tcBorders>
              <w:top w:val="nil"/>
              <w:left w:val="nil"/>
              <w:bottom w:val="nil"/>
              <w:right w:val="nil"/>
            </w:tcBorders>
            <w:shd w:val="clear" w:color="auto" w:fill="auto"/>
          </w:tcPr>
          <w:p w14:paraId="004CB0E4" w14:textId="4D91823C" w:rsidR="008176FF" w:rsidRPr="00185F7A" w:rsidRDefault="0080573A" w:rsidP="00184103">
            <w:pPr>
              <w:spacing w:before="120" w:after="120"/>
              <w:rPr>
                <w:rFonts w:ascii="Arial" w:hAnsi="Arial" w:cs="Arial"/>
                <w:szCs w:val="20"/>
              </w:rPr>
            </w:pPr>
            <w:r w:rsidRPr="00185F7A">
              <w:rPr>
                <w:rFonts w:ascii="Arial" w:hAnsi="Arial" w:cs="Arial"/>
                <w:szCs w:val="20"/>
              </w:rPr>
              <w:t>Provost</w:t>
            </w:r>
          </w:p>
        </w:tc>
      </w:tr>
    </w:tbl>
    <w:p w14:paraId="57188A35" w14:textId="6BA855E8" w:rsidR="00032305" w:rsidRPr="00185F7A" w:rsidRDefault="00032305" w:rsidP="00032305">
      <w:pPr>
        <w:tabs>
          <w:tab w:val="left" w:pos="3707"/>
        </w:tabs>
        <w:rPr>
          <w:rFonts w:ascii="Arial" w:hAnsi="Arial" w:cs="Arial"/>
        </w:rPr>
        <w:sectPr w:rsidR="00032305" w:rsidRPr="00185F7A" w:rsidSect="007C1483">
          <w:headerReference w:type="default" r:id="rId18"/>
          <w:footerReference w:type="default" r:id="rId19"/>
          <w:headerReference w:type="first" r:id="rId20"/>
          <w:footerReference w:type="first" r:id="rId21"/>
          <w:type w:val="continuous"/>
          <w:pgSz w:w="11900" w:h="16820" w:code="9"/>
          <w:pgMar w:top="1985" w:right="1021" w:bottom="1021" w:left="1021" w:header="680" w:footer="454" w:gutter="0"/>
          <w:cols w:space="454"/>
          <w:titlePg/>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409"/>
        <w:gridCol w:w="7449"/>
      </w:tblGrid>
      <w:tr w:rsidR="008C4067" w:rsidRPr="00185F7A" w14:paraId="4F87D20D" w14:textId="77777777" w:rsidTr="5C66399C">
        <w:tc>
          <w:tcPr>
            <w:tcW w:w="5000" w:type="pct"/>
            <w:gridSpan w:val="2"/>
            <w:tcBorders>
              <w:bottom w:val="single" w:sz="8" w:space="0" w:color="E30918"/>
            </w:tcBorders>
            <w:shd w:val="clear" w:color="auto" w:fill="auto"/>
          </w:tcPr>
          <w:p w14:paraId="47B6EBFB" w14:textId="77777777" w:rsidR="008C4067" w:rsidRPr="00185F7A" w:rsidRDefault="008C4067" w:rsidP="00184103">
            <w:pPr>
              <w:spacing w:before="120" w:after="120"/>
              <w:rPr>
                <w:rFonts w:ascii="Arial" w:hAnsi="Arial" w:cs="Arial"/>
                <w:b/>
                <w:bCs/>
                <w:szCs w:val="20"/>
              </w:rPr>
            </w:pPr>
            <w:r w:rsidRPr="00185F7A">
              <w:rPr>
                <w:rFonts w:ascii="Arial" w:hAnsi="Arial" w:cs="Arial"/>
                <w:b/>
                <w:bCs/>
                <w:caps/>
                <w:color w:val="E30918"/>
                <w:szCs w:val="20"/>
              </w:rPr>
              <w:lastRenderedPageBreak/>
              <w:t>RELATED POLICY DOCUMENTS AND supporting documents</w:t>
            </w:r>
          </w:p>
        </w:tc>
      </w:tr>
      <w:tr w:rsidR="008C4067" w:rsidRPr="00185F7A" w14:paraId="29C9DD0B" w14:textId="77777777" w:rsidTr="5C66399C">
        <w:tc>
          <w:tcPr>
            <w:tcW w:w="1222" w:type="pct"/>
            <w:tcBorders>
              <w:top w:val="single" w:sz="8" w:space="0" w:color="E30918"/>
            </w:tcBorders>
            <w:shd w:val="clear" w:color="auto" w:fill="E6E7E8"/>
          </w:tcPr>
          <w:p w14:paraId="28921CB5" w14:textId="77777777" w:rsidR="008C4067" w:rsidRPr="00185F7A" w:rsidRDefault="008C4067" w:rsidP="00184103">
            <w:pPr>
              <w:spacing w:before="120" w:after="120"/>
              <w:rPr>
                <w:rFonts w:ascii="Arial" w:hAnsi="Arial" w:cs="Arial"/>
                <w:szCs w:val="20"/>
              </w:rPr>
            </w:pPr>
            <w:r w:rsidRPr="00185F7A">
              <w:rPr>
                <w:rFonts w:ascii="Arial" w:hAnsi="Arial" w:cs="Arial"/>
                <w:szCs w:val="20"/>
              </w:rPr>
              <w:t xml:space="preserve">Legislation </w:t>
            </w:r>
          </w:p>
        </w:tc>
        <w:tc>
          <w:tcPr>
            <w:tcW w:w="3778" w:type="pct"/>
            <w:tcBorders>
              <w:top w:val="single" w:sz="8" w:space="0" w:color="E30918"/>
            </w:tcBorders>
            <w:shd w:val="clear" w:color="auto" w:fill="E6E7E8"/>
          </w:tcPr>
          <w:p w14:paraId="08641962" w14:textId="77777777" w:rsidR="008C4067" w:rsidRPr="00185F7A" w:rsidRDefault="005C2C9C" w:rsidP="00184103">
            <w:pPr>
              <w:spacing w:before="120" w:after="120"/>
              <w:rPr>
                <w:rStyle w:val="Hyperlink"/>
                <w:rFonts w:ascii="Arial" w:hAnsi="Arial" w:cs="Arial"/>
                <w:szCs w:val="20"/>
              </w:rPr>
            </w:pPr>
            <w:hyperlink r:id="rId22" w:history="1">
              <w:r w:rsidR="008C4067" w:rsidRPr="00185F7A">
                <w:rPr>
                  <w:rStyle w:val="Hyperlink"/>
                  <w:rFonts w:ascii="Arial" w:hAnsi="Arial" w:cs="Arial"/>
                  <w:szCs w:val="20"/>
                </w:rPr>
                <w:t>Higher Education Standards Framework (Threshold Standards) 2021</w:t>
              </w:r>
            </w:hyperlink>
          </w:p>
          <w:p w14:paraId="032E7EFA" w14:textId="77777777" w:rsidR="008C4067" w:rsidRPr="00185F7A" w:rsidRDefault="005C2C9C" w:rsidP="00184103">
            <w:pPr>
              <w:spacing w:before="120" w:after="120"/>
              <w:rPr>
                <w:rFonts w:ascii="Arial" w:hAnsi="Arial" w:cs="Arial"/>
                <w:color w:val="E30918"/>
                <w:szCs w:val="20"/>
                <w:u w:val="single"/>
              </w:rPr>
            </w:pPr>
            <w:hyperlink r:id="rId23" w:history="1">
              <w:r w:rsidR="008C4067" w:rsidRPr="00185F7A">
                <w:rPr>
                  <w:rStyle w:val="Hyperlink"/>
                  <w:rFonts w:ascii="Arial" w:hAnsi="Arial" w:cs="Arial"/>
                  <w:szCs w:val="20"/>
                </w:rPr>
                <w:t>National Code of Practice for Providers of Education and Training to Overseas Students 2018</w:t>
              </w:r>
            </w:hyperlink>
          </w:p>
        </w:tc>
      </w:tr>
      <w:tr w:rsidR="008C4067" w:rsidRPr="00185F7A" w14:paraId="2303FDBB" w14:textId="77777777" w:rsidTr="5C66399C">
        <w:tc>
          <w:tcPr>
            <w:tcW w:w="1222" w:type="pct"/>
            <w:shd w:val="clear" w:color="auto" w:fill="auto"/>
          </w:tcPr>
          <w:p w14:paraId="4031A685" w14:textId="77777777" w:rsidR="008C4067" w:rsidRPr="00185F7A" w:rsidRDefault="008C4067" w:rsidP="00184103">
            <w:pPr>
              <w:spacing w:before="120" w:after="120"/>
              <w:rPr>
                <w:rFonts w:ascii="Arial" w:hAnsi="Arial" w:cs="Arial"/>
                <w:szCs w:val="20"/>
              </w:rPr>
            </w:pPr>
            <w:r w:rsidRPr="00185F7A">
              <w:rPr>
                <w:rFonts w:ascii="Arial" w:hAnsi="Arial" w:cs="Arial"/>
                <w:szCs w:val="20"/>
              </w:rPr>
              <w:t>Policy</w:t>
            </w:r>
          </w:p>
        </w:tc>
        <w:tc>
          <w:tcPr>
            <w:tcW w:w="3778" w:type="pct"/>
            <w:shd w:val="clear" w:color="auto" w:fill="auto"/>
          </w:tcPr>
          <w:p w14:paraId="4BCE1DA6" w14:textId="77777777" w:rsidR="008C4067" w:rsidRPr="00185F7A" w:rsidRDefault="005C2C9C" w:rsidP="00184103">
            <w:pPr>
              <w:spacing w:before="120" w:after="120"/>
              <w:rPr>
                <w:rFonts w:ascii="Arial" w:hAnsi="Arial" w:cs="Arial"/>
              </w:rPr>
            </w:pPr>
            <w:hyperlink r:id="rId24">
              <w:r w:rsidR="008C4067" w:rsidRPr="00185F7A">
                <w:rPr>
                  <w:rStyle w:val="Hyperlink"/>
                  <w:rFonts w:ascii="Arial" w:hAnsi="Arial" w:cs="Arial"/>
                </w:rPr>
                <w:t>Academic Delivery with Other Parties Policy</w:t>
              </w:r>
            </w:hyperlink>
            <w:r w:rsidR="008C4067" w:rsidRPr="00185F7A">
              <w:rPr>
                <w:rFonts w:ascii="Arial" w:hAnsi="Arial" w:cs="Arial"/>
              </w:rPr>
              <w:t xml:space="preserve"> </w:t>
            </w:r>
          </w:p>
          <w:p w14:paraId="3D544145" w14:textId="77777777" w:rsidR="008C4067" w:rsidRPr="00185F7A" w:rsidRDefault="005C2C9C" w:rsidP="00184103">
            <w:pPr>
              <w:spacing w:before="120" w:after="120"/>
              <w:rPr>
                <w:rFonts w:ascii="Arial" w:hAnsi="Arial" w:cs="Arial"/>
                <w:szCs w:val="20"/>
              </w:rPr>
            </w:pPr>
            <w:hyperlink r:id="rId25" w:history="1">
              <w:r w:rsidR="008C4067" w:rsidRPr="00185F7A">
                <w:rPr>
                  <w:rStyle w:val="Hyperlink"/>
                  <w:rFonts w:ascii="Arial" w:hAnsi="Arial" w:cs="Arial"/>
                  <w:szCs w:val="20"/>
                </w:rPr>
                <w:t>Assessment Policy</w:t>
              </w:r>
            </w:hyperlink>
          </w:p>
          <w:p w14:paraId="6458D758" w14:textId="77777777" w:rsidR="008C4067" w:rsidRPr="00185F7A" w:rsidRDefault="005C2C9C" w:rsidP="00184103">
            <w:pPr>
              <w:spacing w:before="120" w:after="120"/>
              <w:rPr>
                <w:rFonts w:ascii="Arial" w:hAnsi="Arial" w:cs="Arial"/>
                <w:szCs w:val="20"/>
              </w:rPr>
            </w:pPr>
            <w:hyperlink r:id="rId26" w:history="1">
              <w:r w:rsidR="008C4067" w:rsidRPr="00185F7A">
                <w:rPr>
                  <w:rStyle w:val="Hyperlink"/>
                  <w:rFonts w:ascii="Arial" w:hAnsi="Arial" w:cs="Arial"/>
                  <w:szCs w:val="20"/>
                </w:rPr>
                <w:t>Credit and Recognition of Prior Learning Policy</w:t>
              </w:r>
            </w:hyperlink>
          </w:p>
          <w:p w14:paraId="3F4A3EA9" w14:textId="77777777" w:rsidR="008C4067" w:rsidRPr="00185F7A" w:rsidRDefault="005C2C9C" w:rsidP="00184103">
            <w:pPr>
              <w:spacing w:before="120" w:after="120"/>
              <w:rPr>
                <w:rFonts w:ascii="Arial" w:hAnsi="Arial" w:cs="Arial"/>
                <w:szCs w:val="20"/>
              </w:rPr>
            </w:pPr>
            <w:hyperlink r:id="rId27" w:history="1">
              <w:r w:rsidR="008C4067" w:rsidRPr="00185F7A">
                <w:rPr>
                  <w:rStyle w:val="Hyperlink"/>
                  <w:rFonts w:ascii="Arial" w:hAnsi="Arial" w:cs="Arial"/>
                  <w:szCs w:val="20"/>
                </w:rPr>
                <w:t>Due Diligence for Transnational Program Partnerships Policy</w:t>
              </w:r>
            </w:hyperlink>
          </w:p>
          <w:p w14:paraId="1E529E42" w14:textId="77777777" w:rsidR="008C4067" w:rsidRPr="00185F7A" w:rsidRDefault="005C2C9C" w:rsidP="00184103">
            <w:pPr>
              <w:spacing w:before="120" w:after="120"/>
              <w:rPr>
                <w:rStyle w:val="Hyperlink"/>
                <w:rFonts w:ascii="Arial" w:hAnsi="Arial" w:cs="Arial"/>
                <w:szCs w:val="20"/>
              </w:rPr>
            </w:pPr>
            <w:hyperlink r:id="rId28" w:history="1">
              <w:r w:rsidR="008C4067" w:rsidRPr="00185F7A">
                <w:rPr>
                  <w:rStyle w:val="Hyperlink"/>
                  <w:rFonts w:ascii="Arial" w:hAnsi="Arial" w:cs="Arial"/>
                  <w:szCs w:val="20"/>
                </w:rPr>
                <w:t>Griffith Global Mobility Policy</w:t>
              </w:r>
            </w:hyperlink>
          </w:p>
          <w:p w14:paraId="628DFAAE" w14:textId="77777777" w:rsidR="008C4067" w:rsidRPr="00185F7A" w:rsidRDefault="005C2C9C" w:rsidP="00184103">
            <w:pPr>
              <w:spacing w:before="120" w:after="120"/>
              <w:rPr>
                <w:rStyle w:val="Hyperlink"/>
                <w:rFonts w:ascii="Arial" w:hAnsi="Arial" w:cs="Arial"/>
                <w:szCs w:val="20"/>
              </w:rPr>
            </w:pPr>
            <w:hyperlink r:id="rId29" w:history="1">
              <w:r w:rsidR="008C4067" w:rsidRPr="00185F7A">
                <w:rPr>
                  <w:rStyle w:val="Hyperlink"/>
                  <w:rFonts w:ascii="Arial" w:hAnsi="Arial" w:cs="Arial"/>
                  <w:szCs w:val="20"/>
                </w:rPr>
                <w:t>Procurement and Supply Policy</w:t>
              </w:r>
            </w:hyperlink>
          </w:p>
          <w:p w14:paraId="7BD6C198" w14:textId="77777777" w:rsidR="008C4067" w:rsidRPr="00185F7A" w:rsidRDefault="008C4067" w:rsidP="00184103">
            <w:pPr>
              <w:spacing w:before="120" w:after="120"/>
              <w:rPr>
                <w:rFonts w:ascii="Arial" w:hAnsi="Arial" w:cs="Arial"/>
                <w:color w:val="E30918"/>
                <w:szCs w:val="20"/>
                <w:u w:val="single"/>
              </w:rPr>
            </w:pPr>
            <w:r w:rsidRPr="00185F7A">
              <w:rPr>
                <w:rFonts w:ascii="Arial" w:hAnsi="Arial" w:cs="Arial"/>
                <w:color w:val="E30918"/>
                <w:szCs w:val="20"/>
                <w:u w:val="single"/>
              </w:rPr>
              <w:t xml:space="preserve">Program and Course Policy </w:t>
            </w:r>
          </w:p>
          <w:p w14:paraId="78CDE2FF" w14:textId="77777777" w:rsidR="008C4067" w:rsidRPr="00185F7A" w:rsidRDefault="005C2C9C" w:rsidP="00184103">
            <w:pPr>
              <w:spacing w:before="120" w:after="120"/>
              <w:rPr>
                <w:rFonts w:ascii="Arial" w:hAnsi="Arial" w:cs="Arial"/>
                <w:color w:val="E30918"/>
                <w:szCs w:val="20"/>
                <w:u w:val="single"/>
              </w:rPr>
            </w:pPr>
            <w:hyperlink r:id="rId30" w:history="1">
              <w:r w:rsidR="008C4067" w:rsidRPr="00185F7A">
                <w:rPr>
                  <w:rStyle w:val="Hyperlink"/>
                  <w:rFonts w:ascii="Arial" w:hAnsi="Arial" w:cs="Arial"/>
                  <w:szCs w:val="20"/>
                  <w:lang w:val="en-GB" w:eastAsia="en-US"/>
                </w:rPr>
                <w:t>Risk and Resilience Management Policy</w:t>
              </w:r>
            </w:hyperlink>
          </w:p>
          <w:p w14:paraId="0D8A375E" w14:textId="7BB511B5" w:rsidR="008C4067" w:rsidRPr="00185F7A" w:rsidRDefault="009654B9" w:rsidP="00184103">
            <w:pPr>
              <w:spacing w:before="120" w:after="120"/>
              <w:rPr>
                <w:rStyle w:val="Hyperlink"/>
                <w:rFonts w:ascii="Arial" w:hAnsi="Arial" w:cs="Arial"/>
                <w:szCs w:val="20"/>
              </w:rPr>
            </w:pPr>
            <w:r w:rsidRPr="00185F7A">
              <w:rPr>
                <w:rFonts w:ascii="Arial" w:hAnsi="Arial" w:cs="Arial"/>
                <w:szCs w:val="20"/>
              </w:rPr>
              <w:fldChar w:fldCharType="begin"/>
            </w:r>
            <w:r w:rsidRPr="00185F7A">
              <w:rPr>
                <w:rFonts w:ascii="Arial" w:hAnsi="Arial" w:cs="Arial"/>
                <w:szCs w:val="20"/>
              </w:rPr>
              <w:instrText>HYPERLINK "https://sharepointpubstor.blob.core.windows.net/policylibrary-prod/Admission%20Policy.pdf"</w:instrText>
            </w:r>
            <w:r w:rsidRPr="00185F7A">
              <w:rPr>
                <w:rFonts w:ascii="Arial" w:hAnsi="Arial" w:cs="Arial"/>
                <w:szCs w:val="20"/>
              </w:rPr>
            </w:r>
            <w:r w:rsidRPr="00185F7A">
              <w:rPr>
                <w:rFonts w:ascii="Arial" w:hAnsi="Arial" w:cs="Arial"/>
                <w:szCs w:val="20"/>
              </w:rPr>
              <w:fldChar w:fldCharType="separate"/>
            </w:r>
            <w:r w:rsidR="005A5685" w:rsidRPr="00185F7A">
              <w:rPr>
                <w:rStyle w:val="Hyperlink"/>
                <w:rFonts w:ascii="Arial" w:hAnsi="Arial" w:cs="Arial"/>
                <w:szCs w:val="20"/>
              </w:rPr>
              <w:t>Admission Policy</w:t>
            </w:r>
          </w:p>
          <w:p w14:paraId="0A7AC5D4" w14:textId="254B1658" w:rsidR="008C4067" w:rsidRPr="00185F7A" w:rsidRDefault="009654B9" w:rsidP="00184103">
            <w:pPr>
              <w:spacing w:before="120" w:after="120"/>
              <w:rPr>
                <w:rFonts w:ascii="Arial" w:hAnsi="Arial" w:cs="Arial"/>
                <w:color w:val="E30918"/>
                <w:szCs w:val="20"/>
              </w:rPr>
            </w:pPr>
            <w:r w:rsidRPr="00185F7A">
              <w:rPr>
                <w:rFonts w:ascii="Arial" w:hAnsi="Arial" w:cs="Arial"/>
                <w:szCs w:val="20"/>
              </w:rPr>
              <w:fldChar w:fldCharType="end"/>
            </w:r>
            <w:hyperlink r:id="rId31" w:history="1">
              <w:r w:rsidR="008C4067" w:rsidRPr="00185F7A">
                <w:rPr>
                  <w:rStyle w:val="Hyperlink"/>
                  <w:rFonts w:ascii="Arial" w:hAnsi="Arial" w:cs="Arial"/>
                  <w:szCs w:val="20"/>
                </w:rPr>
                <w:t>Work Integrated Learning at Griffith Policy</w:t>
              </w:r>
            </w:hyperlink>
          </w:p>
        </w:tc>
      </w:tr>
      <w:tr w:rsidR="008C4067" w:rsidRPr="00185F7A" w14:paraId="796C1E67" w14:textId="77777777" w:rsidTr="5C66399C">
        <w:tc>
          <w:tcPr>
            <w:tcW w:w="1222" w:type="pct"/>
            <w:shd w:val="clear" w:color="auto" w:fill="E6E7E8"/>
          </w:tcPr>
          <w:p w14:paraId="6B29ACBF" w14:textId="2745752A" w:rsidR="008C4067" w:rsidRPr="00185F7A" w:rsidRDefault="008C4067" w:rsidP="00184103">
            <w:pPr>
              <w:spacing w:before="120" w:after="120"/>
              <w:rPr>
                <w:rFonts w:ascii="Arial" w:hAnsi="Arial" w:cs="Arial"/>
                <w:szCs w:val="20"/>
              </w:rPr>
            </w:pPr>
            <w:r w:rsidRPr="00185F7A">
              <w:rPr>
                <w:rFonts w:ascii="Arial" w:hAnsi="Arial" w:cs="Arial"/>
                <w:szCs w:val="20"/>
              </w:rPr>
              <w:t>Procedure</w:t>
            </w:r>
          </w:p>
        </w:tc>
        <w:tc>
          <w:tcPr>
            <w:tcW w:w="3778" w:type="pct"/>
            <w:shd w:val="clear" w:color="auto" w:fill="E6E7E8"/>
          </w:tcPr>
          <w:p w14:paraId="61B8AB3A" w14:textId="77777777" w:rsidR="008C4067" w:rsidRPr="00185F7A" w:rsidRDefault="005C2C9C" w:rsidP="00184103">
            <w:pPr>
              <w:spacing w:before="120" w:after="120"/>
              <w:rPr>
                <w:rStyle w:val="Hyperlink"/>
                <w:rFonts w:ascii="Arial" w:hAnsi="Arial" w:cs="Arial"/>
                <w:szCs w:val="20"/>
              </w:rPr>
            </w:pPr>
            <w:hyperlink r:id="rId32" w:history="1">
              <w:r w:rsidR="008C4067" w:rsidRPr="00185F7A">
                <w:rPr>
                  <w:rStyle w:val="Hyperlink"/>
                  <w:rFonts w:ascii="Arial" w:hAnsi="Arial" w:cs="Arial"/>
                  <w:szCs w:val="20"/>
                </w:rPr>
                <w:t>Course Approval Procedure</w:t>
              </w:r>
            </w:hyperlink>
          </w:p>
          <w:p w14:paraId="048DABA3" w14:textId="77777777" w:rsidR="008C4067" w:rsidRPr="00185F7A" w:rsidRDefault="005C2C9C" w:rsidP="00184103">
            <w:pPr>
              <w:spacing w:before="120" w:after="120"/>
              <w:rPr>
                <w:rFonts w:ascii="Arial" w:hAnsi="Arial" w:cs="Arial"/>
                <w:color w:val="E30918"/>
                <w:szCs w:val="20"/>
                <w:u w:val="single"/>
              </w:rPr>
            </w:pPr>
            <w:hyperlink r:id="rId33" w:history="1">
              <w:r w:rsidR="008C4067" w:rsidRPr="00185F7A">
                <w:rPr>
                  <w:rStyle w:val="Hyperlink"/>
                  <w:rFonts w:ascii="Arial" w:hAnsi="Arial" w:cs="Arial"/>
                  <w:szCs w:val="20"/>
                </w:rPr>
                <w:t>Griffith Credentials Planning, Approval and Review Procedure</w:t>
              </w:r>
            </w:hyperlink>
          </w:p>
          <w:p w14:paraId="49FE3E57" w14:textId="77777777" w:rsidR="008C4067" w:rsidRPr="00185F7A" w:rsidRDefault="005C2C9C" w:rsidP="00184103">
            <w:pPr>
              <w:spacing w:before="120" w:after="120"/>
              <w:rPr>
                <w:rFonts w:ascii="Arial" w:hAnsi="Arial" w:cs="Arial"/>
                <w:szCs w:val="20"/>
                <w:highlight w:val="yellow"/>
              </w:rPr>
            </w:pPr>
            <w:hyperlink r:id="rId34" w:history="1">
              <w:r w:rsidR="008C4067" w:rsidRPr="00185F7A">
                <w:rPr>
                  <w:rStyle w:val="Hyperlink"/>
                  <w:rFonts w:ascii="Arial" w:hAnsi="Arial" w:cs="Arial"/>
                  <w:szCs w:val="20"/>
                </w:rPr>
                <w:t>Planning, Developing and Approving Transnational Programs Procedure</w:t>
              </w:r>
            </w:hyperlink>
          </w:p>
          <w:p w14:paraId="39AA7D4D" w14:textId="77777777" w:rsidR="008C4067" w:rsidRPr="00185F7A" w:rsidRDefault="005C2C9C" w:rsidP="00184103">
            <w:pPr>
              <w:spacing w:before="120" w:after="120"/>
              <w:rPr>
                <w:rStyle w:val="Hyperlink"/>
                <w:rFonts w:ascii="Arial" w:hAnsi="Arial" w:cs="Arial"/>
                <w:szCs w:val="20"/>
              </w:rPr>
            </w:pPr>
            <w:hyperlink r:id="rId35" w:history="1">
              <w:r w:rsidR="008C4067" w:rsidRPr="00185F7A">
                <w:rPr>
                  <w:rStyle w:val="Hyperlink"/>
                  <w:rFonts w:ascii="Arial" w:hAnsi="Arial" w:cs="Arial"/>
                  <w:szCs w:val="20"/>
                </w:rPr>
                <w:t>Program and Course Review Procedure</w:t>
              </w:r>
            </w:hyperlink>
          </w:p>
          <w:p w14:paraId="5C95C9D0" w14:textId="77777777" w:rsidR="008C4067" w:rsidRPr="00185F7A" w:rsidRDefault="005C2C9C" w:rsidP="00184103">
            <w:pPr>
              <w:spacing w:before="120" w:after="120"/>
              <w:rPr>
                <w:rFonts w:ascii="Arial" w:hAnsi="Arial" w:cs="Arial"/>
                <w:szCs w:val="20"/>
              </w:rPr>
            </w:pPr>
            <w:hyperlink r:id="rId36" w:history="1">
              <w:r w:rsidR="008C4067" w:rsidRPr="00185F7A">
                <w:rPr>
                  <w:rStyle w:val="Hyperlink"/>
                  <w:rFonts w:ascii="Arial" w:hAnsi="Arial" w:cs="Arial"/>
                  <w:szCs w:val="20"/>
                </w:rPr>
                <w:t>Program Approval Procedure</w:t>
              </w:r>
            </w:hyperlink>
          </w:p>
        </w:tc>
      </w:tr>
      <w:tr w:rsidR="008C4067" w:rsidRPr="00185F7A" w14:paraId="5988D81F" w14:textId="77777777" w:rsidTr="5C66399C">
        <w:tc>
          <w:tcPr>
            <w:tcW w:w="1222" w:type="pct"/>
            <w:shd w:val="clear" w:color="auto" w:fill="auto"/>
          </w:tcPr>
          <w:p w14:paraId="43D7608F" w14:textId="2EACA280" w:rsidR="008C4067" w:rsidRPr="00185F7A" w:rsidRDefault="008C4067" w:rsidP="00184103">
            <w:pPr>
              <w:spacing w:before="120" w:after="120"/>
              <w:rPr>
                <w:rFonts w:ascii="Arial" w:hAnsi="Arial" w:cs="Arial"/>
                <w:szCs w:val="20"/>
              </w:rPr>
            </w:pPr>
            <w:r w:rsidRPr="00185F7A">
              <w:rPr>
                <w:rFonts w:ascii="Arial" w:hAnsi="Arial" w:cs="Arial"/>
                <w:szCs w:val="20"/>
              </w:rPr>
              <w:t>Form</w:t>
            </w:r>
          </w:p>
        </w:tc>
        <w:tc>
          <w:tcPr>
            <w:tcW w:w="3778" w:type="pct"/>
            <w:shd w:val="clear" w:color="auto" w:fill="auto"/>
          </w:tcPr>
          <w:p w14:paraId="38A033A1" w14:textId="1477020B" w:rsidR="008C4067" w:rsidRPr="00185F7A" w:rsidRDefault="005C2C9C" w:rsidP="00184103">
            <w:pPr>
              <w:spacing w:before="120" w:after="120"/>
              <w:rPr>
                <w:rFonts w:ascii="Arial" w:hAnsi="Arial" w:cs="Arial"/>
                <w:szCs w:val="20"/>
                <w:lang w:eastAsia="en-GB"/>
              </w:rPr>
            </w:pPr>
            <w:hyperlink r:id="rId37" w:history="1">
              <w:r w:rsidR="0003706C" w:rsidRPr="00185F7A">
                <w:rPr>
                  <w:rStyle w:val="Hyperlink"/>
                  <w:rFonts w:ascii="Arial" w:hAnsi="Arial" w:cs="Arial"/>
                  <w:szCs w:val="20"/>
                  <w:lang w:eastAsia="en-GB"/>
                </w:rPr>
                <w:t>Academic Delivery with Other Parties – Domestic Coursework Due Diligence Checklist</w:t>
              </w:r>
            </w:hyperlink>
          </w:p>
          <w:p w14:paraId="74E96D9E" w14:textId="6FE34978" w:rsidR="008C4067" w:rsidRPr="00185F7A" w:rsidRDefault="005C2C9C" w:rsidP="00184103">
            <w:pPr>
              <w:spacing w:before="120" w:after="120"/>
              <w:rPr>
                <w:rFonts w:ascii="Arial" w:hAnsi="Arial" w:cs="Arial"/>
                <w:szCs w:val="20"/>
                <w:lang w:eastAsia="en-GB"/>
              </w:rPr>
            </w:pPr>
            <w:hyperlink r:id="rId38" w:history="1">
              <w:r w:rsidR="0003706C" w:rsidRPr="00185F7A">
                <w:rPr>
                  <w:rStyle w:val="Hyperlink"/>
                  <w:rFonts w:ascii="Arial" w:hAnsi="Arial" w:cs="Arial"/>
                  <w:szCs w:val="20"/>
                  <w:lang w:eastAsia="en-GB"/>
                </w:rPr>
                <w:t>Academic Delivery with Other Parties – Domestic Coursework Risk Assessment Template</w:t>
              </w:r>
            </w:hyperlink>
          </w:p>
          <w:p w14:paraId="3A1F4733" w14:textId="566349C8" w:rsidR="008C4067" w:rsidRPr="00185F7A" w:rsidRDefault="005C2C9C" w:rsidP="00184103">
            <w:pPr>
              <w:spacing w:before="120" w:after="120"/>
              <w:rPr>
                <w:rFonts w:ascii="Arial" w:hAnsi="Arial" w:cs="Arial"/>
                <w:szCs w:val="20"/>
                <w:lang w:eastAsia="en-GB"/>
              </w:rPr>
            </w:pPr>
            <w:hyperlink r:id="rId39" w:history="1">
              <w:r w:rsidR="008C4067" w:rsidRPr="00185F7A">
                <w:rPr>
                  <w:rStyle w:val="Hyperlink"/>
                  <w:rFonts w:ascii="Arial" w:hAnsi="Arial" w:cs="Arial"/>
                  <w:szCs w:val="20"/>
                  <w:lang w:eastAsia="en-GB"/>
                </w:rPr>
                <w:t>Academic Delivery with Other Parties – Domestic Coursework Term Sheet</w:t>
              </w:r>
            </w:hyperlink>
          </w:p>
          <w:p w14:paraId="31FA465E" w14:textId="3FCA8885" w:rsidR="006740D4" w:rsidRPr="00185F7A" w:rsidRDefault="005C2C9C" w:rsidP="00184103">
            <w:pPr>
              <w:spacing w:before="120" w:after="120"/>
              <w:rPr>
                <w:rFonts w:ascii="Arial" w:hAnsi="Arial" w:cs="Arial"/>
                <w:szCs w:val="20"/>
                <w:lang w:eastAsia="en-GB"/>
              </w:rPr>
            </w:pPr>
            <w:hyperlink r:id="rId40" w:history="1">
              <w:r w:rsidR="006740D4" w:rsidRPr="00185F7A">
                <w:rPr>
                  <w:rStyle w:val="Hyperlink"/>
                  <w:rFonts w:ascii="Arial" w:hAnsi="Arial" w:cs="Arial"/>
                  <w:szCs w:val="20"/>
                  <w:lang w:eastAsia="en-GB"/>
                </w:rPr>
                <w:t>Academic Delivery with Other Parties – Domestic Coursework Annual Review Template</w:t>
              </w:r>
            </w:hyperlink>
          </w:p>
          <w:p w14:paraId="309EDCC9" w14:textId="579D9EA0" w:rsidR="008C4067" w:rsidRPr="00185F7A" w:rsidRDefault="005C2C9C" w:rsidP="00184103">
            <w:pPr>
              <w:spacing w:before="120" w:after="120"/>
              <w:rPr>
                <w:rFonts w:ascii="Arial" w:hAnsi="Arial" w:cs="Arial"/>
                <w:szCs w:val="20"/>
              </w:rPr>
            </w:pPr>
            <w:hyperlink r:id="rId41" w:history="1">
              <w:r w:rsidR="0003706C" w:rsidRPr="00185F7A">
                <w:rPr>
                  <w:rStyle w:val="Hyperlink"/>
                  <w:rFonts w:ascii="Arial" w:hAnsi="Arial" w:cs="Arial"/>
                  <w:szCs w:val="20"/>
                  <w:lang w:eastAsia="en-GB"/>
                </w:rPr>
                <w:t>Academic Delivery with Other Parties – Domestic Coursework Renewal Checklist</w:t>
              </w:r>
            </w:hyperlink>
          </w:p>
        </w:tc>
      </w:tr>
    </w:tbl>
    <w:p w14:paraId="237DB944" w14:textId="09ACC332" w:rsidR="00814590" w:rsidRPr="00185F7A" w:rsidRDefault="00814590" w:rsidP="008C4067">
      <w:pPr>
        <w:tabs>
          <w:tab w:val="left" w:pos="8550"/>
        </w:tabs>
        <w:rPr>
          <w:rFonts w:ascii="Arial" w:hAnsi="Arial" w:cs="Arial"/>
          <w:szCs w:val="20"/>
        </w:rPr>
      </w:pPr>
    </w:p>
    <w:sectPr w:rsidR="00814590" w:rsidRPr="00185F7A" w:rsidSect="003E5024">
      <w:pgSz w:w="11900" w:h="16840"/>
      <w:pgMar w:top="1985" w:right="1021" w:bottom="1021" w:left="1021" w:header="680" w:footer="454"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EA3B8" w14:textId="77777777" w:rsidR="00852BDE" w:rsidRDefault="00852BDE" w:rsidP="00F45E9C">
      <w:r>
        <w:separator/>
      </w:r>
    </w:p>
  </w:endnote>
  <w:endnote w:type="continuationSeparator" w:id="0">
    <w:p w14:paraId="14C97A1E" w14:textId="77777777" w:rsidR="00852BDE" w:rsidRDefault="00852BDE" w:rsidP="00F45E9C">
      <w:r>
        <w:continuationSeparator/>
      </w:r>
    </w:p>
  </w:endnote>
  <w:endnote w:type="continuationNotice" w:id="1">
    <w:p w14:paraId="174DCE6D" w14:textId="77777777" w:rsidR="00852BDE" w:rsidRDefault="00852B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mbria"/>
    <w:panose1 w:val="02000500040000020004"/>
    <w:charset w:val="00"/>
    <w:family w:val="auto"/>
    <w:notTrueType/>
    <w:pitch w:val="variable"/>
    <w:sig w:usb0="800000AF" w:usb1="4000204A" w:usb2="00000000" w:usb3="00000000" w:csb0="00000111" w:csb1="00000000"/>
  </w:font>
  <w:font w:name="FoundrySterling-Book">
    <w:altName w:val="Calibri"/>
    <w:panose1 w:val="02000503040000020004"/>
    <w:charset w:val="4D"/>
    <w:family w:val="auto"/>
    <w:pitch w:val="variable"/>
    <w:sig w:usb0="800000AF" w:usb1="5000205B"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opernicus Medium">
    <w:altName w:val="Calibri"/>
    <w:panose1 w:val="02000000000000000000"/>
    <w:charset w:val="00"/>
    <w:family w:val="auto"/>
    <w:pitch w:val="variable"/>
    <w:sig w:usb0="A00000EF" w:usb1="500160FB" w:usb2="00000010" w:usb3="00000000" w:csb0="0000009B" w:csb1="00000000"/>
  </w:font>
  <w:font w:name="Foundry Sterling Book">
    <w:altName w:val="Calibri"/>
    <w:panose1 w:val="02000503040000020004"/>
    <w:charset w:val="00"/>
    <w:family w:val="modern"/>
    <w:notTrueType/>
    <w:pitch w:val="variable"/>
    <w:sig w:usb0="800000AF" w:usb1="5000205B" w:usb2="00000000" w:usb3="00000000" w:csb0="00000001" w:csb1="00000000"/>
  </w:font>
  <w:font w:name="Yu Mincho">
    <w:charset w:val="80"/>
    <w:family w:val="roman"/>
    <w:pitch w:val="variable"/>
    <w:sig w:usb0="800002E7" w:usb1="2AC7FCFF" w:usb2="00000012" w:usb3="00000000" w:csb0="0002009F" w:csb1="00000000"/>
  </w:font>
  <w:font w:name="Lucida Grande">
    <w:altName w:val="Segoe UI"/>
    <w:charset w:val="00"/>
    <w:family w:val="swiss"/>
    <w:pitch w:val="variable"/>
    <w:sig w:usb0="E1000AEF" w:usb1="5000A1FF" w:usb2="00000000" w:usb3="00000000" w:csb0="000001BF" w:csb1="00000000"/>
  </w:font>
  <w:font w:name="Jotia">
    <w:altName w:val="Calibri"/>
    <w:panose1 w:val="00000500000000000000"/>
    <w:charset w:val="00"/>
    <w:family w:val="moder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Foundry Sterling Demi">
    <w:altName w:val="Calibri"/>
    <w:panose1 w:val="02000700040000020004"/>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054360465"/>
      <w:docPartObj>
        <w:docPartGallery w:val="Page Numbers (Bottom of Page)"/>
        <w:docPartUnique/>
      </w:docPartObj>
    </w:sdtPr>
    <w:sdtEndPr>
      <w:rPr>
        <w:noProof/>
      </w:rPr>
    </w:sdtEndPr>
    <w:sdtContent>
      <w:p w14:paraId="5324B134" w14:textId="77777777" w:rsidR="007C1483" w:rsidRPr="007C1483" w:rsidRDefault="007C1483">
        <w:pPr>
          <w:pStyle w:val="Footer"/>
          <w:jc w:val="right"/>
          <w:rPr>
            <w:rFonts w:ascii="Calibri Light" w:hAnsi="Calibri Light" w:cs="Calibri Light"/>
            <w:noProof/>
          </w:rPr>
        </w:pPr>
        <w:r w:rsidRPr="007C1483">
          <w:rPr>
            <w:rFonts w:ascii="Calibri Light" w:hAnsi="Calibri Light" w:cs="Calibri Light"/>
          </w:rPr>
          <w:fldChar w:fldCharType="begin"/>
        </w:r>
        <w:r w:rsidRPr="007C1483">
          <w:rPr>
            <w:rFonts w:ascii="Calibri Light" w:hAnsi="Calibri Light" w:cs="Calibri Light"/>
          </w:rPr>
          <w:instrText xml:space="preserve"> PAGE   \* MERGEFORMAT </w:instrText>
        </w:r>
        <w:r w:rsidRPr="007C1483">
          <w:rPr>
            <w:rFonts w:ascii="Calibri Light" w:hAnsi="Calibri Light" w:cs="Calibri Light"/>
          </w:rPr>
          <w:fldChar w:fldCharType="separate"/>
        </w:r>
        <w:r w:rsidRPr="007C1483">
          <w:rPr>
            <w:rFonts w:ascii="Calibri Light" w:hAnsi="Calibri Light" w:cs="Calibri Light"/>
            <w:noProof/>
          </w:rPr>
          <w:t>2</w:t>
        </w:r>
        <w:r w:rsidRPr="007C1483">
          <w:rPr>
            <w:rFonts w:ascii="Calibri Light" w:hAnsi="Calibri Light" w:cs="Calibri Light"/>
            <w:noProof/>
          </w:rPr>
          <w:fldChar w:fldCharType="end"/>
        </w:r>
      </w:p>
      <w:p w14:paraId="6F93062D" w14:textId="77777777" w:rsidR="00383050" w:rsidRDefault="00073FD4" w:rsidP="00383050">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Academic </w:t>
        </w:r>
        <w:r w:rsidR="00383050">
          <w:rPr>
            <w:rFonts w:asciiTheme="minorHAnsi" w:hAnsiTheme="minorHAnsi" w:cstheme="minorHAnsi"/>
            <w:color w:val="70787B"/>
            <w:sz w:val="15"/>
            <w:szCs w:val="15"/>
          </w:rPr>
          <w:t>Delivery with Other Parties – Domestic Coursework Procedure</w:t>
        </w:r>
        <w:r w:rsidR="00383050" w:rsidRPr="00102B8A">
          <w:rPr>
            <w:rFonts w:asciiTheme="minorHAnsi" w:hAnsiTheme="minorHAnsi" w:cstheme="minorHAnsi"/>
            <w:color w:val="70787B"/>
            <w:sz w:val="15"/>
            <w:szCs w:val="15"/>
          </w:rPr>
          <w:t xml:space="preserve"> | </w:t>
        </w:r>
        <w:r w:rsidR="00383050">
          <w:rPr>
            <w:rFonts w:asciiTheme="minorHAnsi" w:hAnsiTheme="minorHAnsi" w:cstheme="minorHAnsi"/>
            <w:color w:val="70787B"/>
            <w:sz w:val="15"/>
            <w:szCs w:val="15"/>
          </w:rPr>
          <w:t>March</w:t>
        </w:r>
        <w:r w:rsidR="00383050" w:rsidRPr="00102B8A">
          <w:rPr>
            <w:rFonts w:asciiTheme="minorHAnsi" w:hAnsiTheme="minorHAnsi" w:cstheme="minorHAnsi"/>
            <w:color w:val="70787B"/>
            <w:sz w:val="15"/>
            <w:szCs w:val="15"/>
          </w:rPr>
          <w:t xml:space="preserve"> 20</w:t>
        </w:r>
        <w:r w:rsidR="00383050">
          <w:rPr>
            <w:rFonts w:asciiTheme="minorHAnsi" w:hAnsiTheme="minorHAnsi" w:cstheme="minorHAnsi"/>
            <w:color w:val="70787B"/>
            <w:sz w:val="15"/>
            <w:szCs w:val="15"/>
          </w:rPr>
          <w:t>23</w:t>
        </w:r>
      </w:p>
      <w:p w14:paraId="7660E01C" w14:textId="77777777" w:rsidR="00383050" w:rsidRPr="00102B8A" w:rsidRDefault="00383050" w:rsidP="00383050">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Pr="00383050">
          <w:rPr>
            <w:rFonts w:asciiTheme="minorHAnsi" w:hAnsiTheme="minorHAnsi" w:cstheme="minorHAnsi"/>
            <w:color w:val="70787B"/>
            <w:sz w:val="15"/>
            <w:szCs w:val="15"/>
          </w:rPr>
          <w:t>2023/0000426</w:t>
        </w:r>
      </w:p>
      <w:p w14:paraId="7CE87797" w14:textId="106212FC" w:rsidR="00447B43" w:rsidRPr="00383050" w:rsidRDefault="00383050" w:rsidP="00383050">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D881" w14:textId="0DAE231D" w:rsidR="007C1483" w:rsidRPr="007C1483" w:rsidRDefault="007C1483" w:rsidP="007C1483">
    <w:pPr>
      <w:pStyle w:val="Footer"/>
      <w:jc w:val="right"/>
      <w:rPr>
        <w:rFonts w:asciiTheme="majorHAnsi" w:hAnsiTheme="majorHAnsi" w:cstheme="majorHAnsi"/>
        <w:noProof/>
      </w:rPr>
    </w:pPr>
    <w:r w:rsidRPr="007C1483">
      <w:rPr>
        <w:rFonts w:asciiTheme="majorHAnsi" w:hAnsiTheme="majorHAnsi" w:cstheme="majorHAnsi"/>
      </w:rPr>
      <w:fldChar w:fldCharType="begin"/>
    </w:r>
    <w:r w:rsidRPr="007C1483">
      <w:rPr>
        <w:rFonts w:asciiTheme="majorHAnsi" w:hAnsiTheme="majorHAnsi" w:cstheme="majorHAnsi"/>
      </w:rPr>
      <w:instrText xml:space="preserve"> PAGE   \* MERGEFORMAT </w:instrText>
    </w:r>
    <w:r w:rsidRPr="007C1483">
      <w:rPr>
        <w:rFonts w:asciiTheme="majorHAnsi" w:hAnsiTheme="majorHAnsi" w:cstheme="majorHAnsi"/>
      </w:rPr>
      <w:fldChar w:fldCharType="separate"/>
    </w:r>
    <w:r w:rsidRPr="007C1483">
      <w:rPr>
        <w:rFonts w:asciiTheme="majorHAnsi" w:hAnsiTheme="majorHAnsi" w:cstheme="majorHAnsi"/>
        <w:noProof/>
      </w:rPr>
      <w:t>2</w:t>
    </w:r>
    <w:r w:rsidRPr="007C1483">
      <w:rPr>
        <w:rFonts w:asciiTheme="majorHAnsi" w:hAnsiTheme="majorHAnsi" w:cstheme="majorHAnsi"/>
        <w:noProof/>
      </w:rPr>
      <w:fldChar w:fldCharType="end"/>
    </w:r>
  </w:p>
  <w:p w14:paraId="6573319C" w14:textId="2BC8D018" w:rsidR="007C1483" w:rsidRDefault="007C1483" w:rsidP="007C1483">
    <w:pPr>
      <w:spacing w:after="0" w:line="240" w:lineRule="auto"/>
      <w:jc w:val="right"/>
      <w:rPr>
        <w:rFonts w:asciiTheme="minorHAnsi" w:hAnsiTheme="minorHAnsi" w:cstheme="minorHAnsi"/>
        <w:color w:val="70787B"/>
        <w:sz w:val="15"/>
        <w:szCs w:val="15"/>
      </w:rPr>
    </w:pPr>
    <w:r w:rsidRPr="00102B8A">
      <w:rPr>
        <w:rFonts w:asciiTheme="minorHAnsi" w:hAnsiTheme="minorHAnsi" w:cstheme="minorHAnsi"/>
        <w:noProof/>
        <w:color w:val="70787B"/>
        <w:sz w:val="15"/>
        <w:szCs w:val="15"/>
      </w:rPr>
      <mc:AlternateContent>
        <mc:Choice Requires="wpg">
          <w:drawing>
            <wp:anchor distT="0" distB="0" distL="114300" distR="114300" simplePos="0" relativeHeight="251658243" behindDoc="0" locked="0" layoutInCell="1" allowOverlap="1" wp14:anchorId="4DDBA2AD" wp14:editId="7DFCB2BE">
              <wp:simplePos x="0" y="0"/>
              <wp:positionH relativeFrom="page">
                <wp:align>left</wp:align>
              </wp:positionH>
              <wp:positionV relativeFrom="paragraph">
                <wp:posOffset>-2780665</wp:posOffset>
              </wp:positionV>
              <wp:extent cx="3565003" cy="3564322"/>
              <wp:effectExtent l="0" t="0" r="0" b="0"/>
              <wp:wrapNone/>
              <wp:docPr id="8" name="Group 8"/>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9" name="Right Triangle 9"/>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Isosceles Triangle 10"/>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du="http://schemas.microsoft.com/office/word/2023/wordml/word16du">
          <w:pict>
            <v:group id="Group 8" style="position:absolute;margin-left:0;margin-top:-218.95pt;width:280.7pt;height:280.65pt;z-index:251658243;mso-position-horizontal:left;mso-position-horizontal-relative:page;mso-width-relative:margin;mso-height-relative:margin" coordsize="39606,39598" o:spid="_x0000_s1026" w14:anchorId="538AC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">
              <v:shapetype id="_x0000_t6" coordsize="21600,21600" o:spt="6" path="m,l,21600r21600,xe">
                <v:stroke joinstyle="miter"/>
                <v:path textboxrect="1800,12600,12600,19800" gradientshapeok="t" o:connecttype="custom" o:connectlocs="0,0;0,10800;0,21600;10800,21600;21600,21600;10800,10800"/>
              </v:shapetype>
              <v:shape id="Right Triangle 9" style="position:absolute;left:7;width:39599;height:39598;visibility:visible;mso-wrap-style:square;v-text-anchor:middle" o:spid="_x0000_s1027" fillcolor="#f2f2f2 [3052]"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"/>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0" style="position:absolute;left:-5938;top:6093;width:26105;height:14230;rotation:-90;flip:x;visibility:visible;mso-wrap-style:square;v-text-anchor:middle" o:spid="_x0000_s1028" fillcolor="#d8d8d8 [2732]" stroked="f" strokeweight="1pt" type="#_x0000_t5" adj="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"/>
              <w10:wrap anchorx="page"/>
            </v:group>
          </w:pict>
        </mc:Fallback>
      </mc:AlternateContent>
    </w:r>
    <w:r w:rsidR="00073FD4">
      <w:rPr>
        <w:rFonts w:asciiTheme="minorHAnsi" w:hAnsiTheme="minorHAnsi" w:cstheme="minorHAnsi"/>
        <w:color w:val="70787B"/>
        <w:sz w:val="15"/>
        <w:szCs w:val="15"/>
      </w:rPr>
      <w:t>Academic Delivery with Other Parties – Domestic Coursework Procedure</w:t>
    </w:r>
    <w:r w:rsidRPr="00102B8A">
      <w:rPr>
        <w:rFonts w:asciiTheme="minorHAnsi" w:hAnsiTheme="minorHAnsi" w:cstheme="minorHAnsi"/>
        <w:color w:val="70787B"/>
        <w:sz w:val="15"/>
        <w:szCs w:val="15"/>
      </w:rPr>
      <w:t xml:space="preserve"> | </w:t>
    </w:r>
    <w:r w:rsidR="00073FD4">
      <w:rPr>
        <w:rFonts w:asciiTheme="minorHAnsi" w:hAnsiTheme="minorHAnsi" w:cstheme="minorHAnsi"/>
        <w:color w:val="70787B"/>
        <w:sz w:val="15"/>
        <w:szCs w:val="15"/>
      </w:rPr>
      <w:t>March</w:t>
    </w:r>
    <w:r w:rsidRPr="00102B8A">
      <w:rPr>
        <w:rFonts w:asciiTheme="minorHAnsi" w:hAnsiTheme="minorHAnsi" w:cstheme="minorHAnsi"/>
        <w:color w:val="70787B"/>
        <w:sz w:val="15"/>
        <w:szCs w:val="15"/>
      </w:rPr>
      <w:t xml:space="preserve"> 20</w:t>
    </w:r>
    <w:r w:rsidR="00073FD4">
      <w:rPr>
        <w:rFonts w:asciiTheme="minorHAnsi" w:hAnsiTheme="minorHAnsi" w:cstheme="minorHAnsi"/>
        <w:color w:val="70787B"/>
        <w:sz w:val="15"/>
        <w:szCs w:val="15"/>
      </w:rPr>
      <w:t>23</w:t>
    </w:r>
  </w:p>
  <w:p w14:paraId="0F431CCB" w14:textId="111245DB" w:rsidR="007C1483" w:rsidRPr="00102B8A" w:rsidRDefault="007C1483"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383050" w:rsidRPr="00383050">
      <w:rPr>
        <w:rFonts w:asciiTheme="minorHAnsi" w:hAnsiTheme="minorHAnsi" w:cstheme="minorHAnsi"/>
        <w:color w:val="70787B"/>
        <w:sz w:val="15"/>
        <w:szCs w:val="15"/>
      </w:rPr>
      <w:t>2023/0000426</w:t>
    </w:r>
  </w:p>
  <w:p w14:paraId="58E37635" w14:textId="156BDF85" w:rsidR="00447B43" w:rsidRPr="008176FF" w:rsidRDefault="007C1483" w:rsidP="008176FF">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3FB49" w14:textId="77777777" w:rsidR="00852BDE" w:rsidRDefault="00852BDE" w:rsidP="00F45E9C">
      <w:r>
        <w:separator/>
      </w:r>
    </w:p>
  </w:footnote>
  <w:footnote w:type="continuationSeparator" w:id="0">
    <w:p w14:paraId="26923FA2" w14:textId="77777777" w:rsidR="00852BDE" w:rsidRDefault="00852BDE" w:rsidP="00F45E9C">
      <w:r>
        <w:continuationSeparator/>
      </w:r>
    </w:p>
  </w:footnote>
  <w:footnote w:type="continuationNotice" w:id="1">
    <w:p w14:paraId="37484DB2" w14:textId="77777777" w:rsidR="00852BDE" w:rsidRDefault="00852B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9E4" w14:textId="7B7813CB" w:rsidR="00F45E9C" w:rsidRPr="00F7147F" w:rsidRDefault="007A132E" w:rsidP="00F97581">
    <w:pPr>
      <w:pStyle w:val="Header"/>
      <w:ind w:right="-348"/>
      <w:rPr>
        <w:rFonts w:ascii="Arial" w:hAnsi="Arial" w:cs="Arial"/>
        <w:b/>
        <w:sz w:val="52"/>
        <w:szCs w:val="52"/>
      </w:rPr>
    </w:pPr>
    <w:r w:rsidRPr="007C1483">
      <w:rPr>
        <w:rFonts w:ascii="Arial" w:hAnsi="Arial" w:cs="Arial"/>
        <w:b/>
        <w:noProof/>
        <w:color w:val="E30918"/>
        <w:sz w:val="52"/>
        <w:szCs w:val="52"/>
      </w:rPr>
      <w:drawing>
        <wp:anchor distT="0" distB="0" distL="114300" distR="114300" simplePos="0" relativeHeight="251658240" behindDoc="1" locked="0" layoutInCell="1" allowOverlap="1" wp14:anchorId="6427B65B" wp14:editId="489C4383">
          <wp:simplePos x="0" y="0"/>
          <wp:positionH relativeFrom="margin">
            <wp:posOffset>-175260</wp:posOffset>
          </wp:positionH>
          <wp:positionV relativeFrom="paragraph">
            <wp:posOffset>-63500</wp:posOffset>
          </wp:positionV>
          <wp:extent cx="1550670" cy="593090"/>
          <wp:effectExtent l="0" t="0" r="0" b="3810"/>
          <wp:wrapTight wrapText="bothSides">
            <wp:wrapPolygon edited="0">
              <wp:start x="1946" y="0"/>
              <wp:lineTo x="0" y="5088"/>
              <wp:lineTo x="0" y="14801"/>
              <wp:lineTo x="7253" y="15726"/>
              <wp:lineTo x="7076" y="18501"/>
              <wp:lineTo x="7607" y="21276"/>
              <wp:lineTo x="15744" y="21276"/>
              <wp:lineTo x="21405" y="21276"/>
              <wp:lineTo x="21405" y="0"/>
              <wp:lineTo x="4953" y="0"/>
              <wp:lineTo x="1946"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50670" cy="593090"/>
                  </a:xfrm>
                  <a:prstGeom prst="rect">
                    <a:avLst/>
                  </a:prstGeom>
                </pic:spPr>
              </pic:pic>
            </a:graphicData>
          </a:graphic>
          <wp14:sizeRelH relativeFrom="page">
            <wp14:pctWidth>0</wp14:pctWidth>
          </wp14:sizeRelH>
          <wp14:sizeRelV relativeFrom="page">
            <wp14:pctHeight>0</wp14:pctHeight>
          </wp14:sizeRelV>
        </wp:anchor>
      </w:drawing>
    </w:r>
    <w:r w:rsidR="00CC69B4" w:rsidRPr="00F7147F">
      <w:rPr>
        <w:rFonts w:ascii="Arial" w:hAnsi="Arial" w:cs="Arial"/>
        <w:b/>
        <w:color w:val="FFFFFF" w:themeColor="background1"/>
        <w:sz w:val="52"/>
        <w:szCs w:val="52"/>
      </w:rPr>
      <w:t xml:space="preserve"> </w:t>
    </w:r>
  </w:p>
  <w:p w14:paraId="61A4C264" w14:textId="77777777" w:rsidR="00447B43" w:rsidRDefault="00447B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6CEA8" w14:textId="73D2D659" w:rsidR="00F97581" w:rsidRDefault="002E285B" w:rsidP="00F97581">
    <w:pPr>
      <w:pStyle w:val="Header"/>
      <w:ind w:right="-348"/>
      <w:jc w:val="right"/>
    </w:pPr>
    <w:r w:rsidRPr="007C1483">
      <w:rPr>
        <w:noProof/>
      </w:rPr>
      <mc:AlternateContent>
        <mc:Choice Requires="wps">
          <w:drawing>
            <wp:anchor distT="0" distB="0" distL="114300" distR="114300" simplePos="0" relativeHeight="251658242" behindDoc="1" locked="0" layoutInCell="1" allowOverlap="1" wp14:anchorId="218783E0" wp14:editId="19C4E74C">
              <wp:simplePos x="0" y="0"/>
              <wp:positionH relativeFrom="column">
                <wp:posOffset>3305726</wp:posOffset>
              </wp:positionH>
              <wp:positionV relativeFrom="paragraph">
                <wp:posOffset>-939772</wp:posOffset>
              </wp:positionV>
              <wp:extent cx="5048250" cy="2511425"/>
              <wp:effectExtent l="0" t="0" r="0" b="3175"/>
              <wp:wrapNone/>
              <wp:docPr id="5" name="Isosceles Triangle 5"/>
              <wp:cNvGraphicFramePr/>
              <a:graphic xmlns:a="http://schemas.openxmlformats.org/drawingml/2006/main">
                <a:graphicData uri="http://schemas.microsoft.com/office/word/2010/wordprocessingShape">
                  <wps:wsp>
                    <wps:cNvSpPr/>
                    <wps:spPr>
                      <a:xfrm flipV="1">
                        <a:off x="0" y="0"/>
                        <a:ext cx="5048250" cy="2511425"/>
                      </a:xfrm>
                      <a:prstGeom prst="triangl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8296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260.3pt;margin-top:-74pt;width:397.5pt;height:197.75pt;flip:y;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" fillcolor="#d8d8d8 [2732]" stroked="f" strokeweight="1pt"/>
          </w:pict>
        </mc:Fallback>
      </mc:AlternateContent>
    </w:r>
    <w:r w:rsidR="007C1483" w:rsidRPr="007C1483">
      <w:rPr>
        <w:rFonts w:ascii="Arial" w:hAnsi="Arial" w:cs="Arial"/>
        <w:b/>
        <w:color w:val="E30918"/>
        <w:sz w:val="52"/>
        <w:szCs w:val="52"/>
      </w:rPr>
      <w:t>Procedure</w:t>
    </w:r>
    <w:r w:rsidR="007C1483" w:rsidRPr="007C1483">
      <w:t xml:space="preserve"> </w:t>
    </w:r>
    <w:r w:rsidR="007C1483" w:rsidRPr="007C1483">
      <w:rPr>
        <w:noProof/>
      </w:rPr>
      <w:drawing>
        <wp:anchor distT="0" distB="0" distL="114300" distR="114300" simplePos="0" relativeHeight="251658241" behindDoc="1" locked="0" layoutInCell="1" allowOverlap="1" wp14:anchorId="68F66495" wp14:editId="24BE9509">
          <wp:simplePos x="0" y="0"/>
          <wp:positionH relativeFrom="margin">
            <wp:posOffset>580</wp:posOffset>
          </wp:positionH>
          <wp:positionV relativeFrom="paragraph">
            <wp:posOffset>-121617</wp:posOffset>
          </wp:positionV>
          <wp:extent cx="1550670" cy="593090"/>
          <wp:effectExtent l="0" t="0" r="0" b="3810"/>
          <wp:wrapTight wrapText="bothSides">
            <wp:wrapPolygon edited="0">
              <wp:start x="1946" y="0"/>
              <wp:lineTo x="0" y="5088"/>
              <wp:lineTo x="0" y="14801"/>
              <wp:lineTo x="7253" y="15726"/>
              <wp:lineTo x="7076" y="18501"/>
              <wp:lineTo x="7607" y="21276"/>
              <wp:lineTo x="15744" y="21276"/>
              <wp:lineTo x="21405" y="21276"/>
              <wp:lineTo x="21405" y="0"/>
              <wp:lineTo x="4953" y="0"/>
              <wp:lineTo x="1946"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50670" cy="593090"/>
                  </a:xfrm>
                  <a:prstGeom prst="rect">
                    <a:avLst/>
                  </a:prstGeom>
                </pic:spPr>
              </pic:pic>
            </a:graphicData>
          </a:graphic>
          <wp14:sizeRelH relativeFrom="page">
            <wp14:pctWidth>0</wp14:pctWidth>
          </wp14:sizeRelH>
          <wp14:sizeRelV relativeFrom="page">
            <wp14:pctHeight>0</wp14:pctHeight>
          </wp14:sizeRelV>
        </wp:anchor>
      </w:drawing>
    </w:r>
  </w:p>
  <w:p w14:paraId="09C0C0A1" w14:textId="77777777" w:rsidR="00447B43" w:rsidRDefault="00447B43"/>
  <w:p w14:paraId="0A2CAA9A" w14:textId="77777777" w:rsidR="00447B43" w:rsidRDefault="00447B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76D"/>
    <w:multiLevelType w:val="multilevel"/>
    <w:tmpl w:val="793EDD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5385919"/>
    <w:multiLevelType w:val="multilevel"/>
    <w:tmpl w:val="FC0CECD0"/>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b/>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B9F7C09"/>
    <w:multiLevelType w:val="multilevel"/>
    <w:tmpl w:val="57ACDF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1A80387"/>
    <w:multiLevelType w:val="hybridMultilevel"/>
    <w:tmpl w:val="D27C8C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D243B4"/>
    <w:multiLevelType w:val="hybridMultilevel"/>
    <w:tmpl w:val="066A5D22"/>
    <w:lvl w:ilvl="0" w:tplc="D2386362">
      <w:start w:val="1"/>
      <w:numFmt w:val="bullet"/>
      <w:lvlText w:val=""/>
      <w:lvlJc w:val="left"/>
      <w:pPr>
        <w:ind w:left="720" w:hanging="360"/>
      </w:pPr>
      <w:rPr>
        <w:rFonts w:ascii="Symbol" w:hAnsi="Symbol" w:hint="default"/>
        <w:color w:val="E30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F3521"/>
    <w:multiLevelType w:val="multilevel"/>
    <w:tmpl w:val="06487500"/>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15:restartNumberingAfterBreak="0">
    <w:nsid w:val="17E43D6C"/>
    <w:multiLevelType w:val="multilevel"/>
    <w:tmpl w:val="4EE05A5C"/>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7" w15:restartNumberingAfterBreak="0">
    <w:nsid w:val="188303D5"/>
    <w:multiLevelType w:val="hybridMultilevel"/>
    <w:tmpl w:val="46C0C5DE"/>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E20F57"/>
    <w:multiLevelType w:val="hybridMultilevel"/>
    <w:tmpl w:val="7840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46594E"/>
    <w:multiLevelType w:val="multilevel"/>
    <w:tmpl w:val="B9A46F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4C72401"/>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2" w15:restartNumberingAfterBreak="0">
    <w:nsid w:val="25B84FE0"/>
    <w:multiLevelType w:val="hybridMultilevel"/>
    <w:tmpl w:val="26B08278"/>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3D4FC3"/>
    <w:multiLevelType w:val="multilevel"/>
    <w:tmpl w:val="8022FAD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6FC0F98"/>
    <w:multiLevelType w:val="multilevel"/>
    <w:tmpl w:val="FFC246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88D4125"/>
    <w:multiLevelType w:val="multilevel"/>
    <w:tmpl w:val="EEC2299C"/>
    <w:lvl w:ilvl="0">
      <w:start w:val="4"/>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2702EE"/>
    <w:multiLevelType w:val="hybridMultilevel"/>
    <w:tmpl w:val="0964B49E"/>
    <w:lvl w:ilvl="0" w:tplc="D04EEABC">
      <w:start w:val="1"/>
      <w:numFmt w:val="bullet"/>
      <w:lvlText w:val=""/>
      <w:lvlJc w:val="left"/>
      <w:pPr>
        <w:ind w:left="1800" w:hanging="360"/>
      </w:pPr>
      <w:rPr>
        <w:rFonts w:ascii="Wingdings" w:hAnsi="Wingdings" w:hint="default"/>
        <w:color w:val="E30918"/>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3A42645"/>
    <w:multiLevelType w:val="hybridMultilevel"/>
    <w:tmpl w:val="C9F4381C"/>
    <w:lvl w:ilvl="0" w:tplc="A31CE3B0">
      <w:start w:val="1"/>
      <w:numFmt w:val="lowerLetter"/>
      <w:lvlText w:val="%1."/>
      <w:lvlJc w:val="left"/>
      <w:pPr>
        <w:ind w:left="72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91C7A1A"/>
    <w:multiLevelType w:val="multilevel"/>
    <w:tmpl w:val="3356CE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15:restartNumberingAfterBreak="0">
    <w:nsid w:val="4D131AD5"/>
    <w:multiLevelType w:val="hybridMultilevel"/>
    <w:tmpl w:val="245C57BE"/>
    <w:lvl w:ilvl="0" w:tplc="BEA4178E">
      <w:start w:val="1"/>
      <w:numFmt w:val="bullet"/>
      <w:lvlText w:val=""/>
      <w:lvlJc w:val="left"/>
      <w:pPr>
        <w:ind w:left="1861" w:hanging="360"/>
      </w:pPr>
      <w:rPr>
        <w:rFonts w:ascii="Wingdings" w:hAnsi="Wingdings" w:hint="default"/>
        <w:color w:val="E30918"/>
      </w:rPr>
    </w:lvl>
    <w:lvl w:ilvl="1" w:tplc="0C090003" w:tentative="1">
      <w:start w:val="1"/>
      <w:numFmt w:val="bullet"/>
      <w:lvlText w:val="o"/>
      <w:lvlJc w:val="left"/>
      <w:pPr>
        <w:ind w:left="2581" w:hanging="360"/>
      </w:pPr>
      <w:rPr>
        <w:rFonts w:ascii="Courier New" w:hAnsi="Courier New" w:cs="Courier New" w:hint="default"/>
      </w:rPr>
    </w:lvl>
    <w:lvl w:ilvl="2" w:tplc="0C090005" w:tentative="1">
      <w:start w:val="1"/>
      <w:numFmt w:val="bullet"/>
      <w:lvlText w:val=""/>
      <w:lvlJc w:val="left"/>
      <w:pPr>
        <w:ind w:left="3301" w:hanging="360"/>
      </w:pPr>
      <w:rPr>
        <w:rFonts w:ascii="Wingdings" w:hAnsi="Wingdings" w:hint="default"/>
      </w:rPr>
    </w:lvl>
    <w:lvl w:ilvl="3" w:tplc="0C090001" w:tentative="1">
      <w:start w:val="1"/>
      <w:numFmt w:val="bullet"/>
      <w:lvlText w:val=""/>
      <w:lvlJc w:val="left"/>
      <w:pPr>
        <w:ind w:left="4021" w:hanging="360"/>
      </w:pPr>
      <w:rPr>
        <w:rFonts w:ascii="Symbol" w:hAnsi="Symbol" w:hint="default"/>
      </w:rPr>
    </w:lvl>
    <w:lvl w:ilvl="4" w:tplc="0C090003" w:tentative="1">
      <w:start w:val="1"/>
      <w:numFmt w:val="bullet"/>
      <w:lvlText w:val="o"/>
      <w:lvlJc w:val="left"/>
      <w:pPr>
        <w:ind w:left="4741" w:hanging="360"/>
      </w:pPr>
      <w:rPr>
        <w:rFonts w:ascii="Courier New" w:hAnsi="Courier New" w:cs="Courier New" w:hint="default"/>
      </w:rPr>
    </w:lvl>
    <w:lvl w:ilvl="5" w:tplc="0C090005" w:tentative="1">
      <w:start w:val="1"/>
      <w:numFmt w:val="bullet"/>
      <w:lvlText w:val=""/>
      <w:lvlJc w:val="left"/>
      <w:pPr>
        <w:ind w:left="5461" w:hanging="360"/>
      </w:pPr>
      <w:rPr>
        <w:rFonts w:ascii="Wingdings" w:hAnsi="Wingdings" w:hint="default"/>
      </w:rPr>
    </w:lvl>
    <w:lvl w:ilvl="6" w:tplc="0C090001" w:tentative="1">
      <w:start w:val="1"/>
      <w:numFmt w:val="bullet"/>
      <w:lvlText w:val=""/>
      <w:lvlJc w:val="left"/>
      <w:pPr>
        <w:ind w:left="6181" w:hanging="360"/>
      </w:pPr>
      <w:rPr>
        <w:rFonts w:ascii="Symbol" w:hAnsi="Symbol" w:hint="default"/>
      </w:rPr>
    </w:lvl>
    <w:lvl w:ilvl="7" w:tplc="0C090003" w:tentative="1">
      <w:start w:val="1"/>
      <w:numFmt w:val="bullet"/>
      <w:lvlText w:val="o"/>
      <w:lvlJc w:val="left"/>
      <w:pPr>
        <w:ind w:left="6901" w:hanging="360"/>
      </w:pPr>
      <w:rPr>
        <w:rFonts w:ascii="Courier New" w:hAnsi="Courier New" w:cs="Courier New" w:hint="default"/>
      </w:rPr>
    </w:lvl>
    <w:lvl w:ilvl="8" w:tplc="0C090005" w:tentative="1">
      <w:start w:val="1"/>
      <w:numFmt w:val="bullet"/>
      <w:lvlText w:val=""/>
      <w:lvlJc w:val="left"/>
      <w:pPr>
        <w:ind w:left="7621" w:hanging="360"/>
      </w:pPr>
      <w:rPr>
        <w:rFonts w:ascii="Wingdings" w:hAnsi="Wingdings" w:hint="default"/>
      </w:rPr>
    </w:lvl>
  </w:abstractNum>
  <w:abstractNum w:abstractNumId="21" w15:restartNumberingAfterBreak="0">
    <w:nsid w:val="54923BA8"/>
    <w:multiLevelType w:val="hybridMultilevel"/>
    <w:tmpl w:val="659ED7A6"/>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E2907A1"/>
    <w:multiLevelType w:val="hybridMultilevel"/>
    <w:tmpl w:val="A48E777E"/>
    <w:lvl w:ilvl="0" w:tplc="D04EEABC">
      <w:start w:val="1"/>
      <w:numFmt w:val="bullet"/>
      <w:lvlText w:val=""/>
      <w:lvlJc w:val="left"/>
      <w:pPr>
        <w:ind w:left="1800" w:hanging="360"/>
      </w:pPr>
      <w:rPr>
        <w:rFonts w:ascii="Wingdings" w:hAnsi="Wingdings" w:hint="default"/>
        <w:color w:val="E30918"/>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FE352C1"/>
    <w:multiLevelType w:val="hybridMultilevel"/>
    <w:tmpl w:val="25DE28E2"/>
    <w:lvl w:ilvl="0" w:tplc="5DD641EA">
      <w:start w:val="1"/>
      <w:numFmt w:val="decimal"/>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34756CE"/>
    <w:multiLevelType w:val="multilevel"/>
    <w:tmpl w:val="CC9AAF0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5" w15:restartNumberingAfterBreak="0">
    <w:nsid w:val="637B2556"/>
    <w:multiLevelType w:val="hybridMultilevel"/>
    <w:tmpl w:val="7AB866D6"/>
    <w:lvl w:ilvl="0" w:tplc="BEA4178E">
      <w:start w:val="1"/>
      <w:numFmt w:val="bullet"/>
      <w:lvlText w:val=""/>
      <w:lvlJc w:val="left"/>
      <w:pPr>
        <w:ind w:left="1004" w:hanging="360"/>
      </w:pPr>
      <w:rPr>
        <w:rFonts w:ascii="Wingdings" w:hAnsi="Wingdings" w:hint="default"/>
        <w:color w:val="E309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67DA64C6"/>
    <w:multiLevelType w:val="hybridMultilevel"/>
    <w:tmpl w:val="BD2241B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68740699"/>
    <w:multiLevelType w:val="hybridMultilevel"/>
    <w:tmpl w:val="2142322C"/>
    <w:lvl w:ilvl="0" w:tplc="2FD6763A">
      <w:start w:val="1"/>
      <w:numFmt w:val="bullet"/>
      <w:lvlText w:val=""/>
      <w:lvlJc w:val="left"/>
      <w:pPr>
        <w:ind w:left="360" w:hanging="360"/>
      </w:pPr>
      <w:rPr>
        <w:rFonts w:ascii="Wingdings" w:hAnsi="Wingdings" w:hint="default"/>
        <w:color w:val="E309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9570C01"/>
    <w:multiLevelType w:val="hybridMultilevel"/>
    <w:tmpl w:val="478C55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9B62D72"/>
    <w:multiLevelType w:val="hybridMultilevel"/>
    <w:tmpl w:val="607E4372"/>
    <w:lvl w:ilvl="0" w:tplc="A31CE3B0">
      <w:start w:val="1"/>
      <w:numFmt w:val="lowerLetter"/>
      <w:lvlText w:val="%1."/>
      <w:lvlJc w:val="left"/>
      <w:pPr>
        <w:ind w:left="108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CFF3F48"/>
    <w:multiLevelType w:val="hybridMultilevel"/>
    <w:tmpl w:val="F89E7110"/>
    <w:lvl w:ilvl="0" w:tplc="D04EEABC">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9717AE"/>
    <w:multiLevelType w:val="hybridMultilevel"/>
    <w:tmpl w:val="E238298E"/>
    <w:lvl w:ilvl="0" w:tplc="959AA842">
      <w:start w:val="1"/>
      <w:numFmt w:val="decimal"/>
      <w:lvlText w:val="%1."/>
      <w:lvlJc w:val="left"/>
      <w:pPr>
        <w:ind w:left="360" w:hanging="360"/>
      </w:pPr>
      <w:rPr>
        <w:b w:val="0"/>
        <w:strike w:val="0"/>
      </w:rPr>
    </w:lvl>
    <w:lvl w:ilvl="1" w:tplc="A31CE3B0">
      <w:start w:val="1"/>
      <w:numFmt w:val="lowerLetter"/>
      <w:lvlText w:val="%2."/>
      <w:lvlJc w:val="left"/>
      <w:pPr>
        <w:ind w:left="1080" w:hanging="360"/>
      </w:pPr>
      <w:rPr>
        <w:i w:val="0"/>
        <w:iCs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6865078"/>
    <w:multiLevelType w:val="hybridMultilevel"/>
    <w:tmpl w:val="90D481E0"/>
    <w:lvl w:ilvl="0" w:tplc="A31CE3B0">
      <w:start w:val="1"/>
      <w:numFmt w:val="lowerLetter"/>
      <w:lvlText w:val="%1."/>
      <w:lvlJc w:val="left"/>
      <w:pPr>
        <w:ind w:left="108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75C6417"/>
    <w:multiLevelType w:val="hybridMultilevel"/>
    <w:tmpl w:val="86A4BD96"/>
    <w:lvl w:ilvl="0" w:tplc="6212A2CA">
      <w:start w:val="1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61084E"/>
    <w:multiLevelType w:val="hybridMultilevel"/>
    <w:tmpl w:val="9AAAE066"/>
    <w:lvl w:ilvl="0" w:tplc="BEA4178E">
      <w:start w:val="1"/>
      <w:numFmt w:val="bullet"/>
      <w:lvlText w:val=""/>
      <w:lvlJc w:val="left"/>
      <w:pPr>
        <w:ind w:left="1440" w:hanging="360"/>
      </w:pPr>
      <w:rPr>
        <w:rFonts w:ascii="Wingdings" w:hAnsi="Wingdings" w:hint="default"/>
        <w:color w:val="E309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9655BF3"/>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6"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E705A8A"/>
    <w:multiLevelType w:val="hybridMultilevel"/>
    <w:tmpl w:val="6344A516"/>
    <w:lvl w:ilvl="0" w:tplc="A31CE3B0">
      <w:start w:val="1"/>
      <w:numFmt w:val="lowerLetter"/>
      <w:lvlText w:val="%1."/>
      <w:lvlJc w:val="left"/>
      <w:pPr>
        <w:ind w:left="72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011763300">
    <w:abstractNumId w:val="8"/>
  </w:num>
  <w:num w:numId="2" w16cid:durableId="1267613747">
    <w:abstractNumId w:val="4"/>
  </w:num>
  <w:num w:numId="3" w16cid:durableId="1676225390">
    <w:abstractNumId w:val="16"/>
  </w:num>
  <w:num w:numId="4" w16cid:durableId="310210284">
    <w:abstractNumId w:val="36"/>
  </w:num>
  <w:num w:numId="5" w16cid:durableId="2145268913">
    <w:abstractNumId w:val="21"/>
  </w:num>
  <w:num w:numId="6" w16cid:durableId="399403891">
    <w:abstractNumId w:val="19"/>
  </w:num>
  <w:num w:numId="7" w16cid:durableId="1851069233">
    <w:abstractNumId w:val="23"/>
  </w:num>
  <w:num w:numId="8" w16cid:durableId="204102525">
    <w:abstractNumId w:val="7"/>
  </w:num>
  <w:num w:numId="9" w16cid:durableId="1756391227">
    <w:abstractNumId w:val="12"/>
  </w:num>
  <w:num w:numId="10" w16cid:durableId="1308902187">
    <w:abstractNumId w:val="27"/>
  </w:num>
  <w:num w:numId="11" w16cid:durableId="664747036">
    <w:abstractNumId w:val="15"/>
  </w:num>
  <w:num w:numId="12" w16cid:durableId="1949044538">
    <w:abstractNumId w:val="24"/>
  </w:num>
  <w:num w:numId="13" w16cid:durableId="1800802445">
    <w:abstractNumId w:val="5"/>
  </w:num>
  <w:num w:numId="14" w16cid:durableId="1774863624">
    <w:abstractNumId w:val="25"/>
  </w:num>
  <w:num w:numId="15" w16cid:durableId="2116896223">
    <w:abstractNumId w:val="3"/>
  </w:num>
  <w:num w:numId="16" w16cid:durableId="1528564701">
    <w:abstractNumId w:val="31"/>
  </w:num>
  <w:num w:numId="17" w16cid:durableId="2016834023">
    <w:abstractNumId w:val="32"/>
  </w:num>
  <w:num w:numId="18" w16cid:durableId="389690122">
    <w:abstractNumId w:val="18"/>
  </w:num>
  <w:num w:numId="19" w16cid:durableId="949897546">
    <w:abstractNumId w:val="29"/>
  </w:num>
  <w:num w:numId="20" w16cid:durableId="1609045916">
    <w:abstractNumId w:val="37"/>
  </w:num>
  <w:num w:numId="21" w16cid:durableId="348223418">
    <w:abstractNumId w:val="0"/>
  </w:num>
  <w:num w:numId="22" w16cid:durableId="1203978692">
    <w:abstractNumId w:val="10"/>
  </w:num>
  <w:num w:numId="23" w16cid:durableId="1583443176">
    <w:abstractNumId w:val="1"/>
  </w:num>
  <w:num w:numId="24" w16cid:durableId="1378122567">
    <w:abstractNumId w:val="35"/>
  </w:num>
  <w:num w:numId="25" w16cid:durableId="1959751462">
    <w:abstractNumId w:val="11"/>
  </w:num>
  <w:num w:numId="26" w16cid:durableId="1586380880">
    <w:abstractNumId w:val="14"/>
  </w:num>
  <w:num w:numId="27" w16cid:durableId="768081996">
    <w:abstractNumId w:val="2"/>
  </w:num>
  <w:num w:numId="28" w16cid:durableId="2048405729">
    <w:abstractNumId w:val="13"/>
  </w:num>
  <w:num w:numId="29" w16cid:durableId="488865033">
    <w:abstractNumId w:val="6"/>
  </w:num>
  <w:num w:numId="30" w16cid:durableId="1992950172">
    <w:abstractNumId w:val="33"/>
  </w:num>
  <w:num w:numId="31" w16cid:durableId="502162430">
    <w:abstractNumId w:val="9"/>
  </w:num>
  <w:num w:numId="32" w16cid:durableId="1803423657">
    <w:abstractNumId w:val="28"/>
  </w:num>
  <w:num w:numId="33" w16cid:durableId="173767717">
    <w:abstractNumId w:val="34"/>
  </w:num>
  <w:num w:numId="34" w16cid:durableId="823350827">
    <w:abstractNumId w:val="26"/>
  </w:num>
  <w:num w:numId="35" w16cid:durableId="1073815711">
    <w:abstractNumId w:val="30"/>
  </w:num>
  <w:num w:numId="36" w16cid:durableId="1889563961">
    <w:abstractNumId w:val="22"/>
  </w:num>
  <w:num w:numId="37" w16cid:durableId="1971593272">
    <w:abstractNumId w:val="20"/>
  </w:num>
  <w:num w:numId="38" w16cid:durableId="16080766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2B"/>
    <w:rsid w:val="00007CE6"/>
    <w:rsid w:val="0001254D"/>
    <w:rsid w:val="00012F47"/>
    <w:rsid w:val="00021C01"/>
    <w:rsid w:val="0002258D"/>
    <w:rsid w:val="00032305"/>
    <w:rsid w:val="0003706C"/>
    <w:rsid w:val="000372F6"/>
    <w:rsid w:val="00037E6F"/>
    <w:rsid w:val="000408E3"/>
    <w:rsid w:val="00040BB8"/>
    <w:rsid w:val="00041B5B"/>
    <w:rsid w:val="00042FBA"/>
    <w:rsid w:val="00045D5F"/>
    <w:rsid w:val="00050910"/>
    <w:rsid w:val="00051573"/>
    <w:rsid w:val="00052E7B"/>
    <w:rsid w:val="00052F81"/>
    <w:rsid w:val="00053A26"/>
    <w:rsid w:val="00053A5F"/>
    <w:rsid w:val="00056724"/>
    <w:rsid w:val="000576DF"/>
    <w:rsid w:val="00063FCF"/>
    <w:rsid w:val="000653DB"/>
    <w:rsid w:val="000674C0"/>
    <w:rsid w:val="000714BB"/>
    <w:rsid w:val="00073FD4"/>
    <w:rsid w:val="00080767"/>
    <w:rsid w:val="000849AD"/>
    <w:rsid w:val="00087697"/>
    <w:rsid w:val="0009125F"/>
    <w:rsid w:val="000B2888"/>
    <w:rsid w:val="000B3204"/>
    <w:rsid w:val="000B3767"/>
    <w:rsid w:val="000B43C9"/>
    <w:rsid w:val="000B7D0C"/>
    <w:rsid w:val="000C2C05"/>
    <w:rsid w:val="000C2E93"/>
    <w:rsid w:val="000C4D93"/>
    <w:rsid w:val="000D5843"/>
    <w:rsid w:val="000E2A8A"/>
    <w:rsid w:val="000E4CBE"/>
    <w:rsid w:val="000E51B4"/>
    <w:rsid w:val="000E5D52"/>
    <w:rsid w:val="000E5D83"/>
    <w:rsid w:val="000E6B26"/>
    <w:rsid w:val="000F230E"/>
    <w:rsid w:val="000F5297"/>
    <w:rsid w:val="00102763"/>
    <w:rsid w:val="00102B8A"/>
    <w:rsid w:val="00102D19"/>
    <w:rsid w:val="00104000"/>
    <w:rsid w:val="00104310"/>
    <w:rsid w:val="00105063"/>
    <w:rsid w:val="0010768E"/>
    <w:rsid w:val="00122CF0"/>
    <w:rsid w:val="001240DC"/>
    <w:rsid w:val="001254E2"/>
    <w:rsid w:val="00130657"/>
    <w:rsid w:val="0013141E"/>
    <w:rsid w:val="00147A35"/>
    <w:rsid w:val="00147B11"/>
    <w:rsid w:val="00152D7D"/>
    <w:rsid w:val="001537D5"/>
    <w:rsid w:val="00162972"/>
    <w:rsid w:val="0016319D"/>
    <w:rsid w:val="00167117"/>
    <w:rsid w:val="001735D3"/>
    <w:rsid w:val="0017412E"/>
    <w:rsid w:val="0017454D"/>
    <w:rsid w:val="00180673"/>
    <w:rsid w:val="00180A28"/>
    <w:rsid w:val="00181BF5"/>
    <w:rsid w:val="00184103"/>
    <w:rsid w:val="00185F7A"/>
    <w:rsid w:val="00187159"/>
    <w:rsid w:val="0019292F"/>
    <w:rsid w:val="00192ACD"/>
    <w:rsid w:val="001A138A"/>
    <w:rsid w:val="001A1ABF"/>
    <w:rsid w:val="001A570E"/>
    <w:rsid w:val="001D0DB6"/>
    <w:rsid w:val="001D2660"/>
    <w:rsid w:val="001D2759"/>
    <w:rsid w:val="001D450E"/>
    <w:rsid w:val="001D4EE0"/>
    <w:rsid w:val="001D62D4"/>
    <w:rsid w:val="001E6438"/>
    <w:rsid w:val="001F5E2B"/>
    <w:rsid w:val="002015FA"/>
    <w:rsid w:val="002038CD"/>
    <w:rsid w:val="00204000"/>
    <w:rsid w:val="002043F8"/>
    <w:rsid w:val="00221122"/>
    <w:rsid w:val="00225DB0"/>
    <w:rsid w:val="00225F5C"/>
    <w:rsid w:val="002301BB"/>
    <w:rsid w:val="00231CF0"/>
    <w:rsid w:val="00233068"/>
    <w:rsid w:val="0024475D"/>
    <w:rsid w:val="00245041"/>
    <w:rsid w:val="00246CB4"/>
    <w:rsid w:val="002601E7"/>
    <w:rsid w:val="00270890"/>
    <w:rsid w:val="00272168"/>
    <w:rsid w:val="00272A33"/>
    <w:rsid w:val="0027526D"/>
    <w:rsid w:val="002848DA"/>
    <w:rsid w:val="00284D80"/>
    <w:rsid w:val="00294390"/>
    <w:rsid w:val="002A1DE8"/>
    <w:rsid w:val="002A78A0"/>
    <w:rsid w:val="002B02ED"/>
    <w:rsid w:val="002B100C"/>
    <w:rsid w:val="002B432B"/>
    <w:rsid w:val="002B5AE6"/>
    <w:rsid w:val="002C2EDE"/>
    <w:rsid w:val="002C3605"/>
    <w:rsid w:val="002C4450"/>
    <w:rsid w:val="002C4ECF"/>
    <w:rsid w:val="002C79B9"/>
    <w:rsid w:val="002E14B8"/>
    <w:rsid w:val="002E285B"/>
    <w:rsid w:val="002E4FA8"/>
    <w:rsid w:val="002F1150"/>
    <w:rsid w:val="002F13EA"/>
    <w:rsid w:val="002F5132"/>
    <w:rsid w:val="002F52A9"/>
    <w:rsid w:val="002F6138"/>
    <w:rsid w:val="002F7FD4"/>
    <w:rsid w:val="003045F8"/>
    <w:rsid w:val="00305299"/>
    <w:rsid w:val="00305C35"/>
    <w:rsid w:val="00311F29"/>
    <w:rsid w:val="00320C55"/>
    <w:rsid w:val="00322FF9"/>
    <w:rsid w:val="00332215"/>
    <w:rsid w:val="00332EC1"/>
    <w:rsid w:val="00333B53"/>
    <w:rsid w:val="00350CB0"/>
    <w:rsid w:val="00363D75"/>
    <w:rsid w:val="0037658D"/>
    <w:rsid w:val="00376FB2"/>
    <w:rsid w:val="0038046A"/>
    <w:rsid w:val="003815B7"/>
    <w:rsid w:val="00382F39"/>
    <w:rsid w:val="00383050"/>
    <w:rsid w:val="0038519F"/>
    <w:rsid w:val="003873FF"/>
    <w:rsid w:val="00394AC0"/>
    <w:rsid w:val="00397897"/>
    <w:rsid w:val="003B0C9A"/>
    <w:rsid w:val="003B1D32"/>
    <w:rsid w:val="003B39F9"/>
    <w:rsid w:val="003B6EAB"/>
    <w:rsid w:val="003C045F"/>
    <w:rsid w:val="003C20B4"/>
    <w:rsid w:val="003C4CA3"/>
    <w:rsid w:val="003D06BF"/>
    <w:rsid w:val="003D0FE4"/>
    <w:rsid w:val="003D1E07"/>
    <w:rsid w:val="003D418D"/>
    <w:rsid w:val="003D51F2"/>
    <w:rsid w:val="003D5267"/>
    <w:rsid w:val="003E0B6D"/>
    <w:rsid w:val="003E1E69"/>
    <w:rsid w:val="003E5024"/>
    <w:rsid w:val="003E514B"/>
    <w:rsid w:val="003F32AF"/>
    <w:rsid w:val="003F67AC"/>
    <w:rsid w:val="00404545"/>
    <w:rsid w:val="004127D7"/>
    <w:rsid w:val="004144E6"/>
    <w:rsid w:val="004207A9"/>
    <w:rsid w:val="004251EE"/>
    <w:rsid w:val="00441014"/>
    <w:rsid w:val="004430BB"/>
    <w:rsid w:val="004435CA"/>
    <w:rsid w:val="00443ADF"/>
    <w:rsid w:val="00447B43"/>
    <w:rsid w:val="004529A7"/>
    <w:rsid w:val="00452F4C"/>
    <w:rsid w:val="00455372"/>
    <w:rsid w:val="00457620"/>
    <w:rsid w:val="004617E4"/>
    <w:rsid w:val="00466B7E"/>
    <w:rsid w:val="00470DC3"/>
    <w:rsid w:val="004723ED"/>
    <w:rsid w:val="00473800"/>
    <w:rsid w:val="0049225D"/>
    <w:rsid w:val="004943AD"/>
    <w:rsid w:val="004A04BE"/>
    <w:rsid w:val="004A29EC"/>
    <w:rsid w:val="004B38E1"/>
    <w:rsid w:val="004B67EB"/>
    <w:rsid w:val="004B767C"/>
    <w:rsid w:val="004C2866"/>
    <w:rsid w:val="004C49E3"/>
    <w:rsid w:val="004C77E1"/>
    <w:rsid w:val="004D2859"/>
    <w:rsid w:val="004D2BE0"/>
    <w:rsid w:val="004D7998"/>
    <w:rsid w:val="004E17AF"/>
    <w:rsid w:val="004E2E48"/>
    <w:rsid w:val="004E50B9"/>
    <w:rsid w:val="004F01DA"/>
    <w:rsid w:val="004F3E9A"/>
    <w:rsid w:val="00503A3B"/>
    <w:rsid w:val="0050415F"/>
    <w:rsid w:val="0050446E"/>
    <w:rsid w:val="0050495D"/>
    <w:rsid w:val="00504E01"/>
    <w:rsid w:val="0051025E"/>
    <w:rsid w:val="005104A1"/>
    <w:rsid w:val="00511137"/>
    <w:rsid w:val="00512E7E"/>
    <w:rsid w:val="00517889"/>
    <w:rsid w:val="00525C75"/>
    <w:rsid w:val="005279AC"/>
    <w:rsid w:val="0053742D"/>
    <w:rsid w:val="005378ED"/>
    <w:rsid w:val="005411C6"/>
    <w:rsid w:val="00541F5A"/>
    <w:rsid w:val="00545FF8"/>
    <w:rsid w:val="00547ADF"/>
    <w:rsid w:val="0055123D"/>
    <w:rsid w:val="00553B87"/>
    <w:rsid w:val="00553E7F"/>
    <w:rsid w:val="00555867"/>
    <w:rsid w:val="0055651E"/>
    <w:rsid w:val="00557E43"/>
    <w:rsid w:val="00560079"/>
    <w:rsid w:val="00561625"/>
    <w:rsid w:val="005625B9"/>
    <w:rsid w:val="00564685"/>
    <w:rsid w:val="005649EC"/>
    <w:rsid w:val="005703AB"/>
    <w:rsid w:val="005738ED"/>
    <w:rsid w:val="00573A3D"/>
    <w:rsid w:val="005758D8"/>
    <w:rsid w:val="00582B51"/>
    <w:rsid w:val="005841FC"/>
    <w:rsid w:val="00585205"/>
    <w:rsid w:val="00590C60"/>
    <w:rsid w:val="005943D5"/>
    <w:rsid w:val="005A03C1"/>
    <w:rsid w:val="005A09EF"/>
    <w:rsid w:val="005A5685"/>
    <w:rsid w:val="005A612B"/>
    <w:rsid w:val="005A7A34"/>
    <w:rsid w:val="005B3CB1"/>
    <w:rsid w:val="005B5914"/>
    <w:rsid w:val="005B5C34"/>
    <w:rsid w:val="005C0810"/>
    <w:rsid w:val="005C2C9C"/>
    <w:rsid w:val="005D4653"/>
    <w:rsid w:val="005E090C"/>
    <w:rsid w:val="005E1E03"/>
    <w:rsid w:val="005E2A8C"/>
    <w:rsid w:val="005E4006"/>
    <w:rsid w:val="005E494F"/>
    <w:rsid w:val="005F09E6"/>
    <w:rsid w:val="005F1D7A"/>
    <w:rsid w:val="005F56A7"/>
    <w:rsid w:val="006014DF"/>
    <w:rsid w:val="006129B8"/>
    <w:rsid w:val="006167D7"/>
    <w:rsid w:val="00620424"/>
    <w:rsid w:val="00634387"/>
    <w:rsid w:val="00641670"/>
    <w:rsid w:val="0064557D"/>
    <w:rsid w:val="006464BB"/>
    <w:rsid w:val="00647006"/>
    <w:rsid w:val="00650F00"/>
    <w:rsid w:val="006512A5"/>
    <w:rsid w:val="0065542A"/>
    <w:rsid w:val="00661D55"/>
    <w:rsid w:val="006626D7"/>
    <w:rsid w:val="00662A4D"/>
    <w:rsid w:val="006640BF"/>
    <w:rsid w:val="006664D5"/>
    <w:rsid w:val="00667F87"/>
    <w:rsid w:val="00673E5C"/>
    <w:rsid w:val="006740D4"/>
    <w:rsid w:val="00674AC7"/>
    <w:rsid w:val="00675E94"/>
    <w:rsid w:val="00686AED"/>
    <w:rsid w:val="0069439E"/>
    <w:rsid w:val="00694751"/>
    <w:rsid w:val="00696054"/>
    <w:rsid w:val="006A2939"/>
    <w:rsid w:val="006A4F70"/>
    <w:rsid w:val="006B1913"/>
    <w:rsid w:val="006B31ED"/>
    <w:rsid w:val="006C182A"/>
    <w:rsid w:val="006C2418"/>
    <w:rsid w:val="006D0211"/>
    <w:rsid w:val="006D1A97"/>
    <w:rsid w:val="006D2A66"/>
    <w:rsid w:val="006D4D5D"/>
    <w:rsid w:val="006E43B0"/>
    <w:rsid w:val="006F246A"/>
    <w:rsid w:val="006F2478"/>
    <w:rsid w:val="00701F3E"/>
    <w:rsid w:val="00702795"/>
    <w:rsid w:val="00704A2C"/>
    <w:rsid w:val="00707E82"/>
    <w:rsid w:val="0071121B"/>
    <w:rsid w:val="0072491E"/>
    <w:rsid w:val="00730745"/>
    <w:rsid w:val="00742899"/>
    <w:rsid w:val="0074540B"/>
    <w:rsid w:val="00745C7B"/>
    <w:rsid w:val="0075505C"/>
    <w:rsid w:val="0075730D"/>
    <w:rsid w:val="00761EE8"/>
    <w:rsid w:val="007706AB"/>
    <w:rsid w:val="00771F35"/>
    <w:rsid w:val="00773B30"/>
    <w:rsid w:val="00776C5D"/>
    <w:rsid w:val="0078241D"/>
    <w:rsid w:val="00784315"/>
    <w:rsid w:val="007866BC"/>
    <w:rsid w:val="0078767D"/>
    <w:rsid w:val="00792AD8"/>
    <w:rsid w:val="0079386C"/>
    <w:rsid w:val="007A132E"/>
    <w:rsid w:val="007A3046"/>
    <w:rsid w:val="007A36D7"/>
    <w:rsid w:val="007A578C"/>
    <w:rsid w:val="007B0365"/>
    <w:rsid w:val="007B100E"/>
    <w:rsid w:val="007B685A"/>
    <w:rsid w:val="007C00D0"/>
    <w:rsid w:val="007C1483"/>
    <w:rsid w:val="007C14CB"/>
    <w:rsid w:val="007C68AC"/>
    <w:rsid w:val="007D2C38"/>
    <w:rsid w:val="007D2CF5"/>
    <w:rsid w:val="007D5292"/>
    <w:rsid w:val="007D65B8"/>
    <w:rsid w:val="007E42A8"/>
    <w:rsid w:val="007F1C81"/>
    <w:rsid w:val="007F2B02"/>
    <w:rsid w:val="008013F7"/>
    <w:rsid w:val="0080573A"/>
    <w:rsid w:val="00807345"/>
    <w:rsid w:val="008075B2"/>
    <w:rsid w:val="00813D87"/>
    <w:rsid w:val="00814590"/>
    <w:rsid w:val="008164F4"/>
    <w:rsid w:val="0081659D"/>
    <w:rsid w:val="008176FF"/>
    <w:rsid w:val="00823301"/>
    <w:rsid w:val="00825110"/>
    <w:rsid w:val="00825CD1"/>
    <w:rsid w:val="008267C5"/>
    <w:rsid w:val="008268D7"/>
    <w:rsid w:val="00831703"/>
    <w:rsid w:val="008342CC"/>
    <w:rsid w:val="00834795"/>
    <w:rsid w:val="00834839"/>
    <w:rsid w:val="00837240"/>
    <w:rsid w:val="00843997"/>
    <w:rsid w:val="0084695A"/>
    <w:rsid w:val="00852BDE"/>
    <w:rsid w:val="008542C4"/>
    <w:rsid w:val="00854ED8"/>
    <w:rsid w:val="00857A22"/>
    <w:rsid w:val="00862467"/>
    <w:rsid w:val="0086273D"/>
    <w:rsid w:val="00863385"/>
    <w:rsid w:val="0086644E"/>
    <w:rsid w:val="00871013"/>
    <w:rsid w:val="008752F2"/>
    <w:rsid w:val="008805DD"/>
    <w:rsid w:val="00882CFC"/>
    <w:rsid w:val="0088405A"/>
    <w:rsid w:val="00887F3D"/>
    <w:rsid w:val="0089398C"/>
    <w:rsid w:val="008A0804"/>
    <w:rsid w:val="008A219D"/>
    <w:rsid w:val="008A54D4"/>
    <w:rsid w:val="008C3069"/>
    <w:rsid w:val="008C4067"/>
    <w:rsid w:val="008D030A"/>
    <w:rsid w:val="008D1E3C"/>
    <w:rsid w:val="008E1D32"/>
    <w:rsid w:val="008E4171"/>
    <w:rsid w:val="008E4C9F"/>
    <w:rsid w:val="008E4FC6"/>
    <w:rsid w:val="008E5D69"/>
    <w:rsid w:val="008F5D03"/>
    <w:rsid w:val="009031B1"/>
    <w:rsid w:val="00911012"/>
    <w:rsid w:val="00911B41"/>
    <w:rsid w:val="0091205A"/>
    <w:rsid w:val="00916A1D"/>
    <w:rsid w:val="00921567"/>
    <w:rsid w:val="0092243A"/>
    <w:rsid w:val="009252DB"/>
    <w:rsid w:val="00925E0C"/>
    <w:rsid w:val="0092637C"/>
    <w:rsid w:val="00926581"/>
    <w:rsid w:val="00930C83"/>
    <w:rsid w:val="00933D23"/>
    <w:rsid w:val="009459B4"/>
    <w:rsid w:val="00945B70"/>
    <w:rsid w:val="00946B2D"/>
    <w:rsid w:val="00947F35"/>
    <w:rsid w:val="00950014"/>
    <w:rsid w:val="0095399A"/>
    <w:rsid w:val="00954CC3"/>
    <w:rsid w:val="00954F24"/>
    <w:rsid w:val="00963D24"/>
    <w:rsid w:val="009654B9"/>
    <w:rsid w:val="009706A1"/>
    <w:rsid w:val="0097437D"/>
    <w:rsid w:val="00974E55"/>
    <w:rsid w:val="00980F8E"/>
    <w:rsid w:val="0098690D"/>
    <w:rsid w:val="0098747B"/>
    <w:rsid w:val="00987959"/>
    <w:rsid w:val="0099187B"/>
    <w:rsid w:val="00997D62"/>
    <w:rsid w:val="00997DEA"/>
    <w:rsid w:val="009A4D70"/>
    <w:rsid w:val="009A6028"/>
    <w:rsid w:val="009B3179"/>
    <w:rsid w:val="009B7685"/>
    <w:rsid w:val="009C120D"/>
    <w:rsid w:val="009C1955"/>
    <w:rsid w:val="009C3D6A"/>
    <w:rsid w:val="009E2F2F"/>
    <w:rsid w:val="009E7471"/>
    <w:rsid w:val="009F15CB"/>
    <w:rsid w:val="009F1BD8"/>
    <w:rsid w:val="009F313A"/>
    <w:rsid w:val="00A00FB5"/>
    <w:rsid w:val="00A030AD"/>
    <w:rsid w:val="00A04082"/>
    <w:rsid w:val="00A06C38"/>
    <w:rsid w:val="00A07D83"/>
    <w:rsid w:val="00A127BD"/>
    <w:rsid w:val="00A24E55"/>
    <w:rsid w:val="00A25AA1"/>
    <w:rsid w:val="00A36943"/>
    <w:rsid w:val="00A47215"/>
    <w:rsid w:val="00A50ED4"/>
    <w:rsid w:val="00A60321"/>
    <w:rsid w:val="00A63331"/>
    <w:rsid w:val="00A64338"/>
    <w:rsid w:val="00A65908"/>
    <w:rsid w:val="00A67DAE"/>
    <w:rsid w:val="00A70E6F"/>
    <w:rsid w:val="00A71AD8"/>
    <w:rsid w:val="00A721D0"/>
    <w:rsid w:val="00A7785F"/>
    <w:rsid w:val="00A804BA"/>
    <w:rsid w:val="00A8131C"/>
    <w:rsid w:val="00A8142C"/>
    <w:rsid w:val="00A82A75"/>
    <w:rsid w:val="00A84CEC"/>
    <w:rsid w:val="00A8677D"/>
    <w:rsid w:val="00A9424E"/>
    <w:rsid w:val="00A95F56"/>
    <w:rsid w:val="00A961AC"/>
    <w:rsid w:val="00AA227D"/>
    <w:rsid w:val="00AA4460"/>
    <w:rsid w:val="00AB30DD"/>
    <w:rsid w:val="00AB5D6F"/>
    <w:rsid w:val="00AC25B5"/>
    <w:rsid w:val="00AC5A4E"/>
    <w:rsid w:val="00AD1316"/>
    <w:rsid w:val="00AD6696"/>
    <w:rsid w:val="00AE3C64"/>
    <w:rsid w:val="00AE4EA8"/>
    <w:rsid w:val="00AE51FB"/>
    <w:rsid w:val="00AE55BB"/>
    <w:rsid w:val="00AF3B1E"/>
    <w:rsid w:val="00AF3ED5"/>
    <w:rsid w:val="00AF4034"/>
    <w:rsid w:val="00AF56C6"/>
    <w:rsid w:val="00AF5BF6"/>
    <w:rsid w:val="00B0284B"/>
    <w:rsid w:val="00B02B70"/>
    <w:rsid w:val="00B03A41"/>
    <w:rsid w:val="00B04BAA"/>
    <w:rsid w:val="00B15D0B"/>
    <w:rsid w:val="00B16F82"/>
    <w:rsid w:val="00B264BF"/>
    <w:rsid w:val="00B26C9A"/>
    <w:rsid w:val="00B34AA7"/>
    <w:rsid w:val="00B43C60"/>
    <w:rsid w:val="00B51DF8"/>
    <w:rsid w:val="00B53615"/>
    <w:rsid w:val="00B54CE9"/>
    <w:rsid w:val="00B56ADA"/>
    <w:rsid w:val="00B56FD6"/>
    <w:rsid w:val="00B57117"/>
    <w:rsid w:val="00B60089"/>
    <w:rsid w:val="00B7274E"/>
    <w:rsid w:val="00B90033"/>
    <w:rsid w:val="00B954C5"/>
    <w:rsid w:val="00BA0015"/>
    <w:rsid w:val="00BA0D7E"/>
    <w:rsid w:val="00BA4BF0"/>
    <w:rsid w:val="00BA5B5E"/>
    <w:rsid w:val="00BA6219"/>
    <w:rsid w:val="00BA70D7"/>
    <w:rsid w:val="00BA7F01"/>
    <w:rsid w:val="00BB0B98"/>
    <w:rsid w:val="00BB2696"/>
    <w:rsid w:val="00BB332B"/>
    <w:rsid w:val="00BB3D5F"/>
    <w:rsid w:val="00BB407A"/>
    <w:rsid w:val="00BB66B5"/>
    <w:rsid w:val="00BC01C7"/>
    <w:rsid w:val="00BC3ED3"/>
    <w:rsid w:val="00BC44CB"/>
    <w:rsid w:val="00BC55CF"/>
    <w:rsid w:val="00BD107C"/>
    <w:rsid w:val="00BD32B2"/>
    <w:rsid w:val="00BD4363"/>
    <w:rsid w:val="00BE1327"/>
    <w:rsid w:val="00BE5645"/>
    <w:rsid w:val="00BF0DBE"/>
    <w:rsid w:val="00BF3090"/>
    <w:rsid w:val="00BF7FFB"/>
    <w:rsid w:val="00C0222E"/>
    <w:rsid w:val="00C15A1D"/>
    <w:rsid w:val="00C16500"/>
    <w:rsid w:val="00C17E85"/>
    <w:rsid w:val="00C31ECA"/>
    <w:rsid w:val="00C33CC5"/>
    <w:rsid w:val="00C40554"/>
    <w:rsid w:val="00C43588"/>
    <w:rsid w:val="00C44CDE"/>
    <w:rsid w:val="00C52B6A"/>
    <w:rsid w:val="00C5755D"/>
    <w:rsid w:val="00C61357"/>
    <w:rsid w:val="00C644BC"/>
    <w:rsid w:val="00C655EF"/>
    <w:rsid w:val="00C74FCB"/>
    <w:rsid w:val="00C80B51"/>
    <w:rsid w:val="00C80F2E"/>
    <w:rsid w:val="00C85572"/>
    <w:rsid w:val="00C91165"/>
    <w:rsid w:val="00C97251"/>
    <w:rsid w:val="00C97759"/>
    <w:rsid w:val="00CA5DE0"/>
    <w:rsid w:val="00CA7E35"/>
    <w:rsid w:val="00CB3245"/>
    <w:rsid w:val="00CC43B2"/>
    <w:rsid w:val="00CC69B4"/>
    <w:rsid w:val="00CD4C02"/>
    <w:rsid w:val="00CD4DCE"/>
    <w:rsid w:val="00CD6D22"/>
    <w:rsid w:val="00CE0A50"/>
    <w:rsid w:val="00CE2CE8"/>
    <w:rsid w:val="00CE4484"/>
    <w:rsid w:val="00CF2EBA"/>
    <w:rsid w:val="00CF6D79"/>
    <w:rsid w:val="00CF7F1B"/>
    <w:rsid w:val="00D07318"/>
    <w:rsid w:val="00D14EF0"/>
    <w:rsid w:val="00D1605A"/>
    <w:rsid w:val="00D20DE3"/>
    <w:rsid w:val="00D22A18"/>
    <w:rsid w:val="00D25CE8"/>
    <w:rsid w:val="00D31975"/>
    <w:rsid w:val="00D32749"/>
    <w:rsid w:val="00D33E0C"/>
    <w:rsid w:val="00D35A2C"/>
    <w:rsid w:val="00D41A10"/>
    <w:rsid w:val="00D44766"/>
    <w:rsid w:val="00D45173"/>
    <w:rsid w:val="00D5114B"/>
    <w:rsid w:val="00D53309"/>
    <w:rsid w:val="00D66192"/>
    <w:rsid w:val="00D66ECF"/>
    <w:rsid w:val="00D67F1F"/>
    <w:rsid w:val="00D77C9B"/>
    <w:rsid w:val="00D8453B"/>
    <w:rsid w:val="00D855AA"/>
    <w:rsid w:val="00D86597"/>
    <w:rsid w:val="00D87347"/>
    <w:rsid w:val="00D94F19"/>
    <w:rsid w:val="00D95767"/>
    <w:rsid w:val="00D97284"/>
    <w:rsid w:val="00DA348D"/>
    <w:rsid w:val="00DA3C93"/>
    <w:rsid w:val="00DB0100"/>
    <w:rsid w:val="00DB0A25"/>
    <w:rsid w:val="00DB46CC"/>
    <w:rsid w:val="00DB53FB"/>
    <w:rsid w:val="00DC4670"/>
    <w:rsid w:val="00DD1F86"/>
    <w:rsid w:val="00DD657E"/>
    <w:rsid w:val="00DD6A23"/>
    <w:rsid w:val="00DD7190"/>
    <w:rsid w:val="00DD72B2"/>
    <w:rsid w:val="00DE207C"/>
    <w:rsid w:val="00DE745A"/>
    <w:rsid w:val="00DF173D"/>
    <w:rsid w:val="00E00AD2"/>
    <w:rsid w:val="00E02A2F"/>
    <w:rsid w:val="00E11BB4"/>
    <w:rsid w:val="00E136B5"/>
    <w:rsid w:val="00E14ADF"/>
    <w:rsid w:val="00E17726"/>
    <w:rsid w:val="00E21CB7"/>
    <w:rsid w:val="00E225C6"/>
    <w:rsid w:val="00E235C1"/>
    <w:rsid w:val="00E3370E"/>
    <w:rsid w:val="00E33EAB"/>
    <w:rsid w:val="00E375DC"/>
    <w:rsid w:val="00E40115"/>
    <w:rsid w:val="00E40567"/>
    <w:rsid w:val="00E406BB"/>
    <w:rsid w:val="00E44D37"/>
    <w:rsid w:val="00E4546F"/>
    <w:rsid w:val="00E54A99"/>
    <w:rsid w:val="00E5631A"/>
    <w:rsid w:val="00E56928"/>
    <w:rsid w:val="00E5772B"/>
    <w:rsid w:val="00E61154"/>
    <w:rsid w:val="00E74097"/>
    <w:rsid w:val="00E83148"/>
    <w:rsid w:val="00E870F4"/>
    <w:rsid w:val="00EA6390"/>
    <w:rsid w:val="00EA6454"/>
    <w:rsid w:val="00EA794F"/>
    <w:rsid w:val="00EB04C1"/>
    <w:rsid w:val="00EB5946"/>
    <w:rsid w:val="00EB67EB"/>
    <w:rsid w:val="00EB789F"/>
    <w:rsid w:val="00EC0BCC"/>
    <w:rsid w:val="00EC1778"/>
    <w:rsid w:val="00ED12B6"/>
    <w:rsid w:val="00ED3363"/>
    <w:rsid w:val="00EE02E1"/>
    <w:rsid w:val="00EE0F8A"/>
    <w:rsid w:val="00EE421A"/>
    <w:rsid w:val="00EF083E"/>
    <w:rsid w:val="00EF0FC1"/>
    <w:rsid w:val="00EF2D1C"/>
    <w:rsid w:val="00EF391B"/>
    <w:rsid w:val="00F014A2"/>
    <w:rsid w:val="00F02DBB"/>
    <w:rsid w:val="00F035C0"/>
    <w:rsid w:val="00F05BE7"/>
    <w:rsid w:val="00F3151F"/>
    <w:rsid w:val="00F32BFD"/>
    <w:rsid w:val="00F41226"/>
    <w:rsid w:val="00F45E9C"/>
    <w:rsid w:val="00F471E2"/>
    <w:rsid w:val="00F64182"/>
    <w:rsid w:val="00F65E11"/>
    <w:rsid w:val="00F673C0"/>
    <w:rsid w:val="00F7147F"/>
    <w:rsid w:val="00F71CBA"/>
    <w:rsid w:val="00F86E95"/>
    <w:rsid w:val="00F92F84"/>
    <w:rsid w:val="00F97581"/>
    <w:rsid w:val="00F97A5A"/>
    <w:rsid w:val="00FA1219"/>
    <w:rsid w:val="00FA3074"/>
    <w:rsid w:val="00FA64E1"/>
    <w:rsid w:val="00FA6E27"/>
    <w:rsid w:val="00FB01BB"/>
    <w:rsid w:val="00FB0914"/>
    <w:rsid w:val="00FB353A"/>
    <w:rsid w:val="00FB60AE"/>
    <w:rsid w:val="00FB6309"/>
    <w:rsid w:val="00FC25DD"/>
    <w:rsid w:val="00FC3E81"/>
    <w:rsid w:val="00FC4EBB"/>
    <w:rsid w:val="00FD2EB5"/>
    <w:rsid w:val="00FD4F36"/>
    <w:rsid w:val="00FD540F"/>
    <w:rsid w:val="00FD5915"/>
    <w:rsid w:val="00FE0943"/>
    <w:rsid w:val="00FE1027"/>
    <w:rsid w:val="00FE28CF"/>
    <w:rsid w:val="00FE43B5"/>
    <w:rsid w:val="00FE505D"/>
    <w:rsid w:val="00FF5957"/>
    <w:rsid w:val="00FF5AB3"/>
    <w:rsid w:val="0DB36C0E"/>
    <w:rsid w:val="10B02E76"/>
    <w:rsid w:val="11EDDF8B"/>
    <w:rsid w:val="15A91537"/>
    <w:rsid w:val="167C59BF"/>
    <w:rsid w:val="199E91C5"/>
    <w:rsid w:val="1E953ACF"/>
    <w:rsid w:val="1F3139DE"/>
    <w:rsid w:val="250D12FE"/>
    <w:rsid w:val="27473DDA"/>
    <w:rsid w:val="27E2C59A"/>
    <w:rsid w:val="2CB63D54"/>
    <w:rsid w:val="37CAC389"/>
    <w:rsid w:val="3ECBF91F"/>
    <w:rsid w:val="485F2905"/>
    <w:rsid w:val="4A1BFE1F"/>
    <w:rsid w:val="5412A12D"/>
    <w:rsid w:val="59BA3197"/>
    <w:rsid w:val="5C66399C"/>
    <w:rsid w:val="66121145"/>
    <w:rsid w:val="672A4CBC"/>
    <w:rsid w:val="6F91B785"/>
    <w:rsid w:val="791E95F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3578D852-88F4-4332-9BBE-F4D448DA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83050"/>
    <w:pPr>
      <w:spacing w:after="200" w:line="276" w:lineRule="auto"/>
    </w:pPr>
    <w:rPr>
      <w:rFonts w:ascii="FoundrySterling-Book" w:hAnsi="FoundrySterling-Book"/>
      <w:sz w:val="20"/>
      <w:szCs w:val="22"/>
      <w:lang w:eastAsia="en-AU"/>
    </w:rPr>
  </w:style>
  <w:style w:type="paragraph" w:styleId="Heading1">
    <w:name w:val="heading 1"/>
    <w:basedOn w:val="Normal"/>
    <w:next w:val="Normal"/>
    <w:link w:val="Heading1Char"/>
    <w:uiPriority w:val="9"/>
    <w:qFormat/>
    <w:rsid w:val="00E3370E"/>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Heading2"/>
    <w:next w:val="Normal"/>
    <w:link w:val="Heading3Char"/>
    <w:uiPriority w:val="9"/>
    <w:unhideWhenUsed/>
    <w:qFormat/>
    <w:rsid w:val="00503A3B"/>
    <w:pPr>
      <w:spacing w:after="200" w:line="240" w:lineRule="auto"/>
      <w:ind w:left="1117" w:hanging="397"/>
      <w:outlineLvl w:val="2"/>
    </w:pPr>
    <w:rPr>
      <w:rFonts w:ascii="Foundry Sterling Book" w:eastAsia="Times New Roman" w:hAnsi="Foundry Sterling Book"/>
      <w:sz w:val="24"/>
      <w:lang w:eastAsia="en-GB"/>
    </w:rPr>
  </w:style>
  <w:style w:type="paragraph" w:styleId="Heading4">
    <w:name w:val="heading 4"/>
    <w:basedOn w:val="Normal"/>
    <w:next w:val="Normal"/>
    <w:link w:val="Heading4Char"/>
    <w:uiPriority w:val="9"/>
    <w:unhideWhenUsed/>
    <w:qFormat/>
    <w:rsid w:val="00DC4670"/>
    <w:pPr>
      <w:spacing w:after="120" w:line="240" w:lineRule="auto"/>
      <w:ind w:left="360" w:firstLine="720"/>
      <w:jc w:val="both"/>
      <w:outlineLvl w:val="3"/>
    </w:pPr>
    <w:rPr>
      <w:rFonts w:ascii="Foundry Sterling Book" w:hAnsi="Foundry Sterling Book" w:cs="Arial"/>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3"/>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Yu Gothic Light" w:hAnsi="Yu Gothic 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E3370E"/>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503A3B"/>
    <w:rPr>
      <w:rFonts w:ascii="Foundry Sterling Book" w:eastAsia="Times New Roman" w:hAnsi="Foundry Sterling Book" w:cstheme="majorBidi"/>
      <w:color w:val="E30918"/>
      <w:szCs w:val="26"/>
      <w:lang w:eastAsia="en-GB"/>
    </w:rPr>
  </w:style>
  <w:style w:type="character" w:customStyle="1" w:styleId="Heading4Char">
    <w:name w:val="Heading 4 Char"/>
    <w:link w:val="Heading4"/>
    <w:uiPriority w:val="9"/>
    <w:rsid w:val="00DC4670"/>
    <w:rPr>
      <w:rFonts w:ascii="Foundry Sterling Book" w:hAnsi="Foundry Sterling Book" w:cs="Arial"/>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4"/>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styleId="ListNumber">
    <w:name w:val="List Number"/>
    <w:basedOn w:val="Normal"/>
    <w:uiPriority w:val="1"/>
    <w:unhideWhenUsed/>
    <w:qFormat/>
    <w:rsid w:val="00BF3090"/>
    <w:pPr>
      <w:spacing w:before="120" w:after="120" w:line="312" w:lineRule="auto"/>
    </w:pPr>
    <w:rPr>
      <w:rFonts w:asciiTheme="minorHAnsi" w:hAnsiTheme="minorHAnsi"/>
      <w:sz w:val="24"/>
      <w:szCs w:val="20"/>
      <w:lang w:eastAsia="en-US"/>
    </w:rPr>
  </w:style>
  <w:style w:type="character" w:styleId="CommentReference">
    <w:name w:val="annotation reference"/>
    <w:basedOn w:val="DefaultParagraphFont"/>
    <w:uiPriority w:val="99"/>
    <w:semiHidden/>
    <w:unhideWhenUsed/>
    <w:rsid w:val="00F97581"/>
    <w:rPr>
      <w:sz w:val="16"/>
      <w:szCs w:val="16"/>
    </w:rPr>
  </w:style>
  <w:style w:type="paragraph" w:styleId="CommentText">
    <w:name w:val="annotation text"/>
    <w:basedOn w:val="Normal"/>
    <w:link w:val="CommentTextChar"/>
    <w:uiPriority w:val="99"/>
    <w:unhideWhenUsed/>
    <w:rsid w:val="00F97581"/>
    <w:pPr>
      <w:spacing w:line="240" w:lineRule="auto"/>
      <w:jc w:val="both"/>
    </w:pPr>
    <w:rPr>
      <w:rFonts w:ascii="Arial" w:hAnsi="Arial"/>
      <w:color w:val="000000" w:themeColor="text1"/>
      <w:szCs w:val="20"/>
    </w:rPr>
  </w:style>
  <w:style w:type="character" w:customStyle="1" w:styleId="CommentTextChar">
    <w:name w:val="Comment Text Char"/>
    <w:basedOn w:val="DefaultParagraphFont"/>
    <w:link w:val="CommentText"/>
    <w:uiPriority w:val="99"/>
    <w:rsid w:val="00F97581"/>
    <w:rPr>
      <w:rFonts w:ascii="Arial" w:hAnsi="Arial"/>
      <w:color w:val="000000" w:themeColor="text1"/>
      <w:sz w:val="20"/>
      <w:szCs w:val="20"/>
      <w:lang w:eastAsia="en-AU"/>
    </w:rPr>
  </w:style>
  <w:style w:type="character" w:customStyle="1" w:styleId="normaltextrun">
    <w:name w:val="normaltextrun"/>
    <w:basedOn w:val="DefaultParagraphFont"/>
    <w:rsid w:val="00F97581"/>
  </w:style>
  <w:style w:type="character" w:styleId="Mention">
    <w:name w:val="Mention"/>
    <w:basedOn w:val="DefaultParagraphFont"/>
    <w:uiPriority w:val="99"/>
    <w:rsid w:val="00F97581"/>
    <w:rPr>
      <w:color w:val="2B579A"/>
      <w:shd w:val="clear" w:color="auto" w:fill="E1DFDD"/>
    </w:rPr>
  </w:style>
  <w:style w:type="paragraph" w:styleId="NormalWeb">
    <w:name w:val="Normal (Web)"/>
    <w:basedOn w:val="Normal"/>
    <w:uiPriority w:val="99"/>
    <w:unhideWhenUsed/>
    <w:rsid w:val="00F975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D87347"/>
    <w:pPr>
      <w:jc w:val="left"/>
    </w:pPr>
    <w:rPr>
      <w:rFonts w:ascii="FoundrySterling-Book" w:hAnsi="FoundrySterling-Book"/>
      <w:b/>
      <w:bCs/>
      <w:color w:val="auto"/>
    </w:rPr>
  </w:style>
  <w:style w:type="character" w:customStyle="1" w:styleId="CommentSubjectChar">
    <w:name w:val="Comment Subject Char"/>
    <w:basedOn w:val="CommentTextChar"/>
    <w:link w:val="CommentSubject"/>
    <w:uiPriority w:val="99"/>
    <w:semiHidden/>
    <w:rsid w:val="00D87347"/>
    <w:rPr>
      <w:rFonts w:ascii="FoundrySterling-Book" w:hAnsi="FoundrySterling-Book"/>
      <w:b/>
      <w:bCs/>
      <w:color w:val="000000" w:themeColor="text1"/>
      <w:sz w:val="20"/>
      <w:szCs w:val="20"/>
      <w:lang w:eastAsia="en-AU"/>
    </w:rPr>
  </w:style>
  <w:style w:type="paragraph" w:styleId="Revision">
    <w:name w:val="Revision"/>
    <w:hidden/>
    <w:uiPriority w:val="99"/>
    <w:semiHidden/>
    <w:rsid w:val="00D87347"/>
    <w:rPr>
      <w:rFonts w:ascii="FoundrySterling-Book" w:hAnsi="FoundrySterling-Book"/>
      <w:sz w:val="20"/>
      <w:szCs w:val="22"/>
      <w:lang w:eastAsia="en-AU"/>
    </w:rPr>
  </w:style>
  <w:style w:type="character" w:customStyle="1" w:styleId="eop">
    <w:name w:val="eop"/>
    <w:basedOn w:val="DefaultParagraphFont"/>
    <w:rsid w:val="00383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iffitheduau.sharepoint.com/:w:/s/TPAsupport/ET3dJvxLprdHlhldMuEM-pAByjrGuPkyO6W7MeYrqv4Avw?e=23DbhT" TargetMode="External"/><Relationship Id="rId18" Type="http://schemas.openxmlformats.org/officeDocument/2006/relationships/header" Target="header1.xml"/><Relationship Id="rId26" Type="http://schemas.openxmlformats.org/officeDocument/2006/relationships/hyperlink" Target="https://sharepointpubstor.blob.core.windows.net/policylibrary-prod/Credit%20and%20Recognition%20of%20Prior%20Learning%20Policy.pdf" TargetMode="External"/><Relationship Id="rId39" Type="http://schemas.openxmlformats.org/officeDocument/2006/relationships/hyperlink" Target="https://griffitheduau.sharepoint.com/:w:/s/TPAsupport/EbuaPgnxr2FNvPnwgBNum7sBLQTOoO_CJo-cs31pfgUI-Q?e=mGWOAz"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sharepointpubstor.blob.core.windows.net/policylibrary-prod/Planning%20Developing%20and%20Approving%20Transnational%20Programs%20Procedure.pdf"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griffitheduau.sharepoint.com/:x:/s/TPAsupport/EfB4sEJoCf9Gqd1nFRXHtT8Bg4OXFm1UkkubJXID6o45rw?e=QQipjD" TargetMode="External"/><Relationship Id="rId17" Type="http://schemas.openxmlformats.org/officeDocument/2006/relationships/hyperlink" Target="https://griffitheduau.sharepoint.com/:w:/s/TPAsupport/EZb6X0PU2OJMu3XfWFADINMBOmwyhr77oRGpYGNlyPI34Q?e=KlVvvo" TargetMode="External"/><Relationship Id="rId25" Type="http://schemas.openxmlformats.org/officeDocument/2006/relationships/hyperlink" Target="https://sharepointpubstor.blob.core.windows.net/policylibrary-prod/Assessment%20Policy.pdf" TargetMode="External"/><Relationship Id="rId33" Type="http://schemas.openxmlformats.org/officeDocument/2006/relationships/hyperlink" Target="https://sharepointpubstor.blob.core.windows.net/policylibrary-prod/Griffith%20Credentials%20Planning%20Approval%20and%20Review%20Procedure.pdf" TargetMode="External"/><Relationship Id="rId38" Type="http://schemas.openxmlformats.org/officeDocument/2006/relationships/hyperlink" Target="https://griffitheduau.sharepoint.com/:x:/s/TPAsupport/EfB4sEJoCf9Gqd1nFRXHtT8Bg4OXFm1UkkubJXID6o45rw?e=QQipjD" TargetMode="External"/><Relationship Id="rId2" Type="http://schemas.openxmlformats.org/officeDocument/2006/relationships/customXml" Target="../customXml/item2.xml"/><Relationship Id="rId16" Type="http://schemas.openxmlformats.org/officeDocument/2006/relationships/hyperlink" Target="https://griffitheduau.sharepoint.com/:w:/s/TPAsupport/EaryoElOXsxChpFHUwPJB0MBSjNayZjGqehRHaGVeR2Spw?e=twXBOY" TargetMode="External"/><Relationship Id="rId20" Type="http://schemas.openxmlformats.org/officeDocument/2006/relationships/header" Target="header2.xml"/><Relationship Id="rId29" Type="http://schemas.openxmlformats.org/officeDocument/2006/relationships/hyperlink" Target="https://sharepointpubstor.blob.core.windows.net/policylibrary-prod/Procurement%20and%20Supply%20Policy.pdf" TargetMode="External"/><Relationship Id="rId41" Type="http://schemas.openxmlformats.org/officeDocument/2006/relationships/hyperlink" Target="https://griffitheduau.sharepoint.com/:w:/s/TPAsupport/EZb6X0PU2OJMu3XfWFADINMBOmwyhr77oRGpYGNlyPI34Q?e=KlVvv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iffitheduau.sharepoint.com/:w:/s/TPAsupport/ET3dJvxLprdHlhldMuEM-pAByjrGuPkyO6W7MeYrqv4Avw?e=23DbhT" TargetMode="External"/><Relationship Id="rId24" Type="http://schemas.openxmlformats.org/officeDocument/2006/relationships/hyperlink" Target="https://sharepointpubstor.blob.core.windows.net/policylibrary-prod/Academic%20Delivery%20with%20Other%20Parties%20Policy.pdf" TargetMode="External"/><Relationship Id="rId32" Type="http://schemas.openxmlformats.org/officeDocument/2006/relationships/hyperlink" Target="https://sharepointpubstor.blob.core.windows.net/policylibrary-prod/Procedure%20for%20Approval%20of%20Courses%20and%20Changes%20to%20Existing%20Courses.pdf" TargetMode="External"/><Relationship Id="rId37" Type="http://schemas.openxmlformats.org/officeDocument/2006/relationships/hyperlink" Target="https://griffitheduau.sharepoint.com/:w:/s/TPAsupport/ET3dJvxLprdHlhldMuEM-pAByjrGuPkyO6W7MeYrqv4Avw?e=23DbhT" TargetMode="External"/><Relationship Id="rId40" Type="http://schemas.openxmlformats.org/officeDocument/2006/relationships/hyperlink" Target="https://griffitheduau.sharepoint.com/:w:/s/TPAsupport/EaryoElOXsxChpFHUwPJB0MBSjNayZjGqehRHaGVeR2Spw?e=twXBOY" TargetMode="External"/><Relationship Id="rId5" Type="http://schemas.openxmlformats.org/officeDocument/2006/relationships/numbering" Target="numbering.xml"/><Relationship Id="rId15" Type="http://schemas.openxmlformats.org/officeDocument/2006/relationships/hyperlink" Target="https://griffitheduau.sharepoint.com/:w:/r/sites/TPAsupport/Shared%20Documents/Academic%20Delivery%20with%20Other%20Parties%20-%20Domestic%20Coursework%20Term%20Sheet%20.docx?d=wf31eb3f2b50641f48b31caf0ae1c2a97&amp;csf=1&amp;web=1&amp;e=eHREWT" TargetMode="External"/><Relationship Id="rId23" Type="http://schemas.openxmlformats.org/officeDocument/2006/relationships/hyperlink" Target="https://www.legislation.gov.au/Details/F2017L01182" TargetMode="External"/><Relationship Id="rId28" Type="http://schemas.openxmlformats.org/officeDocument/2006/relationships/hyperlink" Target="https://sharepointpubstor.blob.core.windows.net/policylibrary-prod/Griffith%20Global%20Mobility%20Policy.pdf" TargetMode="External"/><Relationship Id="rId36" Type="http://schemas.openxmlformats.org/officeDocument/2006/relationships/hyperlink" Target="https://sharepointpubstor.blob.core.windows.net/policylibrary-prod/Procedure%20for%20Approval%20of%20New%20Programs%20and%20Changes%20to%20Programs.pdf"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sharepointpubstor.blob.core.windows.net/policylibrary-prod/Work%20Integrated%20Learning%20at%20Griffith.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iffitheduau.sharepoint.com/:x:/s/TPAsupport/EfB4sEJoCf9Gqd1nFRXHtT8Bg4OXFm1UkkubJXID6o45rw?e=QQipjD" TargetMode="External"/><Relationship Id="rId22" Type="http://schemas.openxmlformats.org/officeDocument/2006/relationships/hyperlink" Target="https://www.legislation.gov.au/Details/F2022C00105" TargetMode="External"/><Relationship Id="rId27" Type="http://schemas.openxmlformats.org/officeDocument/2006/relationships/hyperlink" Target="https://sharepointpubstor.blob.core.windows.net/policylibrary-prod/Due%20Diligence%20for%20Transnational%20Program%20Partnerships%20Policy.pdf" TargetMode="External"/><Relationship Id="rId30" Type="http://schemas.openxmlformats.org/officeDocument/2006/relationships/hyperlink" Target="https://sharepointpubstor.blob.core.windows.net/policylibrary-prod/Risk%20and%20Resilience%20Management%20Policy.pdf" TargetMode="External"/><Relationship Id="rId35" Type="http://schemas.openxmlformats.org/officeDocument/2006/relationships/hyperlink" Target="https://sharepointpubstor.blob.core.windows.net/policylibrary-prod/Procedure%20for%20Program%20and%20Course%20Review.pdf"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559</Value>
      <Value>558</Value>
      <Value>77</Value>
      <Value>518</Value>
      <Value>551</Value>
      <Value>86</Value>
    </TaxCatchAll>
    <PublishOn xmlns="2f261a70-825f-4a37-b7b5-f6ecc2f4c5fa">2023-03-17T05:32:26+00:00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bb3f25e1-3c03-4bde-afc2-5888b49b7d7d</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 xsi:nil="true"/>
    <PolicyCategoryPath xmlns="2f261a70-825f-4a37-b7b5-f6ecc2f4c5fa">Academic</PolicyCategoryPath>
    <PolicyCategory0 xmlns="2f261a70-825f-4a37-b7b5-f6ecc2f4c5fa" xsi:nil="true"/>
    <docsort xmlns="2f261a70-825f-4a37-b7b5-f6ecc2f4c5fa" xsi:nil="true"/>
    <RecentlyPublished xmlns="2f261a70-825f-4a37-b7b5-f6ecc2f4c5fa">true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 xsi:nil="true"/>
    <LastPublished xmlns="2f261a70-825f-4a37-b7b5-f6ecc2f4c5fa">2024-04-03T14:00:00+00:00</LastPublished>
    <doccomments xmlns="2f261a70-825f-4a37-b7b5-f6ecc2f4c5fa">14/11/2023 - On 8 November 2023 the Vice Chancellor approved an instrument of sub-delegation for policy approval. This instrument was published as an Annexure to the Policy Governance Procedure and included both a list of those policy documents to be retained by the Vice Chancellor (TABLE A), the rules and principles for sub-delegation of policy document approval, and a list of qualified officers and the categories of policy documents they would be responsible for approving (TABLE B).
24/01/24 - updated link to Term Sheet as advised by Senior Academic Quality Assurance Officer
26/03/2024 - Standing COO editorial update - under Related Policy Documents - Student Administration Policy has been rescinded replaced with Admission Policy.
04/04/2024 - Standing COO editorial update - section 3.1.5 update DVCE with Provost.</doccomments>
    <datedeclared xmlns="2f261a70-825f-4a37-b7b5-f6ecc2f4c5fa">2023-03-13T14:00:00+00:00</datedeclared>
    <PrivatePolicy xmlns="2f261a70-825f-4a37-b7b5-f6ecc2f4c5fa">false</PrivatePolicy>
    <policyadvisor xmlns="2f261a70-825f-4a37-b7b5-f6ecc2f4c5fa">
      <UserInfo>
        <DisplayName>Georgina Ma</DisplayName>
        <AccountId>56</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Learning and Teaching</TermName>
          <TermId xmlns="http://schemas.microsoft.com/office/infopath/2007/PartnerControls">446e0cdd-d096-4b26-b8f8-0a6485e32142</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2028</TermName>
          <TermId xmlns="http://schemas.microsoft.com/office/infopath/2007/PartnerControls">3482dbca-7716-46bb-b113-935721929a44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Provost</TermName>
          <TermId xmlns="http://schemas.microsoft.com/office/infopath/2007/PartnerControls">bee6e04a-89d5-44a2-a3ef-d33cdfe1b4af</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C7472664-BE3E-4F49-B1CF-675E6324E18A}">
  <ds:schemaRefs>
    <ds:schemaRef ds:uri="http://schemas.openxmlformats.org/officeDocument/2006/bibliography"/>
  </ds:schemaRefs>
</ds:datastoreItem>
</file>

<file path=customXml/itemProps2.xml><?xml version="1.0" encoding="utf-8"?>
<ds:datastoreItem xmlns:ds="http://schemas.openxmlformats.org/officeDocument/2006/customXml" ds:itemID="{42362CFB-C267-4600-8A4D-62F458774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4.xml><?xml version="1.0" encoding="utf-8"?>
<ds:datastoreItem xmlns:ds="http://schemas.openxmlformats.org/officeDocument/2006/customXml" ds:itemID="{196F7AD6-2D24-452C-BA2D-4C1DD94A6C30}">
  <ds:schemaRefs>
    <ds:schemaRef ds:uri="http://schemas.microsoft.com/office/infopath/2007/PartnerControls"/>
    <ds:schemaRef ds:uri="http://purl.org/dc/elements/1.1/"/>
    <ds:schemaRef ds:uri="http://schemas.microsoft.com/office/2006/metadata/properties"/>
    <ds:schemaRef ds:uri="http://purl.org/dc/terms/"/>
    <ds:schemaRef ds:uri="2f261a70-825f-4a37-b7b5-f6ecc2f4c5fa"/>
    <ds:schemaRef ds:uri="http://schemas.openxmlformats.org/package/2006/metadata/core-properties"/>
    <ds:schemaRef ds:uri="http://schemas.microsoft.com/office/2006/documentManagement/types"/>
    <ds:schemaRef ds:uri="b40c662e-0380-4817-843d-2c7e10d40c39"/>
    <ds:schemaRef ds:uri="http://www.w3.org/XML/1998/namespace"/>
    <ds:schemaRef ds:uri="http://purl.org/dc/dcmitype/"/>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2</TotalTime>
  <Pages>6</Pages>
  <Words>2573</Words>
  <Characters>14668</Characters>
  <Application>Microsoft Office Word</Application>
  <DocSecurity>0</DocSecurity>
  <Lines>122</Lines>
  <Paragraphs>34</Paragraphs>
  <ScaleCrop>false</ScaleCrop>
  <Company/>
  <LinksUpToDate>false</LinksUpToDate>
  <CharactersWithSpaces>17207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Delivery with Other Parties - Domestic Coursework Procedure</dc:title>
  <dc:subject/>
  <dc:creator>Rebecca Voisey</dc:creator>
  <cp:keywords/>
  <dc:description/>
  <cp:lastModifiedBy>Donna Kalaentzis</cp:lastModifiedBy>
  <cp:revision>11</cp:revision>
  <cp:lastPrinted>2019-10-02T21:35:00Z</cp:lastPrinted>
  <dcterms:created xsi:type="dcterms:W3CDTF">2023-07-30T22:20:00Z</dcterms:created>
  <dcterms:modified xsi:type="dcterms:W3CDTF">2024-04-03T21:58:00Z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7f66d1d8-5946-4dbb-b3cf-4f39a6be1913</vt:lpwstr>
  </property>
  <property fmtid="{D5CDD505-2E9C-101B-9397-08002B2CF9AE}" pid="4" name="resourcetype">
    <vt:lpwstr>850</vt:lpwstr>
  </property>
  <property fmtid="{D5CDD505-2E9C-101B-9397-08002B2CF9AE}" pid="5" name="policysummary">
    <vt:lpwstr>This is the Griffith University template for procedures. This template should be used in conjunction with the Policy Governance Policy and the Policy Governance Procedure. </vt:lpwstr>
  </property>
  <property fmtid="{D5CDD505-2E9C-101B-9397-08002B2CF9AE}" pid="6" name="Order">
    <vt:r8>1500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MSIP_Label_adaa4be3-f650-4692-881a-64ae220cbceb_Enabled">
    <vt:lpwstr>true</vt:lpwstr>
  </property>
  <property fmtid="{D5CDD505-2E9C-101B-9397-08002B2CF9AE}" pid="11" name="MSIP_Label_adaa4be3-f650-4692-881a-64ae220cbceb_SetDate">
    <vt:lpwstr>2023-02-12T07:20:14Z</vt:lpwstr>
  </property>
  <property fmtid="{D5CDD505-2E9C-101B-9397-08002B2CF9AE}" pid="12" name="MSIP_Label_adaa4be3-f650-4692-881a-64ae220cbceb_Method">
    <vt:lpwstr>Standard</vt:lpwstr>
  </property>
  <property fmtid="{D5CDD505-2E9C-101B-9397-08002B2CF9AE}" pid="13" name="MSIP_Label_adaa4be3-f650-4692-881a-64ae220cbceb_Name">
    <vt:lpwstr>OFFICIAL  Internal (External sharing)</vt:lpwstr>
  </property>
  <property fmtid="{D5CDD505-2E9C-101B-9397-08002B2CF9AE}" pid="14" name="MSIP_Label_adaa4be3-f650-4692-881a-64ae220cbceb_SiteId">
    <vt:lpwstr>5a7cc8ab-a4dc-4f9b-bf60-66714049ad62</vt:lpwstr>
  </property>
  <property fmtid="{D5CDD505-2E9C-101B-9397-08002B2CF9AE}" pid="15" name="MSIP_Label_adaa4be3-f650-4692-881a-64ae220cbceb_ActionId">
    <vt:lpwstr>557b3555-cc4d-4def-81a7-22667b239946</vt:lpwstr>
  </property>
  <property fmtid="{D5CDD505-2E9C-101B-9397-08002B2CF9AE}" pid="16" name="MSIP_Label_adaa4be3-f650-4692-881a-64ae220cbceb_ContentBits">
    <vt:lpwstr>0</vt:lpwstr>
  </property>
  <property fmtid="{D5CDD505-2E9C-101B-9397-08002B2CF9AE}" pid="17" name="MediaServiceImageTags">
    <vt:lpwstr/>
  </property>
  <property fmtid="{D5CDD505-2E9C-101B-9397-08002B2CF9AE}" pid="18" name="policysection">
    <vt:lpwstr/>
  </property>
  <property fmtid="{D5CDD505-2E9C-101B-9397-08002B2CF9AE}" pid="19" name="appauthority">
    <vt:lpwstr>559;#Provost|bee6e04a-89d5-44a2-a3ef-d33cdfe1b4af</vt:lpwstr>
  </property>
  <property fmtid="{D5CDD505-2E9C-101B-9397-08002B2CF9AE}" pid="20" name="policycategory">
    <vt:lpwstr>86;#Procedure|bb3f25e1-3c03-4bde-afc2-5888b49b7d7d</vt:lpwstr>
  </property>
  <property fmtid="{D5CDD505-2E9C-101B-9397-08002B2CF9AE}" pid="21" name="officearea">
    <vt:lpwstr>551;#Student Life|10f28419-8eea-4122-9bbc-3c3d69c6fcc4</vt:lpwstr>
  </property>
  <property fmtid="{D5CDD505-2E9C-101B-9397-08002B2CF9AE}" pid="22" name="policyreview">
    <vt:lpwstr>558;#2028|3482dbca-7716-46bb-b113-935721929a44</vt:lpwstr>
  </property>
  <property fmtid="{D5CDD505-2E9C-101B-9397-08002B2CF9AE}" pid="23" name="policyaudience">
    <vt:lpwstr>77;#Staff|45ee306d-49ae-43fa-a3ef-02f70754fd2d</vt:lpwstr>
  </property>
  <property fmtid="{D5CDD505-2E9C-101B-9397-08002B2CF9AE}" pid="24" name="Managed_Testing_Field">
    <vt:lpwstr/>
  </property>
  <property fmtid="{D5CDD505-2E9C-101B-9397-08002B2CF9AE}" pid="25" name="policy-category">
    <vt:lpwstr>518;#Learning and Teaching|446e0cdd-d096-4b26-b8f8-0a6485e32142</vt:lpwstr>
  </property>
  <property fmtid="{D5CDD505-2E9C-101B-9397-08002B2CF9AE}" pid="26" name="glossaryterms">
    <vt:lpwstr/>
  </property>
</Properties>
</file>